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1E3423" w:rsidP="001C1706">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1E3423" w:rsidRPr="00652EEA" w:rsidRDefault="008D4C0B" w:rsidP="004A2D2C">
            <w:pPr>
              <w:tabs>
                <w:tab w:val="left" w:pos="-720"/>
              </w:tabs>
              <w:suppressAutoHyphens/>
              <w:spacing w:before="120"/>
              <w:jc w:val="center"/>
              <w:rPr>
                <w:lang w:val="en-US"/>
              </w:rPr>
            </w:pPr>
            <w:r>
              <w:rPr>
                <w:noProof/>
              </w:rPr>
              <w:drawing>
                <wp:anchor distT="0" distB="0" distL="114300" distR="114300" simplePos="0" relativeHeight="251668480" behindDoc="0" locked="0" layoutInCell="1" allowOverlap="1">
                  <wp:simplePos x="0" y="0"/>
                  <wp:positionH relativeFrom="margin">
                    <wp:posOffset>403225</wp:posOffset>
                  </wp:positionH>
                  <wp:positionV relativeFrom="margin">
                    <wp:posOffset>83185</wp:posOffset>
                  </wp:positionV>
                  <wp:extent cx="430530" cy="354330"/>
                  <wp:effectExtent l="0" t="0" r="7620" b="762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rsidR="001E3423" w:rsidRPr="00482021" w:rsidRDefault="001E3423" w:rsidP="004A2D2C">
            <w:pPr>
              <w:tabs>
                <w:tab w:val="left" w:pos="-720"/>
              </w:tabs>
              <w:suppressAutoHyphens/>
              <w:spacing w:line="120" w:lineRule="auto"/>
            </w:pPr>
          </w:p>
        </w:tc>
      </w:tr>
      <w:tr w:rsidR="001E3423" w:rsidRPr="00482021" w:rsidTr="004A2D2C">
        <w:trPr>
          <w:cantSplit/>
          <w:trHeight w:val="1770"/>
        </w:trPr>
        <w:tc>
          <w:tcPr>
            <w:tcW w:w="4428" w:type="dxa"/>
            <w:tcBorders>
              <w:top w:val="nil"/>
              <w:left w:val="nil"/>
              <w:bottom w:val="single" w:sz="24" w:space="0" w:color="auto"/>
              <w:right w:val="nil"/>
            </w:tcBorders>
          </w:tcPr>
          <w:p w:rsidR="001E3423" w:rsidRPr="00FC32BA" w:rsidRDefault="001E3423" w:rsidP="004A2D2C">
            <w:pPr>
              <w:spacing w:before="60"/>
              <w:rPr>
                <w:sz w:val="22"/>
                <w:szCs w:val="22"/>
              </w:rPr>
            </w:pPr>
            <w:r w:rsidRPr="00FC32BA">
              <w:rPr>
                <w:sz w:val="22"/>
                <w:szCs w:val="22"/>
              </w:rPr>
              <w:t>Distr.</w:t>
            </w:r>
          </w:p>
          <w:p w:rsidR="001E3423" w:rsidRPr="00FC32BA" w:rsidRDefault="001E3423" w:rsidP="004A2D2C">
            <w:pPr>
              <w:rPr>
                <w:sz w:val="22"/>
                <w:szCs w:val="22"/>
              </w:rPr>
            </w:pPr>
            <w:r>
              <w:rPr>
                <w:sz w:val="22"/>
                <w:szCs w:val="22"/>
              </w:rPr>
              <w:t>GENERAL</w:t>
            </w:r>
          </w:p>
          <w:p w:rsidR="001E3423" w:rsidRPr="00FC32BA" w:rsidRDefault="001E3423" w:rsidP="004A2D2C">
            <w:pPr>
              <w:pStyle w:val="Heading3"/>
              <w:bidi w:val="0"/>
              <w:spacing w:before="0" w:after="0" w:line="240" w:lineRule="auto"/>
              <w:jc w:val="left"/>
              <w:rPr>
                <w:sz w:val="22"/>
                <w:szCs w:val="22"/>
                <w:lang w:val="en-US"/>
              </w:rPr>
            </w:pPr>
          </w:p>
          <w:p w:rsidR="001E3423" w:rsidRPr="00392B0E" w:rsidRDefault="001E3423" w:rsidP="00790B5B">
            <w:pPr>
              <w:rPr>
                <w:sz w:val="22"/>
                <w:szCs w:val="22"/>
                <w:lang w:val="en-US"/>
              </w:rPr>
            </w:pPr>
            <w:r>
              <w:rPr>
                <w:sz w:val="22"/>
                <w:szCs w:val="22"/>
              </w:rPr>
              <w:t>CBD/SB</w:t>
            </w:r>
            <w:r w:rsidR="00D31AEB">
              <w:rPr>
                <w:sz w:val="22"/>
                <w:szCs w:val="22"/>
              </w:rPr>
              <w:t>I</w:t>
            </w:r>
            <w:r>
              <w:rPr>
                <w:sz w:val="22"/>
                <w:szCs w:val="22"/>
              </w:rPr>
              <w:t>/</w:t>
            </w:r>
            <w:r w:rsidR="00D74C52">
              <w:rPr>
                <w:sz w:val="22"/>
                <w:szCs w:val="22"/>
              </w:rPr>
              <w:t>3</w:t>
            </w:r>
            <w:r>
              <w:rPr>
                <w:sz w:val="22"/>
                <w:szCs w:val="22"/>
              </w:rPr>
              <w:t>/</w:t>
            </w:r>
            <w:r w:rsidR="00D74C52">
              <w:rPr>
                <w:sz w:val="22"/>
                <w:szCs w:val="22"/>
              </w:rPr>
              <w:t>1</w:t>
            </w:r>
            <w:r w:rsidR="00A9042E">
              <w:rPr>
                <w:sz w:val="22"/>
                <w:szCs w:val="22"/>
              </w:rPr>
              <w:t>/Add.</w:t>
            </w:r>
            <w:r w:rsidR="00790B5B">
              <w:rPr>
                <w:sz w:val="22"/>
                <w:szCs w:val="22"/>
              </w:rPr>
              <w:t>3</w:t>
            </w:r>
          </w:p>
          <w:p w:rsidR="001E3423" w:rsidRPr="00FC32BA" w:rsidRDefault="00105960" w:rsidP="00105960">
            <w:pPr>
              <w:rPr>
                <w:rFonts w:eastAsia="MS Mincho"/>
                <w:sz w:val="22"/>
                <w:szCs w:val="22"/>
                <w:lang w:eastAsia="ja-JP"/>
              </w:rPr>
            </w:pPr>
            <w:r>
              <w:rPr>
                <w:sz w:val="22"/>
                <w:szCs w:val="22"/>
              </w:rPr>
              <w:t>26</w:t>
            </w:r>
            <w:r w:rsidR="00790B5B">
              <w:rPr>
                <w:sz w:val="22"/>
                <w:szCs w:val="22"/>
              </w:rPr>
              <w:t xml:space="preserve"> </w:t>
            </w:r>
            <w:r>
              <w:rPr>
                <w:sz w:val="22"/>
                <w:szCs w:val="22"/>
              </w:rPr>
              <w:t>January</w:t>
            </w:r>
            <w:r w:rsidR="00790B5B">
              <w:rPr>
                <w:sz w:val="22"/>
                <w:szCs w:val="22"/>
              </w:rPr>
              <w:t xml:space="preserve"> 202</w:t>
            </w:r>
            <w:r>
              <w:rPr>
                <w:sz w:val="22"/>
                <w:szCs w:val="22"/>
              </w:rPr>
              <w:t>2</w:t>
            </w:r>
            <w:r>
              <w:rPr>
                <w:rStyle w:val="FootnoteReference"/>
                <w:sz w:val="22"/>
                <w:szCs w:val="22"/>
              </w:rPr>
              <w:footnoteReference w:customMarkFollows="1" w:id="1"/>
              <w:t>*</w:t>
            </w: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4A2D2C">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4A2D2C">
            <w:pPr>
              <w:tabs>
                <w:tab w:val="left" w:pos="-720"/>
              </w:tabs>
              <w:suppressAutoHyphens/>
              <w:spacing w:before="120"/>
              <w:jc w:val="both"/>
              <w:rPr>
                <w:rtl/>
              </w:rPr>
            </w:pPr>
            <w:r>
              <w:rPr>
                <w:b/>
                <w:bCs/>
                <w:noProof/>
                <w:sz w:val="36"/>
                <w:szCs w:val="36"/>
                <w:rtl/>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392B0E" w:rsidP="001C31CC">
      <w:pPr>
        <w:bidi/>
        <w:spacing w:before="60" w:line="216" w:lineRule="auto"/>
        <w:rPr>
          <w:rFonts w:ascii="Simplified Arabic" w:hAnsi="Simplified Arabic" w:cs="Simplified Arabic"/>
          <w:b/>
          <w:bCs/>
          <w:rtl/>
          <w:lang w:bidi="ar-EG"/>
        </w:rPr>
      </w:pPr>
      <w:r>
        <w:rPr>
          <w:rFonts w:ascii="Simplified Arabic" w:hAnsi="Simplified Arabic" w:cs="Simplified Arabic"/>
          <w:b/>
          <w:bCs/>
          <w:noProof/>
          <w:rtl/>
        </w:rPr>
        <w:drawing>
          <wp:anchor distT="0" distB="0" distL="114300" distR="114300" simplePos="0" relativeHeight="251666432" behindDoc="0" locked="0" layoutInCell="1" allowOverlap="1">
            <wp:simplePos x="0" y="0"/>
            <wp:positionH relativeFrom="column">
              <wp:posOffset>3560166</wp:posOffset>
            </wp:positionH>
            <wp:positionV relativeFrom="paragraph">
              <wp:posOffset>-459530</wp:posOffset>
            </wp:positionV>
            <wp:extent cx="1867992" cy="547475"/>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001E3423"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r w:rsidR="00790B5B">
        <w:rPr>
          <w:rFonts w:ascii="Simplified Arabic" w:hAnsi="Simplified Arabic" w:cs="Simplified Arabic" w:hint="cs"/>
          <w:rtl/>
          <w:lang w:bidi="ar-EG"/>
        </w:rPr>
        <w:t xml:space="preserve"> (المستأنف)</w:t>
      </w:r>
    </w:p>
    <w:p w:rsidR="00F15332" w:rsidRDefault="00790B5B" w:rsidP="00105960">
      <w:pPr>
        <w:bidi/>
        <w:spacing w:line="216" w:lineRule="auto"/>
        <w:rPr>
          <w:rFonts w:ascii="Simplified Arabic" w:hAnsi="Simplified Arabic" w:cs="Simplified Arabic"/>
          <w:rtl/>
          <w:lang w:bidi="ar-EG"/>
        </w:rPr>
      </w:pPr>
      <w:r>
        <w:rPr>
          <w:rFonts w:ascii="Simplified Arabic" w:hAnsi="Simplified Arabic" w:cs="Simplified Arabic" w:hint="cs"/>
          <w:rtl/>
        </w:rPr>
        <w:t>جنيف، سويسرا</w:t>
      </w:r>
      <w:r w:rsidR="00FF674B" w:rsidRPr="00F15332">
        <w:rPr>
          <w:rFonts w:ascii="Simplified Arabic" w:hAnsi="Simplified Arabic" w:cs="Simplified Arabic"/>
          <w:rtl/>
        </w:rPr>
        <w:t>،</w:t>
      </w:r>
      <w:r w:rsidR="00D74C52">
        <w:rPr>
          <w:rFonts w:ascii="Simplified Arabic" w:hAnsi="Simplified Arabic" w:cs="Simplified Arabic" w:hint="cs"/>
          <w:rtl/>
          <w:lang w:bidi="ar-EG"/>
        </w:rPr>
        <w:t xml:space="preserve"> </w:t>
      </w:r>
      <w:r w:rsidR="00105960">
        <w:rPr>
          <w:rFonts w:ascii="Simplified Arabic" w:hAnsi="Simplified Arabic" w:cs="Simplified Arabic" w:hint="cs"/>
          <w:rtl/>
          <w:lang w:bidi="ar-EG"/>
        </w:rPr>
        <w:t>14</w:t>
      </w:r>
      <w:r>
        <w:rPr>
          <w:rFonts w:ascii="Simplified Arabic" w:hAnsi="Simplified Arabic" w:cs="Simplified Arabic" w:hint="cs"/>
          <w:rtl/>
          <w:lang w:bidi="ar-EG"/>
        </w:rPr>
        <w:t>-</w:t>
      </w:r>
      <w:r w:rsidR="00105960">
        <w:rPr>
          <w:rFonts w:ascii="Simplified Arabic" w:hAnsi="Simplified Arabic" w:cs="Simplified Arabic" w:hint="cs"/>
          <w:rtl/>
          <w:lang w:bidi="ar-EG"/>
        </w:rPr>
        <w:t>29</w:t>
      </w:r>
      <w:r>
        <w:rPr>
          <w:rFonts w:ascii="Simplified Arabic" w:hAnsi="Simplified Arabic" w:cs="Simplified Arabic" w:hint="cs"/>
          <w:rtl/>
          <w:lang w:bidi="ar-EG"/>
        </w:rPr>
        <w:t xml:space="preserve"> </w:t>
      </w:r>
      <w:r w:rsidR="00105960">
        <w:rPr>
          <w:rFonts w:ascii="Simplified Arabic" w:hAnsi="Simplified Arabic" w:cs="Simplified Arabic" w:hint="cs"/>
          <w:rtl/>
          <w:lang w:bidi="ar-EG"/>
        </w:rPr>
        <w:t>مارس</w:t>
      </w:r>
      <w:r>
        <w:rPr>
          <w:rFonts w:ascii="Simplified Arabic" w:hAnsi="Simplified Arabic" w:cs="Simplified Arabic" w:hint="cs"/>
          <w:rtl/>
          <w:lang w:bidi="ar-EG"/>
        </w:rPr>
        <w:t>/</w:t>
      </w:r>
      <w:r w:rsidR="00105960">
        <w:rPr>
          <w:rFonts w:ascii="Simplified Arabic" w:hAnsi="Simplified Arabic" w:cs="Simplified Arabic" w:hint="cs"/>
          <w:rtl/>
          <w:lang w:bidi="ar-EG"/>
        </w:rPr>
        <w:t>آذار</w:t>
      </w:r>
      <w:r>
        <w:rPr>
          <w:rFonts w:ascii="Simplified Arabic" w:hAnsi="Simplified Arabic" w:cs="Simplified Arabic" w:hint="cs"/>
          <w:rtl/>
          <w:lang w:bidi="ar-EG"/>
        </w:rPr>
        <w:t xml:space="preserve"> 2022</w:t>
      </w:r>
    </w:p>
    <w:p w:rsidR="001C31CC" w:rsidRPr="00652EEA" w:rsidRDefault="001C31CC" w:rsidP="001059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 xml:space="preserve">البند 2 من جدول الأعمال </w:t>
      </w:r>
    </w:p>
    <w:p w:rsidR="00F15332" w:rsidRDefault="00F15332" w:rsidP="00F15332">
      <w:pPr>
        <w:bidi/>
        <w:spacing w:line="120" w:lineRule="auto"/>
        <w:rPr>
          <w:rtl/>
        </w:rPr>
      </w:pPr>
    </w:p>
    <w:p w:rsidR="00C5766C" w:rsidRPr="00652EEA" w:rsidRDefault="00D74C52" w:rsidP="00790B5B">
      <w:pPr>
        <w:bidi/>
        <w:spacing w:after="120" w:line="216" w:lineRule="auto"/>
        <w:jc w:val="center"/>
        <w:rPr>
          <w:rFonts w:ascii="Simplified Arabic" w:hAnsi="Simplified Arabic" w:cs="Simplified Arabic"/>
          <w:b/>
          <w:bCs/>
          <w:sz w:val="28"/>
          <w:szCs w:val="28"/>
          <w:rtl/>
          <w:lang w:bidi="ar-EG"/>
        </w:rPr>
      </w:pPr>
      <w:r w:rsidRPr="00652EEA">
        <w:rPr>
          <w:rFonts w:ascii="Simplified Arabic" w:hAnsi="Simplified Arabic" w:cs="Simplified Arabic"/>
          <w:b/>
          <w:bCs/>
          <w:sz w:val="28"/>
          <w:szCs w:val="28"/>
          <w:rtl/>
        </w:rPr>
        <w:t>جدول الأعمال المؤقت</w:t>
      </w:r>
      <w:r w:rsidR="00652EEA" w:rsidRPr="00652EEA">
        <w:rPr>
          <w:rFonts w:ascii="Simplified Arabic" w:hAnsi="Simplified Arabic" w:cs="Simplified Arabic" w:hint="cs"/>
          <w:b/>
          <w:bCs/>
          <w:sz w:val="28"/>
          <w:szCs w:val="28"/>
          <w:rtl/>
          <w:lang w:bidi="ar-EG"/>
        </w:rPr>
        <w:t xml:space="preserve"> </w:t>
      </w:r>
      <w:r w:rsidR="00790B5B">
        <w:rPr>
          <w:rFonts w:ascii="Simplified Arabic" w:hAnsi="Simplified Arabic" w:cs="Simplified Arabic" w:hint="cs"/>
          <w:b/>
          <w:bCs/>
          <w:sz w:val="28"/>
          <w:szCs w:val="28"/>
          <w:rtl/>
          <w:lang w:bidi="ar-EG"/>
        </w:rPr>
        <w:t>مع شروحات تكميلية</w:t>
      </w:r>
    </w:p>
    <w:p w:rsidR="00652EEA" w:rsidRPr="00652EEA" w:rsidRDefault="00652EEA" w:rsidP="00652EEA">
      <w:pPr>
        <w:pStyle w:val="ListParagraph"/>
        <w:bidi/>
        <w:spacing w:after="120" w:line="216" w:lineRule="auto"/>
        <w:ind w:left="0"/>
        <w:contextualSpacing w:val="0"/>
        <w:jc w:val="center"/>
        <w:rPr>
          <w:rFonts w:ascii="Simplified Arabic" w:hAnsi="Simplified Arabic" w:cs="Simplified Arabic"/>
          <w:b/>
          <w:bCs/>
          <w:sz w:val="28"/>
          <w:szCs w:val="28"/>
          <w:rtl/>
          <w:lang w:val="en-US"/>
        </w:rPr>
      </w:pPr>
      <w:r w:rsidRPr="00652EEA">
        <w:rPr>
          <w:rFonts w:ascii="Simplified Arabic" w:hAnsi="Simplified Arabic" w:cs="Simplified Arabic" w:hint="cs"/>
          <w:b/>
          <w:bCs/>
          <w:sz w:val="28"/>
          <w:szCs w:val="28"/>
          <w:rtl/>
          <w:lang w:val="en-US"/>
        </w:rPr>
        <w:t>مقدمة</w:t>
      </w:r>
    </w:p>
    <w:p w:rsidR="00790B5B" w:rsidRDefault="00790B5B" w:rsidP="00105960">
      <w:pPr>
        <w:numPr>
          <w:ilvl w:val="0"/>
          <w:numId w:val="7"/>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عقد الجزء الأول من الاجتماع الثالث للهيئة الفرعية للتنفيذ عبر الانترنت من 16 مايو/أيار إلى 13 يونيه/حزيران 2021. ونظرا للظروف الاستثنائية السائدة نتيجة لجائحة كوفيد-19 الجارية والتعقيدات التي ينطوي عليها عقد الاجتماعات عبر الانترنت، اتفق على تأجيل استكمال العمل وتوصيات الهيئة الفرعية إلى جلسة مستأنفة للهيئة الفرعية، من المزمع عقدها </w:t>
      </w:r>
      <w:r w:rsidR="00BE3837">
        <w:rPr>
          <w:rFonts w:cs="Simplified Arabic" w:hint="cs"/>
          <w:sz w:val="22"/>
          <w:rtl/>
          <w:lang w:val="en-GB" w:bidi="ar-EG"/>
        </w:rPr>
        <w:t>بال</w:t>
      </w:r>
      <w:r>
        <w:rPr>
          <w:rFonts w:cs="Simplified Arabic" w:hint="cs"/>
          <w:sz w:val="22"/>
          <w:rtl/>
          <w:lang w:val="en-GB" w:bidi="ar-EG"/>
        </w:rPr>
        <w:t xml:space="preserve">حضور الشخصي، على النحو المشار إليه في تقرير الجزء الأول من الاجتماع </w:t>
      </w:r>
      <w:r w:rsidR="00E144DA" w:rsidRPr="00584721">
        <w:rPr>
          <w:rFonts w:eastAsia="Malgun Gothic"/>
          <w:kern w:val="22"/>
          <w:sz w:val="22"/>
          <w:szCs w:val="22"/>
          <w:lang w:val="en-GB"/>
        </w:rPr>
        <w:t>(CBD/SBI/3/20)</w:t>
      </w:r>
      <w:r>
        <w:rPr>
          <w:rFonts w:cs="Simplified Arabic" w:hint="cs"/>
          <w:sz w:val="22"/>
          <w:rtl/>
          <w:lang w:val="en-GB" w:bidi="ar-EG"/>
        </w:rPr>
        <w:t>. وبناء عليه، من المقرر عقد الاجتماع المستأنف بالحضور الشخصي بالت</w:t>
      </w:r>
      <w:r w:rsidR="00BE3837">
        <w:rPr>
          <w:rFonts w:cs="Simplified Arabic" w:hint="cs"/>
          <w:sz w:val="22"/>
          <w:rtl/>
          <w:lang w:val="en-GB" w:bidi="ar-EG"/>
        </w:rPr>
        <w:t>عاقب</w:t>
      </w:r>
      <w:r>
        <w:rPr>
          <w:rFonts w:cs="Simplified Arabic" w:hint="cs"/>
          <w:sz w:val="22"/>
          <w:rtl/>
          <w:lang w:val="en-GB" w:bidi="ar-EG"/>
        </w:rPr>
        <w:t xml:space="preserve"> وبالت</w:t>
      </w:r>
      <w:r w:rsidR="00BE3837">
        <w:rPr>
          <w:rFonts w:cs="Simplified Arabic" w:hint="cs"/>
          <w:sz w:val="22"/>
          <w:rtl/>
          <w:lang w:val="en-GB" w:bidi="ar-EG"/>
        </w:rPr>
        <w:t>زامن</w:t>
      </w:r>
      <w:r>
        <w:rPr>
          <w:rFonts w:cs="Simplified Arabic" w:hint="cs"/>
          <w:sz w:val="22"/>
          <w:rtl/>
          <w:lang w:val="en-GB" w:bidi="ar-EG"/>
        </w:rPr>
        <w:t xml:space="preserve"> مع الجلسات بالحضور الشخصي للاجتماع الرابع والعشرين للهيئة الفرعية للمشورة العلمية والتقنية والتكنولوجية والاجتماع الثالث للفريق العامل المعني بالإطار العالمي للتنوع البيولوجي</w:t>
      </w:r>
      <w:r w:rsidR="00BE3837">
        <w:rPr>
          <w:rFonts w:cs="Simplified Arabic" w:hint="cs"/>
          <w:sz w:val="22"/>
          <w:rtl/>
          <w:lang w:val="en-GB" w:bidi="ar-EG"/>
        </w:rPr>
        <w:t xml:space="preserve"> لما بعد عام 2020</w:t>
      </w:r>
      <w:r>
        <w:rPr>
          <w:rFonts w:cs="Simplified Arabic" w:hint="cs"/>
          <w:sz w:val="22"/>
          <w:rtl/>
          <w:lang w:val="en-GB" w:bidi="ar-EG"/>
        </w:rPr>
        <w:t xml:space="preserve">، في جنيف، سويسرا، من </w:t>
      </w:r>
      <w:r w:rsidR="00105960">
        <w:rPr>
          <w:rFonts w:cs="Simplified Arabic" w:hint="cs"/>
          <w:sz w:val="22"/>
          <w:rtl/>
          <w:lang w:val="en-GB" w:bidi="ar-EG"/>
        </w:rPr>
        <w:t>14</w:t>
      </w:r>
      <w:r>
        <w:rPr>
          <w:rFonts w:cs="Simplified Arabic" w:hint="cs"/>
          <w:sz w:val="22"/>
          <w:rtl/>
          <w:lang w:val="en-GB" w:bidi="ar-EG"/>
        </w:rPr>
        <w:t xml:space="preserve"> إلى </w:t>
      </w:r>
      <w:r w:rsidR="00105960">
        <w:rPr>
          <w:rFonts w:cs="Simplified Arabic" w:hint="cs"/>
          <w:sz w:val="22"/>
          <w:rtl/>
          <w:lang w:val="en-GB" w:bidi="ar-EG"/>
        </w:rPr>
        <w:t>29</w:t>
      </w:r>
      <w:r>
        <w:rPr>
          <w:rFonts w:cs="Simplified Arabic" w:hint="cs"/>
          <w:sz w:val="22"/>
          <w:rtl/>
          <w:lang w:val="en-GB" w:bidi="ar-EG"/>
        </w:rPr>
        <w:t xml:space="preserve"> </w:t>
      </w:r>
      <w:r w:rsidR="00105960">
        <w:rPr>
          <w:rFonts w:cs="Simplified Arabic" w:hint="cs"/>
          <w:sz w:val="22"/>
          <w:rtl/>
          <w:lang w:val="en-GB" w:bidi="ar-EG"/>
        </w:rPr>
        <w:t>مارس</w:t>
      </w:r>
      <w:r>
        <w:rPr>
          <w:rFonts w:cs="Simplified Arabic" w:hint="cs"/>
          <w:sz w:val="22"/>
          <w:rtl/>
          <w:lang w:val="en-GB" w:bidi="ar-EG"/>
        </w:rPr>
        <w:t>/</w:t>
      </w:r>
      <w:r w:rsidR="00105960">
        <w:rPr>
          <w:rFonts w:cs="Simplified Arabic" w:hint="cs"/>
          <w:sz w:val="22"/>
          <w:rtl/>
          <w:lang w:val="en-GB" w:bidi="ar-EG"/>
        </w:rPr>
        <w:t>آذار</w:t>
      </w:r>
      <w:r>
        <w:rPr>
          <w:rFonts w:cs="Simplified Arabic" w:hint="cs"/>
          <w:sz w:val="22"/>
          <w:rtl/>
          <w:lang w:val="en-GB" w:bidi="ar-EG"/>
        </w:rPr>
        <w:t xml:space="preserve"> 2022</w:t>
      </w:r>
      <w:r w:rsidR="00105960">
        <w:rPr>
          <w:rFonts w:cs="Simplified Arabic" w:hint="cs"/>
          <w:sz w:val="22"/>
          <w:rtl/>
          <w:lang w:val="en-GB" w:bidi="ar-EG"/>
        </w:rPr>
        <w:t xml:space="preserve"> بعد أن تم تأجيلها عن التواريخ الأصلية التي كانت مقررة في يناير 2022. ويرجى </w:t>
      </w:r>
      <w:r w:rsidR="00105960" w:rsidRPr="00105960">
        <w:rPr>
          <w:rFonts w:cs="Simplified Arabic"/>
          <w:sz w:val="22"/>
          <w:rtl/>
          <w:lang w:val="en-GB" w:bidi="ar-EG"/>
        </w:rPr>
        <w:t xml:space="preserve">ملاحظة أن التسجيل في الموقع والاجتماعات التحضيرية الإقليمية ستعقد في 13 </w:t>
      </w:r>
      <w:r w:rsidR="00105960">
        <w:rPr>
          <w:rFonts w:cs="Simplified Arabic" w:hint="cs"/>
          <w:sz w:val="22"/>
          <w:rtl/>
          <w:lang w:val="en-GB" w:bidi="ar-EG"/>
        </w:rPr>
        <w:t>مارس/آذار</w:t>
      </w:r>
      <w:r w:rsidR="00105960" w:rsidRPr="00105960">
        <w:rPr>
          <w:rFonts w:cs="Simplified Arabic"/>
          <w:sz w:val="22"/>
          <w:rtl/>
          <w:lang w:val="en-GB" w:bidi="ar-EG"/>
        </w:rPr>
        <w:t xml:space="preserve">، وستُعقد الجلسات العامة الافتتاحية للهيئات المعنية في 14 </w:t>
      </w:r>
      <w:r w:rsidR="00105960">
        <w:rPr>
          <w:rFonts w:cs="Simplified Arabic" w:hint="cs"/>
          <w:sz w:val="22"/>
          <w:rtl/>
          <w:lang w:val="en-GB" w:bidi="ar-EG"/>
        </w:rPr>
        <w:t>مارس</w:t>
      </w:r>
      <w:r w:rsidR="00105960" w:rsidRPr="00105960">
        <w:rPr>
          <w:rFonts w:cs="Simplified Arabic"/>
          <w:sz w:val="22"/>
          <w:rtl/>
          <w:lang w:val="en-GB" w:bidi="ar-EG"/>
        </w:rPr>
        <w:t>/</w:t>
      </w:r>
      <w:r w:rsidR="00105960">
        <w:rPr>
          <w:rFonts w:cs="Simplified Arabic" w:hint="cs"/>
          <w:sz w:val="22"/>
          <w:rtl/>
          <w:lang w:val="en-GB" w:bidi="ar-EG"/>
        </w:rPr>
        <w:t>آذار</w:t>
      </w:r>
      <w:r w:rsidR="00105960" w:rsidRPr="00105960">
        <w:rPr>
          <w:rFonts w:cs="Simplified Arabic"/>
          <w:sz w:val="22"/>
          <w:rtl/>
          <w:lang w:val="en-GB" w:bidi="ar-EG"/>
        </w:rPr>
        <w:t>.</w:t>
      </w:r>
    </w:p>
    <w:p w:rsidR="00E144DA" w:rsidRDefault="00E144DA" w:rsidP="00BE3837">
      <w:pPr>
        <w:numPr>
          <w:ilvl w:val="0"/>
          <w:numId w:val="7"/>
        </w:numPr>
        <w:bidi/>
        <w:spacing w:after="120" w:line="216" w:lineRule="auto"/>
        <w:ind w:left="0" w:firstLine="0"/>
        <w:jc w:val="both"/>
        <w:rPr>
          <w:rFonts w:cs="Simplified Arabic"/>
          <w:sz w:val="22"/>
          <w:lang w:val="en-GB" w:bidi="ar-EG"/>
        </w:rPr>
      </w:pPr>
      <w:r>
        <w:rPr>
          <w:rFonts w:cs="Simplified Arabic" w:hint="cs"/>
          <w:sz w:val="22"/>
          <w:rtl/>
          <w:lang w:val="en-GB" w:bidi="ar-EG"/>
        </w:rPr>
        <w:t>وتكمل الوثيقة الحالية جدول الأعمال المؤقت وجدول الأعمال المشرو</w:t>
      </w:r>
      <w:r w:rsidR="00BE3837">
        <w:rPr>
          <w:rFonts w:cs="Simplified Arabic" w:hint="cs"/>
          <w:sz w:val="22"/>
          <w:rtl/>
          <w:lang w:val="en-GB" w:bidi="ar-EG"/>
        </w:rPr>
        <w:t>ح</w:t>
      </w:r>
      <w:r>
        <w:rPr>
          <w:rFonts w:cs="Simplified Arabic" w:hint="cs"/>
          <w:sz w:val="22"/>
          <w:rtl/>
          <w:lang w:val="en-GB" w:bidi="ar-EG"/>
        </w:rPr>
        <w:t xml:space="preserve"> المعتمدان في الجزء الأول من الاجتماع الثالث للهيئة الفرعية للتنفيذ </w:t>
      </w:r>
      <w:r w:rsidR="00BE3837">
        <w:rPr>
          <w:kern w:val="22"/>
          <w:sz w:val="22"/>
          <w:szCs w:val="22"/>
          <w:lang w:val="en-GB"/>
        </w:rPr>
        <w:t xml:space="preserve"> </w:t>
      </w:r>
      <w:r w:rsidRPr="00584721">
        <w:rPr>
          <w:kern w:val="22"/>
          <w:sz w:val="22"/>
          <w:szCs w:val="22"/>
          <w:lang w:val="en-GB"/>
        </w:rPr>
        <w:t>CBD/SBI/3/1</w:t>
      </w:r>
      <w:r w:rsidR="00BE3837" w:rsidRPr="00BE3837">
        <w:rPr>
          <w:kern w:val="22"/>
          <w:lang w:val="en-GB"/>
        </w:rPr>
        <w:t>)</w:t>
      </w:r>
      <w:r w:rsidRPr="00584721">
        <w:rPr>
          <w:kern w:val="22"/>
          <w:sz w:val="22"/>
          <w:szCs w:val="22"/>
          <w:lang w:val="en-GB"/>
        </w:rPr>
        <w:t xml:space="preserve"> </w:t>
      </w:r>
      <w:r w:rsidR="00BE3837">
        <w:rPr>
          <w:rFonts w:hint="cs"/>
          <w:kern w:val="22"/>
          <w:sz w:val="22"/>
          <w:szCs w:val="22"/>
          <w:rtl/>
          <w:lang w:val="en-GB"/>
        </w:rPr>
        <w:t>و</w:t>
      </w:r>
      <w:r w:rsidR="00BE3837" w:rsidRPr="00BE3837">
        <w:rPr>
          <w:kern w:val="22"/>
          <w:lang w:val="en-GB"/>
        </w:rPr>
        <w:t>(</w:t>
      </w:r>
      <w:r w:rsidRPr="00584721">
        <w:rPr>
          <w:kern w:val="22"/>
          <w:sz w:val="22"/>
          <w:szCs w:val="22"/>
          <w:lang w:val="en-GB"/>
        </w:rPr>
        <w:t>add.1</w:t>
      </w:r>
      <w:r w:rsidR="00BE3837">
        <w:rPr>
          <w:kern w:val="22"/>
          <w:sz w:val="22"/>
          <w:szCs w:val="22"/>
          <w:lang w:val="en-GB"/>
        </w:rPr>
        <w:t xml:space="preserve"> </w:t>
      </w:r>
      <w:r>
        <w:rPr>
          <w:rFonts w:cs="Simplified Arabic" w:hint="cs"/>
          <w:sz w:val="22"/>
          <w:rtl/>
          <w:lang w:val="en-GB" w:bidi="ar-EG"/>
        </w:rPr>
        <w:t xml:space="preserve">، وتقدم تحديثات عن حالة كل بند من بنود الأعمال في ضوء العمل المنفذ في الجزء الأول للاجتماع (انظر </w:t>
      </w:r>
      <w:r w:rsidRPr="00584721">
        <w:rPr>
          <w:rFonts w:eastAsia="Malgun Gothic"/>
          <w:kern w:val="22"/>
          <w:sz w:val="22"/>
          <w:szCs w:val="22"/>
          <w:lang w:val="en-GB"/>
        </w:rPr>
        <w:t>CBD/SBI/3/20</w:t>
      </w:r>
      <w:r>
        <w:rPr>
          <w:rFonts w:cs="Simplified Arabic" w:hint="cs"/>
          <w:sz w:val="22"/>
          <w:rtl/>
          <w:lang w:val="en-GB" w:bidi="ar-EG"/>
        </w:rPr>
        <w:t xml:space="preserve">) فضلا عن أي </w:t>
      </w:r>
      <w:r w:rsidR="00BE3837">
        <w:rPr>
          <w:rFonts w:cs="Simplified Arabic" w:hint="cs"/>
          <w:sz w:val="22"/>
          <w:rtl/>
          <w:lang w:val="en-GB" w:bidi="ar-EG"/>
        </w:rPr>
        <w:t>عمل نفذ</w:t>
      </w:r>
      <w:r>
        <w:rPr>
          <w:rFonts w:cs="Simplified Arabic" w:hint="cs"/>
          <w:sz w:val="22"/>
          <w:rtl/>
          <w:lang w:val="en-GB" w:bidi="ar-EG"/>
        </w:rPr>
        <w:t xml:space="preserve"> في الفترة </w:t>
      </w:r>
      <w:r w:rsidR="00BE3837">
        <w:rPr>
          <w:rFonts w:cs="Simplified Arabic" w:hint="cs"/>
          <w:sz w:val="22"/>
          <w:rtl/>
          <w:lang w:val="en-GB" w:bidi="ar-EG"/>
        </w:rPr>
        <w:t xml:space="preserve">الفاصلة </w:t>
      </w:r>
      <w:r>
        <w:rPr>
          <w:rFonts w:cs="Simplified Arabic" w:hint="cs"/>
          <w:sz w:val="22"/>
          <w:rtl/>
          <w:lang w:val="en-GB" w:bidi="ar-EG"/>
        </w:rPr>
        <w:t>بين الدورات منذ الجزء الأول من الاجتماع.</w:t>
      </w:r>
    </w:p>
    <w:p w:rsidR="00E144DA" w:rsidRDefault="00E144DA" w:rsidP="00E144DA">
      <w:pPr>
        <w:numPr>
          <w:ilvl w:val="0"/>
          <w:numId w:val="7"/>
        </w:numPr>
        <w:bidi/>
        <w:spacing w:after="120" w:line="216" w:lineRule="auto"/>
        <w:ind w:left="0" w:firstLine="0"/>
        <w:jc w:val="both"/>
        <w:rPr>
          <w:rFonts w:cs="Simplified Arabic"/>
          <w:sz w:val="22"/>
          <w:lang w:val="en-GB" w:bidi="ar-EG"/>
        </w:rPr>
      </w:pPr>
      <w:r>
        <w:rPr>
          <w:rFonts w:cs="Simplified Arabic" w:hint="cs"/>
          <w:sz w:val="22"/>
          <w:rtl/>
          <w:lang w:val="en-GB" w:bidi="ar-EG"/>
        </w:rPr>
        <w:t>ويرد تنظيم العمل المقترح للاجتماعات المستأنفة في مذكرة السيناريو للجلسات المستأنفة المتزامنة للاجتماع الثالث للهيئة الفرعية للتنفيذ، والاجتماع الرابع والعشرين للهيئة الفرعية للمشورة العلمية والتقنية والتكنولوجية والاجتماع الثالث للفريق العامل المعني بالإطار العالمي للتنوع البيولوجي</w:t>
      </w:r>
      <w:r w:rsidR="00BE3837">
        <w:rPr>
          <w:rFonts w:cs="Simplified Arabic" w:hint="cs"/>
          <w:sz w:val="22"/>
          <w:rtl/>
          <w:lang w:val="en-GB" w:bidi="ar-EG"/>
        </w:rPr>
        <w:t xml:space="preserve"> لما بعد عام 2020</w:t>
      </w:r>
      <w:r>
        <w:rPr>
          <w:rFonts w:cs="Simplified Arabic" w:hint="cs"/>
          <w:sz w:val="22"/>
          <w:rtl/>
          <w:lang w:val="en-GB" w:bidi="ar-EG"/>
        </w:rPr>
        <w:t xml:space="preserve"> </w:t>
      </w:r>
      <w:r w:rsidR="00E15526">
        <w:rPr>
          <w:rFonts w:eastAsia="Malgun Gothic"/>
          <w:spacing w:val="-2"/>
          <w:kern w:val="22"/>
          <w:sz w:val="22"/>
          <w:szCs w:val="22"/>
          <w:lang w:val="en-GB"/>
        </w:rPr>
        <w:t>(CBD/SBI/3/1/Add.2/Rev.2</w:t>
      </w:r>
      <w:r w:rsidRPr="00E02A03">
        <w:rPr>
          <w:rFonts w:eastAsia="Malgun Gothic"/>
          <w:spacing w:val="-2"/>
          <w:kern w:val="22"/>
          <w:sz w:val="22"/>
          <w:szCs w:val="22"/>
          <w:lang w:val="en-GB"/>
        </w:rPr>
        <w:t>)</w:t>
      </w:r>
      <w:r>
        <w:rPr>
          <w:rFonts w:cs="Simplified Arabic" w:hint="cs"/>
          <w:sz w:val="22"/>
          <w:rtl/>
          <w:lang w:val="en-GB" w:bidi="ar-EG"/>
        </w:rPr>
        <w:t>.</w:t>
      </w:r>
    </w:p>
    <w:p w:rsidR="00D74C52" w:rsidRPr="00652EEA" w:rsidRDefault="00652EEA" w:rsidP="00960EDE">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rtl/>
          <w:lang w:val="en-US"/>
        </w:rPr>
      </w:pPr>
      <w:r w:rsidRPr="00652EEA">
        <w:rPr>
          <w:rFonts w:ascii="Simplified Arabic" w:hAnsi="Simplified Arabic" w:cs="Simplified Arabic" w:hint="cs"/>
          <w:b/>
          <w:bCs/>
          <w:sz w:val="28"/>
          <w:szCs w:val="28"/>
          <w:rtl/>
          <w:lang w:val="en-US"/>
        </w:rPr>
        <w:t>البند 1 -</w:t>
      </w:r>
      <w:r w:rsidRPr="00652EEA">
        <w:rPr>
          <w:rFonts w:ascii="Simplified Arabic" w:hAnsi="Simplified Arabic" w:cs="Simplified Arabic" w:hint="cs"/>
          <w:b/>
          <w:bCs/>
          <w:sz w:val="28"/>
          <w:szCs w:val="28"/>
          <w:rtl/>
          <w:lang w:val="en-US"/>
        </w:rPr>
        <w:tab/>
      </w:r>
      <w:r w:rsidRPr="00652EEA">
        <w:rPr>
          <w:rFonts w:ascii="Simplified Arabic" w:hAnsi="Simplified Arabic" w:cs="Simplified Arabic"/>
          <w:b/>
          <w:bCs/>
          <w:sz w:val="28"/>
          <w:szCs w:val="28"/>
          <w:rtl/>
          <w:lang w:val="en-US"/>
        </w:rPr>
        <w:t>افتتاح الاجتماع</w:t>
      </w:r>
    </w:p>
    <w:p w:rsidR="003813E0" w:rsidRPr="00A624A0" w:rsidRDefault="00B80E1B" w:rsidP="00BE5DAC">
      <w:pPr>
        <w:pStyle w:val="ListParagraph"/>
        <w:numPr>
          <w:ilvl w:val="0"/>
          <w:numId w:val="7"/>
        </w:numPr>
        <w:bidi/>
        <w:spacing w:after="120" w:line="216" w:lineRule="auto"/>
        <w:ind w:left="0" w:firstLine="0"/>
        <w:jc w:val="both"/>
        <w:rPr>
          <w:rFonts w:ascii="Simplified Arabic" w:hAnsi="Simplified Arabic" w:cs="Simplified Arabic"/>
          <w:sz w:val="22"/>
          <w:lang w:val="en-US"/>
        </w:rPr>
      </w:pPr>
      <w:r w:rsidRPr="00A71447">
        <w:rPr>
          <w:rFonts w:ascii="Simplified Arabic" w:hAnsi="Simplified Arabic" w:cs="Simplified Arabic"/>
          <w:sz w:val="22"/>
          <w:rtl/>
          <w:lang w:val="en-GB" w:bidi="ar-EG"/>
        </w:rPr>
        <w:t>س</w:t>
      </w:r>
      <w:r w:rsidRPr="00A71447">
        <w:rPr>
          <w:rFonts w:ascii="Simplified Arabic" w:hAnsi="Simplified Arabic" w:cs="Simplified Arabic" w:hint="cs"/>
          <w:sz w:val="22"/>
          <w:rtl/>
          <w:lang w:val="en-GB" w:bidi="ar-EG"/>
        </w:rPr>
        <w:t>ت</w:t>
      </w:r>
      <w:r w:rsidRPr="00A71447">
        <w:rPr>
          <w:rFonts w:ascii="Simplified Arabic" w:hAnsi="Simplified Arabic" w:cs="Simplified Arabic"/>
          <w:sz w:val="22"/>
          <w:rtl/>
          <w:lang w:val="en-GB" w:bidi="ar-EG"/>
        </w:rPr>
        <w:t xml:space="preserve">فتتح </w:t>
      </w:r>
      <w:r w:rsidR="00E144DA">
        <w:rPr>
          <w:rFonts w:ascii="Simplified Arabic" w:hAnsi="Simplified Arabic" w:cs="Simplified Arabic" w:hint="cs"/>
          <w:sz w:val="22"/>
          <w:rtl/>
          <w:lang w:val="en-GB" w:bidi="ar-EG"/>
        </w:rPr>
        <w:t>جلسة مشتركة ل</w:t>
      </w:r>
      <w:r w:rsidRPr="00A71447">
        <w:rPr>
          <w:rFonts w:ascii="Simplified Arabic" w:hAnsi="Simplified Arabic" w:cs="Simplified Arabic"/>
          <w:sz w:val="22"/>
          <w:rtl/>
          <w:lang w:val="en-GB" w:bidi="ar-EG"/>
        </w:rPr>
        <w:t xml:space="preserve">لاجتماع </w:t>
      </w:r>
      <w:r w:rsidR="00E144DA">
        <w:rPr>
          <w:rFonts w:ascii="Simplified Arabic" w:hAnsi="Simplified Arabic" w:cs="Simplified Arabic" w:hint="cs"/>
          <w:sz w:val="22"/>
          <w:rtl/>
          <w:lang w:val="en-GB" w:bidi="ar-EG"/>
        </w:rPr>
        <w:t xml:space="preserve">المستأنف للهيئة الفرعية للتنفيذ، والاجتماع الرابع والعشرين للهيئة الفرعية للمشورة العلمية والتقنية والتكنولوجية، والاجتماع الثالث للفريق العامل المعني بالإطار العالمي للتنوع البيولوجي </w:t>
      </w:r>
      <w:r w:rsidR="00BE3837">
        <w:rPr>
          <w:rFonts w:ascii="Simplified Arabic" w:hAnsi="Simplified Arabic" w:cs="Simplified Arabic" w:hint="cs"/>
          <w:sz w:val="22"/>
          <w:rtl/>
          <w:lang w:val="en-GB" w:bidi="ar-EG"/>
        </w:rPr>
        <w:t xml:space="preserve">لما بعد عام 2020 </w:t>
      </w:r>
      <w:r w:rsidR="00E144DA">
        <w:rPr>
          <w:rFonts w:ascii="Simplified Arabic" w:hAnsi="Simplified Arabic" w:cs="Simplified Arabic" w:hint="cs"/>
          <w:sz w:val="22"/>
          <w:rtl/>
          <w:lang w:val="en-GB" w:bidi="ar-EG"/>
        </w:rPr>
        <w:t xml:space="preserve">يوم </w:t>
      </w:r>
      <w:r w:rsidR="00BE5DAC">
        <w:rPr>
          <w:rFonts w:ascii="Simplified Arabic" w:hAnsi="Simplified Arabic" w:cs="Simplified Arabic" w:hint="cs"/>
          <w:sz w:val="22"/>
          <w:rtl/>
          <w:lang w:val="en-GB" w:bidi="ar-EG"/>
        </w:rPr>
        <w:t>الإثنين</w:t>
      </w:r>
      <w:r w:rsidR="00E144DA">
        <w:rPr>
          <w:rFonts w:ascii="Simplified Arabic" w:hAnsi="Simplified Arabic" w:cs="Simplified Arabic" w:hint="cs"/>
          <w:sz w:val="22"/>
          <w:rtl/>
          <w:lang w:val="en-GB" w:bidi="ar-EG"/>
        </w:rPr>
        <w:t>، الم</w:t>
      </w:r>
      <w:r w:rsidR="00BF6A91">
        <w:rPr>
          <w:rFonts w:ascii="Simplified Arabic" w:hAnsi="Simplified Arabic" w:cs="Simplified Arabic" w:hint="cs"/>
          <w:sz w:val="22"/>
          <w:rtl/>
          <w:lang w:val="en-GB" w:bidi="ar-EG"/>
        </w:rPr>
        <w:t>و</w:t>
      </w:r>
      <w:r w:rsidR="00E144DA">
        <w:rPr>
          <w:rFonts w:ascii="Simplified Arabic" w:hAnsi="Simplified Arabic" w:cs="Simplified Arabic" w:hint="cs"/>
          <w:sz w:val="22"/>
          <w:rtl/>
          <w:lang w:val="en-GB" w:bidi="ar-EG"/>
        </w:rPr>
        <w:t xml:space="preserve">افق </w:t>
      </w:r>
      <w:r w:rsidR="00BE5DAC">
        <w:rPr>
          <w:rFonts w:ascii="Simplified Arabic" w:hAnsi="Simplified Arabic" w:cs="Simplified Arabic" w:hint="cs"/>
          <w:sz w:val="22"/>
          <w:rtl/>
          <w:lang w:val="en-GB" w:bidi="ar-EG"/>
        </w:rPr>
        <w:t>14</w:t>
      </w:r>
      <w:r w:rsidR="00E144DA">
        <w:rPr>
          <w:rFonts w:ascii="Simplified Arabic" w:hAnsi="Simplified Arabic" w:cs="Simplified Arabic" w:hint="cs"/>
          <w:sz w:val="22"/>
          <w:rtl/>
          <w:lang w:val="en-GB" w:bidi="ar-EG"/>
        </w:rPr>
        <w:t xml:space="preserve"> </w:t>
      </w:r>
      <w:r w:rsidR="00BE5DAC">
        <w:rPr>
          <w:rFonts w:ascii="Simplified Arabic" w:hAnsi="Simplified Arabic" w:cs="Simplified Arabic" w:hint="cs"/>
          <w:sz w:val="22"/>
          <w:rtl/>
          <w:lang w:val="en-GB" w:bidi="ar-EG"/>
        </w:rPr>
        <w:t>مارس</w:t>
      </w:r>
      <w:r w:rsidR="00E144DA">
        <w:rPr>
          <w:rFonts w:ascii="Simplified Arabic" w:hAnsi="Simplified Arabic" w:cs="Simplified Arabic" w:hint="cs"/>
          <w:sz w:val="22"/>
          <w:rtl/>
          <w:lang w:val="en-GB" w:bidi="ar-EG"/>
        </w:rPr>
        <w:t>/</w:t>
      </w:r>
      <w:r w:rsidR="00BE5DAC">
        <w:rPr>
          <w:rFonts w:ascii="Simplified Arabic" w:hAnsi="Simplified Arabic" w:cs="Simplified Arabic" w:hint="cs"/>
          <w:sz w:val="22"/>
          <w:rtl/>
          <w:lang w:val="en-GB" w:bidi="ar-EG"/>
        </w:rPr>
        <w:t>آذار</w:t>
      </w:r>
      <w:r w:rsidR="00E144DA">
        <w:rPr>
          <w:rFonts w:ascii="Simplified Arabic" w:hAnsi="Simplified Arabic" w:cs="Simplified Arabic" w:hint="cs"/>
          <w:sz w:val="22"/>
          <w:rtl/>
          <w:lang w:val="en-GB" w:bidi="ar-EG"/>
        </w:rPr>
        <w:t xml:space="preserve"> 2022 في الساعة العاشرة صباحا مع بيان افتتاحي من الر</w:t>
      </w:r>
      <w:r w:rsidR="00BE3837">
        <w:rPr>
          <w:rFonts w:ascii="Simplified Arabic" w:hAnsi="Simplified Arabic" w:cs="Simplified Arabic" w:hint="cs"/>
          <w:sz w:val="22"/>
          <w:rtl/>
          <w:lang w:val="en-GB" w:bidi="ar-EG"/>
        </w:rPr>
        <w:t>ؤساء</w:t>
      </w:r>
      <w:r w:rsidR="00E144DA">
        <w:rPr>
          <w:rFonts w:ascii="Simplified Arabic" w:hAnsi="Simplified Arabic" w:cs="Simplified Arabic" w:hint="cs"/>
          <w:sz w:val="22"/>
          <w:rtl/>
          <w:lang w:val="en-GB" w:bidi="ar-EG"/>
        </w:rPr>
        <w:t xml:space="preserve"> والرئيسين</w:t>
      </w:r>
      <w:r w:rsidR="00BF6A91">
        <w:rPr>
          <w:rFonts w:ascii="Simplified Arabic" w:hAnsi="Simplified Arabic" w:cs="Simplified Arabic" w:hint="cs"/>
          <w:sz w:val="22"/>
          <w:rtl/>
          <w:lang w:val="en-GB" w:bidi="ar-EG"/>
        </w:rPr>
        <w:t xml:space="preserve"> </w:t>
      </w:r>
      <w:r w:rsidR="00E144DA">
        <w:rPr>
          <w:rFonts w:ascii="Simplified Arabic" w:hAnsi="Simplified Arabic" w:cs="Simplified Arabic" w:hint="cs"/>
          <w:sz w:val="22"/>
          <w:rtl/>
          <w:lang w:val="en-GB" w:bidi="ar-EG"/>
        </w:rPr>
        <w:t>المشاركين للهيئات المعنية فضلا عن رئاسة مؤتمر الأطراف والأمينة التنفيذية.</w:t>
      </w:r>
    </w:p>
    <w:p w:rsidR="00D74C52" w:rsidRPr="00652EEA" w:rsidRDefault="00652EEA" w:rsidP="00E144DA">
      <w:pPr>
        <w:pStyle w:val="ListParagraph"/>
        <w:keepNext/>
        <w:tabs>
          <w:tab w:val="left" w:pos="1080"/>
        </w:tabs>
        <w:bidi/>
        <w:spacing w:after="120" w:line="216" w:lineRule="auto"/>
        <w:ind w:left="0"/>
        <w:contextualSpacing w:val="0"/>
        <w:jc w:val="center"/>
        <w:rPr>
          <w:rFonts w:ascii="Simplified Arabic" w:hAnsi="Simplified Arabic" w:cs="Simplified Arabic"/>
          <w:b/>
          <w:bCs/>
          <w:sz w:val="28"/>
          <w:szCs w:val="28"/>
          <w:lang w:val="en-US"/>
        </w:rPr>
      </w:pPr>
      <w:r w:rsidRPr="00652EEA">
        <w:rPr>
          <w:rFonts w:ascii="Simplified Arabic" w:hAnsi="Simplified Arabic" w:cs="Simplified Arabic" w:hint="cs"/>
          <w:b/>
          <w:bCs/>
          <w:sz w:val="28"/>
          <w:szCs w:val="28"/>
          <w:rtl/>
          <w:lang w:val="en-GB" w:bidi="ar-EG"/>
        </w:rPr>
        <w:t>البند 2 -</w:t>
      </w:r>
      <w:r w:rsidRPr="00652EEA">
        <w:rPr>
          <w:rFonts w:ascii="Simplified Arabic" w:hAnsi="Simplified Arabic" w:cs="Simplified Arabic" w:hint="cs"/>
          <w:b/>
          <w:bCs/>
          <w:sz w:val="28"/>
          <w:szCs w:val="28"/>
          <w:rtl/>
          <w:lang w:val="en-GB" w:bidi="ar-EG"/>
        </w:rPr>
        <w:tab/>
      </w:r>
      <w:r w:rsidR="00D74C52" w:rsidRPr="00652EEA">
        <w:rPr>
          <w:rFonts w:ascii="Simplified Arabic" w:hAnsi="Simplified Arabic" w:cs="Simplified Arabic"/>
          <w:b/>
          <w:bCs/>
          <w:sz w:val="28"/>
          <w:szCs w:val="28"/>
          <w:rtl/>
          <w:lang w:val="en-GB" w:bidi="ar-EG"/>
        </w:rPr>
        <w:t>إقرار جدول الأعمال وتنظيم العمل</w:t>
      </w:r>
    </w:p>
    <w:p w:rsidR="00E144DA" w:rsidRDefault="00E144DA" w:rsidP="00281FED">
      <w:pPr>
        <w:pStyle w:val="ListParagraph"/>
        <w:numPr>
          <w:ilvl w:val="0"/>
          <w:numId w:val="7"/>
        </w:numPr>
        <w:bidi/>
        <w:spacing w:after="120" w:line="216" w:lineRule="auto"/>
        <w:ind w:left="0" w:firstLine="0"/>
        <w:contextualSpacing w:val="0"/>
        <w:jc w:val="both"/>
        <w:rPr>
          <w:rFonts w:cs="Simplified Arabic"/>
          <w:sz w:val="22"/>
          <w:lang w:val="en-GB" w:bidi="ar-EG"/>
        </w:rPr>
      </w:pPr>
      <w:r>
        <w:rPr>
          <w:rFonts w:cs="Simplified Arabic" w:hint="cs"/>
          <w:sz w:val="22"/>
          <w:rtl/>
          <w:lang w:val="en-GB" w:bidi="ar-EG"/>
        </w:rPr>
        <w:t xml:space="preserve">كما لاحظنا أعلاه، أقر جدول الأعمال </w:t>
      </w:r>
      <w:r w:rsidR="00281FED" w:rsidRPr="00A71447">
        <w:rPr>
          <w:sz w:val="22"/>
          <w:szCs w:val="22"/>
          <w:rtl/>
          <w:lang w:val="en-GB" w:bidi="ar-EG"/>
        </w:rPr>
        <w:t>(</w:t>
      </w:r>
      <w:r w:rsidR="00281FED" w:rsidRPr="00A71447">
        <w:rPr>
          <w:rFonts w:eastAsia="Malgun Gothic"/>
          <w:kern w:val="22"/>
          <w:sz w:val="22"/>
          <w:szCs w:val="22"/>
        </w:rPr>
        <w:t>CBD/SBI/</w:t>
      </w:r>
      <w:r w:rsidR="00281FED">
        <w:rPr>
          <w:rFonts w:eastAsia="Malgun Gothic"/>
          <w:kern w:val="22"/>
          <w:sz w:val="22"/>
          <w:szCs w:val="22"/>
        </w:rPr>
        <w:t>3</w:t>
      </w:r>
      <w:r w:rsidR="00281FED" w:rsidRPr="00A71447">
        <w:rPr>
          <w:rFonts w:eastAsia="Malgun Gothic"/>
          <w:kern w:val="22"/>
          <w:sz w:val="22"/>
          <w:szCs w:val="22"/>
        </w:rPr>
        <w:t>/1</w:t>
      </w:r>
      <w:r w:rsidR="00281FED" w:rsidRPr="00A71447">
        <w:rPr>
          <w:sz w:val="22"/>
          <w:szCs w:val="22"/>
          <w:rtl/>
          <w:lang w:val="en-GB" w:bidi="ar-EG"/>
        </w:rPr>
        <w:t>)</w:t>
      </w:r>
      <w:r>
        <w:rPr>
          <w:rFonts w:cs="Simplified Arabic" w:hint="cs"/>
          <w:sz w:val="22"/>
          <w:rtl/>
          <w:lang w:val="en-GB" w:bidi="ar-EG"/>
        </w:rPr>
        <w:t xml:space="preserve"> </w:t>
      </w:r>
      <w:r w:rsidR="00281FED">
        <w:rPr>
          <w:rFonts w:cs="Simplified Arabic" w:hint="cs"/>
          <w:sz w:val="22"/>
          <w:rtl/>
          <w:lang w:val="en-GB" w:bidi="ar-EG"/>
        </w:rPr>
        <w:t xml:space="preserve">في </w:t>
      </w:r>
      <w:r>
        <w:rPr>
          <w:rFonts w:cs="Simplified Arabic" w:hint="cs"/>
          <w:sz w:val="22"/>
          <w:rtl/>
          <w:lang w:val="en-GB" w:bidi="ar-EG"/>
        </w:rPr>
        <w:t>الجلسة الأولى من الجزء الأول من الا</w:t>
      </w:r>
      <w:r w:rsidR="00281FED">
        <w:rPr>
          <w:rFonts w:cs="Simplified Arabic" w:hint="cs"/>
          <w:sz w:val="22"/>
          <w:rtl/>
          <w:lang w:val="en-GB" w:bidi="ar-EG"/>
        </w:rPr>
        <w:t>ج</w:t>
      </w:r>
      <w:r>
        <w:rPr>
          <w:rFonts w:cs="Simplified Arabic" w:hint="cs"/>
          <w:sz w:val="22"/>
          <w:rtl/>
          <w:lang w:val="en-GB" w:bidi="ar-EG"/>
        </w:rPr>
        <w:t>تماع الثالث للهيئة الفرعية للتنفيذ.</w:t>
      </w:r>
    </w:p>
    <w:p w:rsidR="00B80E1B" w:rsidRPr="00281FED" w:rsidRDefault="00B80E1B" w:rsidP="00BE5DAC">
      <w:pPr>
        <w:numPr>
          <w:ilvl w:val="0"/>
          <w:numId w:val="7"/>
        </w:numPr>
        <w:bidi/>
        <w:spacing w:after="120" w:line="216" w:lineRule="auto"/>
        <w:ind w:left="0" w:firstLine="0"/>
        <w:jc w:val="both"/>
        <w:rPr>
          <w:rFonts w:cs="Simplified Arabic"/>
          <w:sz w:val="22"/>
          <w:lang w:val="en-GB" w:bidi="ar-EG"/>
        </w:rPr>
      </w:pPr>
      <w:r w:rsidRPr="00B80E1B">
        <w:rPr>
          <w:rFonts w:cs="Simplified Arabic" w:hint="cs"/>
          <w:sz w:val="22"/>
          <w:rtl/>
          <w:lang w:val="en-GB" w:bidi="ar-EG"/>
        </w:rPr>
        <w:t xml:space="preserve">وستُدعى الهيئة الفرعية إلى النظر في </w:t>
      </w:r>
      <w:r w:rsidRPr="00281FED">
        <w:rPr>
          <w:rFonts w:cs="Simplified Arabic" w:hint="cs"/>
          <w:sz w:val="22"/>
          <w:rtl/>
          <w:lang w:val="en-GB" w:bidi="ar-EG"/>
        </w:rPr>
        <w:t xml:space="preserve">تنظيم العمل </w:t>
      </w:r>
      <w:r w:rsidR="00281FED">
        <w:rPr>
          <w:rFonts w:cs="Simplified Arabic" w:hint="cs"/>
          <w:sz w:val="22"/>
          <w:rtl/>
          <w:lang w:val="en-GB" w:bidi="ar-EG"/>
        </w:rPr>
        <w:t xml:space="preserve">للاجتماع المستأنف لإقراره </w:t>
      </w:r>
      <w:r w:rsidR="00281FED" w:rsidRPr="00584721">
        <w:rPr>
          <w:rFonts w:eastAsia="Malgun Gothic"/>
          <w:kern w:val="22"/>
          <w:sz w:val="22"/>
          <w:szCs w:val="22"/>
          <w:lang w:val="en-GB"/>
        </w:rPr>
        <w:t>(CBD/SBI/3/1/Add.</w:t>
      </w:r>
      <w:r w:rsidR="00281FED" w:rsidRPr="00E02A03">
        <w:rPr>
          <w:rFonts w:eastAsia="Malgun Gothic"/>
          <w:kern w:val="22"/>
          <w:sz w:val="22"/>
          <w:szCs w:val="22"/>
          <w:lang w:val="en-GB"/>
        </w:rPr>
        <w:t>2/Rev.</w:t>
      </w:r>
      <w:r w:rsidR="00BE5DAC">
        <w:rPr>
          <w:rFonts w:eastAsia="Malgun Gothic"/>
          <w:kern w:val="22"/>
          <w:sz w:val="22"/>
          <w:szCs w:val="22"/>
          <w:lang w:val="en-GB"/>
        </w:rPr>
        <w:t>2</w:t>
      </w:r>
      <w:r w:rsidR="00281FED" w:rsidRPr="00584721">
        <w:rPr>
          <w:rFonts w:eastAsia="Malgun Gothic"/>
          <w:kern w:val="22"/>
          <w:sz w:val="22"/>
          <w:szCs w:val="22"/>
          <w:lang w:val="en-GB"/>
        </w:rPr>
        <w:t>)</w:t>
      </w:r>
      <w:r w:rsidRPr="00281FED">
        <w:rPr>
          <w:rFonts w:cs="Simplified Arabic" w:hint="cs"/>
          <w:sz w:val="22"/>
          <w:rtl/>
          <w:lang w:val="en-GB" w:bidi="ar-EG"/>
        </w:rPr>
        <w:t>.</w:t>
      </w:r>
    </w:p>
    <w:p w:rsidR="00652EEA" w:rsidRPr="00A71447" w:rsidRDefault="00B80E1B" w:rsidP="00281FED">
      <w:pPr>
        <w:numPr>
          <w:ilvl w:val="0"/>
          <w:numId w:val="7"/>
        </w:numPr>
        <w:bidi/>
        <w:spacing w:after="120" w:line="216" w:lineRule="auto"/>
        <w:ind w:left="0" w:firstLine="0"/>
        <w:jc w:val="both"/>
        <w:rPr>
          <w:rFonts w:cs="Simplified Arabic"/>
          <w:sz w:val="22"/>
          <w:rtl/>
          <w:lang w:val="en-GB" w:bidi="ar-EG"/>
        </w:rPr>
      </w:pPr>
      <w:r w:rsidRPr="00B80E1B">
        <w:rPr>
          <w:rFonts w:cs="Simplified Arabic" w:hint="cs"/>
          <w:sz w:val="22"/>
          <w:rtl/>
          <w:lang w:val="en-GB" w:bidi="ar-EG"/>
        </w:rPr>
        <w:t>وترد في المرفق الثاني قائمة بوثائق الاجتماع.</w:t>
      </w:r>
    </w:p>
    <w:p w:rsidR="00D74C52" w:rsidRPr="00A56010" w:rsidRDefault="00652EEA" w:rsidP="00960EDE">
      <w:pPr>
        <w:pStyle w:val="ListParagraph"/>
        <w:bidi/>
        <w:spacing w:after="120" w:line="216" w:lineRule="auto"/>
        <w:ind w:left="2700" w:right="990" w:hanging="1170"/>
        <w:contextualSpacing w:val="0"/>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3 -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استعراض التقدم المحرز في تنفيذ الاتفاقية والخطة الاستراتيجية للتنوع البيولوجي 2011-2020</w:t>
      </w:r>
    </w:p>
    <w:p w:rsidR="00652EEA" w:rsidRDefault="00281FED" w:rsidP="00281FE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eastAsia="Malgun Gothic" w:hAnsi="Simplified Arabic" w:cs="Simplified Arabic" w:hint="cs"/>
          <w:kern w:val="22"/>
          <w:rtl/>
          <w:lang w:val="en-GB" w:bidi="ar-EG"/>
        </w:rPr>
        <w:t>نظرت</w:t>
      </w:r>
      <w:r w:rsidR="00A71447" w:rsidRPr="00A71447">
        <w:rPr>
          <w:rFonts w:ascii="Simplified Arabic" w:eastAsia="Malgun Gothic" w:hAnsi="Simplified Arabic" w:cs="Simplified Arabic"/>
          <w:kern w:val="22"/>
          <w:rtl/>
          <w:lang w:val="en-GB" w:bidi="ar-EG"/>
        </w:rPr>
        <w:t xml:space="preserve"> الهيئة الفرعية للتنفيذ </w:t>
      </w:r>
      <w:r>
        <w:rPr>
          <w:rFonts w:ascii="Simplified Arabic" w:eastAsia="Malgun Gothic" w:hAnsi="Simplified Arabic" w:cs="Simplified Arabic" w:hint="cs"/>
          <w:kern w:val="22"/>
          <w:rtl/>
          <w:lang w:val="en-GB" w:bidi="ar-EG"/>
        </w:rPr>
        <w:t xml:space="preserve">في البند 3 من جدول الأعمال في الجزء الأول من اجتماعها الثالث ووافقت على مشروع توصية </w:t>
      </w:r>
      <w:r w:rsidRPr="00E02A03">
        <w:rPr>
          <w:spacing w:val="-2"/>
          <w:kern w:val="22"/>
          <w:sz w:val="22"/>
          <w:szCs w:val="22"/>
          <w:lang w:val="en-GB"/>
        </w:rPr>
        <w:t>CBD/SBI/3/L.4</w:t>
      </w:r>
      <w:r w:rsidR="00BE3837">
        <w:rPr>
          <w:rFonts w:ascii="Simplified Arabic" w:eastAsia="Malgun Gothic" w:hAnsi="Simplified Arabic" w:cs="Simplified Arabic" w:hint="cs"/>
          <w:kern w:val="22"/>
          <w:rtl/>
          <w:lang w:val="en-GB" w:bidi="ar-EG"/>
        </w:rPr>
        <w:t>، لاعتماده</w:t>
      </w:r>
      <w:r>
        <w:rPr>
          <w:rFonts w:ascii="Simplified Arabic" w:eastAsia="Malgun Gothic" w:hAnsi="Simplified Arabic" w:cs="Simplified Arabic" w:hint="cs"/>
          <w:kern w:val="22"/>
          <w:rtl/>
          <w:lang w:val="en-GB" w:bidi="ar-EG"/>
        </w:rPr>
        <w:t xml:space="preserve"> رسميا في مرحلة لاحقة.</w:t>
      </w:r>
    </w:p>
    <w:p w:rsidR="00B4312D" w:rsidRPr="00F711A7" w:rsidRDefault="00281FED" w:rsidP="00281FED">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GB" w:bidi="ar-EG"/>
        </w:rPr>
        <w:lastRenderedPageBreak/>
        <w:t xml:space="preserve">وبناء عليه، من المتوقع أن تنظر الهيئة الفرعية في الاجتماع المستأنف، وتعتمد مشروع التوصية الوارد في الوثيقة </w:t>
      </w:r>
      <w:r w:rsidRPr="00E02A03">
        <w:rPr>
          <w:spacing w:val="-2"/>
          <w:kern w:val="22"/>
          <w:sz w:val="22"/>
          <w:szCs w:val="22"/>
          <w:lang w:val="en-GB"/>
        </w:rPr>
        <w:t>CBD/SBI/3/L.4</w:t>
      </w:r>
      <w:r>
        <w:rPr>
          <w:rFonts w:ascii="Simplified Arabic" w:hAnsi="Simplified Arabic" w:cs="Simplified Arabic" w:hint="cs"/>
          <w:sz w:val="22"/>
          <w:rtl/>
          <w:lang w:val="en-GB" w:bidi="ar-EG"/>
        </w:rPr>
        <w:t>.</w:t>
      </w:r>
    </w:p>
    <w:p w:rsidR="00D74C52" w:rsidRPr="00A56010" w:rsidRDefault="00A56010" w:rsidP="00A56010">
      <w:pPr>
        <w:bidi/>
        <w:spacing w:after="120" w:line="216" w:lineRule="auto"/>
        <w:ind w:left="36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4 -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تقييم واستعراض فعالية</w:t>
      </w:r>
      <w:r w:rsidR="00D31AEB" w:rsidRPr="00A56010">
        <w:rPr>
          <w:rFonts w:ascii="Simplified Arabic" w:hAnsi="Simplified Arabic" w:cs="Simplified Arabic" w:hint="cs"/>
          <w:b/>
          <w:bCs/>
          <w:sz w:val="28"/>
          <w:szCs w:val="28"/>
          <w:rtl/>
          <w:lang w:val="en-US"/>
        </w:rPr>
        <w:t xml:space="preserve"> بروتوكول قرطاجنة للسلامة الأحيائية</w:t>
      </w:r>
    </w:p>
    <w:p w:rsidR="00281FED" w:rsidRDefault="00281FED" w:rsidP="00281FE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eastAsia="Malgun Gothic" w:hAnsi="Simplified Arabic" w:cs="Simplified Arabic" w:hint="cs"/>
          <w:kern w:val="22"/>
          <w:rtl/>
          <w:lang w:val="en-GB" w:bidi="ar-EG"/>
        </w:rPr>
        <w:t>نظرت</w:t>
      </w:r>
      <w:r w:rsidRPr="00A71447">
        <w:rPr>
          <w:rFonts w:ascii="Simplified Arabic" w:eastAsia="Malgun Gothic" w:hAnsi="Simplified Arabic" w:cs="Simplified Arabic"/>
          <w:kern w:val="22"/>
          <w:rtl/>
          <w:lang w:val="en-GB" w:bidi="ar-EG"/>
        </w:rPr>
        <w:t xml:space="preserve"> الهيئة الفرعية للتنفيذ </w:t>
      </w:r>
      <w:r>
        <w:rPr>
          <w:rFonts w:ascii="Simplified Arabic" w:eastAsia="Malgun Gothic" w:hAnsi="Simplified Arabic" w:cs="Simplified Arabic" w:hint="cs"/>
          <w:kern w:val="22"/>
          <w:rtl/>
          <w:lang w:val="en-GB" w:bidi="ar-EG"/>
        </w:rPr>
        <w:t>في البند 4 من جدول الأعمال في الجزء الأول من اجتماعها الثالث</w:t>
      </w:r>
      <w:r w:rsidR="00BE3837">
        <w:rPr>
          <w:rFonts w:ascii="Simplified Arabic" w:eastAsia="Malgun Gothic" w:hAnsi="Simplified Arabic" w:cs="Simplified Arabic" w:hint="cs"/>
          <w:kern w:val="22"/>
          <w:rtl/>
          <w:lang w:val="en-GB" w:bidi="ar-EG"/>
        </w:rPr>
        <w:t>.</w:t>
      </w:r>
      <w:r>
        <w:rPr>
          <w:rFonts w:ascii="Simplified Arabic" w:eastAsia="Malgun Gothic" w:hAnsi="Simplified Arabic" w:cs="Simplified Arabic" w:hint="cs"/>
          <w:kern w:val="22"/>
          <w:rtl/>
          <w:lang w:val="en-GB" w:bidi="ar-EG"/>
        </w:rPr>
        <w:t xml:space="preserve"> ووافقت على مشروع توصية</w:t>
      </w:r>
      <w:r w:rsidR="00BE3837">
        <w:rPr>
          <w:rFonts w:ascii="Simplified Arabic" w:eastAsia="Malgun Gothic" w:hAnsi="Simplified Arabic" w:cs="Simplified Arabic" w:hint="cs"/>
          <w:kern w:val="22"/>
          <w:rtl/>
          <w:lang w:val="en-GB" w:bidi="ar-EG"/>
        </w:rPr>
        <w:t>، بصيغته المعدلة شفويا،</w:t>
      </w:r>
      <w:r>
        <w:rPr>
          <w:rFonts w:ascii="Simplified Arabic" w:eastAsia="Malgun Gothic" w:hAnsi="Simplified Arabic" w:cs="Simplified Arabic" w:hint="cs"/>
          <w:kern w:val="22"/>
          <w:rtl/>
          <w:lang w:val="en-GB" w:bidi="ar-EG"/>
        </w:rPr>
        <w:t xml:space="preserve"> </w:t>
      </w:r>
      <w:r w:rsidRPr="00E02A03">
        <w:rPr>
          <w:spacing w:val="-2"/>
          <w:kern w:val="22"/>
          <w:sz w:val="22"/>
          <w:szCs w:val="22"/>
          <w:lang w:val="en-GB"/>
        </w:rPr>
        <w:t>CBD/SBI/3/L.</w:t>
      </w:r>
      <w:r>
        <w:rPr>
          <w:spacing w:val="-2"/>
          <w:kern w:val="22"/>
          <w:sz w:val="22"/>
          <w:szCs w:val="22"/>
          <w:lang w:val="en-GB"/>
        </w:rPr>
        <w:t>2</w:t>
      </w:r>
      <w:r w:rsidR="00BE3837">
        <w:rPr>
          <w:rFonts w:ascii="Simplified Arabic" w:eastAsia="Malgun Gothic" w:hAnsi="Simplified Arabic" w:cs="Simplified Arabic" w:hint="cs"/>
          <w:kern w:val="22"/>
          <w:rtl/>
          <w:lang w:val="en-GB" w:bidi="ar-EG"/>
        </w:rPr>
        <w:t>، لاعتماده</w:t>
      </w:r>
      <w:r>
        <w:rPr>
          <w:rFonts w:ascii="Simplified Arabic" w:eastAsia="Malgun Gothic" w:hAnsi="Simplified Arabic" w:cs="Simplified Arabic" w:hint="cs"/>
          <w:kern w:val="22"/>
          <w:rtl/>
          <w:lang w:val="en-GB" w:bidi="ar-EG"/>
        </w:rPr>
        <w:t xml:space="preserve"> رسميا في مرحلة لاحقة.</w:t>
      </w:r>
    </w:p>
    <w:p w:rsidR="00247072" w:rsidRDefault="00281FED" w:rsidP="00281FE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GB" w:bidi="ar-EG"/>
        </w:rPr>
        <w:t xml:space="preserve">وبناء عليه، من المتوقع أن تنظر الهيئة الفرعية في الاجتماع المستأنف، وتعتمد مشروع التوصية الوارد في الوثيقة </w:t>
      </w:r>
      <w:r w:rsidRPr="00E02A03">
        <w:rPr>
          <w:spacing w:val="-2"/>
          <w:kern w:val="22"/>
          <w:sz w:val="22"/>
          <w:szCs w:val="22"/>
          <w:lang w:val="en-GB"/>
        </w:rPr>
        <w:t>CBD/SBI/3/L.</w:t>
      </w:r>
      <w:r>
        <w:rPr>
          <w:spacing w:val="-2"/>
          <w:kern w:val="22"/>
          <w:sz w:val="22"/>
          <w:szCs w:val="22"/>
          <w:lang w:val="en-GB"/>
        </w:rPr>
        <w:t>2</w:t>
      </w:r>
      <w:r>
        <w:rPr>
          <w:rFonts w:ascii="Simplified Arabic" w:hAnsi="Simplified Arabic" w:cs="Simplified Arabic" w:hint="cs"/>
          <w:sz w:val="22"/>
          <w:rtl/>
          <w:lang w:val="en-GB" w:bidi="ar-EG"/>
        </w:rPr>
        <w:t>.</w:t>
      </w:r>
    </w:p>
    <w:p w:rsidR="00281FED" w:rsidRPr="00A56010" w:rsidRDefault="00281FED" w:rsidP="00281FED">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bidi="ar-EG"/>
        </w:rPr>
        <w:t>ويشير مشروع التوصية إلى التحليل الداعم للتقييم والاستعراض الرابع لبروتوكول قرطاجنة. وسيعد تحديث لهذا التحليل للاجتماع العاشر لمؤتمر الأطراف العامل كاجتماع للأطراف في بروتوكول قرطاجنة إذا تم استلام 80 في المائة من التقارير الوطنية الرابعة.</w:t>
      </w:r>
    </w:p>
    <w:p w:rsidR="00D74C52" w:rsidRPr="00A56010" w:rsidRDefault="00A56010" w:rsidP="00960EDE">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5 -</w:t>
      </w:r>
      <w:r w:rsidRPr="00A56010">
        <w:rPr>
          <w:rFonts w:ascii="Simplified Arabic" w:hAnsi="Simplified Arabic" w:cs="Simplified Arabic" w:hint="cs"/>
          <w:b/>
          <w:bCs/>
          <w:sz w:val="28"/>
          <w:szCs w:val="28"/>
          <w:rtl/>
          <w:lang w:val="en-US"/>
        </w:rPr>
        <w:tab/>
      </w:r>
      <w:r w:rsidR="00D74C52" w:rsidRPr="00A56010">
        <w:rPr>
          <w:rFonts w:ascii="Simplified Arabic" w:hAnsi="Simplified Arabic" w:cs="Simplified Arabic"/>
          <w:b/>
          <w:bCs/>
          <w:sz w:val="28"/>
          <w:szCs w:val="28"/>
          <w:rtl/>
          <w:lang w:val="en-US"/>
        </w:rPr>
        <w:t>الإطار العالمي لل</w:t>
      </w:r>
      <w:r w:rsidR="00652EEA" w:rsidRPr="00A56010">
        <w:rPr>
          <w:rFonts w:ascii="Simplified Arabic" w:hAnsi="Simplified Arabic" w:cs="Simplified Arabic"/>
          <w:b/>
          <w:bCs/>
          <w:sz w:val="28"/>
          <w:szCs w:val="28"/>
          <w:rtl/>
          <w:lang w:val="en-US"/>
        </w:rPr>
        <w:t>تنوع البيولوجي لما بعد عام 2020</w:t>
      </w:r>
    </w:p>
    <w:p w:rsidR="00713C7A" w:rsidRDefault="00440801" w:rsidP="0044080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eastAsia="Malgun Gothic" w:hAnsi="Simplified Arabic" w:cs="Simplified Arabic" w:hint="cs"/>
          <w:kern w:val="22"/>
          <w:rtl/>
          <w:lang w:val="en-GB" w:bidi="ar-EG"/>
        </w:rPr>
        <w:t>نظرت</w:t>
      </w:r>
      <w:r w:rsidRPr="00A71447">
        <w:rPr>
          <w:rFonts w:ascii="Simplified Arabic" w:eastAsia="Malgun Gothic" w:hAnsi="Simplified Arabic" w:cs="Simplified Arabic"/>
          <w:kern w:val="22"/>
          <w:rtl/>
          <w:lang w:val="en-GB" w:bidi="ar-EG"/>
        </w:rPr>
        <w:t xml:space="preserve"> الهيئة الفرعية للتنفيذ </w:t>
      </w:r>
      <w:r>
        <w:rPr>
          <w:rFonts w:ascii="Simplified Arabic" w:eastAsia="Malgun Gothic" w:hAnsi="Simplified Arabic" w:cs="Simplified Arabic" w:hint="cs"/>
          <w:kern w:val="22"/>
          <w:rtl/>
          <w:lang w:val="en-GB" w:bidi="ar-EG"/>
        </w:rPr>
        <w:t>في البند 5 من جدول الأعمال في الجزء الأول من اجتماعها الثالث</w:t>
      </w:r>
      <w:r>
        <w:rPr>
          <w:rFonts w:ascii="Simplified Arabic" w:hAnsi="Simplified Arabic" w:cs="Simplified Arabic" w:hint="cs"/>
          <w:sz w:val="22"/>
          <w:rtl/>
          <w:lang w:val="en-US" w:bidi="ar-EG"/>
        </w:rPr>
        <w:t xml:space="preserve">، وأعدت ورقتين </w:t>
      </w:r>
      <w:r w:rsidR="00D109B8">
        <w:rPr>
          <w:rFonts w:ascii="Simplified Arabic" w:hAnsi="Simplified Arabic" w:cs="Simplified Arabic" w:hint="cs"/>
          <w:sz w:val="22"/>
          <w:rtl/>
          <w:lang w:val="en-US"/>
        </w:rPr>
        <w:t>غرف اجتماعات (</w:t>
      </w:r>
      <w:r w:rsidR="00D109B8" w:rsidRPr="00E02A03">
        <w:rPr>
          <w:spacing w:val="-2"/>
          <w:kern w:val="22"/>
          <w:sz w:val="22"/>
          <w:szCs w:val="22"/>
          <w:lang w:val="en-GB"/>
        </w:rPr>
        <w:t>CBD/SBI/3/CRP.9</w:t>
      </w:r>
      <w:r w:rsidR="00D109B8">
        <w:rPr>
          <w:rFonts w:ascii="Simplified Arabic" w:hAnsi="Simplified Arabic" w:cs="Simplified Arabic" w:hint="cs"/>
          <w:sz w:val="22"/>
          <w:rtl/>
          <w:lang w:val="en-US"/>
        </w:rPr>
        <w:t xml:space="preserve"> و </w:t>
      </w:r>
      <w:r w:rsidR="00D109B8" w:rsidRPr="00E02A03">
        <w:rPr>
          <w:spacing w:val="-2"/>
          <w:kern w:val="22"/>
          <w:sz w:val="22"/>
          <w:szCs w:val="22"/>
          <w:lang w:val="en-GB"/>
        </w:rPr>
        <w:t>CBD/SBI/3/CRP.14</w:t>
      </w:r>
      <w:r w:rsidR="00D109B8">
        <w:rPr>
          <w:rFonts w:ascii="Simplified Arabic" w:hAnsi="Simplified Arabic" w:cs="Simplified Arabic" w:hint="cs"/>
          <w:sz w:val="22"/>
          <w:rtl/>
          <w:lang w:val="en-US"/>
        </w:rPr>
        <w:t>).</w:t>
      </w:r>
    </w:p>
    <w:p w:rsidR="00D109B8" w:rsidRPr="00D109B8" w:rsidRDefault="00D109B8" w:rsidP="00D109B8">
      <w:pPr>
        <w:pStyle w:val="ListParagraph"/>
        <w:bidi/>
        <w:spacing w:after="120" w:line="216" w:lineRule="auto"/>
        <w:ind w:left="0"/>
        <w:contextualSpacing w:val="0"/>
        <w:jc w:val="both"/>
        <w:rPr>
          <w:rFonts w:ascii="Simplified Arabic" w:hAnsi="Simplified Arabic" w:cs="Simplified Arabic"/>
          <w:i/>
          <w:iCs/>
          <w:sz w:val="22"/>
          <w:lang w:val="en-US"/>
        </w:rPr>
      </w:pPr>
      <w:r w:rsidRPr="00D109B8">
        <w:rPr>
          <w:rFonts w:ascii="Simplified Arabic" w:hAnsi="Simplified Arabic" w:cs="Simplified Arabic" w:hint="cs"/>
          <w:i/>
          <w:iCs/>
          <w:sz w:val="22"/>
          <w:rtl/>
          <w:lang w:val="en-US"/>
        </w:rPr>
        <w:t>خطة التنفيذ و</w:t>
      </w:r>
      <w:r>
        <w:rPr>
          <w:rFonts w:ascii="Simplified Arabic" w:hAnsi="Simplified Arabic" w:cs="Simplified Arabic" w:hint="cs"/>
          <w:i/>
          <w:iCs/>
          <w:sz w:val="22"/>
          <w:rtl/>
          <w:lang w:val="en-US"/>
        </w:rPr>
        <w:t xml:space="preserve">خطة </w:t>
      </w:r>
      <w:r w:rsidRPr="00D109B8">
        <w:rPr>
          <w:rFonts w:ascii="Simplified Arabic" w:hAnsi="Simplified Arabic" w:cs="Simplified Arabic" w:hint="cs"/>
          <w:i/>
          <w:iCs/>
          <w:sz w:val="22"/>
          <w:rtl/>
          <w:lang w:val="en-US"/>
        </w:rPr>
        <w:t>بناء القدرات لبروتوكول قرطاجنة</w:t>
      </w:r>
    </w:p>
    <w:p w:rsidR="00D109B8" w:rsidRDefault="00D109B8" w:rsidP="00BF6A9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بمساعدة من فريق اتصال، </w:t>
      </w:r>
      <w:r w:rsidR="00BF6A91">
        <w:rPr>
          <w:rFonts w:ascii="Simplified Arabic" w:hAnsi="Simplified Arabic" w:cs="Simplified Arabic" w:hint="cs"/>
          <w:sz w:val="22"/>
          <w:rtl/>
          <w:lang w:val="en-US"/>
        </w:rPr>
        <w:t>أعدت الرئيسة</w:t>
      </w:r>
      <w:r>
        <w:rPr>
          <w:rFonts w:ascii="Simplified Arabic" w:hAnsi="Simplified Arabic" w:cs="Simplified Arabic" w:hint="cs"/>
          <w:sz w:val="22"/>
          <w:rtl/>
          <w:lang w:val="en-US"/>
        </w:rPr>
        <w:t>، لنظر الجلسة العامة، مشروع توصية بشأن خطة التنفيذ وخطة بناء القدرات لبروتوكول قرطاجنة.</w:t>
      </w:r>
    </w:p>
    <w:p w:rsidR="00D109B8" w:rsidRDefault="00D109B8" w:rsidP="00075FA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ووافقت الهيئة الفرعية على إرجا</w:t>
      </w:r>
      <w:r w:rsidR="00075FAA">
        <w:rPr>
          <w:rFonts w:ascii="Simplified Arabic" w:hAnsi="Simplified Arabic" w:cs="Simplified Arabic" w:hint="cs"/>
          <w:sz w:val="22"/>
          <w:rtl/>
          <w:lang w:val="en-US"/>
        </w:rPr>
        <w:t>ء النظر في مشروع التوصية المقدم</w:t>
      </w:r>
      <w:r>
        <w:rPr>
          <w:rFonts w:ascii="Simplified Arabic" w:hAnsi="Simplified Arabic" w:cs="Simplified Arabic" w:hint="cs"/>
          <w:sz w:val="22"/>
          <w:rtl/>
          <w:lang w:val="en-US"/>
        </w:rPr>
        <w:t xml:space="preserve"> من الرئيس</w:t>
      </w:r>
      <w:r w:rsidR="00075FAA">
        <w:rPr>
          <w:rFonts w:ascii="Simplified Arabic" w:hAnsi="Simplified Arabic" w:cs="Simplified Arabic" w:hint="cs"/>
          <w:sz w:val="22"/>
          <w:rtl/>
          <w:lang w:val="en-US"/>
        </w:rPr>
        <w:t>ة</w:t>
      </w:r>
      <w:r>
        <w:rPr>
          <w:rFonts w:ascii="Simplified Arabic" w:hAnsi="Simplified Arabic" w:cs="Simplified Arabic" w:hint="cs"/>
          <w:sz w:val="22"/>
          <w:rtl/>
          <w:lang w:val="en-US"/>
        </w:rPr>
        <w:t xml:space="preserve"> </w:t>
      </w:r>
      <w:r w:rsidR="00F67D65" w:rsidRPr="00E02A03">
        <w:rPr>
          <w:spacing w:val="-2"/>
          <w:kern w:val="22"/>
          <w:sz w:val="22"/>
          <w:szCs w:val="22"/>
          <w:lang w:val="en-GB"/>
        </w:rPr>
        <w:t>(CBD/SBI/3/CRP.14)</w:t>
      </w:r>
      <w:r w:rsidR="00F67D65">
        <w:rPr>
          <w:rFonts w:ascii="Simplified Arabic" w:hAnsi="Simplified Arabic" w:cs="Simplified Arabic" w:hint="cs"/>
          <w:sz w:val="22"/>
          <w:rtl/>
          <w:lang w:val="en-GB"/>
        </w:rPr>
        <w:t xml:space="preserve"> </w:t>
      </w:r>
      <w:r w:rsidR="00075FAA">
        <w:rPr>
          <w:rFonts w:ascii="Simplified Arabic" w:hAnsi="Simplified Arabic" w:cs="Simplified Arabic" w:hint="cs"/>
          <w:sz w:val="22"/>
          <w:rtl/>
          <w:lang w:val="en-GB"/>
        </w:rPr>
        <w:t>حتى</w:t>
      </w:r>
      <w:r w:rsidR="00F67D65">
        <w:rPr>
          <w:rFonts w:ascii="Simplified Arabic" w:hAnsi="Simplified Arabic" w:cs="Simplified Arabic" w:hint="cs"/>
          <w:sz w:val="22"/>
          <w:rtl/>
          <w:lang w:val="en-GB"/>
        </w:rPr>
        <w:t xml:space="preserve"> الجزء الثاني من الاجتماع. وبناء عليه، من المتوقع أن تنظر الهيئة ال</w:t>
      </w:r>
      <w:r w:rsidR="00075FAA">
        <w:rPr>
          <w:rFonts w:ascii="Simplified Arabic" w:hAnsi="Simplified Arabic" w:cs="Simplified Arabic" w:hint="cs"/>
          <w:sz w:val="22"/>
          <w:rtl/>
          <w:lang w:val="en-GB"/>
        </w:rPr>
        <w:t>ف</w:t>
      </w:r>
      <w:r w:rsidR="00F67D65">
        <w:rPr>
          <w:rFonts w:ascii="Simplified Arabic" w:hAnsi="Simplified Arabic" w:cs="Simplified Arabic" w:hint="cs"/>
          <w:sz w:val="22"/>
          <w:rtl/>
          <w:lang w:val="en-GB"/>
        </w:rPr>
        <w:t xml:space="preserve">رعية، في </w:t>
      </w:r>
      <w:r w:rsidR="00075FAA">
        <w:rPr>
          <w:rFonts w:ascii="Simplified Arabic" w:hAnsi="Simplified Arabic" w:cs="Simplified Arabic" w:hint="cs"/>
          <w:sz w:val="22"/>
          <w:rtl/>
          <w:lang w:val="en-GB"/>
        </w:rPr>
        <w:t>جلست</w:t>
      </w:r>
      <w:r w:rsidR="00F67D65">
        <w:rPr>
          <w:rFonts w:ascii="Simplified Arabic" w:hAnsi="Simplified Arabic" w:cs="Simplified Arabic" w:hint="cs"/>
          <w:sz w:val="22"/>
          <w:rtl/>
          <w:lang w:val="en-GB"/>
        </w:rPr>
        <w:t>ها المستأنف</w:t>
      </w:r>
      <w:r w:rsidR="00075FAA">
        <w:rPr>
          <w:rFonts w:ascii="Simplified Arabic" w:hAnsi="Simplified Arabic" w:cs="Simplified Arabic" w:hint="cs"/>
          <w:sz w:val="22"/>
          <w:rtl/>
          <w:lang w:val="en-GB"/>
        </w:rPr>
        <w:t>ة</w:t>
      </w:r>
      <w:r w:rsidR="00F67D65">
        <w:rPr>
          <w:rFonts w:ascii="Simplified Arabic" w:hAnsi="Simplified Arabic" w:cs="Simplified Arabic" w:hint="cs"/>
          <w:sz w:val="22"/>
          <w:rtl/>
          <w:lang w:val="en-GB"/>
        </w:rPr>
        <w:t xml:space="preserve">، في مشروع التوصية الوارد في الوثيقة </w:t>
      </w:r>
      <w:r w:rsidR="00F67D65" w:rsidRPr="00E02A03">
        <w:rPr>
          <w:spacing w:val="-2"/>
          <w:kern w:val="22"/>
          <w:sz w:val="22"/>
          <w:szCs w:val="22"/>
          <w:lang w:val="en-GB"/>
        </w:rPr>
        <w:t>CBD/SBI/3/CRP.14</w:t>
      </w:r>
      <w:r w:rsidR="00F67D65">
        <w:rPr>
          <w:rFonts w:ascii="Simplified Arabic" w:hAnsi="Simplified Arabic" w:cs="Simplified Arabic" w:hint="cs"/>
          <w:sz w:val="22"/>
          <w:rtl/>
          <w:lang w:val="en-GB"/>
        </w:rPr>
        <w:t>، وتعتمد توصية.</w:t>
      </w:r>
    </w:p>
    <w:p w:rsidR="00F67D65" w:rsidRPr="00F67D65" w:rsidRDefault="00F67D65" w:rsidP="00075FAA">
      <w:pPr>
        <w:pStyle w:val="ListParagraph"/>
        <w:bidi/>
        <w:spacing w:after="120" w:line="216" w:lineRule="auto"/>
        <w:ind w:left="0"/>
        <w:contextualSpacing w:val="0"/>
        <w:jc w:val="both"/>
        <w:rPr>
          <w:rFonts w:ascii="Simplified Arabic" w:hAnsi="Simplified Arabic" w:cs="Simplified Arabic"/>
          <w:i/>
          <w:iCs/>
          <w:sz w:val="22"/>
          <w:lang w:val="en-US"/>
        </w:rPr>
      </w:pPr>
      <w:r w:rsidRPr="00F67D65">
        <w:rPr>
          <w:rFonts w:ascii="Simplified Arabic" w:hAnsi="Simplified Arabic" w:cs="Simplified Arabic" w:hint="cs"/>
          <w:i/>
          <w:iCs/>
          <w:sz w:val="22"/>
          <w:rtl/>
          <w:lang w:val="en-US" w:bidi="ar-EG"/>
        </w:rPr>
        <w:t xml:space="preserve">المسائل الأخرى </w:t>
      </w:r>
      <w:r w:rsidR="00075FAA">
        <w:rPr>
          <w:rFonts w:ascii="Simplified Arabic" w:hAnsi="Simplified Arabic" w:cs="Simplified Arabic" w:hint="cs"/>
          <w:i/>
          <w:iCs/>
          <w:sz w:val="22"/>
          <w:rtl/>
          <w:lang w:val="en-US" w:bidi="ar-EG"/>
        </w:rPr>
        <w:t>ذات الصلة</w:t>
      </w:r>
      <w:r w:rsidRPr="00F67D65">
        <w:rPr>
          <w:rFonts w:ascii="Simplified Arabic" w:hAnsi="Simplified Arabic" w:cs="Simplified Arabic" w:hint="cs"/>
          <w:i/>
          <w:iCs/>
          <w:sz w:val="22"/>
          <w:rtl/>
          <w:lang w:val="en-US" w:bidi="ar-EG"/>
        </w:rPr>
        <w:t xml:space="preserve"> بالإطار العالمي للتنوع البيولوجي لما بعد عام 2020</w:t>
      </w:r>
    </w:p>
    <w:p w:rsidR="00652EEA" w:rsidRDefault="00F67D65" w:rsidP="00075FA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وافقت الهيئة الفرعية على إرجا</w:t>
      </w:r>
      <w:r w:rsidR="00075FAA">
        <w:rPr>
          <w:rFonts w:ascii="Simplified Arabic" w:hAnsi="Simplified Arabic" w:cs="Simplified Arabic" w:hint="cs"/>
          <w:sz w:val="22"/>
          <w:rtl/>
          <w:lang w:val="en-US"/>
        </w:rPr>
        <w:t>ء النظر في مشروع التوصية المقدم</w:t>
      </w:r>
      <w:r>
        <w:rPr>
          <w:rFonts w:ascii="Simplified Arabic" w:hAnsi="Simplified Arabic" w:cs="Simplified Arabic" w:hint="cs"/>
          <w:sz w:val="22"/>
          <w:rtl/>
          <w:lang w:val="en-US"/>
        </w:rPr>
        <w:t xml:space="preserve"> من الرئيس</w:t>
      </w:r>
      <w:r w:rsidR="00075FAA">
        <w:rPr>
          <w:rFonts w:ascii="Simplified Arabic" w:hAnsi="Simplified Arabic" w:cs="Simplified Arabic" w:hint="cs"/>
          <w:sz w:val="22"/>
          <w:rtl/>
          <w:lang w:val="en-US"/>
        </w:rPr>
        <w:t>ة</w:t>
      </w:r>
      <w:r>
        <w:rPr>
          <w:rFonts w:ascii="Simplified Arabic" w:hAnsi="Simplified Arabic" w:cs="Simplified Arabic" w:hint="cs"/>
          <w:sz w:val="22"/>
          <w:rtl/>
          <w:lang w:val="en-US" w:bidi="ar-EG"/>
        </w:rPr>
        <w:t xml:space="preserve"> بشأن المسائل الأخرى المتعلقة بالإطار العالمي للتنوع البيولوجي لما بعد عام 2020</w:t>
      </w:r>
      <w:r>
        <w:rPr>
          <w:rFonts w:ascii="Simplified Arabic" w:hAnsi="Simplified Arabic" w:cs="Simplified Arabic" w:hint="cs"/>
          <w:sz w:val="22"/>
          <w:rtl/>
          <w:lang w:val="en-US"/>
        </w:rPr>
        <w:t xml:space="preserve"> </w:t>
      </w:r>
      <w:r w:rsidRPr="00E02A03">
        <w:rPr>
          <w:spacing w:val="-2"/>
          <w:kern w:val="22"/>
          <w:sz w:val="22"/>
          <w:szCs w:val="22"/>
          <w:lang w:val="en-GB"/>
        </w:rPr>
        <w:t>(CBD/SBI/3/CRP.</w:t>
      </w:r>
      <w:r>
        <w:rPr>
          <w:spacing w:val="-2"/>
          <w:kern w:val="22"/>
          <w:sz w:val="22"/>
          <w:szCs w:val="22"/>
          <w:lang w:val="en-GB"/>
        </w:rPr>
        <w:t>9</w:t>
      </w:r>
      <w:r w:rsidRPr="00E02A03">
        <w:rPr>
          <w:spacing w:val="-2"/>
          <w:kern w:val="22"/>
          <w:sz w:val="22"/>
          <w:szCs w:val="22"/>
          <w:lang w:val="en-GB"/>
        </w:rPr>
        <w:t>)</w:t>
      </w:r>
      <w:r>
        <w:rPr>
          <w:rFonts w:ascii="Simplified Arabic" w:hAnsi="Simplified Arabic" w:cs="Simplified Arabic" w:hint="cs"/>
          <w:sz w:val="22"/>
          <w:rtl/>
          <w:lang w:val="en-GB"/>
        </w:rPr>
        <w:t xml:space="preserve"> </w:t>
      </w:r>
      <w:r w:rsidR="00075FAA">
        <w:rPr>
          <w:rFonts w:ascii="Simplified Arabic" w:hAnsi="Simplified Arabic" w:cs="Simplified Arabic" w:hint="cs"/>
          <w:sz w:val="22"/>
          <w:rtl/>
          <w:lang w:val="en-GB"/>
        </w:rPr>
        <w:t>حتى</w:t>
      </w:r>
      <w:r>
        <w:rPr>
          <w:rFonts w:ascii="Simplified Arabic" w:hAnsi="Simplified Arabic" w:cs="Simplified Arabic" w:hint="cs"/>
          <w:sz w:val="22"/>
          <w:rtl/>
          <w:lang w:val="en-GB"/>
        </w:rPr>
        <w:t xml:space="preserve"> الجزء الثاني من الاجتماع. وبناء عليه، من المتوقع أن تنظر الهيئة ال</w:t>
      </w:r>
      <w:r w:rsidR="00075FAA">
        <w:rPr>
          <w:rFonts w:ascii="Simplified Arabic" w:hAnsi="Simplified Arabic" w:cs="Simplified Arabic" w:hint="cs"/>
          <w:sz w:val="22"/>
          <w:rtl/>
          <w:lang w:val="en-GB"/>
        </w:rPr>
        <w:t>ف</w:t>
      </w:r>
      <w:r>
        <w:rPr>
          <w:rFonts w:ascii="Simplified Arabic" w:hAnsi="Simplified Arabic" w:cs="Simplified Arabic" w:hint="cs"/>
          <w:sz w:val="22"/>
          <w:rtl/>
          <w:lang w:val="en-GB"/>
        </w:rPr>
        <w:t xml:space="preserve">رعية، في </w:t>
      </w:r>
      <w:r w:rsidR="00075FAA">
        <w:rPr>
          <w:rFonts w:ascii="Simplified Arabic" w:hAnsi="Simplified Arabic" w:cs="Simplified Arabic" w:hint="cs"/>
          <w:sz w:val="22"/>
          <w:rtl/>
          <w:lang w:val="en-GB"/>
        </w:rPr>
        <w:t>جلست</w:t>
      </w:r>
      <w:r>
        <w:rPr>
          <w:rFonts w:ascii="Simplified Arabic" w:hAnsi="Simplified Arabic" w:cs="Simplified Arabic" w:hint="cs"/>
          <w:sz w:val="22"/>
          <w:rtl/>
          <w:lang w:val="en-GB"/>
        </w:rPr>
        <w:t>ها المستأنف</w:t>
      </w:r>
      <w:r w:rsidR="00075FAA">
        <w:rPr>
          <w:rFonts w:ascii="Simplified Arabic" w:hAnsi="Simplified Arabic" w:cs="Simplified Arabic" w:hint="cs"/>
          <w:sz w:val="22"/>
          <w:rtl/>
          <w:lang w:val="en-GB"/>
        </w:rPr>
        <w:t>ة</w:t>
      </w:r>
      <w:r>
        <w:rPr>
          <w:rFonts w:ascii="Simplified Arabic" w:hAnsi="Simplified Arabic" w:cs="Simplified Arabic" w:hint="cs"/>
          <w:sz w:val="22"/>
          <w:rtl/>
          <w:lang w:val="en-GB"/>
        </w:rPr>
        <w:t xml:space="preserve">، في مشروع التوصية الوارد في الوثيقة </w:t>
      </w:r>
      <w:r w:rsidRPr="00E02A03">
        <w:rPr>
          <w:spacing w:val="-2"/>
          <w:kern w:val="22"/>
          <w:sz w:val="22"/>
          <w:szCs w:val="22"/>
          <w:lang w:val="en-GB"/>
        </w:rPr>
        <w:t>CBD/SBI/3/CRP.</w:t>
      </w:r>
      <w:r>
        <w:rPr>
          <w:spacing w:val="-2"/>
          <w:kern w:val="22"/>
          <w:sz w:val="22"/>
          <w:szCs w:val="22"/>
          <w:lang w:val="en-GB"/>
        </w:rPr>
        <w:t>9</w:t>
      </w:r>
      <w:r>
        <w:rPr>
          <w:rFonts w:ascii="Simplified Arabic" w:hAnsi="Simplified Arabic" w:cs="Simplified Arabic" w:hint="cs"/>
          <w:sz w:val="22"/>
          <w:rtl/>
          <w:lang w:val="en-GB"/>
        </w:rPr>
        <w:t>، وتعتمد توصية.</w:t>
      </w:r>
    </w:p>
    <w:p w:rsidR="00F67D65" w:rsidRDefault="00F67D65" w:rsidP="00075FA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ويشير مشروع التوصية إلى خطة عمل </w:t>
      </w:r>
      <w:r w:rsidR="00BF6A91">
        <w:rPr>
          <w:rFonts w:ascii="Simplified Arabic" w:hAnsi="Simplified Arabic" w:cs="Simplified Arabic" w:hint="cs"/>
          <w:sz w:val="22"/>
          <w:rtl/>
          <w:lang w:val="en-US"/>
        </w:rPr>
        <w:t>المنظور الجنساني</w:t>
      </w:r>
      <w:r w:rsidR="00C16446">
        <w:rPr>
          <w:rFonts w:ascii="Simplified Arabic" w:hAnsi="Simplified Arabic" w:cs="Simplified Arabic" w:hint="cs"/>
          <w:sz w:val="22"/>
          <w:rtl/>
          <w:lang w:val="en-US"/>
        </w:rPr>
        <w:t xml:space="preserve"> </w:t>
      </w:r>
      <w:r w:rsidR="00DE65B5">
        <w:rPr>
          <w:rFonts w:ascii="Simplified Arabic" w:hAnsi="Simplified Arabic" w:cs="Simplified Arabic" w:hint="cs"/>
          <w:sz w:val="22"/>
          <w:rtl/>
          <w:lang w:val="en-US"/>
        </w:rPr>
        <w:t>للفترة بعد عام 2020 لكي يعتمدها مؤتمر الأطراف (</w:t>
      </w:r>
      <w:r w:rsidR="00DE65B5" w:rsidRPr="00E02A03">
        <w:rPr>
          <w:spacing w:val="-2"/>
          <w:kern w:val="22"/>
          <w:sz w:val="22"/>
          <w:szCs w:val="22"/>
          <w:lang w:val="en-GB"/>
        </w:rPr>
        <w:t>CBD/SBI/3/CRP.9</w:t>
      </w:r>
      <w:r w:rsidR="00DE65B5">
        <w:rPr>
          <w:rFonts w:ascii="Simplified Arabic" w:hAnsi="Simplified Arabic" w:cs="Simplified Arabic" w:hint="cs"/>
          <w:sz w:val="22"/>
          <w:rtl/>
          <w:lang w:val="en-US"/>
        </w:rPr>
        <w:t xml:space="preserve">، الحاشية 1). وعلى النحو المشار إليه في الجدول للعمل فيما بين الدورات المرفق بتقرير الجزء الأول من الاجتماع </w:t>
      </w:r>
      <w:r w:rsidR="00C16446">
        <w:rPr>
          <w:rFonts w:ascii="Simplified Arabic" w:hAnsi="Simplified Arabic" w:cs="Simplified Arabic" w:hint="cs"/>
          <w:sz w:val="22"/>
          <w:rtl/>
          <w:lang w:val="en-US"/>
        </w:rPr>
        <w:t>(</w:t>
      </w:r>
      <w:r w:rsidR="00C16446" w:rsidRPr="00584721">
        <w:rPr>
          <w:rFonts w:eastAsia="Malgun Gothic"/>
          <w:spacing w:val="-2"/>
          <w:kern w:val="22"/>
          <w:sz w:val="22"/>
          <w:szCs w:val="22"/>
          <w:lang w:val="en-GB"/>
        </w:rPr>
        <w:t>CBD/SBI/3/20</w:t>
      </w:r>
      <w:r w:rsidR="00C16446">
        <w:rPr>
          <w:rFonts w:ascii="Simplified Arabic" w:hAnsi="Simplified Arabic" w:cs="Simplified Arabic" w:hint="cs"/>
          <w:sz w:val="22"/>
          <w:rtl/>
          <w:lang w:val="en-US"/>
        </w:rPr>
        <w:t>، المرفق)</w:t>
      </w:r>
      <w:r w:rsidR="00DE65B5">
        <w:rPr>
          <w:rFonts w:ascii="Simplified Arabic" w:hAnsi="Simplified Arabic" w:cs="Simplified Arabic" w:hint="cs"/>
          <w:sz w:val="22"/>
          <w:rtl/>
          <w:lang w:val="en-US"/>
        </w:rPr>
        <w:t xml:space="preserve">، </w:t>
      </w:r>
      <w:r w:rsidR="00C16446">
        <w:rPr>
          <w:rFonts w:ascii="Simplified Arabic" w:hAnsi="Simplified Arabic" w:cs="Simplified Arabic" w:hint="cs"/>
          <w:sz w:val="22"/>
          <w:rtl/>
          <w:lang w:val="en-US"/>
        </w:rPr>
        <w:t xml:space="preserve">تم إصدار مشروع منقح لخطة عمل </w:t>
      </w:r>
      <w:r w:rsidR="00075FAA">
        <w:rPr>
          <w:rFonts w:ascii="Simplified Arabic" w:hAnsi="Simplified Arabic" w:cs="Simplified Arabic" w:hint="cs"/>
          <w:sz w:val="22"/>
          <w:rtl/>
          <w:lang w:val="en-US"/>
        </w:rPr>
        <w:t>المنظور الجنساني</w:t>
      </w:r>
      <w:r w:rsidR="00C16446">
        <w:rPr>
          <w:rFonts w:ascii="Simplified Arabic" w:hAnsi="Simplified Arabic" w:cs="Simplified Arabic" w:hint="cs"/>
          <w:sz w:val="22"/>
          <w:rtl/>
          <w:lang w:val="en-US"/>
        </w:rPr>
        <w:t xml:space="preserve"> لكي تنظر فيها الهيئة الفرعية </w:t>
      </w:r>
      <w:r w:rsidR="00C16446" w:rsidRPr="00E02A03">
        <w:rPr>
          <w:rFonts w:eastAsia="Malgun Gothic"/>
          <w:spacing w:val="-2"/>
          <w:kern w:val="22"/>
          <w:sz w:val="22"/>
          <w:szCs w:val="22"/>
          <w:lang w:val="en-GB"/>
        </w:rPr>
        <w:t>(CBD/SBI/3/4/Add.2/Rev.</w:t>
      </w:r>
      <w:r w:rsidR="00D30CD7">
        <w:rPr>
          <w:rFonts w:eastAsia="Malgun Gothic"/>
          <w:spacing w:val="-2"/>
          <w:kern w:val="22"/>
          <w:sz w:val="22"/>
          <w:szCs w:val="22"/>
          <w:lang w:val="en-GB"/>
        </w:rPr>
        <w:t>2</w:t>
      </w:r>
      <w:r w:rsidR="00C16446" w:rsidRPr="00E02A03">
        <w:rPr>
          <w:rFonts w:eastAsia="Malgun Gothic"/>
          <w:spacing w:val="-2"/>
          <w:kern w:val="22"/>
          <w:sz w:val="22"/>
          <w:szCs w:val="22"/>
          <w:lang w:val="en-GB"/>
        </w:rPr>
        <w:t>)</w:t>
      </w:r>
      <w:r w:rsidR="00C16446">
        <w:rPr>
          <w:rFonts w:ascii="Simplified Arabic" w:hAnsi="Simplified Arabic" w:cs="Simplified Arabic" w:hint="cs"/>
          <w:sz w:val="22"/>
          <w:rtl/>
          <w:lang w:val="en-US"/>
        </w:rPr>
        <w:t>.</w:t>
      </w:r>
    </w:p>
    <w:p w:rsidR="00F67D65" w:rsidRDefault="00C16446" w:rsidP="00C16446">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ويشير مشروع التوصية أيضا إلى إطار لاستراتيجية الاتصالات (</w:t>
      </w:r>
      <w:r w:rsidRPr="00E02A03">
        <w:rPr>
          <w:spacing w:val="-2"/>
          <w:kern w:val="22"/>
          <w:sz w:val="22"/>
          <w:szCs w:val="22"/>
          <w:lang w:val="en-GB"/>
        </w:rPr>
        <w:t>CBD/SBI/3/CRP.9</w:t>
      </w:r>
      <w:r>
        <w:rPr>
          <w:rFonts w:ascii="Simplified Arabic" w:hAnsi="Simplified Arabic" w:cs="Simplified Arabic" w:hint="cs"/>
          <w:sz w:val="22"/>
          <w:rtl/>
          <w:lang w:val="en-US"/>
        </w:rPr>
        <w:t>، الحاشية 2). وعلى النحو المشار إليه في الجدول للعمل فيما بين الدورات المرفق بتقرير الجزء الأول من الاجتماع (</w:t>
      </w:r>
      <w:r w:rsidRPr="00584721">
        <w:rPr>
          <w:rFonts w:eastAsia="Malgun Gothic"/>
          <w:spacing w:val="-2"/>
          <w:kern w:val="22"/>
          <w:sz w:val="22"/>
          <w:szCs w:val="22"/>
          <w:lang w:val="en-GB"/>
        </w:rPr>
        <w:t>CBD/SBI/3/20</w:t>
      </w:r>
      <w:r>
        <w:rPr>
          <w:rFonts w:ascii="Simplified Arabic" w:hAnsi="Simplified Arabic" w:cs="Simplified Arabic" w:hint="cs"/>
          <w:sz w:val="22"/>
          <w:rtl/>
          <w:lang w:val="en-US"/>
        </w:rPr>
        <w:t xml:space="preserve">، المرفق)، تم إعداد مشروع منقح للإطار </w:t>
      </w:r>
      <w:r w:rsidRPr="00E02A03">
        <w:rPr>
          <w:rFonts w:eastAsia="Malgun Gothic"/>
          <w:spacing w:val="-2"/>
          <w:kern w:val="22"/>
          <w:sz w:val="22"/>
          <w:szCs w:val="22"/>
          <w:lang w:val="en-GB"/>
        </w:rPr>
        <w:t>(CBD/SBI/3/4/Add.2/Rev.1)</w:t>
      </w:r>
      <w:r>
        <w:rPr>
          <w:rFonts w:eastAsia="Malgun Gothic" w:hint="cs"/>
          <w:spacing w:val="-2"/>
          <w:kern w:val="22"/>
          <w:sz w:val="22"/>
          <w:szCs w:val="22"/>
          <w:rtl/>
          <w:lang w:val="en-GB"/>
        </w:rPr>
        <w:t xml:space="preserve"> </w:t>
      </w:r>
      <w:r>
        <w:rPr>
          <w:rFonts w:ascii="Simplified Arabic" w:hAnsi="Simplified Arabic" w:cs="Simplified Arabic" w:hint="cs"/>
          <w:sz w:val="22"/>
          <w:rtl/>
          <w:lang w:val="en-US"/>
        </w:rPr>
        <w:t>لكي تنظر فيه الهيئة الفرعية.</w:t>
      </w:r>
    </w:p>
    <w:p w:rsidR="00D74C52" w:rsidRPr="00A56010" w:rsidRDefault="00A56010" w:rsidP="00C92C2F">
      <w:pPr>
        <w:pStyle w:val="ListParagraph"/>
        <w:tabs>
          <w:tab w:val="left" w:pos="1260"/>
        </w:tabs>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w:t>
      </w:r>
      <w:r w:rsidRPr="00AE211C">
        <w:rPr>
          <w:rFonts w:ascii="Simplified Arabic" w:hAnsi="Simplified Arabic" w:cs="Simplified Arabic" w:hint="cs"/>
          <w:b/>
          <w:bCs/>
          <w:rtl/>
          <w:lang w:val="en-US"/>
        </w:rPr>
        <w:t xml:space="preserve"> </w:t>
      </w:r>
      <w:r w:rsidRPr="00AE211C">
        <w:rPr>
          <w:rFonts w:ascii="Simplified Arabic" w:hAnsi="Simplified Arabic" w:cs="Simplified Arabic" w:hint="cs"/>
          <w:b/>
          <w:bCs/>
          <w:sz w:val="28"/>
          <w:szCs w:val="28"/>
          <w:rtl/>
          <w:lang w:val="en-US"/>
        </w:rPr>
        <w:t>6</w:t>
      </w:r>
      <w:r w:rsidRPr="00A56010">
        <w:rPr>
          <w:rFonts w:ascii="Simplified Arabic" w:hAnsi="Simplified Arabic" w:cs="Simplified Arabic" w:hint="cs"/>
          <w:b/>
          <w:bCs/>
          <w:sz w:val="28"/>
          <w:szCs w:val="28"/>
          <w:rtl/>
          <w:lang w:val="en-US"/>
        </w:rPr>
        <w:t xml:space="preserve">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حشد الموارد والآلية المالية</w:t>
      </w:r>
    </w:p>
    <w:p w:rsidR="00C16446" w:rsidRDefault="00C16446" w:rsidP="00A533D5">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نظرت الهيئة الفرعية للتنفيذ في البند 6 من جدول الأعمال في الجلسة العامة الثانية من الجزء الأول من اجتماعها الثالث.</w:t>
      </w:r>
    </w:p>
    <w:p w:rsidR="00C16446" w:rsidRPr="00C16446" w:rsidRDefault="00C16446" w:rsidP="00C92C2F">
      <w:pPr>
        <w:tabs>
          <w:tab w:val="left" w:pos="1260"/>
        </w:tabs>
        <w:bidi/>
        <w:spacing w:after="120" w:line="216" w:lineRule="auto"/>
        <w:ind w:left="360"/>
        <w:jc w:val="center"/>
        <w:rPr>
          <w:rFonts w:ascii="Simplified Arabic" w:hAnsi="Simplified Arabic" w:cs="Simplified Arabic"/>
          <w:b/>
          <w:bCs/>
          <w:sz w:val="22"/>
          <w:lang w:val="en-US"/>
        </w:rPr>
      </w:pPr>
      <w:r w:rsidRPr="00C16446">
        <w:rPr>
          <w:rFonts w:ascii="Simplified Arabic" w:hAnsi="Simplified Arabic" w:cs="Simplified Arabic" w:hint="cs"/>
          <w:b/>
          <w:bCs/>
          <w:sz w:val="22"/>
          <w:rtl/>
          <w:lang w:val="en-US"/>
        </w:rPr>
        <w:t>ألف -</w:t>
      </w:r>
      <w:r w:rsidRPr="00C16446">
        <w:rPr>
          <w:rFonts w:ascii="Simplified Arabic" w:hAnsi="Simplified Arabic" w:cs="Simplified Arabic" w:hint="cs"/>
          <w:b/>
          <w:bCs/>
          <w:sz w:val="22"/>
          <w:rtl/>
          <w:lang w:val="en-US"/>
        </w:rPr>
        <w:tab/>
        <w:t>حشد الموارد</w:t>
      </w:r>
    </w:p>
    <w:p w:rsidR="00AD65BC" w:rsidRDefault="00C16446" w:rsidP="00BF6A9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بمساعدة من فريق اتصال، </w:t>
      </w:r>
      <w:r w:rsidR="00BF6A91">
        <w:rPr>
          <w:rFonts w:ascii="Simplified Arabic" w:hAnsi="Simplified Arabic" w:cs="Simplified Arabic" w:hint="cs"/>
          <w:sz w:val="22"/>
          <w:rtl/>
          <w:lang w:val="en-US"/>
        </w:rPr>
        <w:t>أعدت الرئيسة</w:t>
      </w:r>
      <w:r w:rsidR="00AD65BC">
        <w:rPr>
          <w:rFonts w:ascii="Simplified Arabic" w:hAnsi="Simplified Arabic" w:cs="Simplified Arabic" w:hint="cs"/>
          <w:sz w:val="22"/>
          <w:rtl/>
          <w:lang w:val="en-US"/>
        </w:rPr>
        <w:t xml:space="preserve"> مشروع توصية بشأن حشد الموارد للنظر فيه في الجلسة العامة.</w:t>
      </w:r>
    </w:p>
    <w:p w:rsidR="00F817E9" w:rsidRDefault="00AD65BC" w:rsidP="00B06D9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ووافقت الهيئة الفرعية على إرجاء النظر في مشروع التوصية المقدم من الرئيس</w:t>
      </w:r>
      <w:r w:rsidR="00B06D91">
        <w:rPr>
          <w:rFonts w:ascii="Simplified Arabic" w:hAnsi="Simplified Arabic" w:cs="Simplified Arabic" w:hint="cs"/>
          <w:sz w:val="22"/>
          <w:rtl/>
          <w:lang w:val="en-US"/>
        </w:rPr>
        <w:t>ة</w:t>
      </w:r>
      <w:r>
        <w:rPr>
          <w:rFonts w:ascii="Simplified Arabic" w:hAnsi="Simplified Arabic" w:cs="Simplified Arabic" w:hint="cs"/>
          <w:sz w:val="22"/>
          <w:rtl/>
          <w:lang w:val="en-US"/>
        </w:rPr>
        <w:t xml:space="preserve"> </w:t>
      </w:r>
      <w:r w:rsidRPr="00E02A03">
        <w:rPr>
          <w:spacing w:val="-2"/>
          <w:kern w:val="22"/>
          <w:sz w:val="22"/>
          <w:szCs w:val="22"/>
          <w:lang w:val="en-GB"/>
        </w:rPr>
        <w:t>(CBD/SBI/3/CRP.15)</w:t>
      </w:r>
      <w:r>
        <w:rPr>
          <w:rFonts w:ascii="Simplified Arabic" w:hAnsi="Simplified Arabic" w:cs="Simplified Arabic" w:hint="cs"/>
          <w:sz w:val="22"/>
          <w:rtl/>
          <w:lang w:val="en-US"/>
        </w:rPr>
        <w:t xml:space="preserve">، حتى الجزء الثاني من الاجتماع. وبناء عليه، من المتوقع أن تنظر الهيئة الفرعية، في </w:t>
      </w:r>
      <w:r w:rsidR="00B06D91">
        <w:rPr>
          <w:rFonts w:ascii="Simplified Arabic" w:hAnsi="Simplified Arabic" w:cs="Simplified Arabic" w:hint="cs"/>
          <w:sz w:val="22"/>
          <w:rtl/>
          <w:lang w:val="en-GB"/>
        </w:rPr>
        <w:t>جلستها المستأنفة</w:t>
      </w:r>
      <w:r>
        <w:rPr>
          <w:rFonts w:ascii="Simplified Arabic" w:hAnsi="Simplified Arabic" w:cs="Simplified Arabic" w:hint="cs"/>
          <w:sz w:val="22"/>
          <w:rtl/>
          <w:lang w:val="en-US"/>
        </w:rPr>
        <w:t>، في مشروع التوصية الوارد في الوثيقة</w:t>
      </w:r>
      <w:r w:rsidR="00B06D91">
        <w:rPr>
          <w:rFonts w:ascii="Simplified Arabic" w:hAnsi="Simplified Arabic" w:cs="Simplified Arabic" w:hint="cs"/>
          <w:sz w:val="22"/>
          <w:rtl/>
          <w:lang w:val="en-US"/>
        </w:rPr>
        <w:t xml:space="preserve"> </w:t>
      </w:r>
      <w:r w:rsidR="00B06D91" w:rsidRPr="00E02A03">
        <w:rPr>
          <w:spacing w:val="-2"/>
          <w:kern w:val="22"/>
          <w:sz w:val="22"/>
          <w:szCs w:val="22"/>
          <w:lang w:val="en-GB"/>
        </w:rPr>
        <w:t>CBD/SBI/3/CRP.15</w:t>
      </w:r>
      <w:r>
        <w:rPr>
          <w:rFonts w:ascii="Simplified Arabic" w:hAnsi="Simplified Arabic" w:cs="Simplified Arabic" w:hint="cs"/>
          <w:sz w:val="22"/>
          <w:rtl/>
          <w:lang w:val="en-US"/>
        </w:rPr>
        <w:t>، مع المزيد من المساعدة من فريق اتصال، و</w:t>
      </w:r>
      <w:r w:rsidR="00B06D91">
        <w:rPr>
          <w:rFonts w:ascii="Simplified Arabic" w:hAnsi="Simplified Arabic" w:cs="Simplified Arabic" w:hint="cs"/>
          <w:sz w:val="22"/>
          <w:rtl/>
          <w:lang w:val="en-US"/>
        </w:rPr>
        <w:t>تعتم</w:t>
      </w:r>
      <w:r>
        <w:rPr>
          <w:rFonts w:ascii="Simplified Arabic" w:hAnsi="Simplified Arabic" w:cs="Simplified Arabic" w:hint="cs"/>
          <w:sz w:val="22"/>
          <w:rtl/>
          <w:lang w:val="en-US"/>
        </w:rPr>
        <w:t>د توصية</w:t>
      </w:r>
      <w:r w:rsidR="00F817E9">
        <w:rPr>
          <w:rFonts w:ascii="Simplified Arabic" w:hAnsi="Simplified Arabic" w:cs="Simplified Arabic" w:hint="cs"/>
          <w:sz w:val="22"/>
          <w:rtl/>
          <w:lang w:val="en-US"/>
        </w:rPr>
        <w:t>.</w:t>
      </w:r>
    </w:p>
    <w:p w:rsidR="00AD65BC" w:rsidRDefault="00AD65BC" w:rsidP="00AD65BC">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وعند المزيد من النظر في مشروع التوصية، قد ترغب الهيئة الفرعية في الإحاطة علما بالوثيقتين التاليتين اللتين أعدتا على النحو المشار إليه في جدول العمل فيما بين الدورات المرفق بتقرير الجزء الأول من الاجتماع</w:t>
      </w:r>
      <w:r w:rsidR="00611B14">
        <w:rPr>
          <w:rFonts w:ascii="Simplified Arabic" w:hAnsi="Simplified Arabic" w:cs="Simplified Arabic" w:hint="cs"/>
          <w:sz w:val="22"/>
          <w:rtl/>
          <w:lang w:val="en-US"/>
        </w:rPr>
        <w:t xml:space="preserve"> (</w:t>
      </w:r>
      <w:r w:rsidR="00611B14" w:rsidRPr="00584721">
        <w:rPr>
          <w:rFonts w:eastAsia="Malgun Gothic"/>
          <w:spacing w:val="-2"/>
          <w:kern w:val="22"/>
          <w:sz w:val="22"/>
          <w:szCs w:val="22"/>
          <w:lang w:val="en-GB"/>
        </w:rPr>
        <w:t>CBD/SBI/3/20</w:t>
      </w:r>
      <w:r w:rsidR="00611B14">
        <w:rPr>
          <w:rFonts w:ascii="Simplified Arabic" w:hAnsi="Simplified Arabic" w:cs="Simplified Arabic" w:hint="cs"/>
          <w:sz w:val="22"/>
          <w:rtl/>
          <w:lang w:val="en-US"/>
        </w:rPr>
        <w:t>، المرفق):</w:t>
      </w:r>
    </w:p>
    <w:p w:rsidR="00611B14" w:rsidRDefault="00611B14" w:rsidP="00611B14">
      <w:pPr>
        <w:pStyle w:val="ListParagraph"/>
        <w:numPr>
          <w:ilvl w:val="0"/>
          <w:numId w:val="9"/>
        </w:numPr>
        <w:bidi/>
        <w:spacing w:after="120" w:line="216" w:lineRule="auto"/>
        <w:ind w:left="0" w:firstLine="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تحليل محدث لأطر الإبلاغ المالي المستلمة من الأطراف (انظر الحاشية 4 من مشروع التوصية)؛</w:t>
      </w:r>
    </w:p>
    <w:p w:rsidR="00611B14" w:rsidRDefault="00611B14" w:rsidP="00611B14">
      <w:pPr>
        <w:pStyle w:val="ListParagraph"/>
        <w:numPr>
          <w:ilvl w:val="0"/>
          <w:numId w:val="9"/>
        </w:numPr>
        <w:bidi/>
        <w:spacing w:after="120" w:line="216" w:lineRule="auto"/>
        <w:ind w:left="0" w:firstLine="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lastRenderedPageBreak/>
        <w:t>مشروع اختصاصات لفريق مخصص من الخبراء التقنيين معنيا بإطار الإبلاغ المالي (انظر الحاشية 5 من مشروع التوصية).</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t>باء -</w:t>
      </w:r>
      <w:r w:rsidRPr="00A56010">
        <w:rPr>
          <w:rFonts w:ascii="Simplified Arabic" w:hAnsi="Simplified Arabic" w:cs="Simplified Arabic" w:hint="cs"/>
          <w:b/>
          <w:bCs/>
          <w:sz w:val="22"/>
          <w:rtl/>
          <w:lang w:val="en-US"/>
        </w:rPr>
        <w:tab/>
        <w:t>الآلية المالية</w:t>
      </w:r>
    </w:p>
    <w:p w:rsidR="00611B14" w:rsidRDefault="00611B14" w:rsidP="00611B14">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بمساعدة من فريق اتصال، أعد</w:t>
      </w:r>
      <w:r w:rsidR="00BF6A91">
        <w:rPr>
          <w:rFonts w:ascii="Simplified Arabic" w:hAnsi="Simplified Arabic" w:cs="Simplified Arabic" w:hint="cs"/>
          <w:sz w:val="22"/>
          <w:rtl/>
          <w:lang w:val="en-US"/>
        </w:rPr>
        <w:t>ت</w:t>
      </w:r>
      <w:r>
        <w:rPr>
          <w:rFonts w:ascii="Simplified Arabic" w:hAnsi="Simplified Arabic" w:cs="Simplified Arabic" w:hint="cs"/>
          <w:sz w:val="22"/>
          <w:rtl/>
          <w:lang w:val="en-US"/>
        </w:rPr>
        <w:t xml:space="preserve"> الرئيس</w:t>
      </w:r>
      <w:r w:rsidR="00BF6A91">
        <w:rPr>
          <w:rFonts w:ascii="Simplified Arabic" w:hAnsi="Simplified Arabic" w:cs="Simplified Arabic" w:hint="cs"/>
          <w:sz w:val="22"/>
          <w:rtl/>
          <w:lang w:val="en-US"/>
        </w:rPr>
        <w:t>ة</w:t>
      </w:r>
      <w:r>
        <w:rPr>
          <w:rFonts w:ascii="Simplified Arabic" w:hAnsi="Simplified Arabic" w:cs="Simplified Arabic" w:hint="cs"/>
          <w:sz w:val="22"/>
          <w:rtl/>
          <w:lang w:val="en-US"/>
        </w:rPr>
        <w:t xml:space="preserve"> مشروع توصية بشأن الآلية المالية للنظر فيه في الجلسة العامة.</w:t>
      </w:r>
    </w:p>
    <w:p w:rsidR="00A56010" w:rsidRDefault="00611B14"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ووافقت الهيئة الفرعية على مشروع التوصية، بصيغته المعدلة شفويا، بصفته مشروع التوصية </w:t>
      </w:r>
      <w:r w:rsidRPr="00E02A03">
        <w:rPr>
          <w:kern w:val="22"/>
          <w:sz w:val="22"/>
          <w:szCs w:val="22"/>
          <w:lang w:val="en-GB"/>
        </w:rPr>
        <w:t>CBD/SBI/3/L.3</w:t>
      </w:r>
      <w:r>
        <w:rPr>
          <w:rFonts w:ascii="Simplified Arabic" w:hAnsi="Simplified Arabic" w:cs="Simplified Arabic" w:hint="cs"/>
          <w:sz w:val="22"/>
          <w:rtl/>
          <w:lang w:val="en-US"/>
        </w:rPr>
        <w:t>، لاعتماده الرسمي في مرحلة لاحقة.</w:t>
      </w:r>
    </w:p>
    <w:p w:rsidR="00611B14" w:rsidRDefault="00611B14" w:rsidP="00611B14">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وبناء عليه، من المتوقع أن تنظر الهيئة الفرعية في مشروع التوصية الوارد في الوثيقة </w:t>
      </w:r>
      <w:r w:rsidRPr="00E02A03">
        <w:rPr>
          <w:kern w:val="22"/>
          <w:sz w:val="22"/>
          <w:szCs w:val="22"/>
          <w:lang w:val="en-GB"/>
        </w:rPr>
        <w:t>CBD/SBI/3/L.3</w:t>
      </w:r>
      <w:r>
        <w:rPr>
          <w:rFonts w:ascii="Simplified Arabic" w:hAnsi="Simplified Arabic" w:cs="Simplified Arabic" w:hint="cs"/>
          <w:sz w:val="22"/>
          <w:rtl/>
          <w:lang w:val="en-US"/>
        </w:rPr>
        <w:t>، وتعتمده في الجلسة المستأنفة من اجتماعها الثالث.</w:t>
      </w:r>
    </w:p>
    <w:p w:rsidR="00611B14" w:rsidRDefault="001D2316" w:rsidP="00B06D9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وعلى النحو المشار إليه في مشروع التوصية (</w:t>
      </w:r>
      <w:r w:rsidRPr="00E02A03">
        <w:rPr>
          <w:kern w:val="22"/>
          <w:sz w:val="22"/>
          <w:szCs w:val="22"/>
          <w:lang w:val="en-GB"/>
        </w:rPr>
        <w:t>CBD/SBI/3/L.3</w:t>
      </w:r>
      <w:r>
        <w:rPr>
          <w:rFonts w:ascii="Simplified Arabic" w:hAnsi="Simplified Arabic" w:cs="Simplified Arabic" w:hint="cs"/>
          <w:sz w:val="22"/>
          <w:rtl/>
          <w:lang w:val="en-US"/>
        </w:rPr>
        <w:t>، الحاشية 6)، سيتم وضع العناصر الإضافية لمشروع المقرر قبل الاجتماع الخامس عشر لمؤتمر الأطراف، وبناء عليه، من المتوقع أن تضع الهيئة الفرعية مثل هذه العناصر الإضافية، مع مراعاة عدد من الوثائق الإضافية الوارد ذكرها أدناه، التي أعدت على النحو المشار إليه في جدول العمل فيما بين الدورات المرفق بتقرير الجزء الأول من الاجتماع (</w:t>
      </w:r>
      <w:r w:rsidRPr="00584721">
        <w:rPr>
          <w:rFonts w:eastAsia="Malgun Gothic"/>
          <w:spacing w:val="-2"/>
          <w:kern w:val="22"/>
          <w:sz w:val="22"/>
          <w:szCs w:val="22"/>
          <w:lang w:val="en-GB"/>
        </w:rPr>
        <w:t>CBD/SBI/3/20</w:t>
      </w:r>
      <w:r>
        <w:rPr>
          <w:rFonts w:ascii="Simplified Arabic" w:hAnsi="Simplified Arabic" w:cs="Simplified Arabic" w:hint="cs"/>
          <w:sz w:val="22"/>
          <w:rtl/>
          <w:lang w:val="en-US"/>
        </w:rPr>
        <w:t xml:space="preserve">، المرفق)، فضلا عن أي مشاريع مقررات سيتم </w:t>
      </w:r>
      <w:r w:rsidR="00B06D91">
        <w:rPr>
          <w:rFonts w:ascii="Simplified Arabic" w:hAnsi="Simplified Arabic" w:cs="Simplified Arabic" w:hint="cs"/>
          <w:sz w:val="22"/>
          <w:rtl/>
          <w:lang w:val="en-US"/>
        </w:rPr>
        <w:t>إعداد</w:t>
      </w:r>
      <w:r>
        <w:rPr>
          <w:rFonts w:ascii="Simplified Arabic" w:hAnsi="Simplified Arabic" w:cs="Simplified Arabic" w:hint="cs"/>
          <w:sz w:val="22"/>
          <w:rtl/>
          <w:lang w:val="en-US"/>
        </w:rPr>
        <w:t>ها للاجتماع الخامس عشر لمؤتمر الأطراف، والاجتماع العاشر لمؤتمر الأطراف العامل كاجتماع للأطراف في بروتوكول قرطاجنة والاجتماع الرابع لمؤتمر الأطراف العامل كاجتماع للأطراف في بروتوكول ناغويا</w:t>
      </w:r>
      <w:r w:rsidR="00BF6A91">
        <w:rPr>
          <w:rFonts w:ascii="Simplified Arabic" w:hAnsi="Simplified Arabic" w:cs="Simplified Arabic" w:hint="cs"/>
          <w:sz w:val="22"/>
          <w:rtl/>
          <w:lang w:val="en-US"/>
        </w:rPr>
        <w:t>:</w:t>
      </w:r>
    </w:p>
    <w:p w:rsidR="00BF6A91" w:rsidRDefault="001D2316" w:rsidP="00B06D91">
      <w:pPr>
        <w:pStyle w:val="ListParagraph"/>
        <w:numPr>
          <w:ilvl w:val="0"/>
          <w:numId w:val="10"/>
        </w:numPr>
        <w:bidi/>
        <w:spacing w:after="120" w:line="216" w:lineRule="auto"/>
        <w:ind w:left="0" w:firstLine="720"/>
        <w:contextualSpacing w:val="0"/>
        <w:jc w:val="both"/>
        <w:rPr>
          <w:rFonts w:ascii="Simplified Arabic" w:hAnsi="Simplified Arabic" w:cs="Simplified Arabic"/>
          <w:sz w:val="22"/>
          <w:lang w:val="en-US"/>
        </w:rPr>
      </w:pPr>
      <w:r>
        <w:rPr>
          <w:rFonts w:ascii="Simplified Arabic" w:hAnsi="Simplified Arabic" w:cs="Simplified Arabic" w:hint="cs"/>
          <w:snapToGrid w:val="0"/>
          <w:kern w:val="22"/>
          <w:rtl/>
          <w:lang w:val="en-GB"/>
        </w:rPr>
        <w:t>تقرير محدث عن تقييم مبالغ الأموال اللازمة لتنفيذ الاتفاقية وبروتوكوليها خلال فترة التجديد الثامن</w:t>
      </w:r>
      <w:r>
        <w:rPr>
          <w:rStyle w:val="FootnoteReference"/>
          <w:rFonts w:ascii="Simplified Arabic" w:hAnsi="Simplified Arabic" w:cs="Simplified Arabic"/>
          <w:snapToGrid w:val="0"/>
          <w:kern w:val="22"/>
          <w:rtl/>
          <w:lang w:val="en-GB"/>
        </w:rPr>
        <w:footnoteReference w:id="2"/>
      </w:r>
      <w:r>
        <w:rPr>
          <w:rFonts w:ascii="Simplified Arabic" w:hAnsi="Simplified Arabic" w:cs="Simplified Arabic" w:hint="cs"/>
          <w:snapToGrid w:val="0"/>
          <w:kern w:val="22"/>
          <w:rtl/>
          <w:lang w:val="en-GB"/>
        </w:rPr>
        <w:t xml:space="preserve"> لموارد الصندوق الاستئماني لمرفق البيئة العالمية</w:t>
      </w:r>
      <w:r>
        <w:rPr>
          <w:rFonts w:ascii="Simplified Arabic" w:hAnsi="Simplified Arabic" w:cs="Simplified Arabic" w:hint="cs"/>
          <w:sz w:val="22"/>
          <w:rtl/>
          <w:lang w:val="en-US"/>
        </w:rPr>
        <w:t xml:space="preserve"> </w:t>
      </w:r>
      <w:r w:rsidR="00B06D91" w:rsidRPr="00E02A03">
        <w:rPr>
          <w:kern w:val="22"/>
          <w:sz w:val="22"/>
          <w:szCs w:val="22"/>
          <w:lang w:val="en-GB"/>
        </w:rPr>
        <w:t>(CBD/SBI/3/6/Add.2/Rev.1)</w:t>
      </w:r>
      <w:r>
        <w:rPr>
          <w:rFonts w:ascii="Simplified Arabic" w:hAnsi="Simplified Arabic" w:cs="Simplified Arabic" w:hint="cs"/>
          <w:sz w:val="22"/>
          <w:rtl/>
          <w:lang w:val="en-US"/>
        </w:rPr>
        <w:t xml:space="preserve">، الذي أعد مع مراعاة الردود الإضافية من الأطراف </w:t>
      </w:r>
      <w:r w:rsidR="00B06D91">
        <w:rPr>
          <w:rFonts w:ascii="Simplified Arabic" w:hAnsi="Simplified Arabic" w:cs="Simplified Arabic" w:hint="cs"/>
          <w:sz w:val="22"/>
          <w:rtl/>
          <w:lang w:val="en-US"/>
        </w:rPr>
        <w:t>ع</w:t>
      </w:r>
      <w:r>
        <w:rPr>
          <w:rFonts w:ascii="Simplified Arabic" w:hAnsi="Simplified Arabic" w:cs="Simplified Arabic" w:hint="cs"/>
          <w:sz w:val="22"/>
          <w:rtl/>
          <w:lang w:val="en-US"/>
        </w:rPr>
        <w:t>لى الاستبيان</w:t>
      </w:r>
      <w:r w:rsidR="00BF6A91">
        <w:rPr>
          <w:rFonts w:ascii="Simplified Arabic" w:hAnsi="Simplified Arabic" w:cs="Simplified Arabic" w:hint="cs"/>
          <w:sz w:val="22"/>
          <w:rtl/>
          <w:lang w:val="en-US"/>
        </w:rPr>
        <w:t>؛</w:t>
      </w:r>
    </w:p>
    <w:p w:rsidR="00BF6A91" w:rsidRDefault="00307980" w:rsidP="00B06D91">
      <w:pPr>
        <w:pStyle w:val="ListParagraph"/>
        <w:numPr>
          <w:ilvl w:val="0"/>
          <w:numId w:val="10"/>
        </w:numPr>
        <w:bidi/>
        <w:spacing w:after="120" w:line="216" w:lineRule="auto"/>
        <w:ind w:left="0" w:firstLine="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مشاريع مقترحات لإطار </w:t>
      </w:r>
      <w:r w:rsidR="00B06D91">
        <w:rPr>
          <w:rFonts w:ascii="Simplified Arabic" w:hAnsi="Simplified Arabic" w:cs="Simplified Arabic" w:hint="cs"/>
          <w:sz w:val="22"/>
          <w:rtl/>
          <w:lang w:val="en-US" w:bidi="ar-EG"/>
        </w:rPr>
        <w:t>ال</w:t>
      </w:r>
      <w:r>
        <w:rPr>
          <w:rFonts w:ascii="Simplified Arabic" w:hAnsi="Simplified Arabic" w:cs="Simplified Arabic" w:hint="cs"/>
          <w:sz w:val="22"/>
          <w:rtl/>
          <w:lang w:val="en-US" w:bidi="ar-EG"/>
        </w:rPr>
        <w:t>أربع سنوات لأولويات البرامج</w:t>
      </w:r>
      <w:r>
        <w:rPr>
          <w:rStyle w:val="FootnoteReference"/>
          <w:rFonts w:ascii="Simplified Arabic" w:hAnsi="Simplified Arabic" w:cs="Simplified Arabic"/>
          <w:sz w:val="22"/>
          <w:rtl/>
          <w:lang w:val="en-US" w:bidi="ar-EG"/>
        </w:rPr>
        <w:footnoteReference w:id="3"/>
      </w:r>
      <w:r>
        <w:rPr>
          <w:rFonts w:ascii="Simplified Arabic" w:hAnsi="Simplified Arabic" w:cs="Simplified Arabic" w:hint="cs"/>
          <w:sz w:val="22"/>
          <w:rtl/>
          <w:lang w:val="en-US"/>
        </w:rPr>
        <w:t xml:space="preserve"> </w:t>
      </w:r>
      <w:r w:rsidR="00B21F63" w:rsidRPr="00E02A03">
        <w:rPr>
          <w:kern w:val="22"/>
          <w:sz w:val="22"/>
          <w:szCs w:val="22"/>
          <w:lang w:val="en-GB"/>
        </w:rPr>
        <w:t>(CBD/SBI/3/6/Add.4)</w:t>
      </w:r>
      <w:r w:rsidR="00B21F63">
        <w:rPr>
          <w:rFonts w:ascii="Simplified Arabic" w:hAnsi="Simplified Arabic" w:cs="Simplified Arabic" w:hint="cs"/>
          <w:sz w:val="22"/>
          <w:rtl/>
          <w:lang w:val="en-US"/>
        </w:rPr>
        <w:t>.</w:t>
      </w:r>
    </w:p>
    <w:p w:rsidR="00E90A47" w:rsidRPr="00BF6A91" w:rsidRDefault="00B21F63" w:rsidP="00BF6A9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وبالإضافة إلى ذلك، ستقدم النسخة النهائية من تقرير مرفق البيئة العالمية إلى مؤتمر الأطراف قبل الاجتماع الخامس عشر لمؤتمر الأطراف.</w:t>
      </w:r>
    </w:p>
    <w:p w:rsidR="00D74C52" w:rsidRPr="00A56010" w:rsidRDefault="00A56010" w:rsidP="00960EDE">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 xml:space="preserve">البند </w:t>
      </w:r>
      <w:r w:rsidRPr="00AE211C">
        <w:rPr>
          <w:rFonts w:ascii="Simplified Arabic" w:hAnsi="Simplified Arabic" w:cs="Simplified Arabic" w:hint="cs"/>
          <w:b/>
          <w:bCs/>
          <w:sz w:val="28"/>
          <w:szCs w:val="28"/>
          <w:rtl/>
          <w:lang w:val="en-US"/>
        </w:rPr>
        <w:t>7</w:t>
      </w:r>
      <w:r w:rsidRPr="00AE211C">
        <w:rPr>
          <w:rFonts w:ascii="Simplified Arabic" w:hAnsi="Simplified Arabic" w:cs="Simplified Arabic" w:hint="cs"/>
          <w:b/>
          <w:bCs/>
          <w:rtl/>
          <w:lang w:val="en-US"/>
        </w:rPr>
        <w:t xml:space="preserve"> </w:t>
      </w:r>
      <w:r w:rsidRPr="00A56010">
        <w:rPr>
          <w:rFonts w:ascii="Simplified Arabic" w:hAnsi="Simplified Arabic" w:cs="Simplified Arabic" w:hint="cs"/>
          <w:b/>
          <w:bCs/>
          <w:sz w:val="28"/>
          <w:szCs w:val="28"/>
          <w:rtl/>
          <w:lang w:val="en-US"/>
        </w:rPr>
        <w:t>-</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بناء القدرات</w:t>
      </w:r>
      <w:r w:rsidR="00956220" w:rsidRPr="00A56010">
        <w:rPr>
          <w:rFonts w:ascii="Simplified Arabic" w:hAnsi="Simplified Arabic" w:cs="Simplified Arabic" w:hint="cs"/>
          <w:b/>
          <w:bCs/>
          <w:sz w:val="28"/>
          <w:szCs w:val="28"/>
          <w:rtl/>
          <w:lang w:val="en-US"/>
        </w:rPr>
        <w:t>،</w:t>
      </w:r>
      <w:r w:rsidR="00D31AEB" w:rsidRPr="00A56010">
        <w:rPr>
          <w:rFonts w:ascii="Simplified Arabic" w:hAnsi="Simplified Arabic" w:cs="Simplified Arabic" w:hint="cs"/>
          <w:b/>
          <w:bCs/>
          <w:sz w:val="28"/>
          <w:szCs w:val="28"/>
          <w:rtl/>
          <w:lang w:val="en-US"/>
        </w:rPr>
        <w:t xml:space="preserve"> و</w:t>
      </w:r>
      <w:r w:rsidR="00D31AEB" w:rsidRPr="00A56010">
        <w:rPr>
          <w:rFonts w:ascii="Simplified Arabic" w:hAnsi="Simplified Arabic" w:cs="Simplified Arabic"/>
          <w:b/>
          <w:bCs/>
          <w:sz w:val="28"/>
          <w:szCs w:val="28"/>
          <w:rtl/>
          <w:lang w:val="en-US"/>
        </w:rPr>
        <w:t>التعاون التقني والعلمي</w:t>
      </w:r>
      <w:r w:rsidR="00D31AEB" w:rsidRPr="00A56010">
        <w:rPr>
          <w:rFonts w:ascii="Simplified Arabic" w:hAnsi="Simplified Arabic" w:cs="Simplified Arabic" w:hint="cs"/>
          <w:b/>
          <w:bCs/>
          <w:sz w:val="28"/>
          <w:szCs w:val="28"/>
          <w:rtl/>
          <w:lang w:val="en-US"/>
        </w:rPr>
        <w:t>، ونقل التكنو</w:t>
      </w:r>
      <w:r w:rsidR="00652EEA" w:rsidRPr="00A56010">
        <w:rPr>
          <w:rFonts w:ascii="Simplified Arabic" w:hAnsi="Simplified Arabic" w:cs="Simplified Arabic" w:hint="cs"/>
          <w:b/>
          <w:bCs/>
          <w:sz w:val="28"/>
          <w:szCs w:val="28"/>
          <w:rtl/>
          <w:lang w:val="en-US"/>
        </w:rPr>
        <w:t>لوجيا، وإدارة المعارف، والاتصال</w:t>
      </w:r>
    </w:p>
    <w:p w:rsidR="00A533D5" w:rsidRDefault="00BF6A91" w:rsidP="00947EF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نظرت الهيئة الفرعية للتنفيذ في البند 7 من جدول الأعمال في الجزء الأول من اجتماعها الثالث وأعدت أربع مش</w:t>
      </w:r>
      <w:r w:rsidR="00947EF1">
        <w:rPr>
          <w:rFonts w:ascii="Simplified Arabic" w:hAnsi="Simplified Arabic" w:cs="Simplified Arabic" w:hint="cs"/>
          <w:sz w:val="22"/>
          <w:rtl/>
          <w:lang w:val="en-US"/>
        </w:rPr>
        <w:t>اريع</w:t>
      </w:r>
      <w:r>
        <w:rPr>
          <w:rFonts w:ascii="Simplified Arabic" w:hAnsi="Simplified Arabic" w:cs="Simplified Arabic" w:hint="cs"/>
          <w:sz w:val="22"/>
          <w:rtl/>
          <w:lang w:val="en-US"/>
        </w:rPr>
        <w:t xml:space="preserve"> توصيات.</w:t>
      </w:r>
    </w:p>
    <w:p w:rsidR="00BF6A91" w:rsidRPr="00BF6A91" w:rsidRDefault="00BF6A91" w:rsidP="00BF6A91">
      <w:pPr>
        <w:pStyle w:val="ListParagraph"/>
        <w:bidi/>
        <w:spacing w:after="120" w:line="216" w:lineRule="auto"/>
        <w:ind w:left="0"/>
        <w:contextualSpacing w:val="0"/>
        <w:jc w:val="both"/>
        <w:rPr>
          <w:rFonts w:ascii="Simplified Arabic" w:hAnsi="Simplified Arabic" w:cs="Simplified Arabic"/>
          <w:i/>
          <w:iCs/>
          <w:sz w:val="22"/>
          <w:lang w:val="en-US"/>
        </w:rPr>
      </w:pPr>
      <w:r w:rsidRPr="00BF6A91">
        <w:rPr>
          <w:rFonts w:ascii="Simplified Arabic" w:hAnsi="Simplified Arabic" w:cs="Simplified Arabic" w:hint="cs"/>
          <w:i/>
          <w:iCs/>
          <w:sz w:val="22"/>
          <w:rtl/>
          <w:lang w:val="en-US"/>
        </w:rPr>
        <w:t>بناء القدرات والتعاون التقني والعلمي ونقل التكنولوجيا</w:t>
      </w:r>
    </w:p>
    <w:p w:rsidR="00A56010" w:rsidRDefault="005127B9" w:rsidP="00C13A3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بمساعدة من فريق اتصال، أعدت الرئيسة مشروع توصية بشأن بناء القدرات وتنمية القدرات، والتعاون التقني والعلمي ونقل التكنولوجيا للنظر فيه في الجلسة العامة. وقررت الهيئة الفرع</w:t>
      </w:r>
      <w:r w:rsidR="00C13A3D">
        <w:rPr>
          <w:rFonts w:ascii="Simplified Arabic" w:hAnsi="Simplified Arabic" w:cs="Simplified Arabic" w:hint="cs"/>
          <w:sz w:val="22"/>
          <w:rtl/>
          <w:lang w:val="en-US"/>
        </w:rPr>
        <w:t>ية إرجاء النظر في مشروع التوصية</w:t>
      </w:r>
      <w:r>
        <w:rPr>
          <w:rFonts w:ascii="Simplified Arabic" w:hAnsi="Simplified Arabic" w:cs="Simplified Arabic" w:hint="cs"/>
          <w:sz w:val="22"/>
          <w:rtl/>
          <w:lang w:val="en-US"/>
        </w:rPr>
        <w:t xml:space="preserve"> المقدم من الرئيسة </w:t>
      </w:r>
      <w:r w:rsidR="00C13A3D" w:rsidRPr="00E02A03">
        <w:rPr>
          <w:spacing w:val="-2"/>
          <w:kern w:val="22"/>
          <w:sz w:val="22"/>
          <w:szCs w:val="22"/>
          <w:lang w:val="en-GB"/>
        </w:rPr>
        <w:t>(CBD/SBI/3/CRP.</w:t>
      </w:r>
      <w:r w:rsidR="00C13A3D">
        <w:rPr>
          <w:spacing w:val="-2"/>
          <w:kern w:val="22"/>
          <w:sz w:val="22"/>
          <w:szCs w:val="22"/>
          <w:lang w:val="en-GB"/>
        </w:rPr>
        <w:t>13</w:t>
      </w:r>
      <w:r w:rsidR="00C13A3D" w:rsidRPr="00E02A03">
        <w:rPr>
          <w:spacing w:val="-2"/>
          <w:kern w:val="22"/>
          <w:sz w:val="22"/>
          <w:szCs w:val="22"/>
          <w:lang w:val="en-GB"/>
        </w:rPr>
        <w:t>)</w:t>
      </w:r>
      <w:r w:rsidR="00C13A3D">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حتى الجزء الثاني من الاجتماع.</w:t>
      </w:r>
    </w:p>
    <w:p w:rsidR="00E12275" w:rsidRDefault="00295BF4" w:rsidP="00F76AB0">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وبناء عليه، من المتوقع أن تنظر الهيئة الفرعية للتنفيذ في مشروع التوصية الوارد في الوثيقة </w:t>
      </w:r>
      <w:r w:rsidR="005127B9" w:rsidRPr="00E02A03">
        <w:rPr>
          <w:spacing w:val="-2"/>
          <w:kern w:val="22"/>
          <w:sz w:val="22"/>
          <w:szCs w:val="22"/>
          <w:lang w:val="en-GB"/>
        </w:rPr>
        <w:t>CBD/SBI/3/CRP.</w:t>
      </w:r>
      <w:r w:rsidR="005127B9">
        <w:rPr>
          <w:spacing w:val="-2"/>
          <w:kern w:val="22"/>
          <w:sz w:val="22"/>
          <w:szCs w:val="22"/>
          <w:lang w:val="en-GB"/>
        </w:rPr>
        <w:t>13</w:t>
      </w:r>
      <w:r>
        <w:rPr>
          <w:rFonts w:ascii="Simplified Arabic" w:hAnsi="Simplified Arabic" w:cs="Simplified Arabic" w:hint="cs"/>
          <w:sz w:val="22"/>
          <w:rtl/>
          <w:lang w:val="en-US"/>
        </w:rPr>
        <w:t>، مع مزيد من ا</w:t>
      </w:r>
      <w:r w:rsidR="00C13A3D">
        <w:rPr>
          <w:rFonts w:ascii="Simplified Arabic" w:hAnsi="Simplified Arabic" w:cs="Simplified Arabic" w:hint="cs"/>
          <w:sz w:val="22"/>
          <w:rtl/>
          <w:lang w:val="en-US"/>
        </w:rPr>
        <w:t xml:space="preserve">لمساعدة من فريق اتصال، وتعتمد </w:t>
      </w:r>
      <w:r>
        <w:rPr>
          <w:rFonts w:ascii="Simplified Arabic" w:hAnsi="Simplified Arabic" w:cs="Simplified Arabic" w:hint="cs"/>
          <w:sz w:val="22"/>
          <w:rtl/>
          <w:lang w:val="en-US"/>
        </w:rPr>
        <w:t>توصية في الجلسة المستأنفة من اجتماعها الثالث.</w:t>
      </w:r>
    </w:p>
    <w:p w:rsidR="00BF6A91" w:rsidRPr="00BF6A91" w:rsidRDefault="00BF6A91" w:rsidP="00BF6A91">
      <w:pPr>
        <w:pStyle w:val="ListParagraph"/>
        <w:bidi/>
        <w:spacing w:after="120" w:line="216" w:lineRule="auto"/>
        <w:ind w:left="0"/>
        <w:contextualSpacing w:val="0"/>
        <w:jc w:val="both"/>
        <w:rPr>
          <w:rFonts w:ascii="Simplified Arabic" w:hAnsi="Simplified Arabic" w:cs="Simplified Arabic"/>
          <w:i/>
          <w:iCs/>
          <w:sz w:val="22"/>
          <w:lang w:val="en-US"/>
        </w:rPr>
      </w:pPr>
      <w:r w:rsidRPr="00BF6A91">
        <w:rPr>
          <w:rFonts w:ascii="Simplified Arabic" w:hAnsi="Simplified Arabic" w:cs="Simplified Arabic" w:hint="cs"/>
          <w:i/>
          <w:iCs/>
          <w:sz w:val="22"/>
          <w:rtl/>
          <w:lang w:val="en-US"/>
        </w:rPr>
        <w:t>إدارة المعارف وآلية غرفة تبادل المعلومات</w:t>
      </w:r>
    </w:p>
    <w:p w:rsidR="00F76AB0" w:rsidRPr="00F76AB0" w:rsidRDefault="005127B9" w:rsidP="00C13A3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بمساعدة من فريق اتصال، أعدت الرئيسة مشروع توصية بشأن بناء القدرات وتنمية القدرات، والتعاون التقني والعلمي ونقل التكنولوجيا للنظر فيه في الجلسة العامة. وقررت الهيئة الفرعية إرجاء النظر في مشروع التوصية  المقدم من الرئيسة </w:t>
      </w:r>
      <w:r w:rsidR="00C13A3D" w:rsidRPr="00E02A03">
        <w:rPr>
          <w:spacing w:val="-2"/>
          <w:kern w:val="22"/>
          <w:sz w:val="22"/>
          <w:szCs w:val="22"/>
          <w:lang w:val="en-GB"/>
        </w:rPr>
        <w:t>(CBD/SBI/3/CRP.</w:t>
      </w:r>
      <w:r w:rsidR="00C13A3D">
        <w:rPr>
          <w:spacing w:val="-2"/>
          <w:kern w:val="22"/>
          <w:sz w:val="22"/>
          <w:szCs w:val="22"/>
          <w:lang w:val="en-GB"/>
        </w:rPr>
        <w:t>4</w:t>
      </w:r>
      <w:r w:rsidR="00C13A3D" w:rsidRPr="00E02A03">
        <w:rPr>
          <w:spacing w:val="-2"/>
          <w:kern w:val="22"/>
          <w:sz w:val="22"/>
          <w:szCs w:val="22"/>
          <w:lang w:val="en-GB"/>
        </w:rPr>
        <w:t>)</w:t>
      </w:r>
      <w:r w:rsidR="00C13A3D">
        <w:rPr>
          <w:rFonts w:ascii="Simplified Arabic" w:hAnsi="Simplified Arabic" w:cs="Simplified Arabic" w:hint="cs"/>
          <w:sz w:val="22"/>
          <w:rtl/>
          <w:lang w:val="en-GB"/>
        </w:rPr>
        <w:t xml:space="preserve"> </w:t>
      </w:r>
      <w:r>
        <w:rPr>
          <w:rFonts w:ascii="Simplified Arabic" w:hAnsi="Simplified Arabic" w:cs="Simplified Arabic" w:hint="cs"/>
          <w:sz w:val="22"/>
          <w:rtl/>
          <w:lang w:val="en-US"/>
        </w:rPr>
        <w:t>حتى الجزء الثاني من الاجتماع.</w:t>
      </w:r>
    </w:p>
    <w:p w:rsidR="004A2D2C" w:rsidRDefault="004B0BBB" w:rsidP="00BF6A9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وبناء عليه</w:t>
      </w:r>
      <w:r w:rsidR="004A2D2C">
        <w:rPr>
          <w:rFonts w:ascii="Simplified Arabic" w:hAnsi="Simplified Arabic" w:cs="Simplified Arabic" w:hint="cs"/>
          <w:sz w:val="22"/>
          <w:rtl/>
          <w:lang w:val="en-US"/>
        </w:rPr>
        <w:t xml:space="preserve">، </w:t>
      </w:r>
      <w:r w:rsidR="00BF6A91">
        <w:rPr>
          <w:rFonts w:ascii="Simplified Arabic" w:hAnsi="Simplified Arabic" w:cs="Simplified Arabic" w:hint="cs"/>
          <w:sz w:val="22"/>
          <w:rtl/>
          <w:lang w:val="en-US"/>
        </w:rPr>
        <w:t xml:space="preserve">من المتوقع أن تنظر الهيئة الفرعية للتنفيذ في مشروع التوصية الوارد في الوثيقة </w:t>
      </w:r>
      <w:r w:rsidR="005127B9" w:rsidRPr="00E02A03">
        <w:rPr>
          <w:spacing w:val="-2"/>
          <w:kern w:val="22"/>
          <w:sz w:val="22"/>
          <w:szCs w:val="22"/>
          <w:lang w:val="en-GB"/>
        </w:rPr>
        <w:t>CBD/SBI/3/CRP.</w:t>
      </w:r>
      <w:r w:rsidR="005127B9">
        <w:rPr>
          <w:spacing w:val="-2"/>
          <w:kern w:val="22"/>
          <w:sz w:val="22"/>
          <w:szCs w:val="22"/>
          <w:lang w:val="en-GB"/>
        </w:rPr>
        <w:t>4</w:t>
      </w:r>
      <w:r w:rsidR="00BF6A91">
        <w:rPr>
          <w:rFonts w:ascii="Simplified Arabic" w:hAnsi="Simplified Arabic" w:cs="Simplified Arabic" w:hint="cs"/>
          <w:sz w:val="22"/>
          <w:rtl/>
          <w:lang w:val="en-US"/>
        </w:rPr>
        <w:t>، مع مزيد من ا</w:t>
      </w:r>
      <w:r w:rsidR="00C13A3D">
        <w:rPr>
          <w:rFonts w:ascii="Simplified Arabic" w:hAnsi="Simplified Arabic" w:cs="Simplified Arabic" w:hint="cs"/>
          <w:sz w:val="22"/>
          <w:rtl/>
          <w:lang w:val="en-US"/>
        </w:rPr>
        <w:t xml:space="preserve">لمساعدة من فريق اتصال، وتعتمد </w:t>
      </w:r>
      <w:r w:rsidR="00BF6A91">
        <w:rPr>
          <w:rFonts w:ascii="Simplified Arabic" w:hAnsi="Simplified Arabic" w:cs="Simplified Arabic" w:hint="cs"/>
          <w:sz w:val="22"/>
          <w:rtl/>
          <w:lang w:val="en-US"/>
        </w:rPr>
        <w:t>توصية في الجلسة المستأنفة من اجتماعها الثالث.</w:t>
      </w:r>
    </w:p>
    <w:p w:rsidR="00295BF4" w:rsidRPr="00295BF4" w:rsidRDefault="00295BF4" w:rsidP="00295BF4">
      <w:pPr>
        <w:pStyle w:val="ListParagraph"/>
        <w:bidi/>
        <w:spacing w:after="120" w:line="216" w:lineRule="auto"/>
        <w:ind w:left="0"/>
        <w:contextualSpacing w:val="0"/>
        <w:jc w:val="both"/>
        <w:rPr>
          <w:rFonts w:ascii="Simplified Arabic" w:hAnsi="Simplified Arabic" w:cs="Simplified Arabic"/>
          <w:i/>
          <w:iCs/>
          <w:sz w:val="22"/>
          <w:lang w:val="en-US"/>
        </w:rPr>
      </w:pPr>
      <w:r w:rsidRPr="00295BF4">
        <w:rPr>
          <w:rFonts w:ascii="Simplified Arabic" w:hAnsi="Simplified Arabic" w:cs="Simplified Arabic" w:hint="cs"/>
          <w:i/>
          <w:iCs/>
          <w:sz w:val="22"/>
          <w:rtl/>
          <w:lang w:val="en-US"/>
        </w:rPr>
        <w:t>الاتصالات</w:t>
      </w:r>
    </w:p>
    <w:p w:rsidR="00295BF4" w:rsidRDefault="005127B9" w:rsidP="005127B9">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وافقت الهيئة الفرعية على مشروع التوصية </w:t>
      </w:r>
      <w:r w:rsidRPr="00E02A03">
        <w:rPr>
          <w:spacing w:val="-2"/>
          <w:kern w:val="22"/>
          <w:sz w:val="22"/>
          <w:szCs w:val="22"/>
          <w:lang w:val="en-GB"/>
        </w:rPr>
        <w:t>CBD/SBI/3/</w:t>
      </w:r>
      <w:r>
        <w:rPr>
          <w:spacing w:val="-2"/>
          <w:kern w:val="22"/>
          <w:sz w:val="22"/>
          <w:szCs w:val="22"/>
          <w:lang w:val="en-GB"/>
        </w:rPr>
        <w:t>L.5</w:t>
      </w:r>
      <w:r>
        <w:rPr>
          <w:rFonts w:ascii="Simplified Arabic" w:hAnsi="Simplified Arabic" w:cs="Simplified Arabic" w:hint="cs"/>
          <w:sz w:val="22"/>
          <w:rtl/>
          <w:lang w:val="en-US"/>
        </w:rPr>
        <w:t xml:space="preserve"> لاعتماده الرسمي في مرحلة لاحقة.</w:t>
      </w:r>
    </w:p>
    <w:p w:rsidR="00295BF4" w:rsidRDefault="00295BF4" w:rsidP="005127B9">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وبناء عليه، من المتوقع أن تنظر الهيئة الفرعية للتنفيذ في مشروع التوصية الوارد في الوثيقة </w:t>
      </w:r>
      <w:r w:rsidR="005127B9" w:rsidRPr="00E02A03">
        <w:rPr>
          <w:spacing w:val="-2"/>
          <w:kern w:val="22"/>
          <w:sz w:val="22"/>
          <w:szCs w:val="22"/>
          <w:lang w:val="en-GB"/>
        </w:rPr>
        <w:t>CBD/SBI/3/</w:t>
      </w:r>
      <w:r w:rsidR="005127B9">
        <w:rPr>
          <w:spacing w:val="-2"/>
          <w:kern w:val="22"/>
          <w:sz w:val="22"/>
          <w:szCs w:val="22"/>
          <w:lang w:val="en-GB"/>
        </w:rPr>
        <w:t>L.5</w:t>
      </w:r>
      <w:r>
        <w:rPr>
          <w:rFonts w:ascii="Simplified Arabic" w:hAnsi="Simplified Arabic" w:cs="Simplified Arabic" w:hint="cs"/>
          <w:sz w:val="22"/>
          <w:rtl/>
          <w:lang w:val="en-US"/>
        </w:rPr>
        <w:t>، وتعتمد</w:t>
      </w:r>
      <w:r w:rsidR="005127B9">
        <w:rPr>
          <w:rFonts w:ascii="Simplified Arabic" w:hAnsi="Simplified Arabic" w:cs="Simplified Arabic" w:hint="cs"/>
          <w:sz w:val="22"/>
          <w:rtl/>
          <w:lang w:val="en-US"/>
        </w:rPr>
        <w:t>ه</w:t>
      </w:r>
      <w:r>
        <w:rPr>
          <w:rFonts w:ascii="Simplified Arabic" w:hAnsi="Simplified Arabic" w:cs="Simplified Arabic" w:hint="cs"/>
          <w:sz w:val="22"/>
          <w:rtl/>
          <w:lang w:val="en-US"/>
        </w:rPr>
        <w:t xml:space="preserve"> في الجلسة المستأنفة من اجتماعها الثالث.</w:t>
      </w:r>
    </w:p>
    <w:p w:rsidR="00295BF4" w:rsidRPr="00295BF4" w:rsidRDefault="00295BF4" w:rsidP="00144CE6">
      <w:pPr>
        <w:pStyle w:val="ListParagraph"/>
        <w:keepNext/>
        <w:bidi/>
        <w:spacing w:after="120" w:line="216" w:lineRule="auto"/>
        <w:ind w:left="0"/>
        <w:contextualSpacing w:val="0"/>
        <w:jc w:val="both"/>
        <w:rPr>
          <w:rFonts w:ascii="Simplified Arabic" w:hAnsi="Simplified Arabic" w:cs="Simplified Arabic"/>
          <w:i/>
          <w:iCs/>
          <w:sz w:val="22"/>
          <w:lang w:val="en-US"/>
        </w:rPr>
      </w:pPr>
      <w:r w:rsidRPr="00295BF4">
        <w:rPr>
          <w:rFonts w:ascii="Simplified Arabic" w:hAnsi="Simplified Arabic" w:cs="Simplified Arabic" w:hint="cs"/>
          <w:i/>
          <w:iCs/>
          <w:sz w:val="22"/>
          <w:rtl/>
          <w:lang w:val="en-US"/>
        </w:rPr>
        <w:lastRenderedPageBreak/>
        <w:t>بناء القدرات وتنمية القدرات لدعم التنفيذ الفعال لبروتوكول ناغويا</w:t>
      </w:r>
    </w:p>
    <w:p w:rsidR="00295BF4" w:rsidRDefault="005127B9" w:rsidP="00AC68B6">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أعدت الرئيسة مشروع توصية بشأن بناء القدرات وتنمية القدرات لدعم التنفيذ الفعال لبروتوكول ناغويا للنظر فيه في الجلسة العامة. ووافقت الهيئة الفرعية على إرجاء النظر في مشروع التوصية</w:t>
      </w:r>
      <w:r w:rsidR="00AC68B6" w:rsidRPr="00AC68B6">
        <w:rPr>
          <w:rFonts w:ascii="Simplified Arabic" w:hAnsi="Simplified Arabic" w:cs="Simplified Arabic" w:hint="cs"/>
          <w:sz w:val="22"/>
          <w:rtl/>
          <w:lang w:val="en-US"/>
        </w:rPr>
        <w:t xml:space="preserve"> </w:t>
      </w:r>
      <w:r w:rsidR="00AC68B6">
        <w:rPr>
          <w:rFonts w:ascii="Simplified Arabic" w:hAnsi="Simplified Arabic" w:cs="Simplified Arabic" w:hint="cs"/>
          <w:sz w:val="22"/>
          <w:rtl/>
          <w:lang w:val="en-US"/>
        </w:rPr>
        <w:t>المقدم من الرئيسة</w:t>
      </w:r>
      <w:r>
        <w:rPr>
          <w:rFonts w:ascii="Simplified Arabic" w:hAnsi="Simplified Arabic" w:cs="Simplified Arabic" w:hint="cs"/>
          <w:sz w:val="22"/>
          <w:rtl/>
          <w:lang w:val="en-US"/>
        </w:rPr>
        <w:t xml:space="preserve"> </w:t>
      </w:r>
      <w:r w:rsidRPr="00E02A03">
        <w:rPr>
          <w:spacing w:val="-2"/>
          <w:kern w:val="22"/>
          <w:sz w:val="22"/>
          <w:szCs w:val="22"/>
          <w:lang w:val="en-GB"/>
        </w:rPr>
        <w:t>(CBD/SBI/3/CRP.</w:t>
      </w:r>
      <w:r w:rsidR="008C042C">
        <w:rPr>
          <w:spacing w:val="-2"/>
          <w:kern w:val="22"/>
          <w:sz w:val="22"/>
          <w:szCs w:val="22"/>
          <w:lang w:val="en-GB"/>
        </w:rPr>
        <w:t>6</w:t>
      </w:r>
      <w:r w:rsidRPr="00E02A03">
        <w:rPr>
          <w:spacing w:val="-2"/>
          <w:kern w:val="22"/>
          <w:sz w:val="22"/>
          <w:szCs w:val="22"/>
          <w:lang w:val="en-GB"/>
        </w:rPr>
        <w:t>)</w:t>
      </w:r>
      <w:r>
        <w:rPr>
          <w:rFonts w:ascii="Simplified Arabic" w:hAnsi="Simplified Arabic" w:cs="Simplified Arabic" w:hint="cs"/>
          <w:sz w:val="22"/>
          <w:rtl/>
          <w:lang w:val="en-US"/>
        </w:rPr>
        <w:t xml:space="preserve"> حتى الجزء الثاني من الاجتماع</w:t>
      </w:r>
      <w:r w:rsidR="00295BF4">
        <w:rPr>
          <w:rFonts w:ascii="Simplified Arabic" w:hAnsi="Simplified Arabic" w:cs="Simplified Arabic" w:hint="cs"/>
          <w:sz w:val="22"/>
          <w:rtl/>
          <w:lang w:val="en-US"/>
        </w:rPr>
        <w:t>.</w:t>
      </w:r>
    </w:p>
    <w:p w:rsidR="00295BF4" w:rsidRPr="00A60A32" w:rsidRDefault="00295BF4" w:rsidP="008C042C">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وبناء عليه، من المتوقع أن تنظر الهيئة الفرعية للتنفيذ في مشروع التوصية الوارد في الوثيقة </w:t>
      </w:r>
      <w:r w:rsidR="008C042C" w:rsidRPr="00E02A03">
        <w:rPr>
          <w:spacing w:val="-2"/>
          <w:kern w:val="22"/>
          <w:sz w:val="22"/>
          <w:szCs w:val="22"/>
          <w:lang w:val="en-GB"/>
        </w:rPr>
        <w:t>CBD/SBI/3/CRP.</w:t>
      </w:r>
      <w:r w:rsidR="008C042C">
        <w:rPr>
          <w:spacing w:val="-2"/>
          <w:kern w:val="22"/>
          <w:sz w:val="22"/>
          <w:szCs w:val="22"/>
          <w:lang w:val="en-GB"/>
        </w:rPr>
        <w:t>6</w:t>
      </w:r>
      <w:r>
        <w:rPr>
          <w:rFonts w:ascii="Simplified Arabic" w:hAnsi="Simplified Arabic" w:cs="Simplified Arabic" w:hint="cs"/>
          <w:sz w:val="22"/>
          <w:rtl/>
          <w:lang w:val="en-US"/>
        </w:rPr>
        <w:t xml:space="preserve">، </w:t>
      </w:r>
      <w:r w:rsidR="008C042C">
        <w:rPr>
          <w:rFonts w:ascii="Simplified Arabic" w:hAnsi="Simplified Arabic" w:cs="Simplified Arabic" w:hint="cs"/>
          <w:sz w:val="22"/>
          <w:rtl/>
          <w:lang w:val="en-US"/>
        </w:rPr>
        <w:t xml:space="preserve">وتعتمد </w:t>
      </w:r>
      <w:r>
        <w:rPr>
          <w:rFonts w:ascii="Simplified Arabic" w:hAnsi="Simplified Arabic" w:cs="Simplified Arabic" w:hint="cs"/>
          <w:sz w:val="22"/>
          <w:rtl/>
          <w:lang w:val="en-US"/>
        </w:rPr>
        <w:t>توصية في الجلسة المستأنفة من اجتماعها الثالث.</w:t>
      </w:r>
    </w:p>
    <w:p w:rsidR="00963B97" w:rsidRPr="00295BF4" w:rsidRDefault="00A56010" w:rsidP="00295BF4">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rtl/>
          <w:lang w:val="en-US" w:bidi="ar-EG"/>
        </w:rPr>
      </w:pPr>
      <w:r w:rsidRPr="00A56010">
        <w:rPr>
          <w:rFonts w:ascii="Simplified Arabic" w:hAnsi="Simplified Arabic" w:cs="Simplified Arabic" w:hint="cs"/>
          <w:b/>
          <w:bCs/>
          <w:sz w:val="28"/>
          <w:szCs w:val="28"/>
          <w:rtl/>
          <w:lang w:val="en-US"/>
        </w:rPr>
        <w:t>البند 8 -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b/>
          <w:bCs/>
          <w:sz w:val="28"/>
          <w:szCs w:val="28"/>
          <w:rtl/>
          <w:lang w:val="en-GB"/>
        </w:rPr>
        <w:t xml:space="preserve">التعاون مع الاتفاقيات والمنظمات </w:t>
      </w:r>
      <w:r w:rsidR="00956220" w:rsidRPr="00A56010">
        <w:rPr>
          <w:rFonts w:ascii="Simplified Arabic" w:hAnsi="Simplified Arabic" w:cs="Simplified Arabic" w:hint="cs"/>
          <w:b/>
          <w:bCs/>
          <w:sz w:val="28"/>
          <w:szCs w:val="28"/>
          <w:rtl/>
          <w:lang w:val="en-GB"/>
        </w:rPr>
        <w:t xml:space="preserve">الدولية </w:t>
      </w:r>
      <w:r w:rsidR="00D31AEB" w:rsidRPr="00A56010">
        <w:rPr>
          <w:rFonts w:ascii="Simplified Arabic" w:hAnsi="Simplified Arabic" w:cs="Simplified Arabic"/>
          <w:b/>
          <w:bCs/>
          <w:sz w:val="28"/>
          <w:szCs w:val="28"/>
          <w:rtl/>
          <w:lang w:val="en-GB"/>
        </w:rPr>
        <w:t>والمبادرات الأخرى</w:t>
      </w:r>
    </w:p>
    <w:p w:rsidR="00A56010" w:rsidRPr="00D31AEB" w:rsidRDefault="00DB10CD" w:rsidP="00947EF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نظر</w:t>
      </w:r>
      <w:r w:rsidR="00295BF4">
        <w:rPr>
          <w:rFonts w:ascii="Simplified Arabic" w:hAnsi="Simplified Arabic" w:cs="Simplified Arabic" w:hint="cs"/>
          <w:sz w:val="22"/>
          <w:rtl/>
          <w:lang w:val="en-US"/>
        </w:rPr>
        <w:t>ت</w:t>
      </w:r>
      <w:r>
        <w:rPr>
          <w:rFonts w:ascii="Simplified Arabic" w:hAnsi="Simplified Arabic" w:cs="Simplified Arabic" w:hint="cs"/>
          <w:sz w:val="22"/>
          <w:rtl/>
          <w:lang w:val="en-US"/>
        </w:rPr>
        <w:t xml:space="preserve"> الهيئة الفرعية </w:t>
      </w:r>
      <w:r w:rsidR="00295BF4">
        <w:rPr>
          <w:rFonts w:ascii="Simplified Arabic" w:hAnsi="Simplified Arabic" w:cs="Simplified Arabic" w:hint="cs"/>
          <w:sz w:val="22"/>
          <w:rtl/>
          <w:lang w:val="en-US"/>
        </w:rPr>
        <w:t xml:space="preserve">للتنفيذ في البند 8 من جدول الأعمال في الجزء الأول من اجتماعها الثالث. ولدى النظر في هذا البند، كان أمام الهيئة الفرعية مذكرة </w:t>
      </w:r>
      <w:r w:rsidR="008C042C">
        <w:rPr>
          <w:rFonts w:ascii="Simplified Arabic" w:hAnsi="Simplified Arabic" w:cs="Simplified Arabic" w:hint="cs"/>
          <w:sz w:val="22"/>
          <w:rtl/>
          <w:lang w:val="en-US"/>
        </w:rPr>
        <w:t>م</w:t>
      </w:r>
      <w:r w:rsidR="00295BF4">
        <w:rPr>
          <w:rFonts w:ascii="Simplified Arabic" w:hAnsi="Simplified Arabic" w:cs="Simplified Arabic" w:hint="cs"/>
          <w:sz w:val="22"/>
          <w:rtl/>
          <w:lang w:val="en-US"/>
        </w:rPr>
        <w:t xml:space="preserve">ن الأمينة التنفيذية </w:t>
      </w:r>
      <w:r w:rsidRPr="00272DCD">
        <w:rPr>
          <w:bCs/>
          <w:kern w:val="22"/>
          <w:sz w:val="22"/>
          <w:szCs w:val="22"/>
          <w:lang w:val="en-GB"/>
        </w:rPr>
        <w:t>(CBD/SBI/3/10)</w:t>
      </w:r>
      <w:r>
        <w:rPr>
          <w:rFonts w:ascii="Simplified Arabic" w:hAnsi="Simplified Arabic" w:cs="Simplified Arabic" w:hint="cs"/>
          <w:sz w:val="22"/>
          <w:rtl/>
          <w:lang w:val="en-US"/>
        </w:rPr>
        <w:t xml:space="preserve">، بما في ذلك </w:t>
      </w:r>
      <w:r w:rsidR="00947EF1">
        <w:rPr>
          <w:rFonts w:ascii="Simplified Arabic" w:hAnsi="Simplified Arabic" w:cs="Simplified Arabic" w:hint="cs"/>
          <w:sz w:val="22"/>
          <w:rtl/>
          <w:lang w:val="en-US"/>
        </w:rPr>
        <w:t xml:space="preserve">عناصر لمشروع توصية وعدة وثائق معلومات. وقررت الهيئة الفرعية استئناف </w:t>
      </w:r>
      <w:r w:rsidR="00947EF1">
        <w:rPr>
          <w:rFonts w:ascii="Simplified Arabic" w:hAnsi="Simplified Arabic" w:cs="Simplified Arabic" w:hint="cs"/>
          <w:sz w:val="22"/>
          <w:rtl/>
          <w:lang w:val="en-GB"/>
        </w:rPr>
        <w:t>القراءة الأولى للوثيقة المتعلق</w:t>
      </w:r>
      <w:r w:rsidR="00C13A3D">
        <w:rPr>
          <w:rFonts w:ascii="Simplified Arabic" w:hAnsi="Simplified Arabic" w:cs="Simplified Arabic" w:hint="cs"/>
          <w:sz w:val="22"/>
          <w:rtl/>
          <w:lang w:val="en-GB"/>
        </w:rPr>
        <w:t>ة بجدول الأعمال في الجلسة المست</w:t>
      </w:r>
      <w:r w:rsidR="00947EF1">
        <w:rPr>
          <w:rFonts w:ascii="Simplified Arabic" w:hAnsi="Simplified Arabic" w:cs="Simplified Arabic" w:hint="cs"/>
          <w:sz w:val="22"/>
          <w:rtl/>
          <w:lang w:val="en-GB"/>
        </w:rPr>
        <w:t>أ</w:t>
      </w:r>
      <w:r w:rsidR="00C13A3D">
        <w:rPr>
          <w:rFonts w:ascii="Simplified Arabic" w:hAnsi="Simplified Arabic" w:cs="Simplified Arabic" w:hint="cs"/>
          <w:sz w:val="22"/>
          <w:rtl/>
          <w:lang w:val="en-GB"/>
        </w:rPr>
        <w:t>ن</w:t>
      </w:r>
      <w:r w:rsidR="00947EF1">
        <w:rPr>
          <w:rFonts w:ascii="Simplified Arabic" w:hAnsi="Simplified Arabic" w:cs="Simplified Arabic" w:hint="cs"/>
          <w:sz w:val="22"/>
          <w:rtl/>
          <w:lang w:val="en-GB"/>
        </w:rPr>
        <w:t>فة للهيئة الفرعية. وبناء عليه، من المتوقع أن تستأنف الهيئة الفرعية نظرها في هذا البند في جلستها المستأنفة وتعد توصية بشأن التعاون مع الاتفاقيات والمنظمات الدولية والمبادرات الأخرى لنظر مؤتمر الأطراف في اجتماعه الخامس عشر</w:t>
      </w:r>
      <w:r>
        <w:rPr>
          <w:rFonts w:ascii="Simplified Arabic" w:hAnsi="Simplified Arabic" w:cs="Simplified Arabic" w:hint="cs"/>
          <w:sz w:val="22"/>
          <w:rtl/>
          <w:lang w:val="en-GB"/>
        </w:rPr>
        <w:t>.</w:t>
      </w:r>
    </w:p>
    <w:p w:rsidR="00D31AEB" w:rsidRPr="00A56010" w:rsidRDefault="00A56010" w:rsidP="003D0114">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9 -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آليات </w:t>
      </w:r>
      <w:r w:rsidR="003D0114">
        <w:rPr>
          <w:rFonts w:ascii="Simplified Arabic" w:hAnsi="Simplified Arabic" w:cs="Simplified Arabic" w:hint="cs"/>
          <w:b/>
          <w:bCs/>
          <w:sz w:val="28"/>
          <w:szCs w:val="28"/>
          <w:rtl/>
          <w:lang w:val="en-US"/>
        </w:rPr>
        <w:t>ل</w:t>
      </w:r>
      <w:r w:rsidR="00D31AEB" w:rsidRPr="00A56010">
        <w:rPr>
          <w:rFonts w:ascii="Simplified Arabic" w:hAnsi="Simplified Arabic" w:cs="Simplified Arabic" w:hint="cs"/>
          <w:b/>
          <w:bCs/>
          <w:sz w:val="28"/>
          <w:szCs w:val="28"/>
          <w:rtl/>
          <w:lang w:val="en-US"/>
        </w:rPr>
        <w:t>لإبلاغ، و</w:t>
      </w:r>
      <w:r w:rsidR="003D0114">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تقييم وا</w:t>
      </w:r>
      <w:r w:rsidR="003D0114">
        <w:rPr>
          <w:rFonts w:ascii="Simplified Arabic" w:hAnsi="Simplified Arabic" w:cs="Simplified Arabic" w:hint="cs"/>
          <w:b/>
          <w:bCs/>
          <w:sz w:val="28"/>
          <w:szCs w:val="28"/>
          <w:rtl/>
          <w:lang w:val="en-US"/>
        </w:rPr>
        <w:t>لاستعراض</w:t>
      </w:r>
    </w:p>
    <w:p w:rsidR="00963B97" w:rsidRDefault="004E5FE3" w:rsidP="004E5FE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نظرت الهيئة الفرعية للتنفيذ في البند 9 من جدول الأعمال في الجزء الأول من اجتماعها الثالث.</w:t>
      </w:r>
    </w:p>
    <w:p w:rsidR="00963B97" w:rsidRPr="008026B6" w:rsidRDefault="004E5FE3" w:rsidP="00AC68B6">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وبمساعدة من فريق اتصال، </w:t>
      </w:r>
      <w:r w:rsidR="00AC68B6">
        <w:rPr>
          <w:rFonts w:ascii="Simplified Arabic" w:hAnsi="Simplified Arabic" w:cs="Simplified Arabic" w:hint="cs"/>
          <w:sz w:val="22"/>
          <w:rtl/>
          <w:lang w:val="en-US"/>
        </w:rPr>
        <w:t xml:space="preserve">أعدت الرئيسة مشروع توصية بشأن </w:t>
      </w:r>
      <w:r>
        <w:rPr>
          <w:rFonts w:ascii="Simplified Arabic" w:hAnsi="Simplified Arabic" w:cs="Simplified Arabic" w:hint="cs"/>
          <w:sz w:val="22"/>
          <w:rtl/>
          <w:lang w:val="en-US"/>
        </w:rPr>
        <w:t>آليات للإبلاغ والتقييم والاستعراض للنظر فيه في الجلسة العامة. وقررت الهيئة الفرعية إرجاء النظر في مشروع التوصية</w:t>
      </w:r>
      <w:r w:rsidR="00AC68B6" w:rsidRPr="00AC68B6">
        <w:rPr>
          <w:rFonts w:ascii="Simplified Arabic" w:hAnsi="Simplified Arabic" w:cs="Simplified Arabic" w:hint="cs"/>
          <w:sz w:val="22"/>
          <w:rtl/>
          <w:lang w:val="en-US"/>
        </w:rPr>
        <w:t xml:space="preserve"> </w:t>
      </w:r>
      <w:r w:rsidR="00AC68B6">
        <w:rPr>
          <w:rFonts w:ascii="Simplified Arabic" w:hAnsi="Simplified Arabic" w:cs="Simplified Arabic" w:hint="cs"/>
          <w:sz w:val="22"/>
          <w:rtl/>
          <w:lang w:val="en-US"/>
        </w:rPr>
        <w:t>المقدم من الرئيسة</w:t>
      </w:r>
      <w:r>
        <w:rPr>
          <w:rFonts w:ascii="Simplified Arabic" w:hAnsi="Simplified Arabic" w:cs="Simplified Arabic" w:hint="cs"/>
          <w:sz w:val="22"/>
          <w:rtl/>
          <w:lang w:val="en-US"/>
        </w:rPr>
        <w:t xml:space="preserve"> </w:t>
      </w:r>
      <w:r w:rsidRPr="00E02A03">
        <w:rPr>
          <w:spacing w:val="-2"/>
          <w:kern w:val="22"/>
          <w:sz w:val="22"/>
          <w:szCs w:val="22"/>
          <w:lang w:val="en-GB"/>
        </w:rPr>
        <w:t>(CBD/SBI/3/CRP.5)</w:t>
      </w:r>
      <w:r>
        <w:rPr>
          <w:rFonts w:ascii="Simplified Arabic" w:hAnsi="Simplified Arabic" w:cs="Simplified Arabic" w:hint="cs"/>
          <w:sz w:val="22"/>
          <w:rtl/>
          <w:lang w:val="en-US"/>
        </w:rPr>
        <w:t xml:space="preserve"> حتى الجزء الثاني من الاجتماع.</w:t>
      </w:r>
    </w:p>
    <w:p w:rsidR="00960EDE" w:rsidRDefault="00295BF4" w:rsidP="00AC68B6">
      <w:pPr>
        <w:pStyle w:val="ListParagraph"/>
        <w:numPr>
          <w:ilvl w:val="0"/>
          <w:numId w:val="7"/>
        </w:numPr>
        <w:bidi/>
        <w:spacing w:after="120" w:line="216" w:lineRule="auto"/>
        <w:ind w:left="0" w:firstLine="0"/>
        <w:contextualSpacing w:val="0"/>
        <w:jc w:val="both"/>
        <w:rPr>
          <w:rFonts w:cs="Simplified Arabic"/>
          <w:sz w:val="22"/>
          <w:lang w:val="en-US"/>
        </w:rPr>
      </w:pPr>
      <w:r>
        <w:rPr>
          <w:rFonts w:ascii="Simplified Arabic" w:hAnsi="Simplified Arabic" w:cs="Simplified Arabic" w:hint="cs"/>
          <w:sz w:val="22"/>
          <w:rtl/>
          <w:lang w:val="en-US"/>
        </w:rPr>
        <w:t xml:space="preserve">وبناء عليه، من المتوقع أن تنظر الهيئة الفرعية للتنفيذ في مشروع التوصية الوارد في الوثيقة </w:t>
      </w:r>
      <w:r w:rsidR="004E5FE3" w:rsidRPr="00E02A03">
        <w:rPr>
          <w:spacing w:val="-2"/>
          <w:kern w:val="22"/>
          <w:sz w:val="22"/>
          <w:szCs w:val="22"/>
          <w:lang w:val="en-GB"/>
        </w:rPr>
        <w:t>CBD/SBI/3/CRP.5</w:t>
      </w:r>
      <w:r w:rsidR="00C13A3D">
        <w:rPr>
          <w:rFonts w:ascii="Simplified Arabic" w:hAnsi="Simplified Arabic" w:cs="Simplified Arabic" w:hint="cs"/>
          <w:sz w:val="22"/>
          <w:rtl/>
          <w:lang w:val="en-US"/>
        </w:rPr>
        <w:t xml:space="preserve">، وتعتمد </w:t>
      </w:r>
      <w:r>
        <w:rPr>
          <w:rFonts w:ascii="Simplified Arabic" w:hAnsi="Simplified Arabic" w:cs="Simplified Arabic" w:hint="cs"/>
          <w:sz w:val="22"/>
          <w:rtl/>
          <w:lang w:val="en-US"/>
        </w:rPr>
        <w:t>توصية في الجلسة المستأنفة من اجتماعها الثالث.</w:t>
      </w:r>
    </w:p>
    <w:p w:rsidR="00B033AE" w:rsidRDefault="00AC68B6" w:rsidP="00C13A3D">
      <w:pPr>
        <w:pStyle w:val="ListParagraph"/>
        <w:numPr>
          <w:ilvl w:val="0"/>
          <w:numId w:val="7"/>
        </w:numPr>
        <w:bidi/>
        <w:spacing w:after="120" w:line="216" w:lineRule="auto"/>
        <w:ind w:left="0" w:firstLine="0"/>
        <w:contextualSpacing w:val="0"/>
        <w:jc w:val="both"/>
        <w:rPr>
          <w:rFonts w:cs="Simplified Arabic"/>
          <w:sz w:val="22"/>
          <w:lang w:val="en-US"/>
        </w:rPr>
      </w:pPr>
      <w:r>
        <w:rPr>
          <w:rFonts w:cs="Simplified Arabic" w:hint="cs"/>
          <w:sz w:val="22"/>
          <w:rtl/>
          <w:lang w:val="en-US"/>
        </w:rPr>
        <w:t>ويشير مشروع التوصية إلى عدد من الوثائق في الحاشيات. ولدى النظر في مشروع التوصية، قد ترغب الهيئة الفرعية في أخذ الوثائ</w:t>
      </w:r>
      <w:r w:rsidR="00C13A3D">
        <w:rPr>
          <w:rFonts w:cs="Simplified Arabic" w:hint="cs"/>
          <w:sz w:val="22"/>
          <w:rtl/>
          <w:lang w:val="en-US"/>
        </w:rPr>
        <w:t>ق</w:t>
      </w:r>
      <w:r>
        <w:rPr>
          <w:rFonts w:cs="Simplified Arabic" w:hint="cs"/>
          <w:sz w:val="22"/>
          <w:rtl/>
          <w:lang w:val="en-US"/>
        </w:rPr>
        <w:t xml:space="preserve"> التالية في الاعتبار التي أعدت على النحو المشار إليه في جدول العمل فيما بين الدورات المرفق بتقرير الجزء الأول من الاجتماع </w:t>
      </w:r>
      <w:r w:rsidRPr="00E02A03">
        <w:rPr>
          <w:spacing w:val="-2"/>
          <w:kern w:val="22"/>
          <w:sz w:val="22"/>
          <w:szCs w:val="22"/>
          <w:lang w:val="en-GB"/>
        </w:rPr>
        <w:t>(</w:t>
      </w:r>
      <w:r w:rsidRPr="00584721">
        <w:rPr>
          <w:rFonts w:eastAsia="Malgun Gothic"/>
          <w:kern w:val="22"/>
          <w:sz w:val="22"/>
          <w:szCs w:val="22"/>
          <w:lang w:val="en-GB"/>
        </w:rPr>
        <w:t>CBD/SBI/3/20)</w:t>
      </w:r>
      <w:r w:rsidR="00295BF4">
        <w:rPr>
          <w:rFonts w:cs="Simplified Arabic" w:hint="cs"/>
          <w:sz w:val="22"/>
          <w:rtl/>
          <w:lang w:val="en-US"/>
        </w:rPr>
        <w:t>:</w:t>
      </w:r>
    </w:p>
    <w:p w:rsidR="00652EEA" w:rsidRDefault="00DA373A" w:rsidP="00EE77DF">
      <w:pPr>
        <w:pStyle w:val="ListParagraph"/>
        <w:numPr>
          <w:ilvl w:val="0"/>
          <w:numId w:val="11"/>
        </w:numPr>
        <w:bidi/>
        <w:spacing w:after="120" w:line="216" w:lineRule="auto"/>
        <w:ind w:left="0" w:firstLine="720"/>
        <w:contextualSpacing w:val="0"/>
        <w:jc w:val="both"/>
        <w:rPr>
          <w:rFonts w:cs="Simplified Arabic"/>
          <w:sz w:val="22"/>
          <w:lang w:val="en-US"/>
        </w:rPr>
      </w:pPr>
      <w:r>
        <w:rPr>
          <w:rFonts w:cs="Simplified Arabic" w:hint="cs"/>
          <w:sz w:val="22"/>
          <w:rtl/>
          <w:lang w:val="en-US"/>
        </w:rPr>
        <w:t xml:space="preserve">مذكرة منقحة من الأمينة التنفيذية عن الإبلاغ الوطني بموجب الاتفاقية وبروتوكوليها، بما في ذلك مشروع نموذج للالتزامات الإضافية للجهات الفاعلة من غير </w:t>
      </w:r>
      <w:r w:rsidR="00EE77DF">
        <w:rPr>
          <w:rFonts w:cs="Simplified Arabic" w:hint="cs"/>
          <w:sz w:val="22"/>
          <w:rtl/>
          <w:lang w:val="en-US"/>
        </w:rPr>
        <w:t>الدول</w:t>
      </w:r>
      <w:r>
        <w:rPr>
          <w:rFonts w:cs="Simplified Arabic" w:hint="cs"/>
          <w:sz w:val="22"/>
          <w:rtl/>
          <w:lang w:val="en-US"/>
        </w:rPr>
        <w:t xml:space="preserve"> للمساهمة في الإطار العالمي للتنوع الببيولوجي لما بعد عام 2020</w:t>
      </w:r>
      <w:r>
        <w:rPr>
          <w:rStyle w:val="FootnoteReference"/>
          <w:rFonts w:cs="Simplified Arabic"/>
          <w:sz w:val="22"/>
          <w:rtl/>
          <w:lang w:val="en-US"/>
        </w:rPr>
        <w:footnoteReference w:id="4"/>
      </w:r>
      <w:r>
        <w:rPr>
          <w:rFonts w:cs="Simplified Arabic" w:hint="cs"/>
          <w:sz w:val="22"/>
          <w:rtl/>
          <w:lang w:val="en-US"/>
        </w:rPr>
        <w:t xml:space="preserve"> </w:t>
      </w:r>
      <w:r w:rsidR="005D5B1A" w:rsidRPr="00584721">
        <w:rPr>
          <w:rFonts w:eastAsia="Malgun Gothic"/>
          <w:kern w:val="22"/>
          <w:sz w:val="22"/>
          <w:szCs w:val="22"/>
          <w:lang w:val="en-GB"/>
        </w:rPr>
        <w:t>(</w:t>
      </w:r>
      <w:r w:rsidR="002E032D" w:rsidRPr="00584721">
        <w:rPr>
          <w:rFonts w:eastAsia="Malgun Gothic"/>
          <w:kern w:val="22"/>
          <w:sz w:val="22"/>
          <w:szCs w:val="22"/>
          <w:lang w:val="en-GB"/>
        </w:rPr>
        <w:t>CBD/SBI/3/11/Add.1/</w:t>
      </w:r>
      <w:r w:rsidR="002E032D">
        <w:rPr>
          <w:rFonts w:eastAsia="Malgun Gothic"/>
          <w:kern w:val="22"/>
          <w:sz w:val="22"/>
          <w:szCs w:val="22"/>
          <w:lang w:val="en-GB"/>
        </w:rPr>
        <w:t>Amend.1</w:t>
      </w:r>
      <w:r w:rsidR="005D5B1A" w:rsidRPr="00584721">
        <w:rPr>
          <w:rFonts w:eastAsia="Malgun Gothic"/>
          <w:kern w:val="22"/>
          <w:sz w:val="22"/>
          <w:szCs w:val="22"/>
          <w:lang w:val="en-GB"/>
        </w:rPr>
        <w:t>)</w:t>
      </w:r>
      <w:r w:rsidR="005D5B1A">
        <w:rPr>
          <w:rFonts w:cs="Simplified Arabic" w:hint="cs"/>
          <w:sz w:val="22"/>
          <w:rtl/>
          <w:lang w:val="en-US"/>
        </w:rPr>
        <w:t>؛</w:t>
      </w:r>
    </w:p>
    <w:p w:rsidR="005D5B1A" w:rsidRDefault="005D5B1A" w:rsidP="005D5B1A">
      <w:pPr>
        <w:pStyle w:val="ListParagraph"/>
        <w:numPr>
          <w:ilvl w:val="0"/>
          <w:numId w:val="11"/>
        </w:numPr>
        <w:bidi/>
        <w:spacing w:after="120" w:line="216" w:lineRule="auto"/>
        <w:ind w:left="0" w:firstLine="720"/>
        <w:contextualSpacing w:val="0"/>
        <w:jc w:val="both"/>
        <w:rPr>
          <w:rFonts w:cs="Simplified Arabic"/>
          <w:sz w:val="22"/>
          <w:lang w:val="en-US"/>
        </w:rPr>
      </w:pPr>
      <w:r>
        <w:rPr>
          <w:rFonts w:ascii="Simplified Arabic" w:hAnsi="Simplified Arabic" w:cs="Simplified Arabic" w:hint="cs"/>
          <w:rtl/>
          <w:lang w:val="en-GB"/>
        </w:rPr>
        <w:t>مشروع إرشادات لتحديث أو مراجعة الاستراتيجيات وخطط العمل الوطنية للتنوع البيولوجي في ضوء الإطار العالمي للتنوع البيولوجي لما بعد عام 2020</w:t>
      </w:r>
      <w:r>
        <w:rPr>
          <w:rStyle w:val="FootnoteReference"/>
          <w:rFonts w:cs="Simplified Arabic"/>
          <w:sz w:val="22"/>
          <w:rtl/>
          <w:lang w:val="en-US"/>
        </w:rPr>
        <w:footnoteReference w:id="5"/>
      </w:r>
      <w:r>
        <w:rPr>
          <w:rFonts w:cs="Simplified Arabic" w:hint="cs"/>
          <w:sz w:val="22"/>
          <w:rtl/>
          <w:lang w:val="en-US"/>
        </w:rPr>
        <w:t xml:space="preserve"> </w:t>
      </w:r>
      <w:r w:rsidRPr="00584721">
        <w:rPr>
          <w:rFonts w:eastAsia="Malgun Gothic"/>
          <w:kern w:val="22"/>
          <w:sz w:val="22"/>
          <w:szCs w:val="22"/>
          <w:lang w:val="en-GB"/>
        </w:rPr>
        <w:t>(CBD/SBI/3/11/Add.4)</w:t>
      </w:r>
      <w:r>
        <w:rPr>
          <w:rFonts w:cs="Simplified Arabic" w:hint="cs"/>
          <w:sz w:val="22"/>
          <w:rtl/>
          <w:lang w:val="en-US"/>
        </w:rPr>
        <w:t>؛</w:t>
      </w:r>
    </w:p>
    <w:p w:rsidR="005D5B1A" w:rsidRDefault="005D5B1A" w:rsidP="005D5B1A">
      <w:pPr>
        <w:pStyle w:val="ListParagraph"/>
        <w:numPr>
          <w:ilvl w:val="0"/>
          <w:numId w:val="11"/>
        </w:numPr>
        <w:bidi/>
        <w:spacing w:after="120" w:line="216" w:lineRule="auto"/>
        <w:ind w:left="0" w:firstLine="720"/>
        <w:contextualSpacing w:val="0"/>
        <w:jc w:val="both"/>
        <w:rPr>
          <w:rFonts w:cs="Simplified Arabic"/>
          <w:sz w:val="22"/>
          <w:lang w:val="en-US"/>
        </w:rPr>
      </w:pPr>
      <w:r>
        <w:rPr>
          <w:rFonts w:cs="Simplified Arabic" w:hint="cs"/>
          <w:sz w:val="22"/>
          <w:rtl/>
          <w:lang w:val="en-US"/>
        </w:rPr>
        <w:t>مبادئ توجيهية ونموذج للتقرير الوطني السابع</w:t>
      </w:r>
      <w:r>
        <w:rPr>
          <w:rStyle w:val="FootnoteReference"/>
          <w:rFonts w:cs="Simplified Arabic"/>
          <w:sz w:val="22"/>
          <w:rtl/>
          <w:lang w:val="en-US"/>
        </w:rPr>
        <w:footnoteReference w:id="6"/>
      </w:r>
      <w:r>
        <w:rPr>
          <w:rFonts w:cs="Simplified Arabic" w:hint="cs"/>
          <w:sz w:val="22"/>
          <w:rtl/>
          <w:lang w:val="en-US"/>
        </w:rPr>
        <w:t xml:space="preserve"> </w:t>
      </w:r>
      <w:r w:rsidRPr="00584721">
        <w:rPr>
          <w:rFonts w:eastAsia="Malgun Gothic"/>
          <w:kern w:val="22"/>
          <w:sz w:val="22"/>
          <w:szCs w:val="22"/>
          <w:lang w:val="en-GB"/>
        </w:rPr>
        <w:t>(CBD/SBI/3/11/Add.6)</w:t>
      </w:r>
      <w:r>
        <w:rPr>
          <w:rFonts w:cs="Simplified Arabic" w:hint="cs"/>
          <w:sz w:val="22"/>
          <w:rtl/>
          <w:lang w:val="en-US"/>
        </w:rPr>
        <w:t>؛</w:t>
      </w:r>
    </w:p>
    <w:p w:rsidR="005D5B1A" w:rsidRPr="00295BF4" w:rsidRDefault="005D5B1A" w:rsidP="005D5B1A">
      <w:pPr>
        <w:pStyle w:val="ListParagraph"/>
        <w:numPr>
          <w:ilvl w:val="0"/>
          <w:numId w:val="11"/>
        </w:numPr>
        <w:bidi/>
        <w:spacing w:after="120" w:line="216" w:lineRule="auto"/>
        <w:ind w:left="0" w:firstLine="720"/>
        <w:contextualSpacing w:val="0"/>
        <w:jc w:val="both"/>
        <w:rPr>
          <w:rFonts w:cs="Simplified Arabic"/>
          <w:sz w:val="22"/>
          <w:rtl/>
          <w:lang w:val="en-US"/>
        </w:rPr>
      </w:pPr>
      <w:r>
        <w:rPr>
          <w:rFonts w:ascii="Simplified Arabic" w:hAnsi="Simplified Arabic" w:cs="Simplified Arabic" w:hint="cs"/>
          <w:rtl/>
          <w:lang w:val="en-GB"/>
        </w:rPr>
        <w:t>طريقة تشغيل المنتدى المفتوح العضوية للهيئة الفرعية للتنفيذ لاستعراض التنفيذ حسب كل بلد</w:t>
      </w:r>
      <w:r>
        <w:rPr>
          <w:rStyle w:val="FootnoteReference"/>
          <w:rFonts w:cs="Simplified Arabic"/>
          <w:sz w:val="22"/>
          <w:rtl/>
          <w:lang w:val="en-US"/>
        </w:rPr>
        <w:footnoteReference w:id="7"/>
      </w:r>
      <w:r>
        <w:rPr>
          <w:rFonts w:cs="Simplified Arabic" w:hint="cs"/>
          <w:sz w:val="22"/>
          <w:rtl/>
          <w:lang w:val="en-US"/>
        </w:rPr>
        <w:t xml:space="preserve"> </w:t>
      </w:r>
      <w:r w:rsidRPr="00584721">
        <w:rPr>
          <w:rFonts w:eastAsia="Malgun Gothic"/>
          <w:kern w:val="22"/>
          <w:sz w:val="22"/>
          <w:szCs w:val="22"/>
          <w:lang w:val="en-GB"/>
        </w:rPr>
        <w:t>(CBD/SBI/3/11/Add.</w:t>
      </w:r>
      <w:r>
        <w:rPr>
          <w:rFonts w:eastAsia="Malgun Gothic"/>
          <w:kern w:val="22"/>
          <w:sz w:val="22"/>
          <w:szCs w:val="22"/>
          <w:lang w:val="en-GB"/>
        </w:rPr>
        <w:t>5</w:t>
      </w:r>
      <w:r w:rsidRPr="00584721">
        <w:rPr>
          <w:rFonts w:eastAsia="Malgun Gothic"/>
          <w:kern w:val="22"/>
          <w:sz w:val="22"/>
          <w:szCs w:val="22"/>
          <w:lang w:val="en-GB"/>
        </w:rPr>
        <w:t>)</w:t>
      </w:r>
      <w:r>
        <w:rPr>
          <w:rFonts w:cs="Simplified Arabic" w:hint="cs"/>
          <w:sz w:val="22"/>
          <w:rtl/>
          <w:lang w:val="en-US"/>
        </w:rPr>
        <w:t>.</w:t>
      </w:r>
    </w:p>
    <w:p w:rsidR="00D31AEB" w:rsidRPr="00A56010" w:rsidRDefault="00A56010" w:rsidP="00AE211C">
      <w:pPr>
        <w:bidi/>
        <w:spacing w:after="120" w:line="216" w:lineRule="auto"/>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10 -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استعراض فعالية العمليات بموجب الاتفاقية وبروتوكوليها</w:t>
      </w:r>
    </w:p>
    <w:p w:rsidR="00963B97" w:rsidRDefault="004E5FE3" w:rsidP="004E5FE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نظرت الهيئة الفرعية للتنفيذ في البند 10 من جدول الأعمال في الجزء الأول من اجتماعها الثالث.</w:t>
      </w:r>
    </w:p>
    <w:p w:rsidR="00963B97" w:rsidRPr="009A2FFF" w:rsidRDefault="00EE77DF" w:rsidP="00540E4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وأعدت الرئيسة مشروع توصية بشأن استعراض فعالية العمليات بموجب الاتفاقية بروتوكوليها للنظر فيه في الجلسة العامة.</w:t>
      </w:r>
    </w:p>
    <w:p w:rsidR="00652EEA" w:rsidRPr="008252F7" w:rsidRDefault="00EE77DF" w:rsidP="00EE77DF">
      <w:pPr>
        <w:pStyle w:val="ListParagraph"/>
        <w:numPr>
          <w:ilvl w:val="0"/>
          <w:numId w:val="7"/>
        </w:numPr>
        <w:bidi/>
        <w:spacing w:after="120" w:line="216" w:lineRule="auto"/>
        <w:ind w:left="0" w:firstLine="0"/>
        <w:contextualSpacing w:val="0"/>
        <w:jc w:val="both"/>
        <w:rPr>
          <w:rFonts w:cs="Simplified Arabic"/>
          <w:sz w:val="22"/>
          <w:rtl/>
          <w:lang w:val="en-US"/>
        </w:rPr>
      </w:pPr>
      <w:r>
        <w:rPr>
          <w:rFonts w:cs="Simplified Arabic" w:hint="cs"/>
          <w:sz w:val="22"/>
          <w:rtl/>
          <w:lang w:val="en-US"/>
        </w:rPr>
        <w:t xml:space="preserve">وقررت الهيئة الفرعية إرجاء النظر في مشروع التوصية المقدم من الرئيسة </w:t>
      </w:r>
      <w:r w:rsidRPr="00E02A03">
        <w:rPr>
          <w:spacing w:val="-2"/>
          <w:kern w:val="22"/>
          <w:sz w:val="22"/>
          <w:szCs w:val="22"/>
          <w:lang w:val="en-GB"/>
        </w:rPr>
        <w:t>(CBD/SBI/3/CRP.10)</w:t>
      </w:r>
      <w:r>
        <w:rPr>
          <w:rFonts w:cs="Simplified Arabic" w:hint="cs"/>
          <w:sz w:val="22"/>
          <w:rtl/>
          <w:lang w:val="en-US"/>
        </w:rPr>
        <w:t>، حتى الجزء الثاني من الاجتماع. وبناء عليه، من المتوقع أن تنظر الهي</w:t>
      </w:r>
      <w:r w:rsidR="004E1795">
        <w:rPr>
          <w:rFonts w:cs="Simplified Arabic" w:hint="cs"/>
          <w:sz w:val="22"/>
          <w:rtl/>
          <w:lang w:val="en-US"/>
        </w:rPr>
        <w:t>ئة الفرعية، في جلستها المستأنفة</w:t>
      </w:r>
      <w:r>
        <w:rPr>
          <w:rFonts w:cs="Simplified Arabic" w:hint="cs"/>
          <w:sz w:val="22"/>
          <w:rtl/>
          <w:lang w:val="en-US"/>
        </w:rPr>
        <w:t xml:space="preserve">، في مشروع التوصية الوارد في الوثيقة </w:t>
      </w:r>
      <w:r w:rsidRPr="00E02A03">
        <w:rPr>
          <w:spacing w:val="-2"/>
          <w:kern w:val="22"/>
          <w:sz w:val="22"/>
          <w:szCs w:val="22"/>
          <w:lang w:val="en-GB"/>
        </w:rPr>
        <w:t>CBD/SBI/3/CRP.10</w:t>
      </w:r>
      <w:r>
        <w:rPr>
          <w:rFonts w:cs="Simplified Arabic" w:hint="cs"/>
          <w:sz w:val="22"/>
          <w:rtl/>
          <w:lang w:val="en-US"/>
        </w:rPr>
        <w:t>، وتعتمد توصية.</w:t>
      </w:r>
    </w:p>
    <w:p w:rsidR="00D31AEB" w:rsidRPr="00A56010" w:rsidRDefault="00A56010" w:rsidP="00B033AE">
      <w:pPr>
        <w:bidi/>
        <w:spacing w:after="120" w:line="216" w:lineRule="auto"/>
        <w:ind w:left="2261" w:right="634" w:hanging="1267"/>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11 -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تعميم التنوع البيولوجي </w:t>
      </w:r>
      <w:r w:rsidR="00956220" w:rsidRPr="00A56010">
        <w:rPr>
          <w:rFonts w:ascii="Simplified Arabic" w:hAnsi="Simplified Arabic" w:cs="Simplified Arabic" w:hint="cs"/>
          <w:b/>
          <w:bCs/>
          <w:sz w:val="28"/>
          <w:szCs w:val="28"/>
          <w:rtl/>
          <w:lang w:val="en-US"/>
        </w:rPr>
        <w:t>داخل</w:t>
      </w:r>
      <w:r w:rsidR="00D31AEB" w:rsidRPr="00A56010">
        <w:rPr>
          <w:rFonts w:ascii="Simplified Arabic" w:hAnsi="Simplified Arabic" w:cs="Simplified Arabic" w:hint="cs"/>
          <w:b/>
          <w:bCs/>
          <w:sz w:val="28"/>
          <w:szCs w:val="28"/>
          <w:rtl/>
          <w:lang w:val="en-US"/>
        </w:rPr>
        <w:t xml:space="preserve"> القطاعات وعبرها والإجراءات الا</w:t>
      </w:r>
      <w:r w:rsidR="00652EEA" w:rsidRPr="00A56010">
        <w:rPr>
          <w:rFonts w:ascii="Simplified Arabic" w:hAnsi="Simplified Arabic" w:cs="Simplified Arabic" w:hint="cs"/>
          <w:b/>
          <w:bCs/>
          <w:sz w:val="28"/>
          <w:szCs w:val="28"/>
          <w:rtl/>
          <w:lang w:val="en-US"/>
        </w:rPr>
        <w:t>ستراتيجية الأخرى لتعزيز التنفيذ</w:t>
      </w:r>
    </w:p>
    <w:p w:rsidR="00EE77DF" w:rsidRDefault="00EE77DF" w:rsidP="00EE77D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lastRenderedPageBreak/>
        <w:t>نظرت الهيئة الفرعية للتنفيذ في البند 11 من جدول الأعمال في الجزء الأول من اجتماعها الثالث وأعدت توصيتين.</w:t>
      </w:r>
    </w:p>
    <w:p w:rsidR="00EE77DF" w:rsidRPr="00EE77DF" w:rsidRDefault="00EE77DF" w:rsidP="00EE77DF">
      <w:pPr>
        <w:pStyle w:val="ListParagraph"/>
        <w:bidi/>
        <w:spacing w:after="120" w:line="216" w:lineRule="auto"/>
        <w:ind w:left="0"/>
        <w:contextualSpacing w:val="0"/>
        <w:jc w:val="both"/>
        <w:rPr>
          <w:rFonts w:ascii="Simplified Arabic" w:hAnsi="Simplified Arabic" w:cs="Simplified Arabic"/>
          <w:i/>
          <w:iCs/>
          <w:sz w:val="22"/>
          <w:lang w:val="en-US"/>
        </w:rPr>
      </w:pPr>
      <w:r w:rsidRPr="00EE77DF">
        <w:rPr>
          <w:rFonts w:ascii="Simplified Arabic" w:hAnsi="Simplified Arabic" w:cs="Simplified Arabic" w:hint="cs"/>
          <w:i/>
          <w:iCs/>
          <w:sz w:val="22"/>
          <w:rtl/>
          <w:lang w:val="en-US"/>
        </w:rPr>
        <w:t>تعميم التنوع البيولوجي داخل القطاعات وعبرها</w:t>
      </w:r>
    </w:p>
    <w:p w:rsidR="00EE77DF" w:rsidRPr="009A2FFF" w:rsidRDefault="00EE77DF" w:rsidP="00EE77D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أعدت الرئيسة مشروع توصية بشأن تعميم التنوع البيولوجي داخل القطاعات وعبرها للنظر فيه في الجلسة العامة.</w:t>
      </w:r>
    </w:p>
    <w:p w:rsidR="00EE77DF" w:rsidRPr="008252F7" w:rsidRDefault="00EE77DF" w:rsidP="004E1795">
      <w:pPr>
        <w:pStyle w:val="ListParagraph"/>
        <w:numPr>
          <w:ilvl w:val="0"/>
          <w:numId w:val="7"/>
        </w:numPr>
        <w:bidi/>
        <w:spacing w:after="120" w:line="216" w:lineRule="auto"/>
        <w:ind w:left="0" w:firstLine="0"/>
        <w:contextualSpacing w:val="0"/>
        <w:jc w:val="both"/>
        <w:rPr>
          <w:rFonts w:cs="Simplified Arabic"/>
          <w:sz w:val="22"/>
          <w:rtl/>
          <w:lang w:val="en-US"/>
        </w:rPr>
      </w:pPr>
      <w:r>
        <w:rPr>
          <w:rFonts w:cs="Simplified Arabic" w:hint="cs"/>
          <w:sz w:val="22"/>
          <w:rtl/>
          <w:lang w:val="en-US"/>
        </w:rPr>
        <w:t xml:space="preserve">وقررت الهيئة الفرعية إرجاء النظر في مشروع التوصية المقدم من الرئيسة </w:t>
      </w:r>
      <w:r w:rsidRPr="00E02A03">
        <w:rPr>
          <w:spacing w:val="-2"/>
          <w:kern w:val="22"/>
          <w:sz w:val="22"/>
          <w:szCs w:val="22"/>
          <w:lang w:val="en-GB"/>
        </w:rPr>
        <w:t>(CBD/SBI/3/CRP.</w:t>
      </w:r>
      <w:r w:rsidR="004E1795">
        <w:rPr>
          <w:spacing w:val="-2"/>
          <w:kern w:val="22"/>
          <w:sz w:val="22"/>
          <w:szCs w:val="22"/>
          <w:lang w:val="en-GB"/>
        </w:rPr>
        <w:t>16</w:t>
      </w:r>
      <w:r w:rsidRPr="00E02A03">
        <w:rPr>
          <w:spacing w:val="-2"/>
          <w:kern w:val="22"/>
          <w:sz w:val="22"/>
          <w:szCs w:val="22"/>
          <w:lang w:val="en-GB"/>
        </w:rPr>
        <w:t>)</w:t>
      </w:r>
      <w:r>
        <w:rPr>
          <w:rFonts w:cs="Simplified Arabic" w:hint="cs"/>
          <w:sz w:val="22"/>
          <w:rtl/>
          <w:lang w:val="en-US"/>
        </w:rPr>
        <w:t>، حتى الجزء الثاني من الاجتماع. وبناء عليه، من المتوقع أن تنظر الهي</w:t>
      </w:r>
      <w:r w:rsidR="004E1795">
        <w:rPr>
          <w:rFonts w:cs="Simplified Arabic" w:hint="cs"/>
          <w:sz w:val="22"/>
          <w:rtl/>
          <w:lang w:val="en-US"/>
        </w:rPr>
        <w:t>ئة الفرعية، في جلستها المستأنفة</w:t>
      </w:r>
      <w:r>
        <w:rPr>
          <w:rFonts w:cs="Simplified Arabic" w:hint="cs"/>
          <w:sz w:val="22"/>
          <w:rtl/>
          <w:lang w:val="en-US"/>
        </w:rPr>
        <w:t xml:space="preserve">، في مشروع التوصية الوارد في الوثيقة </w:t>
      </w:r>
      <w:r w:rsidRPr="00E02A03">
        <w:rPr>
          <w:spacing w:val="-2"/>
          <w:kern w:val="22"/>
          <w:sz w:val="22"/>
          <w:szCs w:val="22"/>
          <w:lang w:val="en-GB"/>
        </w:rPr>
        <w:t>CBD/SBI/3/CRP.</w:t>
      </w:r>
      <w:r w:rsidR="004E1795">
        <w:rPr>
          <w:spacing w:val="-2"/>
          <w:kern w:val="22"/>
          <w:sz w:val="22"/>
          <w:szCs w:val="22"/>
          <w:lang w:val="en-GB"/>
        </w:rPr>
        <w:t>16</w:t>
      </w:r>
      <w:r>
        <w:rPr>
          <w:rFonts w:cs="Simplified Arabic" w:hint="cs"/>
          <w:sz w:val="22"/>
          <w:rtl/>
          <w:lang w:val="en-US"/>
        </w:rPr>
        <w:t>، وتعتمد توصية.</w:t>
      </w:r>
    </w:p>
    <w:p w:rsidR="004E1795" w:rsidRPr="004E1795" w:rsidRDefault="004E1795" w:rsidP="004E1795">
      <w:pPr>
        <w:pStyle w:val="ListParagraph"/>
        <w:bidi/>
        <w:spacing w:after="120" w:line="216" w:lineRule="auto"/>
        <w:ind w:left="0"/>
        <w:contextualSpacing w:val="0"/>
        <w:jc w:val="both"/>
        <w:rPr>
          <w:rFonts w:ascii="Simplified Arabic" w:hAnsi="Simplified Arabic" w:cs="Simplified Arabic"/>
          <w:i/>
          <w:iCs/>
          <w:sz w:val="22"/>
          <w:lang w:val="en-US"/>
        </w:rPr>
      </w:pPr>
      <w:r w:rsidRPr="004E1795">
        <w:rPr>
          <w:rFonts w:ascii="Simplified Arabic" w:hAnsi="Simplified Arabic" w:cs="Simplified Arabic" w:hint="cs"/>
          <w:i/>
          <w:iCs/>
          <w:sz w:val="22"/>
          <w:rtl/>
          <w:lang w:val="en-US"/>
        </w:rPr>
        <w:t>العمل مع الحكومات دون الوطنية والمدن والسلطات المحلية الأخرى</w:t>
      </w:r>
    </w:p>
    <w:p w:rsidR="004E1795" w:rsidRPr="009A2FFF" w:rsidRDefault="004E1795" w:rsidP="004E1795">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أعدت الرئيسة مشروع توصية بشأن </w:t>
      </w:r>
      <w:r w:rsidRPr="004E1795">
        <w:rPr>
          <w:rFonts w:ascii="Simplified Arabic" w:hAnsi="Simplified Arabic" w:cs="Simplified Arabic" w:hint="cs"/>
          <w:sz w:val="22"/>
          <w:rtl/>
          <w:lang w:val="en-US"/>
        </w:rPr>
        <w:t xml:space="preserve">العمل مع الحكومات دون الوطنية والمدن والسلطات المحلية الأخرى </w:t>
      </w:r>
      <w:r>
        <w:rPr>
          <w:rFonts w:ascii="Simplified Arabic" w:hAnsi="Simplified Arabic" w:cs="Simplified Arabic" w:hint="cs"/>
          <w:sz w:val="22"/>
          <w:rtl/>
          <w:lang w:val="en-US"/>
        </w:rPr>
        <w:t>لتعزيز تنفيذ الإطار العالمي للتنوع البيولوجي لما بعد عام 2020، للنظر فيه في الجلسة العامة.</w:t>
      </w:r>
    </w:p>
    <w:p w:rsidR="00652EEA" w:rsidRPr="00963B97" w:rsidRDefault="004E1795" w:rsidP="004E1795">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cs="Simplified Arabic" w:hint="cs"/>
          <w:sz w:val="22"/>
          <w:rtl/>
          <w:lang w:val="en-US"/>
        </w:rPr>
        <w:t xml:space="preserve">وقررت الهيئة الفرعية إرجاء النظر في مشروع التوصية المقدم من الرئيسة </w:t>
      </w:r>
      <w:r w:rsidRPr="00E02A03">
        <w:rPr>
          <w:spacing w:val="-2"/>
          <w:kern w:val="22"/>
          <w:sz w:val="22"/>
          <w:szCs w:val="22"/>
          <w:lang w:val="en-GB"/>
        </w:rPr>
        <w:t>(CBD/SBI/3/CRP.</w:t>
      </w:r>
      <w:r>
        <w:rPr>
          <w:spacing w:val="-2"/>
          <w:kern w:val="22"/>
          <w:sz w:val="22"/>
          <w:szCs w:val="22"/>
          <w:lang w:val="en-GB"/>
        </w:rPr>
        <w:t>8</w:t>
      </w:r>
      <w:r w:rsidRPr="00E02A03">
        <w:rPr>
          <w:spacing w:val="-2"/>
          <w:kern w:val="22"/>
          <w:sz w:val="22"/>
          <w:szCs w:val="22"/>
          <w:lang w:val="en-GB"/>
        </w:rPr>
        <w:t>)</w:t>
      </w:r>
      <w:r>
        <w:rPr>
          <w:rFonts w:cs="Simplified Arabic" w:hint="cs"/>
          <w:sz w:val="22"/>
          <w:rtl/>
          <w:lang w:val="en-US"/>
        </w:rPr>
        <w:t xml:space="preserve">، حتى الجزء الثاني من الاجتماع. وبناء عليه، من المتوقع أن تنظر الهيئة الفرعية، في جلستها المستأنفة، في مشروع التوصية الوارد في الوثيقة </w:t>
      </w:r>
      <w:r w:rsidRPr="00E02A03">
        <w:rPr>
          <w:spacing w:val="-2"/>
          <w:kern w:val="22"/>
          <w:sz w:val="22"/>
          <w:szCs w:val="22"/>
          <w:lang w:val="en-GB"/>
        </w:rPr>
        <w:t>CBD/SBI/3/CRP.</w:t>
      </w:r>
      <w:r>
        <w:rPr>
          <w:spacing w:val="-2"/>
          <w:kern w:val="22"/>
          <w:sz w:val="22"/>
          <w:szCs w:val="22"/>
          <w:lang w:val="en-GB"/>
        </w:rPr>
        <w:t>8</w:t>
      </w:r>
      <w:r>
        <w:rPr>
          <w:rFonts w:cs="Simplified Arabic" w:hint="cs"/>
          <w:sz w:val="22"/>
          <w:rtl/>
          <w:lang w:val="en-US"/>
        </w:rPr>
        <w:t>، وتعتمد توصية.</w:t>
      </w:r>
    </w:p>
    <w:p w:rsidR="00D74C52" w:rsidRPr="00A56010" w:rsidRDefault="00A56010" w:rsidP="00A56010">
      <w:pPr>
        <w:bidi/>
        <w:spacing w:after="120" w:line="216" w:lineRule="auto"/>
        <w:ind w:left="2160" w:right="540" w:hanging="1170"/>
        <w:jc w:val="both"/>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12-</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الصكوك </w:t>
      </w:r>
      <w:r w:rsidR="00956220" w:rsidRPr="00A56010">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 xml:space="preserve">دولية </w:t>
      </w:r>
      <w:r w:rsidR="00956220" w:rsidRPr="00A56010">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 xml:space="preserve">متخصصة للحصول وتقاسم المنافع في سياق المادة </w:t>
      </w:r>
      <w:r w:rsidR="00956220" w:rsidRPr="00A56010">
        <w:rPr>
          <w:rFonts w:ascii="Simplified Arabic" w:hAnsi="Simplified Arabic" w:cs="Simplified Arabic" w:hint="cs"/>
          <w:b/>
          <w:bCs/>
          <w:sz w:val="28"/>
          <w:szCs w:val="28"/>
          <w:rtl/>
          <w:lang w:val="en-US"/>
        </w:rPr>
        <w:t>4، الفقرة 4، من بروتوكول ناغويا</w:t>
      </w:r>
    </w:p>
    <w:p w:rsidR="00FD05BD" w:rsidRDefault="00FD05BD" w:rsidP="00FD05B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نظرت الهيئة الفرعية للتنفيذ في البند 12 من جدول الأعمال في الجزء الأول من اجتماعها الثالث ووافقت على مشروع توصية بشأن الصكوك الدولية المتخصصة للحصول وتقاسم المنافع في سياق المادة 4، الفقرة 4 من بروتوكول ناغويا، </w:t>
      </w:r>
      <w:r w:rsidRPr="00584721">
        <w:rPr>
          <w:bCs/>
          <w:kern w:val="22"/>
          <w:sz w:val="22"/>
          <w:szCs w:val="22"/>
          <w:lang w:val="en-GB"/>
        </w:rPr>
        <w:t>CBD/SBI/3/L.6</w:t>
      </w:r>
      <w:r>
        <w:rPr>
          <w:rFonts w:ascii="Simplified Arabic" w:hAnsi="Simplified Arabic" w:cs="Simplified Arabic" w:hint="cs"/>
          <w:sz w:val="22"/>
          <w:rtl/>
          <w:lang w:val="en-US"/>
        </w:rPr>
        <w:t>، لاعتماده الرسمي في مرحلة لاحقة.</w:t>
      </w:r>
    </w:p>
    <w:p w:rsidR="00652EEA" w:rsidRPr="00166176" w:rsidRDefault="00FD05BD" w:rsidP="00FD05BD">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cs="Simplified Arabic" w:hint="cs"/>
          <w:sz w:val="22"/>
          <w:rtl/>
          <w:lang w:val="en-US"/>
        </w:rPr>
        <w:t xml:space="preserve">وبناء عليه، من المتوقع أن تنظر الهيئة الفرعية، في جلستها المستأنفة، في مشروع التوصية الوارد في الوثيقة </w:t>
      </w:r>
      <w:r w:rsidRPr="00E02A03">
        <w:rPr>
          <w:spacing w:val="-2"/>
          <w:kern w:val="22"/>
          <w:sz w:val="22"/>
          <w:szCs w:val="22"/>
          <w:lang w:val="en-GB"/>
        </w:rPr>
        <w:t>CBD/SBI/3/</w:t>
      </w:r>
      <w:r>
        <w:rPr>
          <w:spacing w:val="-2"/>
          <w:kern w:val="22"/>
          <w:sz w:val="22"/>
          <w:szCs w:val="22"/>
          <w:lang w:val="en-GB"/>
        </w:rPr>
        <w:t>L</w:t>
      </w:r>
      <w:r w:rsidRPr="00E02A03">
        <w:rPr>
          <w:spacing w:val="-2"/>
          <w:kern w:val="22"/>
          <w:sz w:val="22"/>
          <w:szCs w:val="22"/>
          <w:lang w:val="en-GB"/>
        </w:rPr>
        <w:t>.</w:t>
      </w:r>
      <w:r>
        <w:rPr>
          <w:spacing w:val="-2"/>
          <w:kern w:val="22"/>
          <w:sz w:val="22"/>
          <w:szCs w:val="22"/>
          <w:lang w:val="en-GB"/>
        </w:rPr>
        <w:t>6</w:t>
      </w:r>
      <w:r>
        <w:rPr>
          <w:rFonts w:cs="Simplified Arabic" w:hint="cs"/>
          <w:sz w:val="22"/>
          <w:rtl/>
          <w:lang w:val="en-US"/>
        </w:rPr>
        <w:t>، وتعتمد توصية.</w:t>
      </w:r>
    </w:p>
    <w:p w:rsidR="00D31AEB" w:rsidRPr="00A56010" w:rsidRDefault="00A56010" w:rsidP="00B61377">
      <w:pPr>
        <w:bidi/>
        <w:spacing w:after="120" w:line="216" w:lineRule="auto"/>
        <w:ind w:left="2790" w:right="1890" w:hanging="1350"/>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13 -</w:t>
      </w:r>
      <w:r w:rsidRPr="00A56010">
        <w:rPr>
          <w:rFonts w:ascii="Simplified Arabic" w:hAnsi="Simplified Arabic" w:cs="Simplified Arabic" w:hint="cs"/>
          <w:b/>
          <w:bCs/>
          <w:sz w:val="28"/>
          <w:szCs w:val="28"/>
          <w:rtl/>
          <w:lang w:val="en-GB" w:bidi="ar-EG"/>
        </w:rPr>
        <w:tab/>
      </w:r>
      <w:r w:rsidR="00D31AEB" w:rsidRPr="00A56010">
        <w:rPr>
          <w:rFonts w:ascii="Simplified Arabic" w:hAnsi="Simplified Arabic" w:cs="Simplified Arabic" w:hint="cs"/>
          <w:b/>
          <w:bCs/>
          <w:sz w:val="28"/>
          <w:szCs w:val="28"/>
          <w:rtl/>
          <w:lang w:val="en-GB" w:bidi="ar-EG"/>
        </w:rPr>
        <w:t>الآلية العالمية المتعددة الأطراف لتقاسم المنافع</w:t>
      </w:r>
      <w:r w:rsidR="00652EEA" w:rsidRPr="00A56010">
        <w:rPr>
          <w:rFonts w:ascii="Simplified Arabic" w:hAnsi="Simplified Arabic" w:cs="Simplified Arabic" w:hint="cs"/>
          <w:b/>
          <w:bCs/>
          <w:sz w:val="28"/>
          <w:szCs w:val="28"/>
          <w:rtl/>
          <w:lang w:val="en-GB" w:bidi="ar-EG"/>
        </w:rPr>
        <w:t xml:space="preserve"> (المادة 10 من بروتوكول ناغويا)</w:t>
      </w:r>
    </w:p>
    <w:p w:rsidR="00FD05BD" w:rsidRDefault="00FD05BD" w:rsidP="00FD05B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نظرت الهيئة الفرعية للتنفيذ في البند 13 من جدول الأعمال في الجزء الأول من اجتماعها الثالث.</w:t>
      </w:r>
    </w:p>
    <w:p w:rsidR="00FD05BD" w:rsidRPr="009A2FFF" w:rsidRDefault="00FD05BD" w:rsidP="00FD05B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وبمساعدة من فريق اتصال، أعدت الرئيسة مشروع توصية بشأن</w:t>
      </w:r>
      <w:r w:rsidRPr="00FD05BD">
        <w:rPr>
          <w:rFonts w:ascii="Simplified Arabic" w:hAnsi="Simplified Arabic" w:cs="Simplified Arabic" w:hint="cs"/>
          <w:rtl/>
          <w:lang w:val="en-GB" w:bidi="ar-EG"/>
        </w:rPr>
        <w:t xml:space="preserve"> الآلية العالمية المتعددة الأطراف لتقاسم المنافع</w:t>
      </w:r>
      <w:r>
        <w:rPr>
          <w:rFonts w:ascii="Simplified Arabic" w:hAnsi="Simplified Arabic" w:cs="Simplified Arabic" w:hint="cs"/>
          <w:sz w:val="22"/>
          <w:rtl/>
          <w:lang w:val="en-US"/>
        </w:rPr>
        <w:t xml:space="preserve"> للنظر فيه في الجلسة العامة.</w:t>
      </w:r>
    </w:p>
    <w:p w:rsidR="00652EEA" w:rsidRPr="00884114" w:rsidRDefault="00FD05BD" w:rsidP="00FD05BD">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cs="Simplified Arabic" w:hint="cs"/>
          <w:sz w:val="22"/>
          <w:rtl/>
          <w:lang w:val="en-US"/>
        </w:rPr>
        <w:t xml:space="preserve">وقررت الهيئة الفرعية إرجاء النظر في مشروع التوصية المقدم من الرئيسة </w:t>
      </w:r>
      <w:r w:rsidRPr="00E02A03">
        <w:rPr>
          <w:spacing w:val="-2"/>
          <w:kern w:val="22"/>
          <w:sz w:val="22"/>
          <w:szCs w:val="22"/>
          <w:lang w:val="en-GB"/>
        </w:rPr>
        <w:t>(CBD/SBI/3/CRP.</w:t>
      </w:r>
      <w:r>
        <w:rPr>
          <w:spacing w:val="-2"/>
          <w:kern w:val="22"/>
          <w:sz w:val="22"/>
          <w:szCs w:val="22"/>
          <w:lang w:val="en-GB"/>
        </w:rPr>
        <w:t>12</w:t>
      </w:r>
      <w:r w:rsidRPr="00E02A03">
        <w:rPr>
          <w:spacing w:val="-2"/>
          <w:kern w:val="22"/>
          <w:sz w:val="22"/>
          <w:szCs w:val="22"/>
          <w:lang w:val="en-GB"/>
        </w:rPr>
        <w:t>)</w:t>
      </w:r>
      <w:r>
        <w:rPr>
          <w:rFonts w:cs="Simplified Arabic" w:hint="cs"/>
          <w:sz w:val="22"/>
          <w:rtl/>
          <w:lang w:val="en-US"/>
        </w:rPr>
        <w:t xml:space="preserve">، حتى الجزء الثاني من الاجتماع. وبناء عليه، من المتوقع أن تنظر الهيئة الفرعية، في جلستها المستأنفة، في مشروع التوصية الوارد في الوثيقة </w:t>
      </w:r>
      <w:r w:rsidRPr="00E02A03">
        <w:rPr>
          <w:spacing w:val="-2"/>
          <w:kern w:val="22"/>
          <w:sz w:val="22"/>
          <w:szCs w:val="22"/>
          <w:lang w:val="en-GB"/>
        </w:rPr>
        <w:t>CBD/SBI/3/CRP.</w:t>
      </w:r>
      <w:r>
        <w:rPr>
          <w:spacing w:val="-2"/>
          <w:kern w:val="22"/>
          <w:sz w:val="22"/>
          <w:szCs w:val="22"/>
          <w:lang w:val="en-GB"/>
        </w:rPr>
        <w:t>12</w:t>
      </w:r>
      <w:r>
        <w:rPr>
          <w:rFonts w:cs="Simplified Arabic" w:hint="cs"/>
          <w:sz w:val="22"/>
          <w:rtl/>
          <w:lang w:val="en-US"/>
        </w:rPr>
        <w:t>، وتعتمد توصية.</w:t>
      </w:r>
    </w:p>
    <w:p w:rsidR="009C046D" w:rsidRPr="00A56010" w:rsidRDefault="00A56010" w:rsidP="00AE211C">
      <w:pPr>
        <w:bidi/>
        <w:spacing w:after="120" w:line="216" w:lineRule="auto"/>
        <w:jc w:val="center"/>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14 -</w:t>
      </w:r>
      <w:r w:rsidRPr="00A56010">
        <w:rPr>
          <w:rFonts w:ascii="Simplified Arabic" w:hAnsi="Simplified Arabic" w:cs="Simplified Arabic" w:hint="cs"/>
          <w:b/>
          <w:bCs/>
          <w:sz w:val="28"/>
          <w:szCs w:val="28"/>
          <w:rtl/>
          <w:lang w:val="en-GB" w:bidi="ar-EG"/>
        </w:rPr>
        <w:tab/>
      </w:r>
      <w:r w:rsidR="009C046D" w:rsidRPr="00A56010">
        <w:rPr>
          <w:rFonts w:ascii="Simplified Arabic" w:hAnsi="Simplified Arabic" w:cs="Simplified Arabic" w:hint="cs"/>
          <w:b/>
          <w:bCs/>
          <w:sz w:val="28"/>
          <w:szCs w:val="28"/>
          <w:rtl/>
          <w:lang w:val="en-GB" w:bidi="ar-EG"/>
        </w:rPr>
        <w:t>الشؤون الإدارية والشؤون</w:t>
      </w:r>
      <w:r w:rsidR="00652EEA" w:rsidRPr="00A56010">
        <w:rPr>
          <w:rFonts w:ascii="Simplified Arabic" w:hAnsi="Simplified Arabic" w:cs="Simplified Arabic" w:hint="cs"/>
          <w:b/>
          <w:bCs/>
          <w:sz w:val="28"/>
          <w:szCs w:val="28"/>
          <w:rtl/>
          <w:lang w:val="en-GB" w:bidi="ar-EG"/>
        </w:rPr>
        <w:t xml:space="preserve"> المتعلقة بالميزانية</w:t>
      </w:r>
    </w:p>
    <w:p w:rsidR="00FD05BD" w:rsidRDefault="00FD05BD" w:rsidP="004F6FC5">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نظرت الهيئة الفرعية في البند </w:t>
      </w:r>
      <w:r w:rsidR="004F6FC5">
        <w:rPr>
          <w:rFonts w:ascii="Simplified Arabic" w:hAnsi="Simplified Arabic" w:cs="Simplified Arabic" w:hint="cs"/>
          <w:sz w:val="22"/>
          <w:rtl/>
          <w:lang w:val="en-US"/>
        </w:rPr>
        <w:t>13</w:t>
      </w:r>
      <w:r>
        <w:rPr>
          <w:rFonts w:ascii="Simplified Arabic" w:hAnsi="Simplified Arabic" w:cs="Simplified Arabic" w:hint="cs"/>
          <w:sz w:val="22"/>
          <w:rtl/>
          <w:lang w:val="en-US"/>
        </w:rPr>
        <w:t xml:space="preserve"> من جدول الأعمال في جلستها العامة التاسعة من الجزء الأول من الاجتماع، المنعقدة في 13 يونيه/حزيران 2021. وكان أمامها مذكرة منقحة من الأمينة التنفيذية عن الاتجاهات في ميزانيات الاتفاقية وبروتوكوليها </w:t>
      </w:r>
      <w:r w:rsidR="00496313" w:rsidRPr="00E02A03">
        <w:rPr>
          <w:rFonts w:eastAsia="Malgun Gothic"/>
          <w:spacing w:val="-2"/>
          <w:kern w:val="22"/>
          <w:sz w:val="22"/>
          <w:szCs w:val="22"/>
          <w:lang w:val="en-GB"/>
        </w:rPr>
        <w:t>(CBD/SBI/3/17/Rev.1)</w:t>
      </w:r>
      <w:r>
        <w:rPr>
          <w:rFonts w:ascii="Simplified Arabic" w:hAnsi="Simplified Arabic" w:cs="Simplified Arabic" w:hint="cs"/>
          <w:sz w:val="22"/>
          <w:rtl/>
          <w:lang w:val="en-US"/>
        </w:rPr>
        <w:t>، تقدم تحديثا عن الشؤ</w:t>
      </w:r>
      <w:r w:rsidR="00496313">
        <w:rPr>
          <w:rFonts w:ascii="Simplified Arabic" w:hAnsi="Simplified Arabic" w:cs="Simplified Arabic" w:hint="cs"/>
          <w:sz w:val="22"/>
          <w:rtl/>
          <w:lang w:val="en-US"/>
        </w:rPr>
        <w:t xml:space="preserve">ون </w:t>
      </w:r>
      <w:r w:rsidR="004F6FC5">
        <w:rPr>
          <w:rFonts w:ascii="Simplified Arabic" w:hAnsi="Simplified Arabic" w:cs="Simplified Arabic" w:hint="cs"/>
          <w:sz w:val="22"/>
          <w:rtl/>
          <w:lang w:val="en-US"/>
        </w:rPr>
        <w:t>المالية و</w:t>
      </w:r>
      <w:r w:rsidR="00496313">
        <w:rPr>
          <w:rFonts w:ascii="Simplified Arabic" w:hAnsi="Simplified Arabic" w:cs="Simplified Arabic" w:hint="cs"/>
          <w:sz w:val="22"/>
          <w:rtl/>
          <w:lang w:val="en-US"/>
        </w:rPr>
        <w:t xml:space="preserve">الإدارية </w:t>
      </w:r>
      <w:r w:rsidR="004F6FC5">
        <w:rPr>
          <w:rFonts w:ascii="Simplified Arabic" w:hAnsi="Simplified Arabic" w:cs="Simplified Arabic" w:hint="cs"/>
          <w:sz w:val="22"/>
          <w:rtl/>
          <w:lang w:val="en-US"/>
        </w:rPr>
        <w:t>ل</w:t>
      </w:r>
      <w:r w:rsidR="00496313">
        <w:rPr>
          <w:rFonts w:ascii="Simplified Arabic" w:hAnsi="Simplified Arabic" w:cs="Simplified Arabic" w:hint="cs"/>
          <w:sz w:val="22"/>
          <w:rtl/>
          <w:lang w:val="en-US"/>
        </w:rPr>
        <w:t xml:space="preserve">لأمانة للفترة من يناير/كانون الثاني 2019 إلى 31 ديسمبر/كانون الأول 2020. وأتيحت المعلومات ذات الصلة بالشؤون الإدارية والمالية مثل جداول المساهمات، والبيانات المالية وتقارير المراجعة، على الموقع الشبكي للاتفاقية: </w:t>
      </w:r>
      <w:hyperlink r:id="rId11" w:history="1">
        <w:r w:rsidR="00496313" w:rsidRPr="00496313">
          <w:rPr>
            <w:rStyle w:val="Hyperlink"/>
            <w:rFonts w:eastAsia="Malgun Gothic"/>
            <w:spacing w:val="-2"/>
            <w:kern w:val="22"/>
            <w:sz w:val="22"/>
            <w:szCs w:val="22"/>
            <w:lang w:val="en-GB"/>
          </w:rPr>
          <w:t>https://www.cbd.int/information/adm-fin/</w:t>
        </w:r>
      </w:hyperlink>
      <w:r w:rsidR="00496313">
        <w:rPr>
          <w:rFonts w:ascii="Simplified Arabic" w:hAnsi="Simplified Arabic" w:cs="Simplified Arabic" w:hint="cs"/>
          <w:sz w:val="22"/>
          <w:rtl/>
          <w:lang w:val="en-US"/>
        </w:rPr>
        <w:t>.</w:t>
      </w:r>
    </w:p>
    <w:p w:rsidR="00A56010" w:rsidRPr="00D31AEB" w:rsidRDefault="00496313" w:rsidP="00FD05B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وبناء عليه، من المتوقع أن تتناول الهيئة الفرعية هذا البند في اجتماعها المستأنف</w:t>
      </w:r>
      <w:r w:rsidR="00A56010">
        <w:rPr>
          <w:rFonts w:ascii="Simplified Arabic" w:hAnsi="Simplified Arabic" w:cs="Simplified Arabic" w:hint="cs"/>
          <w:sz w:val="22"/>
          <w:rtl/>
          <w:lang w:val="en-US"/>
        </w:rPr>
        <w:t>.</w:t>
      </w:r>
    </w:p>
    <w:p w:rsidR="00E6057C" w:rsidRPr="00A56010" w:rsidRDefault="00A56010" w:rsidP="00A56010">
      <w:pPr>
        <w:bidi/>
        <w:spacing w:after="120" w:line="216" w:lineRule="auto"/>
        <w:jc w:val="center"/>
        <w:rPr>
          <w:rFonts w:ascii="Simplified Arabic" w:hAnsi="Simplified Arabic" w:cs="Simplified Arabic"/>
          <w:b/>
          <w:bCs/>
          <w:sz w:val="28"/>
          <w:szCs w:val="28"/>
          <w:rtl/>
          <w:lang w:val="en-GB" w:bidi="ar-EG"/>
        </w:rPr>
      </w:pPr>
      <w:r w:rsidRPr="00A56010">
        <w:rPr>
          <w:rFonts w:ascii="Simplified Arabic" w:hAnsi="Simplified Arabic" w:cs="Simplified Arabic" w:hint="cs"/>
          <w:b/>
          <w:bCs/>
          <w:sz w:val="28"/>
          <w:szCs w:val="28"/>
          <w:rtl/>
          <w:lang w:val="en-GB" w:bidi="ar-EG"/>
        </w:rPr>
        <w:t>البند 15 -</w:t>
      </w:r>
      <w:r w:rsidRPr="00A56010">
        <w:rPr>
          <w:rFonts w:ascii="Simplified Arabic" w:hAnsi="Simplified Arabic" w:cs="Simplified Arabic" w:hint="cs"/>
          <w:b/>
          <w:bCs/>
          <w:sz w:val="28"/>
          <w:szCs w:val="28"/>
          <w:rtl/>
          <w:lang w:val="en-GB" w:bidi="ar-EG"/>
        </w:rPr>
        <w:tab/>
      </w:r>
      <w:r w:rsidR="00E6057C" w:rsidRPr="00A56010">
        <w:rPr>
          <w:rFonts w:ascii="Simplified Arabic" w:hAnsi="Simplified Arabic" w:cs="Simplified Arabic"/>
          <w:b/>
          <w:bCs/>
          <w:sz w:val="28"/>
          <w:szCs w:val="28"/>
          <w:rtl/>
          <w:lang w:val="en-GB" w:bidi="ar-EG"/>
        </w:rPr>
        <w:t>شؤون</w:t>
      </w:r>
      <w:r w:rsidR="00652EEA" w:rsidRPr="00A56010">
        <w:rPr>
          <w:rFonts w:ascii="Simplified Arabic" w:hAnsi="Simplified Arabic" w:cs="Simplified Arabic"/>
          <w:b/>
          <w:bCs/>
          <w:sz w:val="28"/>
          <w:szCs w:val="28"/>
          <w:rtl/>
          <w:lang w:val="en-GB" w:bidi="ar-EG"/>
        </w:rPr>
        <w:t xml:space="preserve"> أخرى</w:t>
      </w:r>
    </w:p>
    <w:p w:rsidR="00A56010" w:rsidRPr="00D31AEB" w:rsidRDefault="0046313A"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في إطار هذا البند، قد تتناول الهيئة الفرعية الشؤون الأخرى المتعلقة بموضوع المسألة الخاصة بالاجتماع.</w:t>
      </w:r>
    </w:p>
    <w:p w:rsidR="00E6057C" w:rsidRPr="00A56010" w:rsidRDefault="00A56010" w:rsidP="00A56010">
      <w:pPr>
        <w:bidi/>
        <w:spacing w:after="120" w:line="216" w:lineRule="auto"/>
        <w:jc w:val="center"/>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16 -</w:t>
      </w:r>
      <w:r w:rsidRPr="00A56010">
        <w:rPr>
          <w:rFonts w:ascii="Simplified Arabic" w:hAnsi="Simplified Arabic" w:cs="Simplified Arabic" w:hint="cs"/>
          <w:b/>
          <w:bCs/>
          <w:sz w:val="28"/>
          <w:szCs w:val="28"/>
          <w:rtl/>
          <w:lang w:val="en-GB" w:bidi="ar-EG"/>
        </w:rPr>
        <w:tab/>
      </w:r>
      <w:r w:rsidR="00E6057C" w:rsidRPr="00A56010">
        <w:rPr>
          <w:rFonts w:ascii="Simplified Arabic" w:hAnsi="Simplified Arabic" w:cs="Simplified Arabic"/>
          <w:b/>
          <w:bCs/>
          <w:sz w:val="28"/>
          <w:szCs w:val="28"/>
          <w:rtl/>
          <w:lang w:val="en-GB" w:bidi="ar-EG"/>
        </w:rPr>
        <w:t>اعتماد</w:t>
      </w:r>
      <w:r w:rsidR="00652EEA" w:rsidRPr="00A56010">
        <w:rPr>
          <w:rFonts w:ascii="Simplified Arabic" w:hAnsi="Simplified Arabic" w:cs="Simplified Arabic"/>
          <w:b/>
          <w:bCs/>
          <w:sz w:val="28"/>
          <w:szCs w:val="28"/>
          <w:rtl/>
          <w:lang w:val="en-GB" w:bidi="ar-EG"/>
        </w:rPr>
        <w:t xml:space="preserve"> التقرير</w:t>
      </w:r>
    </w:p>
    <w:p w:rsidR="00A56010" w:rsidRPr="00D31AEB" w:rsidRDefault="0046313A" w:rsidP="0049631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cs="Simplified Arabic" w:hint="cs"/>
          <w:sz w:val="22"/>
          <w:rtl/>
          <w:lang w:bidi="ar-EG"/>
        </w:rPr>
        <w:t>ست</w:t>
      </w:r>
      <w:r w:rsidR="008A5EBE">
        <w:rPr>
          <w:rFonts w:cs="Simplified Arabic" w:hint="cs"/>
          <w:sz w:val="22"/>
          <w:rtl/>
          <w:lang w:bidi="ar-EG"/>
        </w:rPr>
        <w:t>ُ</w:t>
      </w:r>
      <w:r>
        <w:rPr>
          <w:rFonts w:cs="Simplified Arabic" w:hint="cs"/>
          <w:sz w:val="22"/>
          <w:rtl/>
          <w:lang w:bidi="ar-EG"/>
        </w:rPr>
        <w:t>دعى</w:t>
      </w:r>
      <w:r w:rsidRPr="001B03CF">
        <w:rPr>
          <w:rFonts w:cs="Simplified Arabic"/>
          <w:sz w:val="22"/>
          <w:rtl/>
          <w:lang w:bidi="ar-EG"/>
        </w:rPr>
        <w:t xml:space="preserve"> الهيئة الفرعية </w:t>
      </w:r>
      <w:r>
        <w:rPr>
          <w:rFonts w:cs="Simplified Arabic" w:hint="cs"/>
          <w:sz w:val="22"/>
          <w:rtl/>
          <w:lang w:bidi="ar-EG"/>
        </w:rPr>
        <w:t xml:space="preserve">إلى النظر </w:t>
      </w:r>
      <w:r>
        <w:rPr>
          <w:rFonts w:cs="Simplified Arabic"/>
          <w:sz w:val="22"/>
          <w:rtl/>
          <w:lang w:bidi="ar-EG"/>
        </w:rPr>
        <w:t>في تقرير</w:t>
      </w:r>
      <w:r>
        <w:rPr>
          <w:rFonts w:cs="Simplified Arabic" w:hint="cs"/>
          <w:sz w:val="22"/>
          <w:rtl/>
          <w:lang w:bidi="ar-EG"/>
        </w:rPr>
        <w:t xml:space="preserve"> عملها في </w:t>
      </w:r>
      <w:r w:rsidR="00496313">
        <w:rPr>
          <w:rFonts w:cs="Simplified Arabic" w:hint="cs"/>
          <w:sz w:val="22"/>
          <w:rtl/>
          <w:lang w:bidi="ar-EG"/>
        </w:rPr>
        <w:t xml:space="preserve">جلستها المستأنفة </w:t>
      </w:r>
      <w:r w:rsidRPr="001B03CF">
        <w:rPr>
          <w:rFonts w:cs="Simplified Arabic"/>
          <w:sz w:val="22"/>
          <w:rtl/>
          <w:lang w:bidi="ar-EG"/>
        </w:rPr>
        <w:t>وتعتمده</w:t>
      </w:r>
      <w:r>
        <w:rPr>
          <w:rFonts w:cs="Simplified Arabic" w:hint="cs"/>
          <w:sz w:val="22"/>
          <w:rtl/>
          <w:lang w:bidi="ar-EG"/>
        </w:rPr>
        <w:t xml:space="preserve"> على أساس مشروع التقرير الذي أعده المقرر</w:t>
      </w:r>
      <w:r w:rsidRPr="001B03CF">
        <w:rPr>
          <w:rFonts w:cs="Simplified Arabic"/>
          <w:sz w:val="22"/>
          <w:rtl/>
          <w:lang w:bidi="ar-EG"/>
        </w:rPr>
        <w:t>.</w:t>
      </w:r>
    </w:p>
    <w:p w:rsidR="00E6057C" w:rsidRPr="00405BF3" w:rsidRDefault="00A56010" w:rsidP="00405BF3">
      <w:pPr>
        <w:bidi/>
        <w:spacing w:after="120" w:line="216" w:lineRule="auto"/>
        <w:jc w:val="center"/>
        <w:rPr>
          <w:rFonts w:ascii="Simplified Arabic" w:hAnsi="Simplified Arabic" w:cs="Simplified Arabic"/>
          <w:b/>
          <w:bCs/>
          <w:sz w:val="28"/>
          <w:szCs w:val="28"/>
          <w:rtl/>
          <w:lang w:val="en-GB" w:bidi="ar-EG"/>
        </w:rPr>
      </w:pPr>
      <w:r w:rsidRPr="00405BF3">
        <w:rPr>
          <w:rFonts w:ascii="Simplified Arabic" w:hAnsi="Simplified Arabic" w:cs="Simplified Arabic" w:hint="cs"/>
          <w:b/>
          <w:bCs/>
          <w:sz w:val="28"/>
          <w:szCs w:val="28"/>
          <w:rtl/>
          <w:lang w:val="en-GB" w:bidi="ar-EG"/>
        </w:rPr>
        <w:t>البند 17 -</w:t>
      </w:r>
      <w:r w:rsidRPr="00405BF3">
        <w:rPr>
          <w:rFonts w:ascii="Simplified Arabic" w:hAnsi="Simplified Arabic" w:cs="Simplified Arabic" w:hint="cs"/>
          <w:b/>
          <w:bCs/>
          <w:sz w:val="28"/>
          <w:szCs w:val="28"/>
          <w:rtl/>
          <w:lang w:val="en-GB" w:bidi="ar-EG"/>
        </w:rPr>
        <w:tab/>
      </w:r>
      <w:r w:rsidR="00652EEA" w:rsidRPr="00405BF3">
        <w:rPr>
          <w:rFonts w:ascii="Simplified Arabic" w:hAnsi="Simplified Arabic" w:cs="Simplified Arabic"/>
          <w:b/>
          <w:bCs/>
          <w:sz w:val="28"/>
          <w:szCs w:val="28"/>
          <w:rtl/>
          <w:lang w:val="en-GB" w:bidi="ar-EG"/>
        </w:rPr>
        <w:t>اختتام الاجتماع</w:t>
      </w:r>
    </w:p>
    <w:p w:rsidR="00A56010" w:rsidRPr="00D31AEB" w:rsidRDefault="0046313A" w:rsidP="00BE5DAC">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1B03CF">
        <w:rPr>
          <w:rFonts w:cs="Simplified Arabic" w:hint="cs"/>
          <w:sz w:val="22"/>
          <w:rtl/>
          <w:lang w:bidi="ar-EG"/>
        </w:rPr>
        <w:t>من</w:t>
      </w:r>
      <w:r w:rsidRPr="001B03CF">
        <w:rPr>
          <w:rFonts w:cs="Simplified Arabic"/>
          <w:sz w:val="22"/>
          <w:rtl/>
          <w:lang w:bidi="ar-EG"/>
        </w:rPr>
        <w:t xml:space="preserve"> ال</w:t>
      </w:r>
      <w:r>
        <w:rPr>
          <w:rFonts w:cs="Simplified Arabic" w:hint="cs"/>
          <w:sz w:val="22"/>
          <w:rtl/>
          <w:lang w:bidi="ar-EG"/>
        </w:rPr>
        <w:t>متوقع</w:t>
      </w:r>
      <w:r w:rsidRPr="001B03CF">
        <w:rPr>
          <w:rFonts w:cs="Simplified Arabic"/>
          <w:sz w:val="22"/>
          <w:rtl/>
          <w:lang w:bidi="ar-EG"/>
        </w:rPr>
        <w:t xml:space="preserve"> اختتام الاجتماع </w:t>
      </w:r>
      <w:r w:rsidR="00496313">
        <w:rPr>
          <w:rFonts w:cs="Simplified Arabic" w:hint="cs"/>
          <w:sz w:val="22"/>
          <w:rtl/>
          <w:lang w:bidi="ar-EG"/>
        </w:rPr>
        <w:t xml:space="preserve">المشترك </w:t>
      </w:r>
      <w:r w:rsidRPr="001B03CF">
        <w:rPr>
          <w:rFonts w:cs="Simplified Arabic"/>
          <w:sz w:val="22"/>
          <w:rtl/>
          <w:lang w:bidi="ar-EG"/>
        </w:rPr>
        <w:t xml:space="preserve">في الساعة </w:t>
      </w:r>
      <w:r w:rsidRPr="001B03CF">
        <w:rPr>
          <w:rFonts w:cs="Simplified Arabic" w:hint="cs"/>
          <w:sz w:val="22"/>
          <w:rtl/>
          <w:lang w:bidi="ar-EG"/>
        </w:rPr>
        <w:t>السادسة مساء</w:t>
      </w:r>
      <w:r w:rsidR="00496313">
        <w:rPr>
          <w:rFonts w:cs="Simplified Arabic" w:hint="cs"/>
          <w:sz w:val="22"/>
          <w:rtl/>
          <w:lang w:bidi="ar-EG"/>
        </w:rPr>
        <w:t>، في</w:t>
      </w:r>
      <w:r>
        <w:rPr>
          <w:rFonts w:cs="Simplified Arabic" w:hint="cs"/>
          <w:sz w:val="22"/>
          <w:rtl/>
          <w:lang w:val="en-GB" w:bidi="ar-EG"/>
        </w:rPr>
        <w:t xml:space="preserve"> </w:t>
      </w:r>
      <w:r w:rsidR="00BE5DAC">
        <w:rPr>
          <w:rFonts w:cs="Simplified Arabic" w:hint="cs"/>
          <w:sz w:val="22"/>
          <w:rtl/>
          <w:lang w:val="en-GB" w:bidi="ar-EG"/>
        </w:rPr>
        <w:t>29 مارس</w:t>
      </w:r>
      <w:r w:rsidR="00496313">
        <w:rPr>
          <w:rFonts w:cs="Simplified Arabic" w:hint="cs"/>
          <w:sz w:val="22"/>
          <w:rtl/>
          <w:lang w:val="en-GB" w:bidi="ar-EG"/>
        </w:rPr>
        <w:t>/</w:t>
      </w:r>
      <w:r w:rsidR="00BE5DAC">
        <w:rPr>
          <w:rFonts w:cs="Simplified Arabic" w:hint="cs"/>
          <w:sz w:val="22"/>
          <w:rtl/>
          <w:lang w:val="en-GB" w:bidi="ar-EG"/>
        </w:rPr>
        <w:t>آذار</w:t>
      </w:r>
      <w:r w:rsidR="00496313">
        <w:rPr>
          <w:rFonts w:cs="Simplified Arabic" w:hint="cs"/>
          <w:sz w:val="22"/>
          <w:rtl/>
          <w:lang w:val="en-GB" w:bidi="ar-EG"/>
        </w:rPr>
        <w:t xml:space="preserve"> 2022</w:t>
      </w:r>
      <w:r w:rsidRPr="001B03CF">
        <w:rPr>
          <w:rFonts w:cs="Simplified Arabic" w:hint="cs"/>
          <w:sz w:val="22"/>
          <w:rtl/>
          <w:lang w:val="en-GB" w:bidi="ar-EG"/>
        </w:rPr>
        <w:t>.</w:t>
      </w:r>
      <w:r w:rsidR="00496313">
        <w:rPr>
          <w:rFonts w:cs="Simplified Arabic" w:hint="cs"/>
          <w:sz w:val="22"/>
          <w:rtl/>
          <w:lang w:val="en-GB" w:bidi="ar-EG"/>
        </w:rPr>
        <w:t xml:space="preserve"> وسيدعا رئيس الاجتماع الخامس عشر لمؤتمر الأطراف إلى الإدلاء ببيان ختامي.</w:t>
      </w:r>
    </w:p>
    <w:p w:rsidR="002D034E" w:rsidRPr="00EE0D8E" w:rsidRDefault="002D034E" w:rsidP="002E032D">
      <w:pPr>
        <w:jc w:val="center"/>
        <w:rPr>
          <w:rFonts w:ascii="Simplified Arabic" w:hAnsi="Simplified Arabic" w:cs="Simplified Arabic"/>
          <w:i/>
          <w:iCs/>
          <w:rtl/>
          <w:lang w:val="en-GB" w:bidi="ar-EG"/>
        </w:rPr>
      </w:pPr>
      <w:r>
        <w:rPr>
          <w:rFonts w:ascii="Simplified Arabic" w:hAnsi="Simplified Arabic" w:cs="Simplified Arabic"/>
          <w:rtl/>
          <w:lang w:val="en-GB" w:bidi="ar-EG"/>
        </w:rPr>
        <w:br w:type="page"/>
      </w:r>
      <w:r w:rsidR="00657429">
        <w:rPr>
          <w:rFonts w:ascii="Simplified Arabic" w:hAnsi="Simplified Arabic" w:cs="Simplified Arabic" w:hint="cs"/>
          <w:i/>
          <w:iCs/>
          <w:rtl/>
          <w:lang w:val="en-GB" w:bidi="ar-EG"/>
        </w:rPr>
        <w:lastRenderedPageBreak/>
        <w:t>المرفق</w:t>
      </w:r>
    </w:p>
    <w:p w:rsidR="002D034E" w:rsidRPr="002D034E" w:rsidRDefault="002D034E" w:rsidP="00FD1A6F">
      <w:pPr>
        <w:bidi/>
        <w:spacing w:after="80" w:line="216" w:lineRule="auto"/>
        <w:jc w:val="center"/>
        <w:rPr>
          <w:rFonts w:ascii="Simplified Arabic" w:hAnsi="Simplified Arabic" w:cs="Simplified Arabic"/>
          <w:b/>
          <w:bCs/>
          <w:rtl/>
          <w:lang w:val="en-GB" w:bidi="ar-EG"/>
        </w:rPr>
      </w:pPr>
      <w:r w:rsidRPr="002D034E">
        <w:rPr>
          <w:rFonts w:ascii="Simplified Arabic" w:hAnsi="Simplified Arabic" w:cs="Simplified Arabic" w:hint="cs"/>
          <w:b/>
          <w:bCs/>
          <w:rtl/>
          <w:lang w:val="en-GB" w:bidi="ar-EG"/>
        </w:rPr>
        <w:t xml:space="preserve">قائمة </w:t>
      </w:r>
      <w:r w:rsidR="006A2F2D">
        <w:rPr>
          <w:rFonts w:ascii="Simplified Arabic" w:hAnsi="Simplified Arabic" w:cs="Simplified Arabic" w:hint="cs"/>
          <w:b/>
          <w:bCs/>
          <w:rtl/>
          <w:lang w:val="en-GB" w:bidi="ar-EG"/>
        </w:rPr>
        <w:t xml:space="preserve">محدثة </w:t>
      </w:r>
      <w:r w:rsidRPr="002D034E">
        <w:rPr>
          <w:rFonts w:ascii="Simplified Arabic" w:hAnsi="Simplified Arabic" w:cs="Simplified Arabic" w:hint="cs"/>
          <w:b/>
          <w:bCs/>
          <w:rtl/>
          <w:lang w:val="en-GB" w:bidi="ar-EG"/>
        </w:rPr>
        <w:t>بوثائق العمل</w:t>
      </w:r>
    </w:p>
    <w:tbl>
      <w:tblPr>
        <w:bidiVisual/>
        <w:tblW w:w="9647" w:type="dxa"/>
        <w:jc w:val="center"/>
        <w:tblLook w:val="04A0" w:firstRow="1" w:lastRow="0" w:firstColumn="1" w:lastColumn="0" w:noHBand="0" w:noVBand="1"/>
      </w:tblPr>
      <w:tblGrid>
        <w:gridCol w:w="2995"/>
        <w:gridCol w:w="5557"/>
        <w:gridCol w:w="1095"/>
      </w:tblGrid>
      <w:tr w:rsidR="00FD1A6F" w:rsidRPr="00272DCD" w:rsidTr="0081155D">
        <w:trPr>
          <w:trHeight w:val="465"/>
          <w:tblHeader/>
          <w:jc w:val="center"/>
        </w:trPr>
        <w:tc>
          <w:tcPr>
            <w:tcW w:w="2995" w:type="dxa"/>
            <w:noWrap/>
            <w:hideMark/>
          </w:tcPr>
          <w:p w:rsidR="00FD1A6F" w:rsidRPr="005809CA" w:rsidRDefault="00FD1A6F" w:rsidP="008A5EBE">
            <w:pPr>
              <w:pStyle w:val="Heading2"/>
              <w:keepNext w:val="0"/>
              <w:spacing w:before="0" w:after="0"/>
              <w:rPr>
                <w:rFonts w:ascii="Times New Roman" w:eastAsia="YouYuan" w:hAnsi="Times New Roman" w:cs="Simplified Arabic"/>
                <w:b w:val="0"/>
                <w:bCs w:val="0"/>
                <w:i/>
                <w:iCs/>
                <w:rtl/>
                <w:lang w:val="en-US"/>
              </w:rPr>
            </w:pPr>
            <w:r w:rsidRPr="005809CA">
              <w:rPr>
                <w:rFonts w:ascii="Times New Roman" w:eastAsia="YouYuan" w:hAnsi="Times New Roman" w:cs="Simplified Arabic" w:hint="cs"/>
                <w:b w:val="0"/>
                <w:bCs w:val="0"/>
                <w:i/>
                <w:iCs/>
                <w:rtl/>
                <w:lang w:val="en-US"/>
              </w:rPr>
              <w:t>ال</w:t>
            </w:r>
            <w:r w:rsidRPr="005809CA">
              <w:rPr>
                <w:rFonts w:ascii="Times New Roman" w:eastAsia="YouYuan" w:hAnsi="Times New Roman" w:cs="Simplified Arabic"/>
                <w:b w:val="0"/>
                <w:bCs w:val="0"/>
                <w:i/>
                <w:iCs/>
                <w:rtl/>
                <w:lang w:val="en-US"/>
              </w:rPr>
              <w:t>رمز</w:t>
            </w:r>
          </w:p>
        </w:tc>
        <w:tc>
          <w:tcPr>
            <w:tcW w:w="5557" w:type="dxa"/>
            <w:hideMark/>
          </w:tcPr>
          <w:p w:rsidR="00FD1A6F" w:rsidRPr="005809CA" w:rsidRDefault="00FD1A6F" w:rsidP="008A5EBE">
            <w:pPr>
              <w:pStyle w:val="Heading2"/>
              <w:keepNext w:val="0"/>
              <w:spacing w:before="0" w:after="0"/>
              <w:rPr>
                <w:rFonts w:ascii="Simplified Arabic" w:eastAsia="YouYuan" w:hAnsi="Simplified Arabic" w:cs="Simplified Arabic"/>
                <w:b w:val="0"/>
                <w:bCs w:val="0"/>
                <w:i/>
                <w:iCs/>
                <w:lang w:val="en-US"/>
              </w:rPr>
            </w:pPr>
            <w:r w:rsidRPr="005809CA">
              <w:rPr>
                <w:rFonts w:ascii="Simplified Arabic" w:eastAsia="YouYuan" w:hAnsi="Simplified Arabic" w:cs="Simplified Arabic"/>
                <w:b w:val="0"/>
                <w:bCs w:val="0"/>
                <w:i/>
                <w:iCs/>
                <w:rtl/>
                <w:lang w:val="en-US"/>
              </w:rPr>
              <w:t>عنوان ال</w:t>
            </w:r>
            <w:r w:rsidRPr="005809CA">
              <w:rPr>
                <w:rFonts w:ascii="Simplified Arabic" w:eastAsia="YouYuan" w:hAnsi="Simplified Arabic" w:cs="Simplified Arabic" w:hint="cs"/>
                <w:b w:val="0"/>
                <w:bCs w:val="0"/>
                <w:i/>
                <w:iCs/>
                <w:rtl/>
                <w:lang w:val="en-US"/>
              </w:rPr>
              <w:t>وثيقة</w:t>
            </w:r>
          </w:p>
        </w:tc>
        <w:tc>
          <w:tcPr>
            <w:tcW w:w="1095" w:type="dxa"/>
            <w:hideMark/>
          </w:tcPr>
          <w:p w:rsidR="00FD1A6F" w:rsidRPr="005809CA" w:rsidRDefault="00FD1A6F" w:rsidP="008A5EBE">
            <w:pPr>
              <w:pStyle w:val="Heading2"/>
              <w:keepNext w:val="0"/>
              <w:spacing w:before="0" w:after="0"/>
              <w:rPr>
                <w:rFonts w:ascii="Times New Roman" w:eastAsia="YouYuan" w:hAnsi="Times New Roman" w:cs="Simplified Arabic"/>
                <w:b w:val="0"/>
                <w:bCs w:val="0"/>
                <w:i/>
                <w:iCs/>
                <w:lang w:val="en-US"/>
              </w:rPr>
            </w:pPr>
            <w:r w:rsidRPr="005809CA">
              <w:rPr>
                <w:rFonts w:ascii="Times New Roman" w:eastAsia="YouYuan" w:hAnsi="Times New Roman" w:cs="Simplified Arabic"/>
                <w:b w:val="0"/>
                <w:bCs w:val="0"/>
                <w:i/>
                <w:iCs/>
                <w:rtl/>
                <w:lang w:val="en-US"/>
              </w:rPr>
              <w:t>بند جدول الأعمال</w:t>
            </w:r>
          </w:p>
        </w:tc>
      </w:tr>
      <w:tr w:rsidR="00445B11" w:rsidRPr="00272DCD" w:rsidTr="0081155D">
        <w:trPr>
          <w:trHeight w:val="347"/>
          <w:jc w:val="center"/>
        </w:trPr>
        <w:tc>
          <w:tcPr>
            <w:tcW w:w="2995" w:type="dxa"/>
            <w:noWrap/>
            <w:hideMark/>
          </w:tcPr>
          <w:p w:rsidR="00445B11" w:rsidRPr="00A20AB5" w:rsidRDefault="00445B11" w:rsidP="00445B11">
            <w:pPr>
              <w:spacing w:before="80" w:after="20" w:line="216" w:lineRule="auto"/>
              <w:rPr>
                <w:snapToGrid w:val="0"/>
                <w:kern w:val="22"/>
                <w:sz w:val="22"/>
                <w:szCs w:val="22"/>
                <w:lang w:val="en-US"/>
              </w:rPr>
            </w:pPr>
            <w:r w:rsidRPr="00A20AB5">
              <w:rPr>
                <w:snapToGrid w:val="0"/>
                <w:kern w:val="22"/>
                <w:sz w:val="22"/>
                <w:szCs w:val="22"/>
                <w:lang w:val="en-GB"/>
              </w:rPr>
              <w:t>CBD/SBI/3/1</w:t>
            </w:r>
          </w:p>
        </w:tc>
        <w:tc>
          <w:tcPr>
            <w:tcW w:w="5557" w:type="dxa"/>
            <w:hideMark/>
          </w:tcPr>
          <w:p w:rsidR="00445B11" w:rsidRPr="009D2F2C" w:rsidRDefault="00445B11" w:rsidP="002E71C1">
            <w:pPr>
              <w:bidi/>
              <w:spacing w:after="60" w:line="216" w:lineRule="auto"/>
              <w:rPr>
                <w:rFonts w:ascii="Simplified Arabic" w:hAnsi="Simplified Arabic" w:cs="Simplified Arabic"/>
                <w:snapToGrid w:val="0"/>
                <w:kern w:val="22"/>
                <w:lang w:val="en-US"/>
              </w:rPr>
            </w:pPr>
            <w:r w:rsidRPr="009D2F2C">
              <w:rPr>
                <w:rFonts w:ascii="Simplified Arabic" w:hAnsi="Simplified Arabic" w:cs="Simplified Arabic"/>
                <w:snapToGrid w:val="0"/>
                <w:kern w:val="22"/>
                <w:rtl/>
                <w:lang w:val="en-GB"/>
              </w:rPr>
              <w:t>جدول الأعمال المؤقت</w:t>
            </w:r>
          </w:p>
        </w:tc>
        <w:tc>
          <w:tcPr>
            <w:tcW w:w="1095" w:type="dxa"/>
            <w:hideMark/>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2</w:t>
            </w:r>
          </w:p>
        </w:tc>
      </w:tr>
      <w:tr w:rsidR="00445B11" w:rsidRPr="00272DCD" w:rsidTr="0081155D">
        <w:trPr>
          <w:trHeight w:val="302"/>
          <w:jc w:val="center"/>
        </w:trPr>
        <w:tc>
          <w:tcPr>
            <w:tcW w:w="2995" w:type="dxa"/>
            <w:noWrap/>
            <w:hideMark/>
          </w:tcPr>
          <w:p w:rsidR="00445B11" w:rsidRPr="00A20AB5" w:rsidRDefault="00445B11" w:rsidP="00445B11">
            <w:pPr>
              <w:spacing w:before="80" w:after="20" w:line="216" w:lineRule="auto"/>
              <w:rPr>
                <w:snapToGrid w:val="0"/>
                <w:kern w:val="22"/>
                <w:sz w:val="22"/>
                <w:szCs w:val="22"/>
                <w:lang w:val="en-GB"/>
              </w:rPr>
            </w:pPr>
            <w:r w:rsidRPr="00A20AB5">
              <w:rPr>
                <w:snapToGrid w:val="0"/>
                <w:kern w:val="22"/>
                <w:sz w:val="22"/>
                <w:szCs w:val="22"/>
                <w:lang w:val="en-GB"/>
              </w:rPr>
              <w:t>CBD/SBI/3/1/Add.1/Rev.2</w:t>
            </w:r>
          </w:p>
        </w:tc>
        <w:tc>
          <w:tcPr>
            <w:tcW w:w="5557" w:type="dxa"/>
            <w:hideMark/>
          </w:tcPr>
          <w:p w:rsidR="00445B11" w:rsidRPr="009D2F2C" w:rsidRDefault="00445B11" w:rsidP="002E71C1">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snapToGrid w:val="0"/>
                <w:kern w:val="22"/>
                <w:rtl/>
                <w:lang w:val="en-GB"/>
              </w:rPr>
              <w:t>جدول الأعمال المؤقت المشروح</w:t>
            </w:r>
            <w:r w:rsidRPr="009D2F2C">
              <w:rPr>
                <w:rFonts w:ascii="Simplified Arabic" w:hAnsi="Simplified Arabic" w:cs="Simplified Arabic" w:hint="cs"/>
                <w:snapToGrid w:val="0"/>
                <w:kern w:val="22"/>
                <w:rtl/>
                <w:lang w:val="en-GB" w:bidi="ar-EG"/>
              </w:rPr>
              <w:t xml:space="preserve"> المنقح</w:t>
            </w:r>
          </w:p>
        </w:tc>
        <w:tc>
          <w:tcPr>
            <w:tcW w:w="1095" w:type="dxa"/>
            <w:hideMark/>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2</w:t>
            </w:r>
          </w:p>
        </w:tc>
      </w:tr>
      <w:tr w:rsidR="00445B11" w:rsidRPr="00272DCD" w:rsidTr="0081155D">
        <w:trPr>
          <w:trHeight w:val="355"/>
          <w:jc w:val="center"/>
        </w:trPr>
        <w:tc>
          <w:tcPr>
            <w:tcW w:w="2995" w:type="dxa"/>
            <w:noWrap/>
            <w:hideMark/>
          </w:tcPr>
          <w:p w:rsidR="00445B11" w:rsidRPr="00A20AB5" w:rsidRDefault="00445B11" w:rsidP="00BE5DAC">
            <w:pPr>
              <w:spacing w:before="80" w:after="20" w:line="216" w:lineRule="auto"/>
              <w:rPr>
                <w:snapToGrid w:val="0"/>
                <w:kern w:val="22"/>
                <w:sz w:val="22"/>
                <w:szCs w:val="22"/>
                <w:rtl/>
                <w:lang w:val="en-GB" w:bidi="ar-EG"/>
              </w:rPr>
            </w:pPr>
            <w:r w:rsidRPr="00A20AB5">
              <w:rPr>
                <w:snapToGrid w:val="0"/>
                <w:kern w:val="22"/>
                <w:sz w:val="22"/>
                <w:szCs w:val="22"/>
                <w:lang w:val="en-GB"/>
              </w:rPr>
              <w:t>CBD/SBI/3/1/Add.2/Rev.</w:t>
            </w:r>
            <w:r w:rsidR="00BE5DAC">
              <w:rPr>
                <w:snapToGrid w:val="0"/>
                <w:kern w:val="22"/>
                <w:sz w:val="22"/>
                <w:szCs w:val="22"/>
                <w:lang w:val="en-GB"/>
              </w:rPr>
              <w:t>2</w:t>
            </w:r>
            <w:r w:rsidR="00BE5DAC">
              <w:rPr>
                <w:rFonts w:hint="cs"/>
                <w:snapToGrid w:val="0"/>
                <w:kern w:val="22"/>
                <w:sz w:val="22"/>
                <w:szCs w:val="22"/>
                <w:rtl/>
                <w:lang w:val="en-GB"/>
              </w:rPr>
              <w:t xml:space="preserve"> </w:t>
            </w:r>
            <w:r w:rsidR="00BE5DAC" w:rsidRPr="00BE5DAC">
              <w:rPr>
                <w:snapToGrid w:val="0"/>
                <w:kern w:val="22"/>
                <w:sz w:val="22"/>
                <w:szCs w:val="22"/>
                <w:lang w:val="en-GB"/>
              </w:rPr>
              <w:t>(</w:t>
            </w:r>
            <w:r w:rsidR="00BE5DAC" w:rsidRPr="00BE5DAC">
              <w:rPr>
                <w:i/>
                <w:snapToGrid w:val="0"/>
                <w:kern w:val="22"/>
                <w:sz w:val="22"/>
                <w:szCs w:val="22"/>
                <w:lang w:val="en-GB"/>
              </w:rPr>
              <w:t>New</w:t>
            </w:r>
            <w:r w:rsidR="00BE5DAC" w:rsidRPr="00BE5DAC">
              <w:rPr>
                <w:snapToGrid w:val="0"/>
                <w:kern w:val="22"/>
                <w:sz w:val="22"/>
                <w:szCs w:val="22"/>
                <w:lang w:val="en-GB"/>
              </w:rPr>
              <w:t>)</w:t>
            </w:r>
            <w:r w:rsidR="00BE5DAC">
              <w:rPr>
                <w:rFonts w:hint="cs"/>
                <w:snapToGrid w:val="0"/>
                <w:kern w:val="22"/>
                <w:sz w:val="22"/>
                <w:szCs w:val="22"/>
                <w:rtl/>
                <w:lang w:val="en-GB" w:bidi="ar-EG"/>
              </w:rPr>
              <w:t xml:space="preserve"> </w:t>
            </w:r>
          </w:p>
        </w:tc>
        <w:tc>
          <w:tcPr>
            <w:tcW w:w="5557" w:type="dxa"/>
            <w:hideMark/>
          </w:tcPr>
          <w:p w:rsidR="00445B11" w:rsidRPr="009D2F2C" w:rsidRDefault="00BE5DAC" w:rsidP="00BE5DAC">
            <w:pPr>
              <w:bidi/>
              <w:spacing w:after="60" w:line="216" w:lineRule="auto"/>
              <w:jc w:val="both"/>
              <w:rPr>
                <w:rFonts w:ascii="Simplified Arabic" w:hAnsi="Simplified Arabic" w:cs="Simplified Arabic"/>
                <w:rtl/>
                <w:lang w:val="en-GB" w:bidi="ar-EG"/>
              </w:rPr>
            </w:pPr>
            <w:r w:rsidRPr="00BE5DAC">
              <w:rPr>
                <w:rFonts w:ascii="Simplified Arabic" w:hAnsi="Simplified Arabic" w:cs="Simplified Arabic"/>
                <w:rtl/>
                <w:lang w:val="en-GB" w:bidi="ar-EG"/>
              </w:rPr>
              <w:t xml:space="preserve">مذكرة سيناريو للدورات المستأنفة للاجتماع الرابع والعشرين للهيئة الفرعية للمشورة العلمية والتقنية والتكنولوجية، والاجتماع الثالث للهيئة الفرعية للتنفيذ والاجتماع الثالث للفريق العامل المفتوح العضوية المعني </w:t>
            </w:r>
            <w:r>
              <w:rPr>
                <w:rFonts w:ascii="Simplified Arabic" w:hAnsi="Simplified Arabic" w:cs="Simplified Arabic" w:hint="cs"/>
                <w:rtl/>
                <w:lang w:val="en-GB" w:bidi="ar-EG"/>
              </w:rPr>
              <w:t>بالإطار العالمي للتنوع البيولوجي لما بعد عام 2020</w:t>
            </w:r>
          </w:p>
        </w:tc>
        <w:tc>
          <w:tcPr>
            <w:tcW w:w="1095" w:type="dxa"/>
            <w:hideMark/>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2</w:t>
            </w:r>
          </w:p>
        </w:tc>
      </w:tr>
      <w:tr w:rsidR="00445B11" w:rsidRPr="00272DCD" w:rsidTr="0081155D">
        <w:trPr>
          <w:trHeight w:val="355"/>
          <w:jc w:val="center"/>
        </w:trPr>
        <w:tc>
          <w:tcPr>
            <w:tcW w:w="2995" w:type="dxa"/>
            <w:noWrap/>
            <w:hideMark/>
          </w:tcPr>
          <w:p w:rsidR="00445B11" w:rsidRPr="00A20AB5" w:rsidRDefault="00445B11" w:rsidP="00445B11">
            <w:pPr>
              <w:spacing w:before="80" w:after="20" w:line="216" w:lineRule="auto"/>
              <w:rPr>
                <w:snapToGrid w:val="0"/>
                <w:kern w:val="22"/>
                <w:sz w:val="22"/>
                <w:szCs w:val="22"/>
                <w:lang w:val="en-GB"/>
              </w:rPr>
            </w:pPr>
            <w:r w:rsidRPr="00A20AB5">
              <w:rPr>
                <w:snapToGrid w:val="0"/>
                <w:kern w:val="22"/>
                <w:sz w:val="22"/>
                <w:szCs w:val="22"/>
                <w:lang w:val="en-GB"/>
              </w:rPr>
              <w:t>CBD/SBI/3/1/Add.3 (</w:t>
            </w:r>
            <w:r w:rsidRPr="00A20AB5">
              <w:rPr>
                <w:i/>
                <w:snapToGrid w:val="0"/>
                <w:kern w:val="22"/>
                <w:sz w:val="22"/>
                <w:szCs w:val="22"/>
                <w:lang w:val="en-GB"/>
              </w:rPr>
              <w:t>New</w:t>
            </w:r>
            <w:r w:rsidRPr="00A20AB5">
              <w:rPr>
                <w:snapToGrid w:val="0"/>
                <w:kern w:val="22"/>
                <w:sz w:val="22"/>
                <w:szCs w:val="22"/>
                <w:lang w:val="en-GB"/>
              </w:rPr>
              <w:t>)</w:t>
            </w:r>
          </w:p>
        </w:tc>
        <w:tc>
          <w:tcPr>
            <w:tcW w:w="5557" w:type="dxa"/>
            <w:hideMark/>
          </w:tcPr>
          <w:p w:rsidR="00445B11" w:rsidRPr="009D2F2C" w:rsidRDefault="00445B11" w:rsidP="002E71C1">
            <w:pPr>
              <w:bidi/>
              <w:spacing w:after="60" w:line="216" w:lineRule="auto"/>
              <w:rPr>
                <w:rFonts w:ascii="Simplified Arabic" w:hAnsi="Simplified Arabic" w:cs="Simplified Arabic"/>
                <w:rtl/>
                <w:lang w:val="en-GB"/>
              </w:rPr>
            </w:pPr>
            <w:r>
              <w:rPr>
                <w:rFonts w:ascii="Simplified Arabic" w:hAnsi="Simplified Arabic" w:cs="Simplified Arabic" w:hint="cs"/>
                <w:rtl/>
                <w:lang w:val="en-GB"/>
              </w:rPr>
              <w:t>جدول الأعمال المؤقت مع شروحات تكميلية</w:t>
            </w:r>
          </w:p>
        </w:tc>
        <w:tc>
          <w:tcPr>
            <w:tcW w:w="1095" w:type="dxa"/>
            <w:hideMark/>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2</w:t>
            </w:r>
          </w:p>
        </w:tc>
      </w:tr>
      <w:tr w:rsidR="00445B11" w:rsidRPr="00272DCD" w:rsidTr="0081155D">
        <w:trPr>
          <w:trHeight w:val="355"/>
          <w:jc w:val="center"/>
        </w:trPr>
        <w:tc>
          <w:tcPr>
            <w:tcW w:w="2995" w:type="dxa"/>
            <w:noWrap/>
            <w:hideMark/>
          </w:tcPr>
          <w:p w:rsidR="00445B11" w:rsidRPr="00A20AB5" w:rsidRDefault="00445B11" w:rsidP="00445B11">
            <w:pPr>
              <w:spacing w:before="80" w:after="20" w:line="216" w:lineRule="auto"/>
              <w:rPr>
                <w:snapToGrid w:val="0"/>
                <w:kern w:val="22"/>
                <w:sz w:val="22"/>
                <w:szCs w:val="22"/>
                <w:lang w:val="en-GB"/>
              </w:rPr>
            </w:pPr>
            <w:r w:rsidRPr="00A20AB5">
              <w:rPr>
                <w:snapToGrid w:val="0"/>
                <w:kern w:val="22"/>
                <w:sz w:val="22"/>
                <w:szCs w:val="22"/>
                <w:lang w:val="en-GB"/>
              </w:rPr>
              <w:t>CBD/SBI/3/2</w:t>
            </w:r>
          </w:p>
        </w:tc>
        <w:tc>
          <w:tcPr>
            <w:tcW w:w="5557" w:type="dxa"/>
            <w:hideMark/>
          </w:tcPr>
          <w:p w:rsidR="00445B11" w:rsidRPr="009D2F2C" w:rsidRDefault="00445B11" w:rsidP="002E71C1">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rtl/>
                <w:lang w:val="en-GB"/>
              </w:rPr>
              <w:t>التقدم المحرز في تنفيذ الاتفاقية والخطة الاستراتيجية للتنوع البيولوجي 2011-2020</w:t>
            </w:r>
            <w:r w:rsidRPr="009D2F2C">
              <w:rPr>
                <w:rFonts w:ascii="Simplified Arabic" w:hAnsi="Simplified Arabic" w:cs="Simplified Arabic"/>
                <w:rtl/>
                <w:lang w:val="en-US"/>
              </w:rPr>
              <w:t xml:space="preserve"> ونحو تحقيق أهداف أيشي للتنوع البيولوجي</w:t>
            </w:r>
          </w:p>
        </w:tc>
        <w:tc>
          <w:tcPr>
            <w:tcW w:w="1095" w:type="dxa"/>
            <w:hideMark/>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3</w:t>
            </w:r>
          </w:p>
        </w:tc>
      </w:tr>
      <w:tr w:rsidR="00445B11" w:rsidRPr="00272DCD" w:rsidTr="0081155D">
        <w:trPr>
          <w:trHeight w:val="355"/>
          <w:jc w:val="center"/>
        </w:trPr>
        <w:tc>
          <w:tcPr>
            <w:tcW w:w="2995" w:type="dxa"/>
            <w:noWrap/>
          </w:tcPr>
          <w:p w:rsidR="00445B11" w:rsidRPr="00A20AB5" w:rsidRDefault="00445B11" w:rsidP="00445B11">
            <w:pPr>
              <w:spacing w:before="80" w:after="20" w:line="216" w:lineRule="auto"/>
              <w:rPr>
                <w:snapToGrid w:val="0"/>
                <w:kern w:val="22"/>
                <w:sz w:val="22"/>
                <w:szCs w:val="22"/>
                <w:lang w:val="en-GB"/>
              </w:rPr>
            </w:pPr>
            <w:r w:rsidRPr="00A20AB5">
              <w:rPr>
                <w:snapToGrid w:val="0"/>
                <w:kern w:val="22"/>
                <w:sz w:val="22"/>
                <w:szCs w:val="22"/>
                <w:lang w:val="en-GB"/>
              </w:rPr>
              <w:t>CBD/SBI/3/2/Add.1</w:t>
            </w:r>
          </w:p>
        </w:tc>
        <w:tc>
          <w:tcPr>
            <w:tcW w:w="5557" w:type="dxa"/>
          </w:tcPr>
          <w:p w:rsidR="00445B11" w:rsidRPr="009D2F2C" w:rsidRDefault="00445B11" w:rsidP="002E71C1">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hint="cs"/>
                <w:snapToGrid w:val="0"/>
                <w:kern w:val="22"/>
                <w:rtl/>
                <w:lang w:val="en-GB" w:bidi="ar-EG"/>
              </w:rPr>
              <w:t>تحديث عن التقدم المحرز في مراجعة/تحديث وتنفيذ الاستراتيجيات وخطط العمل الوطنية للتنوع البيولوجي، بما في ذلك الأهداف الوطنية</w:t>
            </w:r>
          </w:p>
        </w:tc>
        <w:tc>
          <w:tcPr>
            <w:tcW w:w="1095" w:type="dxa"/>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3</w:t>
            </w:r>
          </w:p>
        </w:tc>
      </w:tr>
      <w:tr w:rsidR="00445B11" w:rsidRPr="00272DCD" w:rsidTr="0081155D">
        <w:trPr>
          <w:trHeight w:val="355"/>
          <w:jc w:val="center"/>
        </w:trPr>
        <w:tc>
          <w:tcPr>
            <w:tcW w:w="2995" w:type="dxa"/>
            <w:noWrap/>
          </w:tcPr>
          <w:p w:rsidR="00445B11" w:rsidRPr="00A20AB5" w:rsidRDefault="00445B11" w:rsidP="00445B11">
            <w:pPr>
              <w:spacing w:before="80" w:after="20" w:line="216" w:lineRule="auto"/>
              <w:rPr>
                <w:snapToGrid w:val="0"/>
                <w:kern w:val="22"/>
                <w:sz w:val="22"/>
                <w:szCs w:val="22"/>
                <w:lang w:val="en-GB"/>
              </w:rPr>
            </w:pPr>
            <w:r w:rsidRPr="00A20AB5">
              <w:rPr>
                <w:snapToGrid w:val="0"/>
                <w:kern w:val="22"/>
                <w:sz w:val="22"/>
                <w:szCs w:val="22"/>
                <w:lang w:val="en-GB"/>
              </w:rPr>
              <w:t>CBD/SBI/3/2/Add.2</w:t>
            </w:r>
          </w:p>
        </w:tc>
        <w:tc>
          <w:tcPr>
            <w:tcW w:w="5557" w:type="dxa"/>
          </w:tcPr>
          <w:p w:rsidR="00445B11" w:rsidRPr="009D2F2C" w:rsidRDefault="00445B11" w:rsidP="002E71C1">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تحليل لمساهمة الأهداف التي وضعتها الأطراف والتقدم المحرز نحو أهداف أيشي للتنوع البيولوجي</w:t>
            </w:r>
          </w:p>
        </w:tc>
        <w:tc>
          <w:tcPr>
            <w:tcW w:w="1095" w:type="dxa"/>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3</w:t>
            </w:r>
          </w:p>
        </w:tc>
      </w:tr>
      <w:tr w:rsidR="00445B11" w:rsidRPr="00272DCD" w:rsidTr="0081155D">
        <w:trPr>
          <w:trHeight w:val="355"/>
          <w:jc w:val="center"/>
        </w:trPr>
        <w:tc>
          <w:tcPr>
            <w:tcW w:w="2995" w:type="dxa"/>
            <w:noWrap/>
          </w:tcPr>
          <w:p w:rsidR="00445B11" w:rsidRPr="00A97F30" w:rsidRDefault="00445B11" w:rsidP="00445B11">
            <w:pPr>
              <w:spacing w:before="80" w:after="20" w:line="216" w:lineRule="auto"/>
              <w:rPr>
                <w:snapToGrid w:val="0"/>
                <w:kern w:val="22"/>
                <w:sz w:val="22"/>
                <w:szCs w:val="22"/>
                <w:lang w:val="en-US"/>
              </w:rPr>
            </w:pPr>
            <w:r w:rsidRPr="00A20AB5">
              <w:rPr>
                <w:snapToGrid w:val="0"/>
                <w:kern w:val="22"/>
                <w:sz w:val="22"/>
                <w:szCs w:val="22"/>
                <w:lang w:val="en-GB"/>
              </w:rPr>
              <w:t>CBD/SBI/3/2/Add.3</w:t>
            </w:r>
          </w:p>
        </w:tc>
        <w:tc>
          <w:tcPr>
            <w:tcW w:w="5557" w:type="dxa"/>
          </w:tcPr>
          <w:p w:rsidR="00445B11" w:rsidRPr="009D2F2C" w:rsidRDefault="00445B11" w:rsidP="002E71C1">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استعراض تنفيذ خطة عمل المنظور الجنساني 2015-2020</w:t>
            </w:r>
          </w:p>
        </w:tc>
        <w:tc>
          <w:tcPr>
            <w:tcW w:w="1095" w:type="dxa"/>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3</w:t>
            </w:r>
          </w:p>
        </w:tc>
      </w:tr>
      <w:tr w:rsidR="00445B11" w:rsidRPr="00272DCD" w:rsidTr="0081155D">
        <w:trPr>
          <w:trHeight w:val="355"/>
          <w:jc w:val="center"/>
        </w:trPr>
        <w:tc>
          <w:tcPr>
            <w:tcW w:w="2995" w:type="dxa"/>
            <w:noWrap/>
          </w:tcPr>
          <w:p w:rsidR="00445B11" w:rsidRPr="00B95080" w:rsidRDefault="00445B11" w:rsidP="00445B11">
            <w:pPr>
              <w:spacing w:before="80" w:after="20" w:line="216" w:lineRule="auto"/>
              <w:rPr>
                <w:snapToGrid w:val="0"/>
                <w:kern w:val="22"/>
                <w:sz w:val="22"/>
                <w:szCs w:val="22"/>
                <w:lang w:val="en-US"/>
              </w:rPr>
            </w:pPr>
            <w:r w:rsidRPr="00A20AB5">
              <w:rPr>
                <w:snapToGrid w:val="0"/>
                <w:kern w:val="22"/>
                <w:sz w:val="22"/>
                <w:szCs w:val="22"/>
                <w:lang w:val="en-GB"/>
              </w:rPr>
              <w:t>CBD/SBI/3/2/Add.4</w:t>
            </w:r>
          </w:p>
        </w:tc>
        <w:tc>
          <w:tcPr>
            <w:tcW w:w="5557" w:type="dxa"/>
          </w:tcPr>
          <w:p w:rsidR="00445B11" w:rsidRPr="009D2F2C" w:rsidRDefault="00445B11" w:rsidP="002E71C1">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التقدم المحرز نحو الهدف 18 من أهداف أيشي للتنوع البيولوجي بشأن المعار</w:t>
            </w:r>
            <w:r>
              <w:rPr>
                <w:rFonts w:ascii="Simplified Arabic" w:hAnsi="Simplified Arabic" w:cs="Simplified Arabic" w:hint="cs"/>
                <w:snapToGrid w:val="0"/>
                <w:kern w:val="22"/>
                <w:rtl/>
                <w:lang w:val="en-GB"/>
              </w:rPr>
              <w:t>ف</w:t>
            </w:r>
            <w:r w:rsidRPr="009D2F2C">
              <w:rPr>
                <w:rFonts w:ascii="Simplified Arabic" w:hAnsi="Simplified Arabic" w:cs="Simplified Arabic" w:hint="cs"/>
                <w:snapToGrid w:val="0"/>
                <w:kern w:val="22"/>
                <w:rtl/>
                <w:lang w:val="en-GB"/>
              </w:rPr>
              <w:t xml:space="preserve"> التق</w:t>
            </w:r>
            <w:r>
              <w:rPr>
                <w:rFonts w:ascii="Simplified Arabic" w:hAnsi="Simplified Arabic" w:cs="Simplified Arabic" w:hint="cs"/>
                <w:snapToGrid w:val="0"/>
                <w:kern w:val="22"/>
                <w:rtl/>
                <w:lang w:val="en-GB"/>
              </w:rPr>
              <w:t>ل</w:t>
            </w:r>
            <w:r w:rsidRPr="009D2F2C">
              <w:rPr>
                <w:rFonts w:ascii="Simplified Arabic" w:hAnsi="Simplified Arabic" w:cs="Simplified Arabic" w:hint="cs"/>
                <w:snapToGrid w:val="0"/>
                <w:kern w:val="22"/>
                <w:rtl/>
                <w:lang w:val="en-GB"/>
              </w:rPr>
              <w:t>يدية والاستخدام المألوف المستدام للتنوع البيولوجي</w:t>
            </w:r>
          </w:p>
        </w:tc>
        <w:tc>
          <w:tcPr>
            <w:tcW w:w="1095" w:type="dxa"/>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3</w:t>
            </w:r>
          </w:p>
        </w:tc>
      </w:tr>
      <w:tr w:rsidR="00445B11" w:rsidRPr="00272DCD" w:rsidTr="0081155D">
        <w:trPr>
          <w:trHeight w:val="355"/>
          <w:jc w:val="center"/>
        </w:trPr>
        <w:tc>
          <w:tcPr>
            <w:tcW w:w="2995" w:type="dxa"/>
            <w:noWrap/>
          </w:tcPr>
          <w:p w:rsidR="00445B11" w:rsidRPr="00A20AB5" w:rsidRDefault="00445B11" w:rsidP="00445B11">
            <w:pPr>
              <w:spacing w:before="80" w:after="20" w:line="216" w:lineRule="auto"/>
              <w:rPr>
                <w:snapToGrid w:val="0"/>
                <w:kern w:val="22"/>
                <w:sz w:val="22"/>
                <w:szCs w:val="22"/>
                <w:lang w:val="en-GB"/>
              </w:rPr>
            </w:pPr>
            <w:r w:rsidRPr="00A20AB5">
              <w:rPr>
                <w:snapToGrid w:val="0"/>
                <w:kern w:val="22"/>
                <w:sz w:val="22"/>
                <w:szCs w:val="22"/>
                <w:lang w:val="en-GB"/>
              </w:rPr>
              <w:t>CBD/SBI/3/L.4</w:t>
            </w:r>
          </w:p>
        </w:tc>
        <w:tc>
          <w:tcPr>
            <w:tcW w:w="5557" w:type="dxa"/>
          </w:tcPr>
          <w:p w:rsidR="00445B11" w:rsidRPr="00B95080" w:rsidRDefault="00445B11" w:rsidP="002E71C1">
            <w:pPr>
              <w:bidi/>
              <w:spacing w:after="60" w:line="216" w:lineRule="auto"/>
              <w:rPr>
                <w:rFonts w:ascii="Simplified Arabic" w:hAnsi="Simplified Arabic" w:cs="Simplified Arabic"/>
                <w:snapToGrid w:val="0"/>
                <w:kern w:val="22"/>
                <w:rtl/>
                <w:lang w:val="en-GB"/>
              </w:rPr>
            </w:pPr>
            <w:r w:rsidRPr="00B95080">
              <w:rPr>
                <w:rFonts w:ascii="Simplified Arabic" w:hAnsi="Simplified Arabic" w:cs="Simplified Arabic"/>
                <w:rtl/>
              </w:rPr>
              <w:t>استعراض التقدم المحرز في تنفيذ ا</w:t>
            </w:r>
            <w:r>
              <w:rPr>
                <w:rFonts w:ascii="Simplified Arabic" w:hAnsi="Simplified Arabic" w:cs="Simplified Arabic" w:hint="cs"/>
                <w:rtl/>
              </w:rPr>
              <w:t>لا</w:t>
            </w:r>
            <w:r w:rsidRPr="00B95080">
              <w:rPr>
                <w:rFonts w:ascii="Simplified Arabic" w:hAnsi="Simplified Arabic" w:cs="Simplified Arabic"/>
                <w:rtl/>
              </w:rPr>
              <w:t>تفاقية والخطة ا</w:t>
            </w:r>
            <w:r>
              <w:rPr>
                <w:rFonts w:ascii="Simplified Arabic" w:hAnsi="Simplified Arabic" w:cs="Simplified Arabic" w:hint="cs"/>
                <w:rtl/>
              </w:rPr>
              <w:t>لا</w:t>
            </w:r>
            <w:r w:rsidRPr="00B95080">
              <w:rPr>
                <w:rFonts w:ascii="Simplified Arabic" w:hAnsi="Simplified Arabic" w:cs="Simplified Arabic"/>
                <w:rtl/>
              </w:rPr>
              <w:t xml:space="preserve">ستراتيجية للتنوع البيولوجي </w:t>
            </w:r>
            <w:r>
              <w:rPr>
                <w:rFonts w:ascii="Simplified Arabic" w:hAnsi="Simplified Arabic" w:cs="Simplified Arabic" w:hint="cs"/>
                <w:rtl/>
              </w:rPr>
              <w:t>2011-2020</w:t>
            </w:r>
          </w:p>
        </w:tc>
        <w:tc>
          <w:tcPr>
            <w:tcW w:w="1095" w:type="dxa"/>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3</w:t>
            </w:r>
          </w:p>
        </w:tc>
      </w:tr>
      <w:tr w:rsidR="00445B11" w:rsidRPr="00272DCD" w:rsidTr="0081155D">
        <w:trPr>
          <w:trHeight w:val="355"/>
          <w:jc w:val="center"/>
        </w:trPr>
        <w:tc>
          <w:tcPr>
            <w:tcW w:w="2995" w:type="dxa"/>
            <w:noWrap/>
          </w:tcPr>
          <w:p w:rsidR="00445B11" w:rsidRPr="00B95080" w:rsidRDefault="00445B11" w:rsidP="00445B11">
            <w:pPr>
              <w:spacing w:before="80" w:after="20" w:line="216" w:lineRule="auto"/>
              <w:rPr>
                <w:snapToGrid w:val="0"/>
                <w:kern w:val="22"/>
                <w:sz w:val="22"/>
                <w:szCs w:val="22"/>
                <w:lang w:val="en-US"/>
              </w:rPr>
            </w:pPr>
            <w:r w:rsidRPr="00A20AB5">
              <w:rPr>
                <w:snapToGrid w:val="0"/>
                <w:kern w:val="22"/>
                <w:sz w:val="22"/>
                <w:szCs w:val="22"/>
                <w:lang w:val="en-GB"/>
              </w:rPr>
              <w:t>CBD/SBI/3/3</w:t>
            </w:r>
          </w:p>
        </w:tc>
        <w:tc>
          <w:tcPr>
            <w:tcW w:w="5557" w:type="dxa"/>
          </w:tcPr>
          <w:p w:rsidR="00445B11" w:rsidRPr="009D2F2C" w:rsidRDefault="00445B11" w:rsidP="002E71C1">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snapToGrid w:val="0"/>
                <w:kern w:val="22"/>
                <w:rtl/>
                <w:lang w:val="en-GB"/>
              </w:rPr>
              <w:t>تقييم واستعراض فعالية بروتوكول قرطاجنة للسلامة الأحيائية</w:t>
            </w:r>
          </w:p>
        </w:tc>
        <w:tc>
          <w:tcPr>
            <w:tcW w:w="1095" w:type="dxa"/>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Pr>
                <w:snapToGrid w:val="0"/>
                <w:kern w:val="22"/>
                <w:sz w:val="22"/>
                <w:szCs w:val="22"/>
                <w:lang w:val="en-GB"/>
              </w:rPr>
              <w:t>4</w:t>
            </w:r>
          </w:p>
        </w:tc>
      </w:tr>
      <w:tr w:rsidR="00445B11" w:rsidRPr="00272DCD" w:rsidTr="0081155D">
        <w:trPr>
          <w:trHeight w:val="355"/>
          <w:jc w:val="center"/>
        </w:trPr>
        <w:tc>
          <w:tcPr>
            <w:tcW w:w="2995" w:type="dxa"/>
            <w:noWrap/>
          </w:tcPr>
          <w:p w:rsidR="00445B11" w:rsidRPr="00A20AB5" w:rsidRDefault="00445B11" w:rsidP="00445B11">
            <w:pPr>
              <w:spacing w:before="80" w:after="20" w:line="216" w:lineRule="auto"/>
              <w:rPr>
                <w:snapToGrid w:val="0"/>
                <w:kern w:val="22"/>
                <w:sz w:val="22"/>
                <w:szCs w:val="22"/>
                <w:lang w:val="en-GB"/>
              </w:rPr>
            </w:pPr>
            <w:r w:rsidRPr="00A20AB5">
              <w:rPr>
                <w:snapToGrid w:val="0"/>
                <w:kern w:val="22"/>
                <w:sz w:val="22"/>
                <w:szCs w:val="22"/>
                <w:lang w:val="en-GB"/>
              </w:rPr>
              <w:t>CBD/SBI/3/3/Add.1</w:t>
            </w:r>
          </w:p>
        </w:tc>
        <w:tc>
          <w:tcPr>
            <w:tcW w:w="5557" w:type="dxa"/>
          </w:tcPr>
          <w:p w:rsidR="00445B11" w:rsidRPr="009D2F2C" w:rsidRDefault="00445B11" w:rsidP="002E71C1">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تحليل للمعلومات لتقييم واستعراض فعالية بروتوكول قرطاجنة للسلامة الأحيائية والتقييم النهائي للخطة الاستراتيجية لبروتوكول قرطاجنة للفترة 2011-2020</w:t>
            </w:r>
          </w:p>
        </w:tc>
        <w:tc>
          <w:tcPr>
            <w:tcW w:w="1095" w:type="dxa"/>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4</w:t>
            </w:r>
          </w:p>
        </w:tc>
      </w:tr>
      <w:tr w:rsidR="00445B11" w:rsidRPr="00272DCD" w:rsidTr="0081155D">
        <w:trPr>
          <w:trHeight w:val="365"/>
          <w:jc w:val="center"/>
        </w:trPr>
        <w:tc>
          <w:tcPr>
            <w:tcW w:w="2995" w:type="dxa"/>
          </w:tcPr>
          <w:p w:rsidR="00445B11" w:rsidRPr="00A20AB5" w:rsidRDefault="00445B11" w:rsidP="00445B11">
            <w:pPr>
              <w:spacing w:before="80" w:after="20" w:line="216" w:lineRule="auto"/>
              <w:rPr>
                <w:snapToGrid w:val="0"/>
                <w:kern w:val="22"/>
                <w:sz w:val="22"/>
                <w:szCs w:val="22"/>
                <w:lang w:val="en-GB"/>
              </w:rPr>
            </w:pPr>
            <w:r w:rsidRPr="00A20AB5">
              <w:rPr>
                <w:snapToGrid w:val="0"/>
                <w:kern w:val="22"/>
                <w:sz w:val="22"/>
                <w:szCs w:val="22"/>
                <w:lang w:val="en-GB"/>
              </w:rPr>
              <w:t>CBD/SBI/3/L.2</w:t>
            </w:r>
          </w:p>
        </w:tc>
        <w:tc>
          <w:tcPr>
            <w:tcW w:w="5557" w:type="dxa"/>
          </w:tcPr>
          <w:p w:rsidR="00445B11" w:rsidRPr="00B95080" w:rsidRDefault="00445B11" w:rsidP="002E71C1">
            <w:pPr>
              <w:bidi/>
              <w:spacing w:after="60" w:line="216" w:lineRule="auto"/>
              <w:rPr>
                <w:rFonts w:ascii="Simplified Arabic" w:eastAsia="Malgun Gothic" w:hAnsi="Simplified Arabic" w:cs="Simplified Arabic"/>
                <w:snapToGrid w:val="0"/>
                <w:kern w:val="22"/>
                <w:rtl/>
                <w:lang w:val="en-GB"/>
              </w:rPr>
            </w:pPr>
            <w:r w:rsidRPr="00B95080">
              <w:rPr>
                <w:rFonts w:ascii="Simplified Arabic" w:hAnsi="Simplified Arabic" w:cs="Simplified Arabic"/>
                <w:color w:val="000000"/>
                <w:rtl/>
              </w:rPr>
              <w:t>تقييم واستعراض فعالية بروتوكول قرطاجنة للسلامة الأحيائية</w:t>
            </w:r>
          </w:p>
        </w:tc>
        <w:tc>
          <w:tcPr>
            <w:tcW w:w="1095" w:type="dxa"/>
          </w:tcPr>
          <w:p w:rsidR="00445B11" w:rsidRPr="00584721" w:rsidRDefault="00445B11" w:rsidP="00445B11">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4</w:t>
            </w:r>
          </w:p>
        </w:tc>
      </w:tr>
      <w:tr w:rsidR="00445B11" w:rsidRPr="00272DCD" w:rsidTr="0081155D">
        <w:trPr>
          <w:trHeight w:val="365"/>
          <w:jc w:val="center"/>
        </w:trPr>
        <w:tc>
          <w:tcPr>
            <w:tcW w:w="2995" w:type="dxa"/>
          </w:tcPr>
          <w:p w:rsidR="00445B11" w:rsidRPr="00B95080" w:rsidRDefault="00445B11" w:rsidP="00445B11">
            <w:pPr>
              <w:spacing w:before="80" w:after="20" w:line="216" w:lineRule="auto"/>
              <w:rPr>
                <w:snapToGrid w:val="0"/>
                <w:kern w:val="22"/>
                <w:sz w:val="22"/>
                <w:szCs w:val="22"/>
                <w:lang w:val="en-US"/>
              </w:rPr>
            </w:pPr>
            <w:r w:rsidRPr="00A20AB5">
              <w:rPr>
                <w:snapToGrid w:val="0"/>
                <w:kern w:val="22"/>
                <w:sz w:val="22"/>
                <w:szCs w:val="22"/>
                <w:lang w:val="en-GB"/>
              </w:rPr>
              <w:t>CBD/SBI/3/4</w:t>
            </w:r>
          </w:p>
        </w:tc>
        <w:tc>
          <w:tcPr>
            <w:tcW w:w="5557" w:type="dxa"/>
          </w:tcPr>
          <w:p w:rsidR="00445B11" w:rsidRPr="009D2F2C" w:rsidRDefault="00445B11" w:rsidP="002E71C1">
            <w:pPr>
              <w:bidi/>
              <w:spacing w:after="60" w:line="216" w:lineRule="auto"/>
              <w:rPr>
                <w:rFonts w:ascii="Simplified Arabic" w:hAnsi="Simplified Arabic" w:cs="Simplified Arabic"/>
                <w:snapToGrid w:val="0"/>
                <w:kern w:val="22"/>
                <w:lang w:val="en-GB"/>
              </w:rPr>
            </w:pPr>
            <w:r w:rsidRPr="009D2F2C">
              <w:rPr>
                <w:rFonts w:ascii="Simplified Arabic" w:eastAsia="Malgun Gothic" w:hAnsi="Simplified Arabic" w:cs="Simplified Arabic"/>
                <w:snapToGrid w:val="0"/>
                <w:kern w:val="22"/>
                <w:rtl/>
                <w:lang w:val="en-GB"/>
              </w:rPr>
              <w:t>الإطار العالمي للتنوع البيولوجي لما بعد عام 2020</w:t>
            </w:r>
          </w:p>
        </w:tc>
        <w:tc>
          <w:tcPr>
            <w:tcW w:w="1095" w:type="dxa"/>
          </w:tcPr>
          <w:p w:rsidR="00445B11" w:rsidRPr="00584721" w:rsidRDefault="00445B11"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5</w:t>
            </w:r>
          </w:p>
        </w:tc>
      </w:tr>
      <w:tr w:rsidR="00445B11" w:rsidRPr="00272DCD" w:rsidTr="0081155D">
        <w:trPr>
          <w:trHeight w:val="365"/>
          <w:jc w:val="center"/>
        </w:trPr>
        <w:tc>
          <w:tcPr>
            <w:tcW w:w="2995" w:type="dxa"/>
          </w:tcPr>
          <w:p w:rsidR="00445B11" w:rsidRPr="00A20AB5" w:rsidRDefault="00445B11" w:rsidP="00445B11">
            <w:pPr>
              <w:spacing w:before="80" w:after="20" w:line="216" w:lineRule="auto"/>
              <w:rPr>
                <w:snapToGrid w:val="0"/>
                <w:kern w:val="22"/>
                <w:sz w:val="22"/>
                <w:szCs w:val="22"/>
                <w:lang w:val="en-GB"/>
              </w:rPr>
            </w:pPr>
            <w:r w:rsidRPr="00A20AB5">
              <w:rPr>
                <w:snapToGrid w:val="0"/>
                <w:kern w:val="22"/>
                <w:sz w:val="22"/>
                <w:szCs w:val="22"/>
                <w:lang w:val="en-GB"/>
              </w:rPr>
              <w:t>CBD/SBI/3/4/Add.1/Rev.1 (</w:t>
            </w:r>
            <w:r w:rsidRPr="00A20AB5">
              <w:rPr>
                <w:i/>
                <w:snapToGrid w:val="0"/>
                <w:kern w:val="22"/>
                <w:sz w:val="22"/>
                <w:szCs w:val="22"/>
                <w:lang w:val="en-GB"/>
              </w:rPr>
              <w:t>New</w:t>
            </w:r>
            <w:r w:rsidRPr="00A20AB5">
              <w:rPr>
                <w:snapToGrid w:val="0"/>
                <w:kern w:val="22"/>
                <w:sz w:val="22"/>
                <w:szCs w:val="22"/>
                <w:lang w:val="en-GB"/>
              </w:rPr>
              <w:t>)</w:t>
            </w:r>
          </w:p>
        </w:tc>
        <w:tc>
          <w:tcPr>
            <w:tcW w:w="5557" w:type="dxa"/>
          </w:tcPr>
          <w:p w:rsidR="00445B11" w:rsidRPr="009D2F2C" w:rsidRDefault="00445B11" w:rsidP="002E71C1">
            <w:pPr>
              <w:bidi/>
              <w:spacing w:after="60" w:line="216" w:lineRule="auto"/>
              <w:rPr>
                <w:rFonts w:ascii="Simplified Arabic" w:eastAsia="Malgun Gothic" w:hAnsi="Simplified Arabic" w:cs="Simplified Arabic"/>
                <w:snapToGrid w:val="0"/>
                <w:kern w:val="22"/>
                <w:rtl/>
                <w:lang w:val="en-GB"/>
              </w:rPr>
            </w:pPr>
            <w:r>
              <w:rPr>
                <w:rFonts w:ascii="Simplified Arabic" w:eastAsia="Malgun Gothic" w:hAnsi="Simplified Arabic" w:cs="Simplified Arabic" w:hint="cs"/>
                <w:snapToGrid w:val="0"/>
                <w:kern w:val="22"/>
                <w:rtl/>
                <w:lang w:val="en-GB"/>
              </w:rPr>
              <w:t>الاتصالات للإطار العالمي للتنوع البيولوجي لما بعد عام 2020</w:t>
            </w:r>
          </w:p>
        </w:tc>
        <w:tc>
          <w:tcPr>
            <w:tcW w:w="1095" w:type="dxa"/>
          </w:tcPr>
          <w:p w:rsidR="00445B11" w:rsidRPr="00584721" w:rsidRDefault="00445B11"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5</w:t>
            </w:r>
          </w:p>
        </w:tc>
      </w:tr>
      <w:tr w:rsidR="00445B11" w:rsidRPr="00272DCD" w:rsidTr="0081155D">
        <w:trPr>
          <w:trHeight w:val="365"/>
          <w:jc w:val="center"/>
        </w:trPr>
        <w:tc>
          <w:tcPr>
            <w:tcW w:w="2995" w:type="dxa"/>
          </w:tcPr>
          <w:p w:rsidR="00445B11" w:rsidRPr="00A20AB5" w:rsidRDefault="00445B11" w:rsidP="00445B11">
            <w:pPr>
              <w:spacing w:before="80" w:after="20" w:line="216" w:lineRule="auto"/>
              <w:rPr>
                <w:snapToGrid w:val="0"/>
                <w:kern w:val="22"/>
                <w:sz w:val="22"/>
                <w:szCs w:val="22"/>
                <w:lang w:val="en-GB"/>
              </w:rPr>
            </w:pPr>
            <w:r w:rsidRPr="00A20AB5">
              <w:rPr>
                <w:snapToGrid w:val="0"/>
                <w:kern w:val="22"/>
                <w:sz w:val="22"/>
                <w:szCs w:val="22"/>
                <w:lang w:val="en-GB"/>
              </w:rPr>
              <w:t>CBD/SBI/3/4/Add.2/Rev.</w:t>
            </w:r>
            <w:r>
              <w:rPr>
                <w:snapToGrid w:val="0"/>
                <w:kern w:val="22"/>
                <w:sz w:val="22"/>
                <w:szCs w:val="22"/>
                <w:lang w:val="en-GB"/>
              </w:rPr>
              <w:t>2</w:t>
            </w:r>
            <w:r w:rsidRPr="00A20AB5">
              <w:rPr>
                <w:snapToGrid w:val="0"/>
                <w:kern w:val="22"/>
                <w:sz w:val="22"/>
                <w:szCs w:val="22"/>
                <w:lang w:val="en-GB"/>
              </w:rPr>
              <w:t xml:space="preserve"> (</w:t>
            </w:r>
            <w:r w:rsidRPr="00A20AB5">
              <w:rPr>
                <w:i/>
                <w:snapToGrid w:val="0"/>
                <w:kern w:val="22"/>
                <w:sz w:val="22"/>
                <w:szCs w:val="22"/>
                <w:lang w:val="en-GB"/>
              </w:rPr>
              <w:t>New</w:t>
            </w:r>
            <w:r w:rsidRPr="00A20AB5">
              <w:rPr>
                <w:snapToGrid w:val="0"/>
                <w:kern w:val="22"/>
                <w:sz w:val="22"/>
                <w:szCs w:val="22"/>
                <w:lang w:val="en-GB"/>
              </w:rPr>
              <w:t>)</w:t>
            </w:r>
          </w:p>
        </w:tc>
        <w:tc>
          <w:tcPr>
            <w:tcW w:w="5557" w:type="dxa"/>
          </w:tcPr>
          <w:p w:rsidR="00445B11" w:rsidRPr="009D2F2C" w:rsidRDefault="00445B11" w:rsidP="002E71C1">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خطة عمل المنظور الجنساني</w:t>
            </w:r>
            <w:r>
              <w:rPr>
                <w:rFonts w:ascii="Simplified Arabic" w:hAnsi="Simplified Arabic" w:cs="Simplified Arabic" w:hint="cs"/>
                <w:snapToGrid w:val="0"/>
                <w:kern w:val="22"/>
                <w:rtl/>
                <w:lang w:val="en-GB"/>
              </w:rPr>
              <w:t xml:space="preserve"> لما بعد عام 2020</w:t>
            </w:r>
          </w:p>
        </w:tc>
        <w:tc>
          <w:tcPr>
            <w:tcW w:w="1095" w:type="dxa"/>
          </w:tcPr>
          <w:p w:rsidR="00445B11" w:rsidRPr="00584721" w:rsidRDefault="00445B11"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5</w:t>
            </w:r>
          </w:p>
        </w:tc>
      </w:tr>
      <w:tr w:rsidR="000002A5" w:rsidRPr="00272DCD" w:rsidTr="0081155D">
        <w:trPr>
          <w:trHeight w:val="365"/>
          <w:jc w:val="center"/>
        </w:trPr>
        <w:tc>
          <w:tcPr>
            <w:tcW w:w="2995" w:type="dxa"/>
          </w:tcPr>
          <w:p w:rsidR="000002A5" w:rsidRPr="00A20AB5" w:rsidRDefault="000002A5" w:rsidP="000002A5">
            <w:pPr>
              <w:spacing w:before="80" w:after="20" w:line="216" w:lineRule="auto"/>
              <w:rPr>
                <w:snapToGrid w:val="0"/>
                <w:kern w:val="22"/>
                <w:sz w:val="22"/>
                <w:szCs w:val="22"/>
                <w:lang w:val="en-GB"/>
              </w:rPr>
            </w:pPr>
            <w:r w:rsidRPr="00A20AB5">
              <w:rPr>
                <w:snapToGrid w:val="0"/>
                <w:kern w:val="22"/>
                <w:sz w:val="22"/>
                <w:szCs w:val="22"/>
                <w:lang w:val="en-GB"/>
              </w:rPr>
              <w:t>CBD/SBI/3/CRP.</w:t>
            </w:r>
            <w:r>
              <w:rPr>
                <w:snapToGrid w:val="0"/>
                <w:kern w:val="22"/>
                <w:sz w:val="22"/>
                <w:szCs w:val="22"/>
                <w:lang w:val="en-GB"/>
              </w:rPr>
              <w:t>9</w:t>
            </w:r>
          </w:p>
        </w:tc>
        <w:tc>
          <w:tcPr>
            <w:tcW w:w="5557" w:type="dxa"/>
          </w:tcPr>
          <w:p w:rsidR="000002A5" w:rsidRPr="000002A5" w:rsidRDefault="000002A5" w:rsidP="002E71C1">
            <w:pPr>
              <w:pStyle w:val="NormalWeb"/>
              <w:bidi/>
              <w:spacing w:before="0" w:beforeAutospacing="0" w:after="60" w:afterAutospacing="0" w:line="216" w:lineRule="auto"/>
              <w:rPr>
                <w:rFonts w:ascii="Simplified Arabic" w:hAnsi="Simplified Arabic" w:cs="Simplified Arabic"/>
                <w:color w:val="000000"/>
                <w:rtl/>
              </w:rPr>
            </w:pPr>
            <w:r w:rsidRPr="000002A5">
              <w:rPr>
                <w:rFonts w:ascii="Simplified Arabic" w:hAnsi="Simplified Arabic" w:cs="Simplified Arabic"/>
                <w:color w:val="000000"/>
                <w:rtl/>
              </w:rPr>
              <w:t>الإطار العالمي للتنوع البيولوجي لما بعد عام 2020</w:t>
            </w:r>
            <w:r w:rsidR="00496313">
              <w:rPr>
                <w:rFonts w:ascii="Simplified Arabic" w:hAnsi="Simplified Arabic" w:cs="Simplified Arabic" w:hint="cs"/>
                <w:color w:val="000000"/>
                <w:rtl/>
              </w:rPr>
              <w:t>:</w:t>
            </w:r>
            <w:r>
              <w:rPr>
                <w:rFonts w:ascii="Simplified Arabic" w:hAnsi="Simplified Arabic" w:cs="Simplified Arabic" w:hint="cs"/>
                <w:color w:val="000000"/>
                <w:rtl/>
              </w:rPr>
              <w:t xml:space="preserve"> </w:t>
            </w:r>
            <w:r w:rsidRPr="000002A5">
              <w:rPr>
                <w:rFonts w:ascii="Simplified Arabic" w:hAnsi="Simplified Arabic" w:cs="Simplified Arabic"/>
                <w:color w:val="000000"/>
                <w:rtl/>
              </w:rPr>
              <w:t>المسائل الأخرى ذات الصلة بالإطار العالمي للتنوع البيولوجي لما بعد عام 2020</w:t>
            </w:r>
          </w:p>
        </w:tc>
        <w:tc>
          <w:tcPr>
            <w:tcW w:w="1095" w:type="dxa"/>
          </w:tcPr>
          <w:p w:rsidR="000002A5" w:rsidRPr="000002A5" w:rsidRDefault="000002A5" w:rsidP="00FD05BD">
            <w:pPr>
              <w:suppressLineNumbers/>
              <w:suppressAutoHyphens/>
              <w:spacing w:before="80" w:after="20" w:line="216" w:lineRule="auto"/>
              <w:jc w:val="center"/>
              <w:rPr>
                <w:snapToGrid w:val="0"/>
                <w:kern w:val="22"/>
                <w:sz w:val="22"/>
                <w:szCs w:val="22"/>
                <w:lang w:val="en-US"/>
              </w:rPr>
            </w:pPr>
            <w:r w:rsidRPr="00584721">
              <w:rPr>
                <w:snapToGrid w:val="0"/>
                <w:kern w:val="22"/>
                <w:sz w:val="22"/>
                <w:szCs w:val="22"/>
                <w:lang w:val="en-GB"/>
              </w:rPr>
              <w:t>5</w:t>
            </w:r>
          </w:p>
        </w:tc>
      </w:tr>
      <w:tr w:rsidR="000002A5" w:rsidRPr="00272DCD" w:rsidTr="0081155D">
        <w:trPr>
          <w:trHeight w:val="365"/>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CBD/SBI/3/CRP.14</w:t>
            </w:r>
          </w:p>
        </w:tc>
        <w:tc>
          <w:tcPr>
            <w:tcW w:w="5557" w:type="dxa"/>
          </w:tcPr>
          <w:p w:rsidR="000002A5" w:rsidRPr="00A97F30" w:rsidRDefault="000002A5" w:rsidP="002E71C1">
            <w:pPr>
              <w:bidi/>
              <w:spacing w:after="60" w:line="216" w:lineRule="auto"/>
              <w:rPr>
                <w:rFonts w:ascii="Simplified Arabic" w:hAnsi="Simplified Arabic" w:cs="Simplified Arabic"/>
                <w:snapToGrid w:val="0"/>
                <w:kern w:val="22"/>
                <w:rtl/>
                <w:lang w:val="en-GB"/>
              </w:rPr>
            </w:pPr>
            <w:r w:rsidRPr="00A97F30">
              <w:rPr>
                <w:rFonts w:ascii="Simplified Arabic" w:hAnsi="Simplified Arabic" w:cs="Simplified Arabic"/>
                <w:color w:val="000000"/>
                <w:rtl/>
              </w:rPr>
              <w:t>خطة التنفيذ وخطة عمل بناء القدرات لبروتوكول قرطاجنة</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5</w:t>
            </w:r>
          </w:p>
        </w:tc>
      </w:tr>
      <w:tr w:rsidR="000002A5" w:rsidRPr="00272DCD" w:rsidTr="0081155D">
        <w:trPr>
          <w:trHeight w:val="365"/>
          <w:jc w:val="center"/>
        </w:trPr>
        <w:tc>
          <w:tcPr>
            <w:tcW w:w="2995" w:type="dxa"/>
          </w:tcPr>
          <w:p w:rsidR="000002A5" w:rsidRPr="00A20AB5" w:rsidRDefault="000002A5" w:rsidP="00445B11">
            <w:pPr>
              <w:spacing w:before="80" w:after="20" w:line="216" w:lineRule="auto"/>
              <w:rPr>
                <w:snapToGrid w:val="0"/>
                <w:kern w:val="22"/>
                <w:sz w:val="22"/>
                <w:szCs w:val="22"/>
                <w:lang w:val="en-US"/>
              </w:rPr>
            </w:pPr>
            <w:r w:rsidRPr="00A20AB5">
              <w:rPr>
                <w:snapToGrid w:val="0"/>
                <w:kern w:val="22"/>
                <w:sz w:val="22"/>
                <w:szCs w:val="22"/>
                <w:lang w:val="en-GB"/>
              </w:rPr>
              <w:t>CBD/SBI/3/5</w:t>
            </w:r>
          </w:p>
        </w:tc>
        <w:tc>
          <w:tcPr>
            <w:tcW w:w="5557" w:type="dxa"/>
          </w:tcPr>
          <w:p w:rsidR="000002A5" w:rsidRDefault="000002A5" w:rsidP="002E71C1">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snapToGrid w:val="0"/>
                <w:kern w:val="22"/>
                <w:rtl/>
                <w:lang w:val="en-GB"/>
              </w:rPr>
              <w:t>حشد الموارد</w:t>
            </w:r>
          </w:p>
          <w:p w:rsidR="000002A5" w:rsidRPr="009D2F2C" w:rsidRDefault="000002A5" w:rsidP="002E71C1">
            <w:pPr>
              <w:bidi/>
              <w:spacing w:after="60" w:line="216" w:lineRule="auto"/>
              <w:rPr>
                <w:rFonts w:ascii="Simplified Arabic" w:hAnsi="Simplified Arabic" w:cs="Simplified Arabic"/>
                <w:snapToGrid w:val="0"/>
                <w:kern w:val="22"/>
                <w:lang w:val="en-GB"/>
              </w:rPr>
            </w:pP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Pr>
                <w:snapToGrid w:val="0"/>
                <w:kern w:val="22"/>
                <w:sz w:val="22"/>
                <w:szCs w:val="22"/>
                <w:lang w:val="en-GB"/>
              </w:rPr>
              <w:t>6</w:t>
            </w:r>
          </w:p>
        </w:tc>
      </w:tr>
      <w:tr w:rsidR="000002A5" w:rsidRPr="00272DCD" w:rsidTr="0081155D">
        <w:trPr>
          <w:trHeight w:val="365"/>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CBD/SBI/3/5/Add.1</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rtl/>
                <w:lang w:val="en-GB" w:bidi="ar-EG"/>
              </w:rPr>
            </w:pPr>
            <w:r>
              <w:rPr>
                <w:rFonts w:ascii="Simplified Arabic" w:hAnsi="Simplified Arabic" w:cs="Simplified Arabic" w:hint="cs"/>
                <w:snapToGrid w:val="0"/>
                <w:kern w:val="22"/>
                <w:rtl/>
                <w:lang w:val="en-GB"/>
              </w:rPr>
              <w:t>تقييم واستعراض استراتيجية حشد الموارد والهدف 20 من أهداف أيشي للتنوع البيولوجي. موجز التقرير الأول لفريق الخبراء المعني بحشد الموارد</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6</w:t>
            </w:r>
          </w:p>
        </w:tc>
      </w:tr>
      <w:tr w:rsidR="000002A5" w:rsidRPr="00272DCD" w:rsidTr="0081155D">
        <w:trPr>
          <w:trHeight w:val="365"/>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CBD/SBI/3/5/Add.2/Rev.1 (</w:t>
            </w:r>
            <w:r w:rsidRPr="00A20AB5">
              <w:rPr>
                <w:i/>
                <w:snapToGrid w:val="0"/>
                <w:kern w:val="22"/>
                <w:sz w:val="22"/>
                <w:szCs w:val="22"/>
                <w:lang w:val="en-GB"/>
              </w:rPr>
              <w:t>New</w:t>
            </w:r>
            <w:r w:rsidRPr="00A20AB5">
              <w:rPr>
                <w:snapToGrid w:val="0"/>
                <w:kern w:val="22"/>
                <w:sz w:val="22"/>
                <w:szCs w:val="22"/>
                <w:lang w:val="en-GB"/>
              </w:rPr>
              <w:t>)</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 xml:space="preserve">تقدير الموارد اللازمة لتنفيذ الإطار العالمي للتنوع البيولوجي لما بعد عام 2020. </w:t>
            </w:r>
            <w:r w:rsidR="002E71C1">
              <w:rPr>
                <w:rFonts w:ascii="Simplified Arabic" w:hAnsi="Simplified Arabic" w:cs="Simplified Arabic" w:hint="cs"/>
                <w:snapToGrid w:val="0"/>
                <w:kern w:val="22"/>
                <w:rtl/>
                <w:lang w:val="en-GB"/>
              </w:rPr>
              <w:t xml:space="preserve">تحديث </w:t>
            </w:r>
            <w:r>
              <w:rPr>
                <w:rFonts w:ascii="Simplified Arabic" w:hAnsi="Simplified Arabic" w:cs="Simplified Arabic" w:hint="cs"/>
                <w:snapToGrid w:val="0"/>
                <w:kern w:val="22"/>
                <w:rtl/>
                <w:lang w:val="en-GB"/>
              </w:rPr>
              <w:t>تقرير فريق الخبراء المعني بحشد الموارد</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6</w:t>
            </w:r>
          </w:p>
        </w:tc>
      </w:tr>
      <w:tr w:rsidR="000002A5" w:rsidRPr="00272DCD" w:rsidTr="0081155D">
        <w:trPr>
          <w:trHeight w:val="365"/>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CBD/SBI/3/5/Add.3</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rtl/>
                <w:lang w:val="en-GB" w:bidi="ar-EG"/>
              </w:rPr>
            </w:pPr>
            <w:r>
              <w:rPr>
                <w:rFonts w:ascii="Simplified Arabic" w:hAnsi="Simplified Arabic" w:cs="Simplified Arabic" w:hint="cs"/>
                <w:snapToGrid w:val="0"/>
                <w:kern w:val="22"/>
                <w:rtl/>
                <w:lang w:val="en-GB"/>
              </w:rPr>
              <w:t>المساهمة في مشروع مكون حشد الموارد للإطار العالمي للتنوع البيولوجي لما بعد عام 2020. التقرير الثالث لفريق الخبراء المعني بحشد الموارد</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6</w:t>
            </w:r>
          </w:p>
        </w:tc>
      </w:tr>
      <w:tr w:rsidR="000002A5" w:rsidRPr="00272DCD" w:rsidTr="0081155D">
        <w:trPr>
          <w:trHeight w:val="365"/>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CBD/SBI/3/5/Add.4 (</w:t>
            </w:r>
            <w:r w:rsidRPr="00A20AB5">
              <w:rPr>
                <w:i/>
                <w:snapToGrid w:val="0"/>
                <w:kern w:val="22"/>
                <w:sz w:val="22"/>
                <w:szCs w:val="22"/>
                <w:lang w:val="en-GB"/>
              </w:rPr>
              <w:t>New</w:t>
            </w:r>
            <w:r w:rsidRPr="00A20AB5">
              <w:rPr>
                <w:snapToGrid w:val="0"/>
                <w:kern w:val="22"/>
                <w:sz w:val="22"/>
                <w:szCs w:val="22"/>
                <w:lang w:val="en-GB"/>
              </w:rPr>
              <w:t>)</w:t>
            </w:r>
          </w:p>
        </w:tc>
        <w:tc>
          <w:tcPr>
            <w:tcW w:w="5557" w:type="dxa"/>
          </w:tcPr>
          <w:p w:rsidR="000002A5" w:rsidRPr="009D2F2C" w:rsidRDefault="000002A5" w:rsidP="006A2F2D">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 xml:space="preserve">مشروع </w:t>
            </w:r>
            <w:r w:rsidR="006A2F2D">
              <w:rPr>
                <w:rFonts w:ascii="Simplified Arabic" w:hAnsi="Simplified Arabic" w:cs="Simplified Arabic" w:hint="cs"/>
                <w:snapToGrid w:val="0"/>
                <w:kern w:val="22"/>
                <w:rtl/>
                <w:lang w:val="en-GB"/>
              </w:rPr>
              <w:t>اختصاص</w:t>
            </w:r>
            <w:r>
              <w:rPr>
                <w:rFonts w:ascii="Simplified Arabic" w:hAnsi="Simplified Arabic" w:cs="Simplified Arabic" w:hint="cs"/>
                <w:snapToGrid w:val="0"/>
                <w:kern w:val="22"/>
                <w:rtl/>
                <w:lang w:val="en-GB"/>
              </w:rPr>
              <w:t xml:space="preserve">ات لفريق خبراء تقني مخصص محتمل معني بإطار </w:t>
            </w:r>
            <w:r>
              <w:rPr>
                <w:rFonts w:ascii="Simplified Arabic" w:hAnsi="Simplified Arabic" w:cs="Simplified Arabic" w:hint="cs"/>
                <w:snapToGrid w:val="0"/>
                <w:kern w:val="22"/>
                <w:rtl/>
                <w:lang w:val="en-GB"/>
              </w:rPr>
              <w:lastRenderedPageBreak/>
              <w:t>الإبلاغ المالي</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lastRenderedPageBreak/>
              <w:t>6</w:t>
            </w:r>
          </w:p>
        </w:tc>
      </w:tr>
      <w:tr w:rsidR="000002A5" w:rsidRPr="00272DCD" w:rsidTr="0081155D">
        <w:trPr>
          <w:trHeight w:val="365"/>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CBD/SBI/3/6</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إرشاد</w:t>
            </w:r>
            <w:r w:rsidRPr="009D2F2C">
              <w:rPr>
                <w:rFonts w:ascii="Simplified Arabic" w:hAnsi="Simplified Arabic" w:cs="Simplified Arabic" w:hint="cs"/>
                <w:snapToGrid w:val="0"/>
                <w:kern w:val="22"/>
                <w:rtl/>
                <w:lang w:val="en-GB"/>
              </w:rPr>
              <w:t>ات</w:t>
            </w:r>
            <w:r w:rsidRPr="009D2F2C">
              <w:rPr>
                <w:rFonts w:ascii="Simplified Arabic" w:hAnsi="Simplified Arabic" w:cs="Simplified Arabic"/>
                <w:snapToGrid w:val="0"/>
                <w:kern w:val="22"/>
                <w:rtl/>
                <w:lang w:val="en-GB"/>
              </w:rPr>
              <w:t xml:space="preserve"> للآلية المالية</w:t>
            </w:r>
          </w:p>
        </w:tc>
        <w:tc>
          <w:tcPr>
            <w:tcW w:w="1095" w:type="dxa"/>
          </w:tcPr>
          <w:p w:rsidR="000002A5" w:rsidRPr="000002A5" w:rsidRDefault="000002A5" w:rsidP="00FD05BD">
            <w:pPr>
              <w:suppressLineNumbers/>
              <w:suppressAutoHyphens/>
              <w:spacing w:before="80" w:after="20" w:line="216" w:lineRule="auto"/>
              <w:jc w:val="center"/>
              <w:rPr>
                <w:snapToGrid w:val="0"/>
                <w:kern w:val="22"/>
                <w:sz w:val="22"/>
                <w:szCs w:val="22"/>
                <w:lang w:val="en-US"/>
              </w:rPr>
            </w:pPr>
            <w:r w:rsidRPr="00584721">
              <w:rPr>
                <w:snapToGrid w:val="0"/>
                <w:kern w:val="22"/>
                <w:sz w:val="22"/>
                <w:szCs w:val="22"/>
                <w:lang w:val="en-GB"/>
              </w:rPr>
              <w:t>6</w:t>
            </w:r>
          </w:p>
        </w:tc>
      </w:tr>
      <w:tr w:rsidR="000002A5" w:rsidRPr="00272DCD" w:rsidTr="0081155D">
        <w:trPr>
          <w:trHeight w:val="365"/>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CBD/SBI/3/6/Add.1</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التقرير الأولي لمرفق البيئة العالمية</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6</w:t>
            </w:r>
          </w:p>
        </w:tc>
      </w:tr>
      <w:tr w:rsidR="000002A5" w:rsidRPr="00272DCD" w:rsidTr="0081155D">
        <w:trPr>
          <w:trHeight w:val="365"/>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CBD/SBI/3/6/Add.2/Rev.1 (</w:t>
            </w:r>
            <w:r w:rsidRPr="00A20AB5">
              <w:rPr>
                <w:i/>
                <w:snapToGrid w:val="0"/>
                <w:kern w:val="22"/>
                <w:sz w:val="22"/>
                <w:szCs w:val="22"/>
                <w:lang w:val="en-GB"/>
              </w:rPr>
              <w:t>New</w:t>
            </w:r>
            <w:r w:rsidRPr="00A20AB5">
              <w:rPr>
                <w:snapToGrid w:val="0"/>
                <w:kern w:val="22"/>
                <w:sz w:val="22"/>
                <w:szCs w:val="22"/>
                <w:lang w:val="en-GB"/>
              </w:rPr>
              <w:t>)</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تقرير محدث عن تقييم مبالغ الأموال اللازمة لتنفيذ الاتفاقية وبروتوكوليها خلال فترة التجديد الثامن لموارد الصندوق الاستئماني لمرفق البيئة العالمية</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6</w:t>
            </w:r>
          </w:p>
        </w:tc>
      </w:tr>
      <w:tr w:rsidR="000002A5" w:rsidRPr="00272DCD" w:rsidTr="0081155D">
        <w:trPr>
          <w:trHeight w:val="427"/>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CBD/SBI/3/6/Add.3</w:t>
            </w:r>
          </w:p>
        </w:tc>
        <w:tc>
          <w:tcPr>
            <w:tcW w:w="5557" w:type="dxa"/>
          </w:tcPr>
          <w:p w:rsidR="000002A5" w:rsidRPr="009D2F2C" w:rsidRDefault="000002A5" w:rsidP="00BE5DAC">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 xml:space="preserve">الآلية المالية: </w:t>
            </w:r>
            <w:r w:rsidR="00BE5DAC">
              <w:rPr>
                <w:rFonts w:ascii="Simplified Arabic" w:hAnsi="Simplified Arabic" w:cs="Simplified Arabic" w:hint="cs"/>
                <w:snapToGrid w:val="0"/>
                <w:kern w:val="22"/>
                <w:rtl/>
                <w:lang w:val="en-GB"/>
              </w:rPr>
              <w:t>عناصر المشورة</w:t>
            </w:r>
            <w:r>
              <w:rPr>
                <w:rFonts w:ascii="Simplified Arabic" w:hAnsi="Simplified Arabic" w:cs="Simplified Arabic" w:hint="cs"/>
                <w:snapToGrid w:val="0"/>
                <w:kern w:val="22"/>
                <w:rtl/>
                <w:lang w:val="en-GB"/>
              </w:rPr>
              <w:t xml:space="preserve"> من الاتفاقيات المتعلقة بالتنوع البيولوجي عملا </w:t>
            </w:r>
            <w:r w:rsidR="00BE5DAC">
              <w:rPr>
                <w:rFonts w:ascii="Simplified Arabic" w:hAnsi="Simplified Arabic" w:cs="Simplified Arabic" w:hint="cs"/>
                <w:snapToGrid w:val="0"/>
                <w:kern w:val="22"/>
                <w:rtl/>
                <w:lang w:val="en-GB"/>
              </w:rPr>
              <w:t>با</w:t>
            </w:r>
            <w:r>
              <w:rPr>
                <w:rFonts w:ascii="Simplified Arabic" w:hAnsi="Simplified Arabic" w:cs="Simplified Arabic" w:hint="cs"/>
                <w:snapToGrid w:val="0"/>
                <w:kern w:val="22"/>
                <w:rtl/>
                <w:lang w:val="en-GB"/>
              </w:rPr>
              <w:t>لفقرة 9 من المقرر 13/21</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6</w:t>
            </w:r>
          </w:p>
        </w:tc>
      </w:tr>
      <w:tr w:rsidR="00BE5DAC" w:rsidRPr="00272DCD" w:rsidTr="0081155D">
        <w:trPr>
          <w:trHeight w:val="427"/>
          <w:jc w:val="center"/>
        </w:trPr>
        <w:tc>
          <w:tcPr>
            <w:tcW w:w="2995" w:type="dxa"/>
          </w:tcPr>
          <w:p w:rsidR="00BE5DAC" w:rsidRPr="00A20AB5" w:rsidRDefault="00BE5DAC" w:rsidP="00445B11">
            <w:pPr>
              <w:spacing w:before="80" w:after="20" w:line="216" w:lineRule="auto"/>
              <w:rPr>
                <w:snapToGrid w:val="0"/>
                <w:kern w:val="22"/>
                <w:sz w:val="22"/>
                <w:szCs w:val="22"/>
                <w:lang w:val="en-GB"/>
              </w:rPr>
            </w:pPr>
            <w:r w:rsidRPr="00BE5DAC">
              <w:rPr>
                <w:snapToGrid w:val="0"/>
                <w:kern w:val="22"/>
                <w:sz w:val="22"/>
                <w:szCs w:val="22"/>
                <w:lang w:val="en-GB"/>
              </w:rPr>
              <w:t>CBD/SBI/3/6/Add.4</w:t>
            </w:r>
          </w:p>
        </w:tc>
        <w:tc>
          <w:tcPr>
            <w:tcW w:w="5557" w:type="dxa"/>
          </w:tcPr>
          <w:p w:rsidR="00BE5DAC" w:rsidRDefault="00BE5DAC" w:rsidP="00A533CC">
            <w:pPr>
              <w:bidi/>
              <w:spacing w:after="60" w:line="216" w:lineRule="auto"/>
              <w:rPr>
                <w:rFonts w:ascii="Simplified Arabic" w:hAnsi="Simplified Arabic" w:cs="Simplified Arabic"/>
                <w:snapToGrid w:val="0"/>
                <w:kern w:val="22"/>
                <w:rtl/>
                <w:lang w:val="en-GB"/>
              </w:rPr>
            </w:pPr>
            <w:r w:rsidRPr="00BE5DAC">
              <w:rPr>
                <w:rFonts w:ascii="Simplified Arabic" w:hAnsi="Simplified Arabic" w:cs="Simplified Arabic"/>
                <w:snapToGrid w:val="0"/>
                <w:kern w:val="22"/>
                <w:rtl/>
                <w:lang w:val="en-GB"/>
              </w:rPr>
              <w:t>الآلية المالية: مسودة مقترحات لإطار عمل موجه نحو النتائج مدته أربع سنوات لأولويات البرنامج لفترة التجديد الثامنة (</w:t>
            </w:r>
            <w:r>
              <w:rPr>
                <w:rFonts w:ascii="Simplified Arabic" w:hAnsi="Simplified Arabic" w:cs="Simplified Arabic" w:hint="cs"/>
                <w:snapToGrid w:val="0"/>
                <w:kern w:val="22"/>
                <w:rtl/>
                <w:lang w:val="en-GB"/>
              </w:rPr>
              <w:t xml:space="preserve">من </w:t>
            </w:r>
            <w:r w:rsidRPr="00BE5DAC">
              <w:rPr>
                <w:rFonts w:ascii="Simplified Arabic" w:hAnsi="Simplified Arabic" w:cs="Simplified Arabic"/>
                <w:snapToGrid w:val="0"/>
                <w:kern w:val="22"/>
                <w:rtl/>
                <w:lang w:val="en-GB"/>
              </w:rPr>
              <w:t>يوليو</w:t>
            </w:r>
            <w:r>
              <w:rPr>
                <w:rFonts w:ascii="Simplified Arabic" w:hAnsi="Simplified Arabic" w:cs="Simplified Arabic" w:hint="cs"/>
                <w:snapToGrid w:val="0"/>
                <w:kern w:val="22"/>
                <w:rtl/>
                <w:lang w:val="en-GB"/>
              </w:rPr>
              <w:t>/تموز</w:t>
            </w:r>
            <w:r w:rsidR="00A533CC">
              <w:rPr>
                <w:rFonts w:ascii="Simplified Arabic" w:hAnsi="Simplified Arabic" w:cs="Simplified Arabic"/>
                <w:snapToGrid w:val="0"/>
                <w:kern w:val="22"/>
                <w:rtl/>
                <w:lang w:val="en-GB"/>
              </w:rPr>
              <w:t xml:space="preserve"> 2022 إلى يون</w:t>
            </w:r>
            <w:r w:rsidR="00A533CC">
              <w:rPr>
                <w:rFonts w:ascii="Simplified Arabic" w:hAnsi="Simplified Arabic" w:cs="Simplified Arabic" w:hint="cs"/>
                <w:snapToGrid w:val="0"/>
                <w:kern w:val="22"/>
                <w:rtl/>
                <w:lang w:val="en-GB"/>
              </w:rPr>
              <w:t>يه</w:t>
            </w:r>
            <w:r>
              <w:rPr>
                <w:rFonts w:ascii="Simplified Arabic" w:hAnsi="Simplified Arabic" w:cs="Simplified Arabic" w:hint="cs"/>
                <w:snapToGrid w:val="0"/>
                <w:kern w:val="22"/>
                <w:rtl/>
                <w:lang w:val="en-GB"/>
              </w:rPr>
              <w:t>/حزيران</w:t>
            </w:r>
            <w:r w:rsidRPr="00BE5DAC">
              <w:rPr>
                <w:rFonts w:ascii="Simplified Arabic" w:hAnsi="Simplified Arabic" w:cs="Simplified Arabic"/>
                <w:snapToGrid w:val="0"/>
                <w:kern w:val="22"/>
                <w:rtl/>
                <w:lang w:val="en-GB"/>
              </w:rPr>
              <w:t xml:space="preserve"> 2026) للصندوق الاستئماني لمرفق البيئة العالمية والمسائل الأخرى ذات الصلة</w:t>
            </w:r>
          </w:p>
        </w:tc>
        <w:tc>
          <w:tcPr>
            <w:tcW w:w="1095" w:type="dxa"/>
          </w:tcPr>
          <w:p w:rsidR="00BE5DAC" w:rsidRPr="00584721" w:rsidRDefault="00BE5DAC" w:rsidP="00FD05BD">
            <w:pPr>
              <w:suppressLineNumbers/>
              <w:suppressAutoHyphens/>
              <w:spacing w:before="80" w:after="20" w:line="216" w:lineRule="auto"/>
              <w:jc w:val="center"/>
              <w:rPr>
                <w:snapToGrid w:val="0"/>
                <w:kern w:val="22"/>
                <w:sz w:val="22"/>
                <w:szCs w:val="22"/>
                <w:lang w:val="en-GB"/>
              </w:rPr>
            </w:pPr>
          </w:p>
        </w:tc>
      </w:tr>
      <w:tr w:rsidR="000002A5" w:rsidRPr="00272DCD" w:rsidTr="0081155D">
        <w:trPr>
          <w:trHeight w:val="427"/>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CBD/SBI/3/L.3</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الآلية المالية</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6</w:t>
            </w:r>
          </w:p>
        </w:tc>
      </w:tr>
      <w:tr w:rsidR="000002A5" w:rsidRPr="00272DCD" w:rsidTr="0081155D">
        <w:trPr>
          <w:trHeight w:val="427"/>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CBD/SBI/3/CRP.15</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حشد الموارد</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6</w:t>
            </w:r>
          </w:p>
        </w:tc>
      </w:tr>
      <w:tr w:rsidR="000002A5" w:rsidRPr="00272DCD" w:rsidTr="0081155D">
        <w:trPr>
          <w:trHeight w:val="427"/>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CBD/SBI/3/7</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lang w:val="en-GB" w:bidi="ar-EG"/>
              </w:rPr>
            </w:pPr>
            <w:r w:rsidRPr="009D2F2C">
              <w:rPr>
                <w:rFonts w:ascii="Simplified Arabic" w:hAnsi="Simplified Arabic" w:cs="Simplified Arabic"/>
                <w:snapToGrid w:val="0"/>
                <w:kern w:val="22"/>
                <w:rtl/>
                <w:lang w:val="en-GB"/>
              </w:rPr>
              <w:t>بناء القدرات، والتعاون التقني والعلمي، ونقل التكنولوجيا</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Pr>
                <w:snapToGrid w:val="0"/>
                <w:kern w:val="22"/>
                <w:sz w:val="22"/>
                <w:szCs w:val="22"/>
                <w:lang w:val="en-GB"/>
              </w:rPr>
              <w:t>7</w:t>
            </w:r>
          </w:p>
        </w:tc>
      </w:tr>
      <w:tr w:rsidR="000002A5" w:rsidRPr="00272DCD" w:rsidTr="0081155D">
        <w:trPr>
          <w:trHeight w:val="427"/>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CBD/SBI/3/7/Add.1</w:t>
            </w:r>
          </w:p>
        </w:tc>
        <w:tc>
          <w:tcPr>
            <w:tcW w:w="5557" w:type="dxa"/>
          </w:tcPr>
          <w:p w:rsidR="000002A5" w:rsidRPr="009D2F2C" w:rsidRDefault="000002A5" w:rsidP="00F17114">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snapToGrid w:val="0"/>
                <w:kern w:val="22"/>
                <w:rtl/>
                <w:lang w:val="en-GB"/>
              </w:rPr>
              <w:t xml:space="preserve">مشروع </w:t>
            </w:r>
            <w:r>
              <w:rPr>
                <w:rFonts w:ascii="Simplified Arabic" w:hAnsi="Simplified Arabic" w:cs="Simplified Arabic" w:hint="cs"/>
                <w:snapToGrid w:val="0"/>
                <w:kern w:val="22"/>
                <w:rtl/>
                <w:lang w:val="en-GB"/>
              </w:rPr>
              <w:t>إطار استراتيجي طويل الأجل لبناء القدرات</w:t>
            </w:r>
            <w:r w:rsidR="00F17114">
              <w:rPr>
                <w:rFonts w:ascii="Simplified Arabic" w:hAnsi="Simplified Arabic" w:cs="Simplified Arabic" w:hint="cs"/>
                <w:snapToGrid w:val="0"/>
                <w:kern w:val="22"/>
                <w:rtl/>
                <w:lang w:val="en-GB"/>
              </w:rPr>
              <w:t xml:space="preserve"> من أجل دعم تنفيذ الإطار العالمي للتنوع البيولوجي</w:t>
            </w:r>
            <w:r>
              <w:rPr>
                <w:rFonts w:ascii="Simplified Arabic" w:hAnsi="Simplified Arabic" w:cs="Simplified Arabic" w:hint="cs"/>
                <w:snapToGrid w:val="0"/>
                <w:kern w:val="22"/>
                <w:rtl/>
                <w:lang w:val="en-GB"/>
              </w:rPr>
              <w:t xml:space="preserve"> لما بعد عام 2020</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7</w:t>
            </w:r>
          </w:p>
        </w:tc>
      </w:tr>
      <w:tr w:rsidR="000002A5" w:rsidRPr="00272DCD" w:rsidTr="0081155D">
        <w:trPr>
          <w:trHeight w:val="480"/>
          <w:jc w:val="center"/>
        </w:trPr>
        <w:tc>
          <w:tcPr>
            <w:tcW w:w="2995" w:type="dxa"/>
            <w:noWrap/>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CBD/SBI/3/7/Add.2</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hint="cs"/>
                <w:snapToGrid w:val="0"/>
                <w:kern w:val="22"/>
                <w:rtl/>
                <w:lang w:val="en-GB"/>
              </w:rPr>
              <w:t>مقترحات لتعزيز التعاون التقني والعلمي دعما للإطار العالمي للتنوع البيولوجي لما بعد عام 2020</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7</w:t>
            </w:r>
          </w:p>
        </w:tc>
      </w:tr>
      <w:tr w:rsidR="000002A5" w:rsidRPr="00272DCD" w:rsidTr="0081155D">
        <w:trPr>
          <w:trHeight w:val="365"/>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CBD/SBI/3/8</w:t>
            </w:r>
          </w:p>
        </w:tc>
        <w:tc>
          <w:tcPr>
            <w:tcW w:w="5557" w:type="dxa"/>
          </w:tcPr>
          <w:p w:rsidR="000002A5" w:rsidRPr="009D2F2C" w:rsidRDefault="000002A5" w:rsidP="002E71C1">
            <w:pPr>
              <w:bidi/>
              <w:spacing w:after="60" w:line="216" w:lineRule="auto"/>
              <w:rPr>
                <w:rFonts w:ascii="Simplified Arabic" w:eastAsia="Malgun Gothic" w:hAnsi="Simplified Arabic" w:cs="Simplified Arabic"/>
                <w:snapToGrid w:val="0"/>
                <w:kern w:val="22"/>
                <w:rtl/>
                <w:lang w:val="en-GB"/>
              </w:rPr>
            </w:pPr>
            <w:r w:rsidRPr="009D2F2C">
              <w:rPr>
                <w:rFonts w:ascii="Simplified Arabic" w:hAnsi="Simplified Arabic" w:cs="Simplified Arabic"/>
                <w:snapToGrid w:val="0"/>
                <w:kern w:val="22"/>
                <w:rtl/>
                <w:lang w:val="en-GB"/>
              </w:rPr>
              <w:t>إدارة المعارف و</w:t>
            </w:r>
            <w:r w:rsidRPr="009D2F2C">
              <w:rPr>
                <w:rFonts w:ascii="Simplified Arabic" w:hAnsi="Simplified Arabic" w:cs="Simplified Arabic" w:hint="cs"/>
                <w:snapToGrid w:val="0"/>
                <w:kern w:val="22"/>
                <w:rtl/>
                <w:lang w:val="en-GB"/>
              </w:rPr>
              <w:t>آلية غرفة</w:t>
            </w:r>
            <w:r w:rsidRPr="009D2F2C">
              <w:rPr>
                <w:rFonts w:ascii="Simplified Arabic" w:hAnsi="Simplified Arabic" w:cs="Simplified Arabic"/>
                <w:snapToGrid w:val="0"/>
                <w:kern w:val="22"/>
                <w:rtl/>
                <w:lang w:val="en-GB"/>
              </w:rPr>
              <w:t xml:space="preserve"> تبادل المعلومات</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7</w:t>
            </w:r>
          </w:p>
        </w:tc>
      </w:tr>
      <w:tr w:rsidR="000002A5" w:rsidRPr="00272DCD" w:rsidTr="0081155D">
        <w:trPr>
          <w:trHeight w:val="365"/>
          <w:jc w:val="center"/>
        </w:trPr>
        <w:tc>
          <w:tcPr>
            <w:tcW w:w="2995" w:type="dxa"/>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CBD/SBI/3/8/Add.1</w:t>
            </w:r>
          </w:p>
        </w:tc>
        <w:tc>
          <w:tcPr>
            <w:tcW w:w="5557" w:type="dxa"/>
          </w:tcPr>
          <w:p w:rsidR="000002A5" w:rsidRPr="00E751C8" w:rsidRDefault="000002A5" w:rsidP="002E71C1">
            <w:pPr>
              <w:bidi/>
              <w:spacing w:after="60" w:line="216" w:lineRule="auto"/>
              <w:rPr>
                <w:rFonts w:ascii="Simplified Arabic" w:hAnsi="Simplified Arabic" w:cs="Simplified Arabic"/>
                <w:snapToGrid w:val="0"/>
                <w:kern w:val="22"/>
                <w:lang w:val="en-GB"/>
              </w:rPr>
            </w:pPr>
            <w:r w:rsidRPr="00E751C8">
              <w:rPr>
                <w:rFonts w:ascii="Simplified Arabic" w:hAnsi="Simplified Arabic" w:cs="Simplified Arabic"/>
                <w:color w:val="000000"/>
                <w:rtl/>
              </w:rPr>
              <w:t>مكون إدارة المعارف في الإطار العالمي للتنوع البيولوجي لما بعد عام 2020</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7</w:t>
            </w:r>
          </w:p>
        </w:tc>
      </w:tr>
      <w:tr w:rsidR="000002A5" w:rsidRPr="00272DCD" w:rsidTr="0081155D">
        <w:trPr>
          <w:trHeight w:val="480"/>
          <w:jc w:val="center"/>
        </w:trPr>
        <w:tc>
          <w:tcPr>
            <w:tcW w:w="2995" w:type="dxa"/>
            <w:noWrap/>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CBD/SBI/3/9</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rtl/>
                <w:lang w:val="en-GB" w:bidi="ar-EG"/>
              </w:rPr>
            </w:pPr>
            <w:r w:rsidRPr="009D2F2C">
              <w:rPr>
                <w:rFonts w:ascii="Simplified Arabic" w:eastAsia="Malgun Gothic" w:hAnsi="Simplified Arabic" w:cs="Simplified Arabic"/>
                <w:snapToGrid w:val="0"/>
                <w:kern w:val="22"/>
                <w:rtl/>
                <w:lang w:val="en-GB"/>
              </w:rPr>
              <w:t>الاتصال</w:t>
            </w:r>
            <w:r>
              <w:rPr>
                <w:rFonts w:ascii="Simplified Arabic" w:hAnsi="Simplified Arabic" w:cs="Simplified Arabic" w:hint="cs"/>
                <w:snapToGrid w:val="0"/>
                <w:kern w:val="22"/>
                <w:rtl/>
                <w:lang w:val="en-GB"/>
              </w:rPr>
              <w:t>ات</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7</w:t>
            </w:r>
          </w:p>
        </w:tc>
      </w:tr>
      <w:tr w:rsidR="000002A5" w:rsidRPr="00272DCD" w:rsidTr="0081155D">
        <w:trPr>
          <w:trHeight w:val="480"/>
          <w:jc w:val="center"/>
        </w:trPr>
        <w:tc>
          <w:tcPr>
            <w:tcW w:w="2995" w:type="dxa"/>
            <w:noWrap/>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CBD/SBI/3/L.5</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rtl/>
                <w:lang w:val="en-GB"/>
              </w:rPr>
            </w:pPr>
            <w:r w:rsidRPr="009D2F2C">
              <w:rPr>
                <w:rFonts w:ascii="Simplified Arabic" w:eastAsia="Malgun Gothic" w:hAnsi="Simplified Arabic" w:cs="Simplified Arabic"/>
                <w:snapToGrid w:val="0"/>
                <w:kern w:val="22"/>
                <w:rtl/>
                <w:lang w:val="en-GB"/>
              </w:rPr>
              <w:t>الاتصال</w:t>
            </w:r>
            <w:r>
              <w:rPr>
                <w:rFonts w:ascii="Simplified Arabic" w:hAnsi="Simplified Arabic" w:cs="Simplified Arabic" w:hint="cs"/>
                <w:snapToGrid w:val="0"/>
                <w:kern w:val="22"/>
                <w:rtl/>
                <w:lang w:val="en-GB"/>
              </w:rPr>
              <w:t>ات</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7</w:t>
            </w:r>
          </w:p>
        </w:tc>
      </w:tr>
      <w:tr w:rsidR="000002A5" w:rsidRPr="00272DCD" w:rsidTr="0081155D">
        <w:trPr>
          <w:trHeight w:val="480"/>
          <w:jc w:val="center"/>
        </w:trPr>
        <w:tc>
          <w:tcPr>
            <w:tcW w:w="2995" w:type="dxa"/>
            <w:noWrap/>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CBD/SBI/3/CRP.4</w:t>
            </w:r>
          </w:p>
        </w:tc>
        <w:tc>
          <w:tcPr>
            <w:tcW w:w="5557" w:type="dxa"/>
          </w:tcPr>
          <w:p w:rsidR="000002A5" w:rsidRPr="00A97F30" w:rsidRDefault="000002A5" w:rsidP="002E71C1">
            <w:pPr>
              <w:bidi/>
              <w:spacing w:after="60" w:line="216" w:lineRule="auto"/>
              <w:rPr>
                <w:rFonts w:ascii="Simplified Arabic" w:hAnsi="Simplified Arabic" w:cs="Simplified Arabic"/>
                <w:snapToGrid w:val="0"/>
                <w:kern w:val="22"/>
                <w:rtl/>
                <w:lang w:val="en-GB"/>
              </w:rPr>
            </w:pPr>
            <w:r w:rsidRPr="00A97F30">
              <w:rPr>
                <w:rFonts w:ascii="Simplified Arabic" w:hAnsi="Simplified Arabic" w:cs="Simplified Arabic"/>
                <w:color w:val="000000"/>
                <w:rtl/>
              </w:rPr>
              <w:t>إدارة المعارف وآلية غرفة تبادل المعلومات</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7</w:t>
            </w:r>
          </w:p>
        </w:tc>
      </w:tr>
      <w:tr w:rsidR="000002A5" w:rsidRPr="00272DCD" w:rsidTr="0081155D">
        <w:trPr>
          <w:trHeight w:val="480"/>
          <w:jc w:val="center"/>
        </w:trPr>
        <w:tc>
          <w:tcPr>
            <w:tcW w:w="2995" w:type="dxa"/>
            <w:noWrap/>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CBD/SBI/3/CRP.6</w:t>
            </w:r>
          </w:p>
        </w:tc>
        <w:tc>
          <w:tcPr>
            <w:tcW w:w="5557" w:type="dxa"/>
          </w:tcPr>
          <w:p w:rsidR="000002A5" w:rsidRPr="00A97F30" w:rsidRDefault="000002A5" w:rsidP="002E71C1">
            <w:pPr>
              <w:bidi/>
              <w:spacing w:after="60" w:line="216" w:lineRule="auto"/>
              <w:rPr>
                <w:rFonts w:ascii="Simplified Arabic" w:hAnsi="Simplified Arabic" w:cs="Simplified Arabic"/>
                <w:snapToGrid w:val="0"/>
                <w:kern w:val="22"/>
                <w:rtl/>
                <w:lang w:val="en-GB"/>
              </w:rPr>
            </w:pPr>
            <w:r w:rsidRPr="00A97F30">
              <w:rPr>
                <w:rFonts w:ascii="Simplified Arabic" w:hAnsi="Simplified Arabic" w:cs="Simplified Arabic"/>
                <w:color w:val="000000"/>
                <w:rtl/>
              </w:rPr>
              <w:t xml:space="preserve">تقييم الإطار الاستراتيجي بشأن بناء القدرات </w:t>
            </w:r>
            <w:r w:rsidR="002E71C1">
              <w:rPr>
                <w:rFonts w:ascii="Simplified Arabic" w:hAnsi="Simplified Arabic" w:cs="Simplified Arabic"/>
                <w:color w:val="000000"/>
                <w:rtl/>
              </w:rPr>
              <w:t xml:space="preserve">من أجل دعم </w:t>
            </w:r>
            <w:r w:rsidRPr="00A97F30">
              <w:rPr>
                <w:rFonts w:ascii="Simplified Arabic" w:hAnsi="Simplified Arabic" w:cs="Simplified Arabic"/>
                <w:color w:val="000000"/>
                <w:rtl/>
              </w:rPr>
              <w:t>تنفيذ بروتوكول ناغويا</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7</w:t>
            </w:r>
          </w:p>
        </w:tc>
      </w:tr>
      <w:tr w:rsidR="000002A5" w:rsidRPr="00272DCD" w:rsidTr="0081155D">
        <w:trPr>
          <w:trHeight w:val="480"/>
          <w:jc w:val="center"/>
        </w:trPr>
        <w:tc>
          <w:tcPr>
            <w:tcW w:w="2995" w:type="dxa"/>
            <w:noWrap/>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CBD/SBI/3/CRP.13</w:t>
            </w:r>
          </w:p>
        </w:tc>
        <w:tc>
          <w:tcPr>
            <w:tcW w:w="5557" w:type="dxa"/>
          </w:tcPr>
          <w:p w:rsidR="000002A5" w:rsidRPr="00A97F30" w:rsidRDefault="002E71C1" w:rsidP="002E71C1">
            <w:pPr>
              <w:bidi/>
              <w:spacing w:after="60" w:line="216" w:lineRule="auto"/>
              <w:rPr>
                <w:rFonts w:ascii="Simplified Arabic" w:hAnsi="Simplified Arabic" w:cs="Simplified Arabic"/>
                <w:snapToGrid w:val="0"/>
                <w:kern w:val="22"/>
                <w:lang w:val="en-GB"/>
              </w:rPr>
            </w:pPr>
            <w:r>
              <w:rPr>
                <w:rFonts w:ascii="Simplified Arabic" w:hAnsi="Simplified Arabic" w:cs="Simplified Arabic"/>
                <w:color w:val="000000"/>
                <w:rtl/>
              </w:rPr>
              <w:t>بناء القدرات</w:t>
            </w:r>
            <w:r w:rsidR="000002A5" w:rsidRPr="00A97F30">
              <w:rPr>
                <w:rFonts w:ascii="Simplified Arabic" w:hAnsi="Simplified Arabic" w:cs="Simplified Arabic"/>
                <w:color w:val="000000"/>
                <w:rtl/>
              </w:rPr>
              <w:t>، والتعاون التقني والعلمي ونقل التكنولوجيا</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7</w:t>
            </w:r>
          </w:p>
        </w:tc>
      </w:tr>
      <w:tr w:rsidR="000002A5" w:rsidRPr="00272DCD" w:rsidTr="0081155D">
        <w:trPr>
          <w:trHeight w:val="480"/>
          <w:jc w:val="center"/>
        </w:trPr>
        <w:tc>
          <w:tcPr>
            <w:tcW w:w="2995" w:type="dxa"/>
            <w:noWrap/>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CBD/SBI/3/10</w:t>
            </w:r>
          </w:p>
        </w:tc>
        <w:tc>
          <w:tcPr>
            <w:tcW w:w="5557" w:type="dxa"/>
          </w:tcPr>
          <w:p w:rsidR="000002A5" w:rsidRPr="00A97F30" w:rsidRDefault="000002A5" w:rsidP="002E71C1">
            <w:pPr>
              <w:bidi/>
              <w:spacing w:after="60" w:line="216" w:lineRule="auto"/>
              <w:rPr>
                <w:rFonts w:ascii="Simplified Arabic" w:hAnsi="Simplified Arabic" w:cs="Simplified Arabic"/>
                <w:snapToGrid w:val="0"/>
                <w:kern w:val="22"/>
                <w:lang w:val="en-GB"/>
              </w:rPr>
            </w:pPr>
            <w:r w:rsidRPr="00A97F30">
              <w:rPr>
                <w:rFonts w:ascii="Simplified Arabic" w:hAnsi="Simplified Arabic" w:cs="Simplified Arabic"/>
                <w:snapToGrid w:val="0"/>
                <w:kern w:val="22"/>
                <w:rtl/>
                <w:lang w:val="en-GB"/>
              </w:rPr>
              <w:t>التعاون مع الاتفاقيات والمنظمات الدولية والمبادرات الأخرى</w:t>
            </w:r>
          </w:p>
        </w:tc>
        <w:tc>
          <w:tcPr>
            <w:tcW w:w="1095" w:type="dxa"/>
          </w:tcPr>
          <w:p w:rsidR="000002A5" w:rsidRPr="00584721" w:rsidRDefault="003C5806" w:rsidP="00FD05BD">
            <w:pPr>
              <w:suppressLineNumbers/>
              <w:suppressAutoHyphens/>
              <w:spacing w:before="80" w:after="20" w:line="216" w:lineRule="auto"/>
              <w:jc w:val="center"/>
              <w:rPr>
                <w:snapToGrid w:val="0"/>
                <w:kern w:val="22"/>
                <w:sz w:val="22"/>
                <w:szCs w:val="22"/>
                <w:lang w:val="en-GB"/>
              </w:rPr>
            </w:pPr>
            <w:r>
              <w:rPr>
                <w:snapToGrid w:val="0"/>
                <w:kern w:val="22"/>
                <w:sz w:val="22"/>
                <w:szCs w:val="22"/>
                <w:lang w:val="en-GB"/>
              </w:rPr>
              <w:t>8</w:t>
            </w:r>
          </w:p>
        </w:tc>
      </w:tr>
      <w:tr w:rsidR="000002A5" w:rsidRPr="00272DCD" w:rsidTr="0081155D">
        <w:trPr>
          <w:trHeight w:val="480"/>
          <w:jc w:val="center"/>
        </w:trPr>
        <w:tc>
          <w:tcPr>
            <w:tcW w:w="2995" w:type="dxa"/>
            <w:noWrap/>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CBD/SBI/3/11</w:t>
            </w:r>
          </w:p>
        </w:tc>
        <w:tc>
          <w:tcPr>
            <w:tcW w:w="5557" w:type="dxa"/>
          </w:tcPr>
          <w:p w:rsidR="000002A5" w:rsidRPr="00A97F30" w:rsidRDefault="00F17114" w:rsidP="00A533CC">
            <w:pPr>
              <w:bidi/>
              <w:spacing w:after="60" w:line="216" w:lineRule="auto"/>
              <w:rPr>
                <w:rFonts w:ascii="Simplified Arabic" w:eastAsia="Malgun Gothic" w:hAnsi="Simplified Arabic" w:cs="Simplified Arabic"/>
                <w:snapToGrid w:val="0"/>
                <w:kern w:val="22"/>
                <w:lang w:val="en-GB"/>
              </w:rPr>
            </w:pPr>
            <w:r w:rsidRPr="00F17114">
              <w:rPr>
                <w:rFonts w:ascii="Simplified Arabic" w:hAnsi="Simplified Arabic" w:cs="Simplified Arabic"/>
                <w:snapToGrid w:val="0"/>
                <w:kern w:val="22"/>
                <w:rtl/>
                <w:lang w:val="en-GB"/>
              </w:rPr>
              <w:t>خيارات لت</w:t>
            </w:r>
            <w:r w:rsidR="00A533CC">
              <w:rPr>
                <w:rFonts w:ascii="Simplified Arabic" w:hAnsi="Simplified Arabic" w:cs="Simplified Arabic" w:hint="cs"/>
                <w:snapToGrid w:val="0"/>
                <w:kern w:val="22"/>
                <w:rtl/>
                <w:lang w:val="en-GB"/>
              </w:rPr>
              <w:t>حسين</w:t>
            </w:r>
            <w:r w:rsidRPr="00F17114">
              <w:rPr>
                <w:rFonts w:ascii="Simplified Arabic" w:hAnsi="Simplified Arabic" w:cs="Simplified Arabic"/>
                <w:snapToGrid w:val="0"/>
                <w:kern w:val="22"/>
                <w:rtl/>
                <w:lang w:val="en-GB"/>
              </w:rPr>
              <w:t xml:space="preserve"> آليات التخطيط والإبلاغ والاستعراض ب</w:t>
            </w:r>
            <w:r w:rsidR="00A533CC">
              <w:rPr>
                <w:rFonts w:ascii="Simplified Arabic" w:hAnsi="Simplified Arabic" w:cs="Simplified Arabic" w:hint="cs"/>
                <w:snapToGrid w:val="0"/>
                <w:kern w:val="22"/>
                <w:rtl/>
                <w:lang w:val="en-GB"/>
              </w:rPr>
              <w:t>غرض</w:t>
            </w:r>
            <w:r w:rsidRPr="00F17114">
              <w:rPr>
                <w:rFonts w:ascii="Simplified Arabic" w:hAnsi="Simplified Arabic" w:cs="Simplified Arabic"/>
                <w:snapToGrid w:val="0"/>
                <w:kern w:val="22"/>
                <w:rtl/>
                <w:lang w:val="en-GB"/>
              </w:rPr>
              <w:t xml:space="preserve"> تعزيز تنفيذ الاتفاقية</w:t>
            </w:r>
          </w:p>
        </w:tc>
        <w:tc>
          <w:tcPr>
            <w:tcW w:w="1095" w:type="dxa"/>
          </w:tcPr>
          <w:p w:rsidR="000002A5" w:rsidRPr="00584721" w:rsidRDefault="003C5806" w:rsidP="00FD05BD">
            <w:pPr>
              <w:suppressLineNumbers/>
              <w:suppressAutoHyphens/>
              <w:spacing w:before="80" w:after="20" w:line="216" w:lineRule="auto"/>
              <w:jc w:val="center"/>
              <w:rPr>
                <w:snapToGrid w:val="0"/>
                <w:kern w:val="22"/>
                <w:sz w:val="22"/>
                <w:szCs w:val="22"/>
                <w:lang w:val="en-GB"/>
              </w:rPr>
            </w:pPr>
            <w:r>
              <w:rPr>
                <w:snapToGrid w:val="0"/>
                <w:kern w:val="22"/>
                <w:sz w:val="22"/>
                <w:szCs w:val="22"/>
                <w:lang w:val="en-GB"/>
              </w:rPr>
              <w:t>9</w:t>
            </w:r>
          </w:p>
        </w:tc>
      </w:tr>
      <w:tr w:rsidR="000002A5" w:rsidRPr="00272DCD" w:rsidTr="0081155D">
        <w:trPr>
          <w:trHeight w:val="480"/>
          <w:jc w:val="center"/>
        </w:trPr>
        <w:tc>
          <w:tcPr>
            <w:tcW w:w="2995" w:type="dxa"/>
            <w:noWrap/>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CBD/SBI/3/11/Add.1</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الإبلاغ الوطني بموجب الاتفاقية وبروتوكوليها</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9</w:t>
            </w:r>
          </w:p>
        </w:tc>
      </w:tr>
      <w:tr w:rsidR="000002A5" w:rsidRPr="00272DCD" w:rsidTr="0081155D">
        <w:trPr>
          <w:trHeight w:val="480"/>
          <w:jc w:val="center"/>
        </w:trPr>
        <w:tc>
          <w:tcPr>
            <w:tcW w:w="2995" w:type="dxa"/>
            <w:noWrap/>
          </w:tcPr>
          <w:p w:rsidR="000002A5" w:rsidRPr="00A20AB5" w:rsidRDefault="000002A5" w:rsidP="00F17114">
            <w:pPr>
              <w:spacing w:before="80" w:after="20" w:line="216" w:lineRule="auto"/>
              <w:rPr>
                <w:snapToGrid w:val="0"/>
                <w:kern w:val="22"/>
                <w:sz w:val="22"/>
                <w:szCs w:val="22"/>
                <w:lang w:val="en-GB"/>
              </w:rPr>
            </w:pPr>
            <w:r w:rsidRPr="00A20AB5">
              <w:rPr>
                <w:snapToGrid w:val="0"/>
                <w:kern w:val="22"/>
                <w:sz w:val="22"/>
                <w:szCs w:val="22"/>
                <w:lang w:val="en-GB"/>
              </w:rPr>
              <w:t>CBD/SBI/3/11/Add.1/</w:t>
            </w:r>
            <w:r w:rsidR="00F17114">
              <w:rPr>
                <w:snapToGrid w:val="0"/>
                <w:kern w:val="22"/>
                <w:sz w:val="22"/>
                <w:szCs w:val="22"/>
                <w:lang w:val="en-GB"/>
              </w:rPr>
              <w:t>Amend</w:t>
            </w:r>
            <w:r w:rsidRPr="00A20AB5">
              <w:rPr>
                <w:snapToGrid w:val="0"/>
                <w:kern w:val="22"/>
                <w:sz w:val="22"/>
                <w:szCs w:val="22"/>
                <w:lang w:val="en-GB"/>
              </w:rPr>
              <w:t>.1 (</w:t>
            </w:r>
            <w:r w:rsidRPr="00A20AB5">
              <w:rPr>
                <w:i/>
                <w:snapToGrid w:val="0"/>
                <w:kern w:val="22"/>
                <w:sz w:val="22"/>
                <w:szCs w:val="22"/>
                <w:lang w:val="en-GB"/>
              </w:rPr>
              <w:t>New</w:t>
            </w:r>
            <w:r w:rsidRPr="00A20AB5">
              <w:rPr>
                <w:snapToGrid w:val="0"/>
                <w:kern w:val="22"/>
                <w:sz w:val="22"/>
                <w:szCs w:val="22"/>
                <w:lang w:val="en-GB"/>
              </w:rPr>
              <w:t>)</w:t>
            </w:r>
          </w:p>
        </w:tc>
        <w:tc>
          <w:tcPr>
            <w:tcW w:w="5557" w:type="dxa"/>
          </w:tcPr>
          <w:p w:rsidR="000002A5" w:rsidRPr="009D2F2C" w:rsidRDefault="000002A5" w:rsidP="00F17114">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snapToGrid w:val="0"/>
                <w:kern w:val="22"/>
                <w:rtl/>
                <w:lang w:val="en-GB"/>
              </w:rPr>
              <w:t>الإبلاغ الوطني بموجب الاتفاقية</w:t>
            </w:r>
            <w:r w:rsidR="00F17114">
              <w:rPr>
                <w:rFonts w:ascii="Simplified Arabic" w:hAnsi="Simplified Arabic" w:cs="Simplified Arabic" w:hint="cs"/>
                <w:snapToGrid w:val="0"/>
                <w:kern w:val="22"/>
                <w:rtl/>
                <w:lang w:val="en-GB" w:bidi="ar-EG"/>
              </w:rPr>
              <w:t>: إرشادات منقحة</w:t>
            </w:r>
            <w:r>
              <w:rPr>
                <w:rFonts w:ascii="Simplified Arabic" w:hAnsi="Simplified Arabic" w:cs="Simplified Arabic" w:hint="cs"/>
                <w:snapToGrid w:val="0"/>
                <w:kern w:val="22"/>
                <w:rtl/>
                <w:lang w:val="en-GB"/>
              </w:rPr>
              <w:t xml:space="preserve"> </w:t>
            </w:r>
            <w:r w:rsidR="00F17114">
              <w:rPr>
                <w:rFonts w:ascii="Simplified Arabic" w:hAnsi="Simplified Arabic" w:cs="Simplified Arabic" w:hint="cs"/>
                <w:snapToGrid w:val="0"/>
                <w:kern w:val="22"/>
                <w:rtl/>
                <w:lang w:val="en-GB"/>
              </w:rPr>
              <w:t>و</w:t>
            </w:r>
            <w:r>
              <w:rPr>
                <w:rFonts w:ascii="Simplified Arabic" w:hAnsi="Simplified Arabic" w:cs="Simplified Arabic" w:hint="cs"/>
                <w:snapToGrid w:val="0"/>
                <w:kern w:val="22"/>
                <w:rtl/>
                <w:lang w:val="en-GB"/>
              </w:rPr>
              <w:t>مشروع نموذج للتقريرين الوطنيين السابع والثامن</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9</w:t>
            </w:r>
          </w:p>
        </w:tc>
      </w:tr>
      <w:tr w:rsidR="000002A5" w:rsidRPr="00272DCD" w:rsidTr="0081155D">
        <w:trPr>
          <w:trHeight w:val="480"/>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CBD/SBI/3/11/Add.2</w:t>
            </w:r>
          </w:p>
        </w:tc>
        <w:tc>
          <w:tcPr>
            <w:tcW w:w="5557" w:type="dxa"/>
          </w:tcPr>
          <w:p w:rsidR="000002A5" w:rsidRPr="009D2F2C" w:rsidRDefault="000002A5" w:rsidP="00F17114">
            <w:pPr>
              <w:bidi/>
              <w:spacing w:after="60" w:line="216" w:lineRule="auto"/>
              <w:rPr>
                <w:rFonts w:ascii="Simplified Arabic" w:hAnsi="Simplified Arabic" w:cs="Simplified Arabic"/>
                <w:rtl/>
                <w:lang w:val="en-GB"/>
              </w:rPr>
            </w:pPr>
            <w:r>
              <w:rPr>
                <w:rFonts w:ascii="Simplified Arabic" w:hAnsi="Simplified Arabic" w:cs="Simplified Arabic" w:hint="cs"/>
                <w:snapToGrid w:val="0"/>
                <w:kern w:val="22"/>
                <w:rtl/>
                <w:lang w:val="en-GB"/>
              </w:rPr>
              <w:t>خيارات ل</w:t>
            </w:r>
            <w:r w:rsidR="00F17114">
              <w:rPr>
                <w:rFonts w:ascii="Simplified Arabic" w:hAnsi="Simplified Arabic" w:cs="Simplified Arabic" w:hint="cs"/>
                <w:snapToGrid w:val="0"/>
                <w:kern w:val="22"/>
                <w:rtl/>
                <w:lang w:val="en-GB"/>
              </w:rPr>
              <w:t>تحسين</w:t>
            </w:r>
            <w:r>
              <w:rPr>
                <w:rFonts w:ascii="Simplified Arabic" w:hAnsi="Simplified Arabic" w:cs="Simplified Arabic" w:hint="cs"/>
                <w:snapToGrid w:val="0"/>
                <w:kern w:val="22"/>
                <w:rtl/>
                <w:lang w:val="en-GB"/>
              </w:rPr>
              <w:t xml:space="preserve"> أوجه التآزر في الإبلاغ</w:t>
            </w:r>
            <w:r w:rsidR="00F17114">
              <w:rPr>
                <w:rFonts w:ascii="Simplified Arabic" w:hAnsi="Simplified Arabic" w:cs="Simplified Arabic" w:hint="cs"/>
                <w:snapToGrid w:val="0"/>
                <w:kern w:val="22"/>
                <w:rtl/>
                <w:lang w:val="en-GB"/>
              </w:rPr>
              <w:t xml:space="preserve"> الوطني</w:t>
            </w:r>
            <w:r>
              <w:rPr>
                <w:rFonts w:ascii="Simplified Arabic" w:hAnsi="Simplified Arabic" w:cs="Simplified Arabic" w:hint="cs"/>
                <w:snapToGrid w:val="0"/>
                <w:kern w:val="22"/>
                <w:rtl/>
                <w:lang w:val="en-GB"/>
              </w:rPr>
              <w:t xml:space="preserve"> فيما بين الاتفاقيات المتعلقة بالتنوع البيولوجي واتفاقيات ريو</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9</w:t>
            </w:r>
          </w:p>
        </w:tc>
      </w:tr>
      <w:tr w:rsidR="00DA373A" w:rsidRPr="00272DCD" w:rsidTr="0081155D">
        <w:trPr>
          <w:trHeight w:val="480"/>
          <w:jc w:val="center"/>
        </w:trPr>
        <w:tc>
          <w:tcPr>
            <w:tcW w:w="2995" w:type="dxa"/>
            <w:noWrap/>
            <w:hideMark/>
          </w:tcPr>
          <w:p w:rsidR="00DA373A" w:rsidRPr="00DA373A" w:rsidRDefault="00DA373A" w:rsidP="00445B11">
            <w:pPr>
              <w:spacing w:before="80" w:after="20" w:line="216" w:lineRule="auto"/>
              <w:rPr>
                <w:snapToGrid w:val="0"/>
                <w:kern w:val="22"/>
                <w:sz w:val="22"/>
                <w:szCs w:val="22"/>
                <w:lang w:val="en-US"/>
              </w:rPr>
            </w:pPr>
            <w:r w:rsidRPr="00E02A03">
              <w:rPr>
                <w:snapToGrid w:val="0"/>
                <w:kern w:val="22"/>
                <w:sz w:val="22"/>
                <w:szCs w:val="22"/>
                <w:lang w:val="en-GB"/>
              </w:rPr>
              <w:t>CBD/SBI/3/11/Add.3/Rev.1</w:t>
            </w:r>
          </w:p>
        </w:tc>
        <w:tc>
          <w:tcPr>
            <w:tcW w:w="5557" w:type="dxa"/>
          </w:tcPr>
          <w:p w:rsidR="00DA373A" w:rsidRPr="00DA373A" w:rsidRDefault="00DA373A" w:rsidP="002E71C1">
            <w:pPr>
              <w:pStyle w:val="NormalWeb"/>
              <w:bidi/>
              <w:spacing w:before="0" w:beforeAutospacing="0" w:after="60" w:afterAutospacing="0" w:line="216" w:lineRule="auto"/>
              <w:rPr>
                <w:rFonts w:ascii="Simplified Arabic" w:hAnsi="Simplified Arabic" w:cs="Simplified Arabic"/>
                <w:color w:val="000000"/>
                <w:rtl/>
              </w:rPr>
            </w:pPr>
            <w:r w:rsidRPr="00DA373A">
              <w:rPr>
                <w:rFonts w:ascii="Simplified Arabic" w:hAnsi="Simplified Arabic" w:cs="Simplified Arabic"/>
                <w:color w:val="000000"/>
                <w:rtl/>
              </w:rPr>
              <w:t>معلومات إضافية ومشروع نموذج لتقديم الالتزامات</w:t>
            </w:r>
            <w:r w:rsidR="00F17114">
              <w:rPr>
                <w:rFonts w:ascii="Simplified Arabic" w:hAnsi="Simplified Arabic" w:cs="Simplified Arabic" w:hint="cs"/>
                <w:color w:val="000000"/>
                <w:rtl/>
              </w:rPr>
              <w:t>/المساهمات</w:t>
            </w:r>
            <w:r w:rsidRPr="00DA373A">
              <w:rPr>
                <w:rFonts w:ascii="Simplified Arabic" w:hAnsi="Simplified Arabic" w:cs="Simplified Arabic"/>
                <w:color w:val="000000"/>
                <w:rtl/>
              </w:rPr>
              <w:t xml:space="preserve"> الوطنية إلى</w:t>
            </w:r>
            <w:r>
              <w:rPr>
                <w:rFonts w:ascii="Simplified Arabic" w:hAnsi="Simplified Arabic" w:cs="Simplified Arabic" w:hint="cs"/>
                <w:color w:val="000000"/>
                <w:rtl/>
              </w:rPr>
              <w:t xml:space="preserve"> </w:t>
            </w:r>
            <w:r w:rsidRPr="00DA373A">
              <w:rPr>
                <w:rFonts w:ascii="Simplified Arabic" w:hAnsi="Simplified Arabic" w:cs="Simplified Arabic"/>
                <w:color w:val="000000"/>
                <w:rtl/>
              </w:rPr>
              <w:t>الإطار العالمي للتنوع البيولوجي لما بعد عام 2020</w:t>
            </w:r>
          </w:p>
        </w:tc>
        <w:tc>
          <w:tcPr>
            <w:tcW w:w="1095" w:type="dxa"/>
          </w:tcPr>
          <w:p w:rsidR="00DA373A" w:rsidRPr="00DA373A" w:rsidRDefault="00DA373A" w:rsidP="00DA373A">
            <w:pPr>
              <w:suppressLineNumbers/>
              <w:suppressAutoHyphens/>
              <w:spacing w:before="80" w:after="20" w:line="216" w:lineRule="auto"/>
              <w:jc w:val="center"/>
              <w:rPr>
                <w:snapToGrid w:val="0"/>
                <w:kern w:val="22"/>
                <w:sz w:val="22"/>
                <w:szCs w:val="22"/>
                <w:lang w:val="en-US"/>
              </w:rPr>
            </w:pPr>
            <w:r w:rsidRPr="00584721">
              <w:rPr>
                <w:snapToGrid w:val="0"/>
                <w:kern w:val="22"/>
                <w:sz w:val="22"/>
                <w:szCs w:val="22"/>
                <w:lang w:val="en-GB"/>
              </w:rPr>
              <w:t>9</w:t>
            </w:r>
          </w:p>
        </w:tc>
      </w:tr>
      <w:tr w:rsidR="000002A5" w:rsidRPr="00272DCD" w:rsidTr="0081155D">
        <w:trPr>
          <w:trHeight w:val="480"/>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lastRenderedPageBreak/>
              <w:t>CBD/SBI/3/11/Add.4 (</w:t>
            </w:r>
            <w:r w:rsidRPr="00A20AB5">
              <w:rPr>
                <w:i/>
                <w:snapToGrid w:val="0"/>
                <w:kern w:val="22"/>
                <w:sz w:val="22"/>
                <w:szCs w:val="22"/>
                <w:lang w:val="en-GB"/>
              </w:rPr>
              <w:t>New</w:t>
            </w:r>
            <w:r w:rsidRPr="00A20AB5">
              <w:rPr>
                <w:snapToGrid w:val="0"/>
                <w:kern w:val="22"/>
                <w:sz w:val="22"/>
                <w:szCs w:val="22"/>
                <w:lang w:val="en-GB"/>
              </w:rPr>
              <w:t>)</w:t>
            </w:r>
          </w:p>
        </w:tc>
        <w:tc>
          <w:tcPr>
            <w:tcW w:w="5557" w:type="dxa"/>
          </w:tcPr>
          <w:p w:rsidR="000002A5" w:rsidRPr="009D2F2C" w:rsidRDefault="000002A5" w:rsidP="002E71C1">
            <w:pPr>
              <w:bidi/>
              <w:spacing w:after="60" w:line="216" w:lineRule="auto"/>
              <w:rPr>
                <w:rFonts w:ascii="Simplified Arabic" w:hAnsi="Simplified Arabic" w:cs="Simplified Arabic"/>
                <w:rtl/>
                <w:lang w:val="en-GB"/>
              </w:rPr>
            </w:pPr>
            <w:r>
              <w:rPr>
                <w:rFonts w:ascii="Simplified Arabic" w:hAnsi="Simplified Arabic" w:cs="Simplified Arabic" w:hint="cs"/>
                <w:rtl/>
                <w:lang w:val="en-GB"/>
              </w:rPr>
              <w:t>مشروع إرشادات لتحديث أو مراجعة الاستراتيجيات وخطط العمل الوطنية للتنوع البيولوجي في ضوء الإطار العالمي للتنوع البيولوجي لما بعد عام 2020</w:t>
            </w:r>
          </w:p>
        </w:tc>
        <w:tc>
          <w:tcPr>
            <w:tcW w:w="1095" w:type="dxa"/>
          </w:tcPr>
          <w:p w:rsidR="000002A5" w:rsidRPr="00DA373A" w:rsidRDefault="000002A5" w:rsidP="00FD05BD">
            <w:pPr>
              <w:suppressLineNumbers/>
              <w:suppressAutoHyphens/>
              <w:spacing w:before="80" w:after="20" w:line="216" w:lineRule="auto"/>
              <w:jc w:val="center"/>
              <w:rPr>
                <w:snapToGrid w:val="0"/>
                <w:kern w:val="22"/>
                <w:sz w:val="22"/>
                <w:szCs w:val="22"/>
                <w:lang w:val="en-US"/>
              </w:rPr>
            </w:pPr>
            <w:r w:rsidRPr="00584721">
              <w:rPr>
                <w:snapToGrid w:val="0"/>
                <w:kern w:val="22"/>
                <w:sz w:val="22"/>
                <w:szCs w:val="22"/>
                <w:lang w:val="en-GB"/>
              </w:rPr>
              <w:t>9</w:t>
            </w:r>
          </w:p>
        </w:tc>
      </w:tr>
      <w:tr w:rsidR="000002A5" w:rsidRPr="00272DCD" w:rsidTr="0081155D">
        <w:trPr>
          <w:trHeight w:val="480"/>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CBD/SBI/3/11/Add.5 (</w:t>
            </w:r>
            <w:r w:rsidRPr="00A20AB5">
              <w:rPr>
                <w:i/>
                <w:snapToGrid w:val="0"/>
                <w:kern w:val="22"/>
                <w:sz w:val="22"/>
                <w:szCs w:val="22"/>
                <w:lang w:val="en-GB"/>
              </w:rPr>
              <w:t>New</w:t>
            </w:r>
            <w:r w:rsidRPr="00A20AB5">
              <w:rPr>
                <w:snapToGrid w:val="0"/>
                <w:kern w:val="22"/>
                <w:sz w:val="22"/>
                <w:szCs w:val="22"/>
                <w:lang w:val="en-GB"/>
              </w:rPr>
              <w:t>)</w:t>
            </w:r>
          </w:p>
        </w:tc>
        <w:tc>
          <w:tcPr>
            <w:tcW w:w="5557" w:type="dxa"/>
          </w:tcPr>
          <w:p w:rsidR="000002A5" w:rsidRPr="009D2F2C" w:rsidRDefault="000002A5" w:rsidP="002E71C1">
            <w:pPr>
              <w:bidi/>
              <w:spacing w:after="60" w:line="216" w:lineRule="auto"/>
              <w:rPr>
                <w:rFonts w:ascii="Simplified Arabic" w:hAnsi="Simplified Arabic" w:cs="Simplified Arabic"/>
                <w:rtl/>
                <w:lang w:val="en-GB" w:bidi="ar-EG"/>
              </w:rPr>
            </w:pPr>
            <w:r>
              <w:rPr>
                <w:rFonts w:ascii="Simplified Arabic" w:hAnsi="Simplified Arabic" w:cs="Simplified Arabic" w:hint="cs"/>
                <w:rtl/>
                <w:lang w:val="en-GB"/>
              </w:rPr>
              <w:t>طر</w:t>
            </w:r>
            <w:r w:rsidR="00307980">
              <w:rPr>
                <w:rFonts w:ascii="Simplified Arabic" w:hAnsi="Simplified Arabic" w:cs="Simplified Arabic" w:hint="cs"/>
                <w:rtl/>
                <w:lang w:val="en-GB"/>
              </w:rPr>
              <w:t>ي</w:t>
            </w:r>
            <w:r>
              <w:rPr>
                <w:rFonts w:ascii="Simplified Arabic" w:hAnsi="Simplified Arabic" w:cs="Simplified Arabic" w:hint="cs"/>
                <w:rtl/>
                <w:lang w:val="en-GB"/>
              </w:rPr>
              <w:t>قة تشغيل المنتدى المفتوح العضوية للهيئة الفرعية للتنفيذ لاستعراض التنفيذ حسب كل بلد</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9</w:t>
            </w:r>
          </w:p>
        </w:tc>
      </w:tr>
      <w:tr w:rsidR="000002A5" w:rsidRPr="00272DCD" w:rsidTr="0081155D">
        <w:trPr>
          <w:trHeight w:val="480"/>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sz w:val="22"/>
                <w:szCs w:val="22"/>
                <w:lang w:val="en-GB"/>
              </w:rPr>
              <w:t>CBD/SBI/3/11/Add.6 (</w:t>
            </w:r>
            <w:r w:rsidRPr="00A20AB5">
              <w:rPr>
                <w:i/>
                <w:iCs/>
                <w:snapToGrid w:val="0"/>
                <w:color w:val="000000"/>
                <w:sz w:val="22"/>
                <w:szCs w:val="22"/>
                <w:lang w:val="en-GB"/>
              </w:rPr>
              <w:t>New</w:t>
            </w:r>
            <w:r w:rsidRPr="00A20AB5">
              <w:rPr>
                <w:snapToGrid w:val="0"/>
                <w:color w:val="000000"/>
                <w:sz w:val="22"/>
                <w:szCs w:val="22"/>
                <w:lang w:val="en-GB"/>
              </w:rPr>
              <w:t>)</w:t>
            </w:r>
          </w:p>
        </w:tc>
        <w:tc>
          <w:tcPr>
            <w:tcW w:w="5557" w:type="dxa"/>
          </w:tcPr>
          <w:p w:rsidR="000002A5" w:rsidRPr="009D2F2C" w:rsidRDefault="00F17114" w:rsidP="0081155D">
            <w:pPr>
              <w:bidi/>
              <w:spacing w:after="60" w:line="216" w:lineRule="auto"/>
              <w:rPr>
                <w:rFonts w:ascii="Simplified Arabic" w:hAnsi="Simplified Arabic" w:cs="Simplified Arabic"/>
                <w:rtl/>
                <w:lang w:val="en-GB"/>
              </w:rPr>
            </w:pPr>
            <w:r w:rsidRPr="00F17114">
              <w:rPr>
                <w:rFonts w:ascii="Simplified Arabic" w:hAnsi="Simplified Arabic" w:cs="Simplified Arabic"/>
                <w:rtl/>
                <w:lang w:val="en-GB"/>
              </w:rPr>
              <w:t>التزامات الجهات الفاعلة بخلاف ا</w:t>
            </w:r>
            <w:r>
              <w:rPr>
                <w:rFonts w:ascii="Simplified Arabic" w:hAnsi="Simplified Arabic" w:cs="Simplified Arabic"/>
                <w:rtl/>
                <w:lang w:val="en-GB"/>
              </w:rPr>
              <w:t>لحكومات الوطنية في سياق</w:t>
            </w:r>
            <w:r w:rsidR="0081155D">
              <w:rPr>
                <w:rFonts w:ascii="Simplified Arabic" w:hAnsi="Simplified Arabic" w:cs="Simplified Arabic" w:hint="cs"/>
                <w:rtl/>
                <w:lang w:val="en-GB"/>
              </w:rPr>
              <w:t xml:space="preserve"> آلية محسنة</w:t>
            </w:r>
            <w:r>
              <w:rPr>
                <w:rFonts w:ascii="Simplified Arabic" w:hAnsi="Simplified Arabic" w:cs="Simplified Arabic"/>
                <w:rtl/>
                <w:lang w:val="en-GB"/>
              </w:rPr>
              <w:t xml:space="preserve"> </w:t>
            </w:r>
            <w:r w:rsidR="0081155D">
              <w:rPr>
                <w:rFonts w:ascii="Simplified Arabic" w:hAnsi="Simplified Arabic" w:cs="Simplified Arabic" w:hint="cs"/>
                <w:rtl/>
                <w:lang w:val="en-GB"/>
              </w:rPr>
              <w:t>ل</w:t>
            </w:r>
            <w:r>
              <w:rPr>
                <w:rFonts w:ascii="Simplified Arabic" w:hAnsi="Simplified Arabic" w:cs="Simplified Arabic"/>
                <w:rtl/>
                <w:lang w:val="en-GB"/>
              </w:rPr>
              <w:t>لتخطيط</w:t>
            </w:r>
            <w:r w:rsidRPr="00F17114">
              <w:rPr>
                <w:rFonts w:ascii="Simplified Arabic" w:hAnsi="Simplified Arabic" w:cs="Simplified Arabic"/>
                <w:rtl/>
                <w:lang w:val="en-GB"/>
              </w:rPr>
              <w:t xml:space="preserve">، والرصد، </w:t>
            </w:r>
            <w:r w:rsidR="0081155D">
              <w:rPr>
                <w:rFonts w:ascii="Simplified Arabic" w:hAnsi="Simplified Arabic" w:cs="Simplified Arabic" w:hint="cs"/>
                <w:rtl/>
                <w:lang w:val="en-GB"/>
              </w:rPr>
              <w:t>والاستعراض</w:t>
            </w:r>
            <w:r w:rsidRPr="00F17114">
              <w:rPr>
                <w:rFonts w:ascii="Simplified Arabic" w:hAnsi="Simplified Arabic" w:cs="Simplified Arabic"/>
                <w:rtl/>
                <w:lang w:val="en-GB"/>
              </w:rPr>
              <w:t xml:space="preserve"> </w:t>
            </w:r>
            <w:r w:rsidR="0081155D">
              <w:rPr>
                <w:rFonts w:ascii="Simplified Arabic" w:hAnsi="Simplified Arabic" w:cs="Simplified Arabic" w:hint="cs"/>
                <w:rtl/>
                <w:lang w:val="en-GB"/>
              </w:rPr>
              <w:t>و</w:t>
            </w:r>
            <w:r w:rsidRPr="00F17114">
              <w:rPr>
                <w:rFonts w:ascii="Simplified Arabic" w:hAnsi="Simplified Arabic" w:cs="Simplified Arabic"/>
                <w:rtl/>
                <w:lang w:val="en-GB"/>
              </w:rPr>
              <w:t>الإبلاغ</w:t>
            </w:r>
          </w:p>
        </w:tc>
        <w:tc>
          <w:tcPr>
            <w:tcW w:w="1095" w:type="dxa"/>
          </w:tcPr>
          <w:p w:rsidR="000002A5" w:rsidRPr="0086166F" w:rsidRDefault="000002A5" w:rsidP="00FD05BD">
            <w:pPr>
              <w:suppressLineNumbers/>
              <w:suppressAutoHyphens/>
              <w:spacing w:before="80" w:after="20" w:line="216" w:lineRule="auto"/>
              <w:jc w:val="center"/>
              <w:rPr>
                <w:snapToGrid w:val="0"/>
                <w:kern w:val="22"/>
                <w:sz w:val="22"/>
                <w:szCs w:val="22"/>
                <w:lang w:val="en-US"/>
              </w:rPr>
            </w:pPr>
          </w:p>
        </w:tc>
      </w:tr>
      <w:tr w:rsidR="000002A5" w:rsidRPr="00272DCD" w:rsidTr="0081155D">
        <w:trPr>
          <w:trHeight w:val="480"/>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CBD/SBI/3/CRP.5</w:t>
            </w:r>
          </w:p>
        </w:tc>
        <w:tc>
          <w:tcPr>
            <w:tcW w:w="5557" w:type="dxa"/>
          </w:tcPr>
          <w:p w:rsidR="000002A5" w:rsidRPr="00A97F30" w:rsidRDefault="000002A5" w:rsidP="002E71C1">
            <w:pPr>
              <w:bidi/>
              <w:spacing w:after="60" w:line="216" w:lineRule="auto"/>
              <w:rPr>
                <w:rFonts w:ascii="Simplified Arabic" w:hAnsi="Simplified Arabic" w:cs="Simplified Arabic"/>
                <w:snapToGrid w:val="0"/>
                <w:kern w:val="22"/>
                <w:rtl/>
                <w:lang w:val="en-GB" w:bidi="ar-EG"/>
              </w:rPr>
            </w:pPr>
            <w:r w:rsidRPr="00A97F30">
              <w:rPr>
                <w:rFonts w:ascii="Simplified Arabic" w:hAnsi="Simplified Arabic" w:cs="Simplified Arabic"/>
                <w:color w:val="000000"/>
                <w:rtl/>
              </w:rPr>
              <w:t>خيارات لتحسين آليات التخطيط والإبلاغ والاستعراض بهدف تعزيز تنفيذ الاتفاقية</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9</w:t>
            </w:r>
          </w:p>
        </w:tc>
      </w:tr>
      <w:tr w:rsidR="000002A5" w:rsidRPr="00272DCD" w:rsidTr="0081155D">
        <w:trPr>
          <w:trHeight w:val="480"/>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CBD/SBI/3/12</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rtl/>
                <w:lang w:val="en-GB"/>
              </w:rPr>
              <w:t>استعراض فعالية العمليات بموجب الاتفاقية وبروتوكوليها</w:t>
            </w:r>
          </w:p>
        </w:tc>
        <w:tc>
          <w:tcPr>
            <w:tcW w:w="1095" w:type="dxa"/>
          </w:tcPr>
          <w:p w:rsidR="000002A5" w:rsidRPr="00584721" w:rsidRDefault="003C5806" w:rsidP="00FD05BD">
            <w:pPr>
              <w:suppressLineNumbers/>
              <w:suppressAutoHyphens/>
              <w:spacing w:before="80" w:after="20" w:line="216" w:lineRule="auto"/>
              <w:jc w:val="center"/>
              <w:rPr>
                <w:snapToGrid w:val="0"/>
                <w:kern w:val="22"/>
                <w:sz w:val="22"/>
                <w:szCs w:val="22"/>
                <w:lang w:val="en-GB"/>
              </w:rPr>
            </w:pPr>
            <w:r>
              <w:rPr>
                <w:snapToGrid w:val="0"/>
                <w:kern w:val="22"/>
                <w:sz w:val="22"/>
                <w:szCs w:val="22"/>
                <w:lang w:val="en-GB"/>
              </w:rPr>
              <w:t>10</w:t>
            </w:r>
          </w:p>
        </w:tc>
      </w:tr>
      <w:tr w:rsidR="000002A5" w:rsidRPr="00272DCD" w:rsidTr="0081155D">
        <w:trPr>
          <w:trHeight w:val="480"/>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CBD/SBI/3/CRP.10</w:t>
            </w:r>
          </w:p>
        </w:tc>
        <w:tc>
          <w:tcPr>
            <w:tcW w:w="5557" w:type="dxa"/>
          </w:tcPr>
          <w:p w:rsidR="000002A5" w:rsidRPr="00A97F30" w:rsidRDefault="000002A5" w:rsidP="002E71C1">
            <w:pPr>
              <w:bidi/>
              <w:spacing w:after="60" w:line="216" w:lineRule="auto"/>
              <w:rPr>
                <w:rFonts w:ascii="Simplified Arabic" w:hAnsi="Simplified Arabic" w:cs="Simplified Arabic"/>
                <w:snapToGrid w:val="0"/>
                <w:kern w:val="22"/>
                <w:rtl/>
              </w:rPr>
            </w:pPr>
            <w:r w:rsidRPr="00A97F30">
              <w:rPr>
                <w:rFonts w:ascii="Simplified Arabic" w:hAnsi="Simplified Arabic" w:cs="Simplified Arabic"/>
                <w:color w:val="000000"/>
                <w:rtl/>
              </w:rPr>
              <w:t>استعراض فعالية العمليات بموجب الاتفاقية وبروتوكوليها</w:t>
            </w:r>
          </w:p>
        </w:tc>
        <w:tc>
          <w:tcPr>
            <w:tcW w:w="1095" w:type="dxa"/>
          </w:tcPr>
          <w:p w:rsidR="000002A5" w:rsidRPr="00584721" w:rsidRDefault="003C5806" w:rsidP="00FD05BD">
            <w:pPr>
              <w:suppressLineNumbers/>
              <w:suppressAutoHyphens/>
              <w:spacing w:before="80" w:after="20" w:line="216" w:lineRule="auto"/>
              <w:jc w:val="center"/>
              <w:rPr>
                <w:snapToGrid w:val="0"/>
                <w:kern w:val="22"/>
                <w:sz w:val="22"/>
                <w:szCs w:val="22"/>
                <w:lang w:val="en-GB"/>
              </w:rPr>
            </w:pPr>
            <w:r>
              <w:rPr>
                <w:snapToGrid w:val="0"/>
                <w:kern w:val="22"/>
                <w:sz w:val="22"/>
                <w:szCs w:val="22"/>
                <w:lang w:val="en-GB"/>
              </w:rPr>
              <w:t>10</w:t>
            </w:r>
          </w:p>
        </w:tc>
      </w:tr>
      <w:tr w:rsidR="000002A5" w:rsidRPr="00272DCD" w:rsidTr="0081155D">
        <w:trPr>
          <w:trHeight w:val="480"/>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CBD/SBI/3/13</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snapToGrid w:val="0"/>
                <w:kern w:val="22"/>
                <w:rtl/>
                <w:lang w:val="en-GB"/>
              </w:rPr>
              <w:t>تعميم التنوع البيولوجي داخل القطاعات وعبرها</w:t>
            </w:r>
            <w:r>
              <w:rPr>
                <w:rFonts w:ascii="Simplified Arabic" w:hAnsi="Simplified Arabic" w:cs="Simplified Arabic" w:hint="cs"/>
                <w:snapToGrid w:val="0"/>
                <w:kern w:val="22"/>
                <w:rtl/>
                <w:lang w:val="en-GB" w:bidi="ar-EG"/>
              </w:rPr>
              <w:t xml:space="preserve"> والإجراءات الاستراتيجية الأخرى لتعزيز التنفيذ </w:t>
            </w:r>
            <w:r>
              <w:rPr>
                <w:rFonts w:ascii="Simplified Arabic" w:hAnsi="Simplified Arabic" w:cs="Simplified Arabic"/>
                <w:snapToGrid w:val="0"/>
                <w:kern w:val="22"/>
                <w:rtl/>
                <w:lang w:val="en-GB" w:bidi="ar-EG"/>
              </w:rPr>
              <w:t>–</w:t>
            </w:r>
            <w:r>
              <w:rPr>
                <w:rFonts w:ascii="Simplified Arabic" w:hAnsi="Simplified Arabic" w:cs="Simplified Arabic" w:hint="cs"/>
                <w:snapToGrid w:val="0"/>
                <w:kern w:val="22"/>
                <w:rtl/>
                <w:lang w:val="en-GB" w:bidi="ar-EG"/>
              </w:rPr>
              <w:t xml:space="preserve"> نهج طويل الأجل للتعميم</w:t>
            </w:r>
          </w:p>
        </w:tc>
        <w:tc>
          <w:tcPr>
            <w:tcW w:w="1095" w:type="dxa"/>
          </w:tcPr>
          <w:p w:rsidR="000002A5" w:rsidRPr="00584721" w:rsidRDefault="0086166F" w:rsidP="00FD05BD">
            <w:pPr>
              <w:suppressLineNumbers/>
              <w:suppressAutoHyphens/>
              <w:spacing w:before="80" w:after="20" w:line="216" w:lineRule="auto"/>
              <w:jc w:val="center"/>
              <w:rPr>
                <w:snapToGrid w:val="0"/>
                <w:kern w:val="22"/>
                <w:sz w:val="22"/>
                <w:szCs w:val="22"/>
                <w:lang w:val="en-GB"/>
              </w:rPr>
            </w:pPr>
            <w:r>
              <w:rPr>
                <w:snapToGrid w:val="0"/>
                <w:kern w:val="22"/>
                <w:sz w:val="22"/>
                <w:szCs w:val="22"/>
                <w:lang w:val="en-GB"/>
              </w:rPr>
              <w:t>11</w:t>
            </w:r>
          </w:p>
        </w:tc>
      </w:tr>
      <w:tr w:rsidR="000002A5" w:rsidRPr="00272DCD" w:rsidTr="0081155D">
        <w:trPr>
          <w:trHeight w:val="480"/>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CBD/SBI/3/13/Add.1</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خطة عمل لنهج طويل الأجل للتعميم</w:t>
            </w:r>
          </w:p>
        </w:tc>
        <w:tc>
          <w:tcPr>
            <w:tcW w:w="1095" w:type="dxa"/>
          </w:tcPr>
          <w:p w:rsidR="000002A5" w:rsidRPr="00584721" w:rsidRDefault="000002A5" w:rsidP="003C5806">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1</w:t>
            </w:r>
            <w:r w:rsidR="003C5806">
              <w:rPr>
                <w:snapToGrid w:val="0"/>
                <w:kern w:val="22"/>
                <w:sz w:val="22"/>
                <w:szCs w:val="22"/>
                <w:lang w:val="en-GB"/>
              </w:rPr>
              <w:t>1</w:t>
            </w:r>
          </w:p>
        </w:tc>
      </w:tr>
      <w:tr w:rsidR="000002A5" w:rsidRPr="00272DCD" w:rsidTr="0081155D">
        <w:trPr>
          <w:trHeight w:val="480"/>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CBD/SBI/3/CRP.8</w:t>
            </w:r>
          </w:p>
        </w:tc>
        <w:tc>
          <w:tcPr>
            <w:tcW w:w="5557" w:type="dxa"/>
          </w:tcPr>
          <w:p w:rsidR="000002A5" w:rsidRPr="0086166F" w:rsidRDefault="0086166F" w:rsidP="002E71C1">
            <w:pPr>
              <w:bidi/>
              <w:spacing w:after="60" w:line="216" w:lineRule="auto"/>
              <w:rPr>
                <w:rFonts w:ascii="Simplified Arabic" w:hAnsi="Simplified Arabic" w:cs="Simplified Arabic"/>
                <w:snapToGrid w:val="0"/>
                <w:kern w:val="22"/>
                <w:rtl/>
                <w:lang w:val="en-GB"/>
              </w:rPr>
            </w:pPr>
            <w:r w:rsidRPr="0086166F">
              <w:rPr>
                <w:rFonts w:ascii="Simplified Arabic" w:hAnsi="Simplified Arabic" w:cs="Simplified Arabic"/>
                <w:color w:val="000000"/>
                <w:rtl/>
              </w:rPr>
              <w:t>العمل مع الحكومات دون الوطنية والمدن والسلطات المحلية الأخرى لتعزيز تنفيذ الإطار العالمي للتنوع البيولوجي لما بعد عام 2020</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11</w:t>
            </w:r>
          </w:p>
        </w:tc>
      </w:tr>
      <w:tr w:rsidR="000002A5" w:rsidRPr="00272DCD" w:rsidTr="0081155D">
        <w:trPr>
          <w:trHeight w:val="480"/>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CBD/SBI/3/CRP.16</w:t>
            </w:r>
          </w:p>
        </w:tc>
        <w:tc>
          <w:tcPr>
            <w:tcW w:w="5557" w:type="dxa"/>
          </w:tcPr>
          <w:p w:rsidR="000002A5" w:rsidRPr="00E751C8" w:rsidRDefault="000002A5" w:rsidP="0086166F">
            <w:pPr>
              <w:bidi/>
              <w:spacing w:after="60" w:line="216" w:lineRule="auto"/>
              <w:rPr>
                <w:rFonts w:ascii="Simplified Arabic" w:hAnsi="Simplified Arabic" w:cs="Simplified Arabic"/>
                <w:snapToGrid w:val="0"/>
                <w:kern w:val="22"/>
                <w:rtl/>
                <w:lang w:val="en-GB"/>
              </w:rPr>
            </w:pPr>
            <w:r w:rsidRPr="00E751C8">
              <w:rPr>
                <w:rFonts w:ascii="Simplified Arabic" w:hAnsi="Simplified Arabic" w:cs="Simplified Arabic"/>
                <w:color w:val="000000"/>
                <w:rtl/>
              </w:rPr>
              <w:t xml:space="preserve">تعميم التنوع البيولوجي </w:t>
            </w:r>
            <w:r w:rsidR="0086166F">
              <w:rPr>
                <w:rFonts w:ascii="Simplified Arabic" w:hAnsi="Simplified Arabic" w:cs="Simplified Arabic" w:hint="cs"/>
                <w:color w:val="000000"/>
                <w:rtl/>
              </w:rPr>
              <w:t>داخل</w:t>
            </w:r>
            <w:r w:rsidRPr="00E751C8">
              <w:rPr>
                <w:rFonts w:ascii="Simplified Arabic" w:hAnsi="Simplified Arabic" w:cs="Simplified Arabic"/>
                <w:color w:val="000000"/>
                <w:rtl/>
              </w:rPr>
              <w:t xml:space="preserve"> القطاعات وعبرها والإجراءات الاستراتيجية الأخرى من أجل تعزيز التنفيذ</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11</w:t>
            </w:r>
          </w:p>
        </w:tc>
      </w:tr>
      <w:tr w:rsidR="000002A5" w:rsidRPr="00272DCD" w:rsidTr="0081155D">
        <w:trPr>
          <w:trHeight w:val="480"/>
          <w:jc w:val="center"/>
        </w:trPr>
        <w:tc>
          <w:tcPr>
            <w:tcW w:w="2995" w:type="dxa"/>
            <w:noWrap/>
            <w:hideMark/>
          </w:tcPr>
          <w:p w:rsidR="000002A5" w:rsidRPr="003C5806" w:rsidRDefault="000002A5" w:rsidP="00445B11">
            <w:pPr>
              <w:spacing w:before="80" w:after="20" w:line="216" w:lineRule="auto"/>
              <w:rPr>
                <w:snapToGrid w:val="0"/>
                <w:kern w:val="22"/>
                <w:sz w:val="22"/>
                <w:szCs w:val="22"/>
                <w:lang w:val="en-US"/>
              </w:rPr>
            </w:pPr>
            <w:r w:rsidRPr="00A20AB5">
              <w:rPr>
                <w:snapToGrid w:val="0"/>
                <w:kern w:val="22"/>
                <w:sz w:val="22"/>
                <w:szCs w:val="22"/>
                <w:lang w:val="en-GB"/>
              </w:rPr>
              <w:t>CBD/SBI/3/14</w:t>
            </w:r>
          </w:p>
        </w:tc>
        <w:tc>
          <w:tcPr>
            <w:tcW w:w="5557" w:type="dxa"/>
          </w:tcPr>
          <w:p w:rsidR="000002A5" w:rsidRPr="009D2F2C" w:rsidRDefault="000002A5" w:rsidP="002E71C1">
            <w:pPr>
              <w:bidi/>
              <w:spacing w:after="60" w:line="216" w:lineRule="auto"/>
              <w:rPr>
                <w:rFonts w:ascii="Simplified Arabic" w:hAnsi="Simplified Arabic" w:cs="Simplified Arabic"/>
                <w:snapToGrid w:val="0"/>
                <w:kern w:val="22"/>
                <w:lang w:val="en-GB"/>
              </w:rPr>
            </w:pPr>
            <w:r w:rsidRPr="00E751C8">
              <w:rPr>
                <w:rFonts w:ascii="Simplified Arabic" w:hAnsi="Simplified Arabic" w:cs="Simplified Arabic"/>
                <w:color w:val="000000"/>
                <w:rtl/>
              </w:rPr>
              <w:t>الصكوك الدولية المتخصصة للحصول وتقاسم المنافع في سياق المادة 4، الفقرة 4، من بروتوكول ناغويا</w:t>
            </w:r>
          </w:p>
        </w:tc>
        <w:tc>
          <w:tcPr>
            <w:tcW w:w="1095" w:type="dxa"/>
          </w:tcPr>
          <w:p w:rsidR="000002A5" w:rsidRPr="00584721" w:rsidRDefault="003C5806" w:rsidP="00FD05BD">
            <w:pPr>
              <w:suppressLineNumbers/>
              <w:suppressAutoHyphens/>
              <w:spacing w:before="80" w:after="20" w:line="216" w:lineRule="auto"/>
              <w:jc w:val="center"/>
              <w:rPr>
                <w:snapToGrid w:val="0"/>
                <w:kern w:val="22"/>
                <w:sz w:val="22"/>
                <w:szCs w:val="22"/>
                <w:lang w:val="en-GB"/>
              </w:rPr>
            </w:pPr>
            <w:r>
              <w:rPr>
                <w:snapToGrid w:val="0"/>
                <w:kern w:val="22"/>
                <w:sz w:val="22"/>
                <w:szCs w:val="22"/>
                <w:lang w:val="en-GB"/>
              </w:rPr>
              <w:t>12</w:t>
            </w:r>
          </w:p>
        </w:tc>
      </w:tr>
      <w:tr w:rsidR="000002A5" w:rsidRPr="00272DCD" w:rsidTr="0081155D">
        <w:trPr>
          <w:trHeight w:val="347"/>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CBD/SBI/3/L.6</w:t>
            </w:r>
          </w:p>
        </w:tc>
        <w:tc>
          <w:tcPr>
            <w:tcW w:w="5557" w:type="dxa"/>
          </w:tcPr>
          <w:p w:rsidR="000002A5" w:rsidRDefault="000002A5" w:rsidP="002E71C1">
            <w:pPr>
              <w:bidi/>
              <w:spacing w:after="60" w:line="216" w:lineRule="auto"/>
              <w:rPr>
                <w:rFonts w:ascii="Simplified Arabic" w:hAnsi="Simplified Arabic" w:cs="Simplified Arabic"/>
                <w:snapToGrid w:val="0"/>
                <w:kern w:val="22"/>
                <w:rtl/>
                <w:lang w:val="en-GB"/>
              </w:rPr>
            </w:pPr>
            <w:r w:rsidRPr="00E751C8">
              <w:rPr>
                <w:rFonts w:ascii="Simplified Arabic" w:hAnsi="Simplified Arabic" w:cs="Simplified Arabic"/>
                <w:color w:val="000000"/>
                <w:rtl/>
              </w:rPr>
              <w:t>الصكوك الدولية المتخصصة للحصول وتقاسم المنافع في سياق المادة 4، الفقرة 4، من بروتوكول ناغويا</w:t>
            </w:r>
          </w:p>
          <w:p w:rsidR="0086166F" w:rsidRPr="00E751C8" w:rsidRDefault="0086166F" w:rsidP="0086166F">
            <w:pPr>
              <w:bidi/>
              <w:spacing w:after="60" w:line="216" w:lineRule="auto"/>
              <w:rPr>
                <w:rFonts w:ascii="Simplified Arabic" w:hAnsi="Simplified Arabic" w:cs="Simplified Arabic"/>
                <w:snapToGrid w:val="0"/>
                <w:kern w:val="22"/>
                <w:rtl/>
                <w:lang w:val="en-GB"/>
              </w:rPr>
            </w:pPr>
          </w:p>
        </w:tc>
        <w:tc>
          <w:tcPr>
            <w:tcW w:w="1095" w:type="dxa"/>
          </w:tcPr>
          <w:p w:rsidR="000002A5" w:rsidRPr="00584721" w:rsidRDefault="003C5806" w:rsidP="00FD05BD">
            <w:pPr>
              <w:suppressLineNumbers/>
              <w:suppressAutoHyphens/>
              <w:spacing w:before="80" w:after="20" w:line="216" w:lineRule="auto"/>
              <w:jc w:val="center"/>
              <w:rPr>
                <w:snapToGrid w:val="0"/>
                <w:kern w:val="22"/>
                <w:sz w:val="22"/>
                <w:szCs w:val="22"/>
                <w:lang w:val="en-GB"/>
              </w:rPr>
            </w:pPr>
            <w:r>
              <w:rPr>
                <w:snapToGrid w:val="0"/>
                <w:kern w:val="22"/>
                <w:sz w:val="22"/>
                <w:szCs w:val="22"/>
                <w:lang w:val="en-GB"/>
              </w:rPr>
              <w:t>12</w:t>
            </w:r>
          </w:p>
        </w:tc>
      </w:tr>
      <w:tr w:rsidR="000002A5" w:rsidRPr="00272DCD" w:rsidTr="0081155D">
        <w:trPr>
          <w:trHeight w:val="347"/>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CBD/SBI/3/15</w:t>
            </w:r>
          </w:p>
        </w:tc>
        <w:tc>
          <w:tcPr>
            <w:tcW w:w="5557" w:type="dxa"/>
          </w:tcPr>
          <w:p w:rsidR="00BF6A91" w:rsidRDefault="000002A5" w:rsidP="002E71C1">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snapToGrid w:val="0"/>
                <w:kern w:val="22"/>
                <w:rtl/>
                <w:lang w:val="en-GB"/>
              </w:rPr>
              <w:t>الآلية العالمية المتعددة الأطراف لتقاسم المنافع (المادة 10 من بروتوكول ناغويا)</w:t>
            </w:r>
          </w:p>
        </w:tc>
        <w:tc>
          <w:tcPr>
            <w:tcW w:w="1095" w:type="dxa"/>
          </w:tcPr>
          <w:p w:rsidR="000002A5" w:rsidRPr="00584721" w:rsidRDefault="003C5806" w:rsidP="00FD05BD">
            <w:pPr>
              <w:suppressLineNumbers/>
              <w:suppressAutoHyphens/>
              <w:spacing w:before="80" w:after="20" w:line="216" w:lineRule="auto"/>
              <w:jc w:val="center"/>
              <w:rPr>
                <w:snapToGrid w:val="0"/>
                <w:kern w:val="22"/>
                <w:sz w:val="22"/>
                <w:szCs w:val="22"/>
                <w:lang w:val="en-GB"/>
              </w:rPr>
            </w:pPr>
            <w:r>
              <w:rPr>
                <w:snapToGrid w:val="0"/>
                <w:kern w:val="22"/>
                <w:sz w:val="22"/>
                <w:szCs w:val="22"/>
                <w:lang w:val="en-GB"/>
              </w:rPr>
              <w:t>13</w:t>
            </w:r>
          </w:p>
        </w:tc>
      </w:tr>
      <w:tr w:rsidR="000002A5" w:rsidRPr="00272DCD" w:rsidTr="0081155D">
        <w:trPr>
          <w:trHeight w:val="347"/>
          <w:jc w:val="center"/>
        </w:trPr>
        <w:tc>
          <w:tcPr>
            <w:tcW w:w="2995" w:type="dxa"/>
            <w:noWrap/>
            <w:hideMark/>
          </w:tcPr>
          <w:p w:rsidR="000002A5" w:rsidRPr="00D30CD7" w:rsidRDefault="000002A5" w:rsidP="00445B11">
            <w:pPr>
              <w:spacing w:before="80" w:after="20" w:line="216" w:lineRule="auto"/>
              <w:rPr>
                <w:snapToGrid w:val="0"/>
                <w:kern w:val="22"/>
                <w:sz w:val="22"/>
                <w:szCs w:val="22"/>
                <w:lang w:val="en-US"/>
              </w:rPr>
            </w:pPr>
            <w:r w:rsidRPr="00A20AB5">
              <w:rPr>
                <w:snapToGrid w:val="0"/>
                <w:kern w:val="22"/>
                <w:sz w:val="22"/>
                <w:szCs w:val="22"/>
                <w:lang w:val="en-GB"/>
              </w:rPr>
              <w:t>CBD/SBI/3/15</w:t>
            </w:r>
            <w:r>
              <w:rPr>
                <w:snapToGrid w:val="0"/>
                <w:kern w:val="22"/>
                <w:sz w:val="22"/>
                <w:szCs w:val="22"/>
                <w:lang w:val="en-GB"/>
              </w:rPr>
              <w:t>/Add.1</w:t>
            </w:r>
          </w:p>
        </w:tc>
        <w:tc>
          <w:tcPr>
            <w:tcW w:w="5557" w:type="dxa"/>
          </w:tcPr>
          <w:p w:rsidR="000002A5" w:rsidRPr="00D30CD7" w:rsidRDefault="000002A5" w:rsidP="002E71C1">
            <w:pPr>
              <w:bidi/>
              <w:spacing w:after="60" w:line="216" w:lineRule="auto"/>
              <w:rPr>
                <w:rFonts w:ascii="Simplified Arabic" w:hAnsi="Simplified Arabic" w:cs="Simplified Arabic"/>
                <w:snapToGrid w:val="0"/>
                <w:kern w:val="22"/>
                <w:lang w:val="en-GB"/>
              </w:rPr>
            </w:pPr>
            <w:r w:rsidRPr="00D30CD7">
              <w:rPr>
                <w:rFonts w:ascii="Simplified Arabic" w:hAnsi="Simplified Arabic" w:cs="Simplified Arabic"/>
                <w:color w:val="000000"/>
                <w:rtl/>
              </w:rPr>
              <w:t>دراسة لتحديد حالات معينة من الموارد الجينية والمعارف التقليدية المرتبطة بالموارد الجينية التي تحدث في حالات عبور الحدود أو التي لم يكن من الممكن فيها منح الموافقة المسبقة عن علم أو الحصول عليها</w:t>
            </w:r>
          </w:p>
        </w:tc>
        <w:tc>
          <w:tcPr>
            <w:tcW w:w="1095" w:type="dxa"/>
          </w:tcPr>
          <w:p w:rsidR="000002A5" w:rsidRPr="00584721" w:rsidRDefault="000002A5" w:rsidP="003C5806">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1</w:t>
            </w:r>
            <w:r w:rsidR="003C5806">
              <w:rPr>
                <w:snapToGrid w:val="0"/>
                <w:kern w:val="22"/>
                <w:sz w:val="22"/>
                <w:szCs w:val="22"/>
                <w:lang w:val="en-GB"/>
              </w:rPr>
              <w:t>3</w:t>
            </w:r>
          </w:p>
        </w:tc>
      </w:tr>
      <w:tr w:rsidR="000002A5" w:rsidRPr="00272DCD" w:rsidTr="0081155D">
        <w:trPr>
          <w:trHeight w:val="347"/>
          <w:jc w:val="center"/>
        </w:trPr>
        <w:tc>
          <w:tcPr>
            <w:tcW w:w="2995" w:type="dxa"/>
            <w:noWrap/>
            <w:hideMark/>
          </w:tcPr>
          <w:p w:rsidR="000002A5" w:rsidRPr="00A20AB5" w:rsidRDefault="000002A5" w:rsidP="00445B11">
            <w:pPr>
              <w:spacing w:before="80" w:after="20" w:line="216" w:lineRule="auto"/>
              <w:rPr>
                <w:snapToGrid w:val="0"/>
                <w:kern w:val="22"/>
                <w:sz w:val="22"/>
                <w:szCs w:val="22"/>
                <w:lang w:val="en-GB"/>
              </w:rPr>
            </w:pPr>
            <w:r w:rsidRPr="00A20AB5">
              <w:rPr>
                <w:snapToGrid w:val="0"/>
                <w:kern w:val="22"/>
                <w:sz w:val="22"/>
                <w:szCs w:val="22"/>
                <w:lang w:val="en-GB"/>
              </w:rPr>
              <w:t>CBD/SBI/3/CRP.12</w:t>
            </w:r>
          </w:p>
        </w:tc>
        <w:tc>
          <w:tcPr>
            <w:tcW w:w="5557" w:type="dxa"/>
          </w:tcPr>
          <w:p w:rsidR="000002A5" w:rsidRPr="0086166F" w:rsidRDefault="0086166F" w:rsidP="0086166F">
            <w:pPr>
              <w:pStyle w:val="NormalWeb"/>
              <w:bidi/>
              <w:rPr>
                <w:rFonts w:ascii="Simplified Arabic" w:hAnsi="Simplified Arabic" w:cs="Simplified Arabic"/>
                <w:color w:val="000000"/>
                <w:rtl/>
              </w:rPr>
            </w:pPr>
            <w:r w:rsidRPr="0086166F">
              <w:rPr>
                <w:rFonts w:ascii="Simplified Arabic" w:hAnsi="Simplified Arabic" w:cs="Simplified Arabic"/>
                <w:color w:val="000000"/>
                <w:rtl/>
              </w:rPr>
              <w:t>الآلية العالمية المتعددة الأطراف لتقاسم المنافع (المادة 10</w:t>
            </w:r>
            <w:r>
              <w:rPr>
                <w:rFonts w:ascii="Simplified Arabic" w:hAnsi="Simplified Arabic" w:cs="Simplified Arabic" w:hint="cs"/>
                <w:color w:val="000000"/>
                <w:rtl/>
              </w:rPr>
              <w:t xml:space="preserve"> </w:t>
            </w:r>
            <w:r w:rsidRPr="0086166F">
              <w:rPr>
                <w:rFonts w:ascii="Simplified Arabic" w:hAnsi="Simplified Arabic" w:cs="Simplified Arabic"/>
                <w:color w:val="000000"/>
                <w:rtl/>
              </w:rPr>
              <w:t>من بروتوكول ناغويا</w:t>
            </w:r>
            <w:r>
              <w:rPr>
                <w:rFonts w:ascii="Simplified Arabic" w:hAnsi="Simplified Arabic" w:cs="Simplified Arabic" w:hint="cs"/>
                <w:color w:val="000000"/>
                <w:rtl/>
              </w:rPr>
              <w:t>)</w:t>
            </w:r>
          </w:p>
        </w:tc>
        <w:tc>
          <w:tcPr>
            <w:tcW w:w="1095" w:type="dxa"/>
          </w:tcPr>
          <w:p w:rsidR="000002A5" w:rsidRPr="00584721" w:rsidRDefault="000002A5" w:rsidP="00FD05BD">
            <w:pPr>
              <w:suppressLineNumbers/>
              <w:suppressAutoHyphens/>
              <w:spacing w:before="80" w:after="20" w:line="216" w:lineRule="auto"/>
              <w:jc w:val="center"/>
              <w:rPr>
                <w:snapToGrid w:val="0"/>
                <w:kern w:val="22"/>
                <w:sz w:val="22"/>
                <w:szCs w:val="22"/>
                <w:lang w:val="en-GB"/>
              </w:rPr>
            </w:pPr>
            <w:r w:rsidRPr="00584721">
              <w:rPr>
                <w:snapToGrid w:val="0"/>
                <w:kern w:val="22"/>
                <w:sz w:val="22"/>
                <w:szCs w:val="22"/>
                <w:lang w:val="en-GB"/>
              </w:rPr>
              <w:t>13</w:t>
            </w:r>
          </w:p>
        </w:tc>
      </w:tr>
      <w:tr w:rsidR="000002A5" w:rsidRPr="00272DCD" w:rsidTr="0081155D">
        <w:trPr>
          <w:trHeight w:val="347"/>
          <w:jc w:val="center"/>
        </w:trPr>
        <w:tc>
          <w:tcPr>
            <w:tcW w:w="2995" w:type="dxa"/>
            <w:noWrap/>
            <w:hideMark/>
          </w:tcPr>
          <w:p w:rsidR="000002A5" w:rsidRPr="00A20AB5" w:rsidRDefault="000002A5" w:rsidP="00445B11">
            <w:pPr>
              <w:tabs>
                <w:tab w:val="left" w:pos="2205"/>
              </w:tabs>
              <w:spacing w:before="80" w:after="20" w:line="216" w:lineRule="auto"/>
              <w:rPr>
                <w:snapToGrid w:val="0"/>
                <w:kern w:val="22"/>
                <w:sz w:val="22"/>
                <w:szCs w:val="22"/>
                <w:lang w:val="en-GB"/>
              </w:rPr>
            </w:pPr>
            <w:r w:rsidRPr="00A20AB5">
              <w:rPr>
                <w:snapToGrid w:val="0"/>
                <w:kern w:val="22"/>
                <w:sz w:val="22"/>
                <w:szCs w:val="22"/>
                <w:lang w:val="en-GB"/>
              </w:rPr>
              <w:t>CBD/SBI/3/16</w:t>
            </w:r>
          </w:p>
        </w:tc>
        <w:tc>
          <w:tcPr>
            <w:tcW w:w="5557" w:type="dxa"/>
          </w:tcPr>
          <w:p w:rsidR="000002A5" w:rsidRDefault="000002A5" w:rsidP="002E71C1">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تقييم الإطار الاستراتيجي لبناء القدرات من أجل دعم تنفيذ بروتوكول ناغويا</w:t>
            </w:r>
          </w:p>
        </w:tc>
        <w:tc>
          <w:tcPr>
            <w:tcW w:w="1095" w:type="dxa"/>
          </w:tcPr>
          <w:p w:rsidR="000002A5" w:rsidRPr="00584721" w:rsidRDefault="00BF6A91" w:rsidP="00FD05BD">
            <w:pPr>
              <w:suppressLineNumbers/>
              <w:suppressAutoHyphens/>
              <w:spacing w:before="80" w:after="20" w:line="216" w:lineRule="auto"/>
              <w:jc w:val="center"/>
              <w:rPr>
                <w:snapToGrid w:val="0"/>
                <w:kern w:val="22"/>
                <w:sz w:val="22"/>
                <w:szCs w:val="22"/>
                <w:lang w:val="en-GB"/>
              </w:rPr>
            </w:pPr>
            <w:r>
              <w:rPr>
                <w:rFonts w:hint="cs"/>
                <w:snapToGrid w:val="0"/>
                <w:kern w:val="22"/>
                <w:sz w:val="22"/>
                <w:szCs w:val="22"/>
                <w:rtl/>
                <w:lang w:val="en-GB"/>
              </w:rPr>
              <w:t>7</w:t>
            </w:r>
          </w:p>
        </w:tc>
      </w:tr>
      <w:tr w:rsidR="000002A5" w:rsidRPr="00272DCD" w:rsidTr="0081155D">
        <w:trPr>
          <w:trHeight w:val="347"/>
          <w:jc w:val="center"/>
        </w:trPr>
        <w:tc>
          <w:tcPr>
            <w:tcW w:w="2995" w:type="dxa"/>
            <w:noWrap/>
            <w:hideMark/>
          </w:tcPr>
          <w:p w:rsidR="000002A5" w:rsidRPr="00A20AB5" w:rsidRDefault="000002A5" w:rsidP="00445B11">
            <w:pPr>
              <w:tabs>
                <w:tab w:val="left" w:pos="2205"/>
              </w:tabs>
              <w:spacing w:before="80" w:after="20" w:line="216" w:lineRule="auto"/>
              <w:rPr>
                <w:snapToGrid w:val="0"/>
                <w:kern w:val="22"/>
                <w:sz w:val="22"/>
                <w:szCs w:val="22"/>
                <w:lang w:val="en-GB"/>
              </w:rPr>
            </w:pPr>
            <w:r w:rsidRPr="00A20AB5">
              <w:rPr>
                <w:snapToGrid w:val="0"/>
                <w:kern w:val="22"/>
                <w:sz w:val="22"/>
                <w:szCs w:val="22"/>
                <w:lang w:val="en-GB"/>
              </w:rPr>
              <w:t>CBD/SBI/3/17/Rev.1</w:t>
            </w:r>
          </w:p>
        </w:tc>
        <w:tc>
          <w:tcPr>
            <w:tcW w:w="5557" w:type="dxa"/>
          </w:tcPr>
          <w:p w:rsidR="000002A5" w:rsidRPr="0086166F" w:rsidRDefault="0086166F" w:rsidP="002E71C1">
            <w:pPr>
              <w:bidi/>
              <w:spacing w:after="60" w:line="216" w:lineRule="auto"/>
              <w:rPr>
                <w:rFonts w:ascii="Simplified Arabic" w:hAnsi="Simplified Arabic" w:cs="Simplified Arabic"/>
                <w:snapToGrid w:val="0"/>
                <w:kern w:val="22"/>
                <w:lang w:val="en-GB"/>
              </w:rPr>
            </w:pPr>
            <w:r w:rsidRPr="0086166F">
              <w:rPr>
                <w:rFonts w:ascii="Simplified Arabic" w:hAnsi="Simplified Arabic" w:cs="Simplified Arabic"/>
                <w:color w:val="000000"/>
                <w:rtl/>
              </w:rPr>
              <w:t>الاتجاهات في ميزانيات الاتفاقية وبروتوكوليها</w:t>
            </w:r>
          </w:p>
        </w:tc>
        <w:tc>
          <w:tcPr>
            <w:tcW w:w="1095" w:type="dxa"/>
          </w:tcPr>
          <w:p w:rsidR="000002A5" w:rsidRPr="00584721" w:rsidRDefault="00BF6A91" w:rsidP="00FD05BD">
            <w:pPr>
              <w:suppressLineNumbers/>
              <w:suppressAutoHyphens/>
              <w:spacing w:before="80" w:after="20" w:line="216" w:lineRule="auto"/>
              <w:jc w:val="center"/>
              <w:rPr>
                <w:snapToGrid w:val="0"/>
                <w:kern w:val="22"/>
                <w:sz w:val="22"/>
                <w:szCs w:val="22"/>
                <w:lang w:val="en-GB"/>
              </w:rPr>
            </w:pPr>
            <w:r>
              <w:rPr>
                <w:rFonts w:hint="cs"/>
                <w:snapToGrid w:val="0"/>
                <w:kern w:val="22"/>
                <w:sz w:val="22"/>
                <w:szCs w:val="22"/>
                <w:rtl/>
                <w:lang w:val="en-GB"/>
              </w:rPr>
              <w:t>14</w:t>
            </w:r>
          </w:p>
        </w:tc>
      </w:tr>
      <w:tr w:rsidR="000002A5" w:rsidRPr="00272DCD" w:rsidTr="0081155D">
        <w:trPr>
          <w:trHeight w:val="347"/>
          <w:jc w:val="center"/>
        </w:trPr>
        <w:tc>
          <w:tcPr>
            <w:tcW w:w="2995" w:type="dxa"/>
            <w:noWrap/>
            <w:hideMark/>
          </w:tcPr>
          <w:p w:rsidR="000002A5" w:rsidRPr="00A20AB5" w:rsidRDefault="000002A5" w:rsidP="00445B11">
            <w:pPr>
              <w:tabs>
                <w:tab w:val="left" w:pos="2205"/>
              </w:tabs>
              <w:spacing w:before="80" w:after="20" w:line="216" w:lineRule="auto"/>
              <w:rPr>
                <w:snapToGrid w:val="0"/>
                <w:kern w:val="22"/>
                <w:sz w:val="22"/>
                <w:szCs w:val="22"/>
                <w:lang w:val="en-GB"/>
              </w:rPr>
            </w:pPr>
            <w:r w:rsidRPr="00A20AB5">
              <w:rPr>
                <w:snapToGrid w:val="0"/>
                <w:kern w:val="22"/>
                <w:sz w:val="22"/>
                <w:szCs w:val="22"/>
                <w:lang w:val="en-GB"/>
              </w:rPr>
              <w:t>CBD/SBI/3/18</w:t>
            </w:r>
          </w:p>
        </w:tc>
        <w:tc>
          <w:tcPr>
            <w:tcW w:w="5557" w:type="dxa"/>
          </w:tcPr>
          <w:p w:rsidR="000002A5" w:rsidRDefault="000002A5" w:rsidP="0081155D">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مشروع خطة تنفيذ ومشروع خطة عمل لبناء القدرات (2021-2030)</w:t>
            </w:r>
            <w:r w:rsidR="0081155D">
              <w:rPr>
                <w:rFonts w:ascii="Simplified Arabic" w:hAnsi="Simplified Arabic" w:cs="Simplified Arabic" w:hint="cs"/>
                <w:snapToGrid w:val="0"/>
                <w:kern w:val="22"/>
                <w:rtl/>
                <w:lang w:val="en-GB"/>
              </w:rPr>
              <w:t xml:space="preserve"> لبروتوكول قرطاجنة</w:t>
            </w:r>
          </w:p>
        </w:tc>
        <w:tc>
          <w:tcPr>
            <w:tcW w:w="1095" w:type="dxa"/>
          </w:tcPr>
          <w:p w:rsidR="000002A5" w:rsidRPr="00584721" w:rsidRDefault="00BF6A91" w:rsidP="00FD05BD">
            <w:pPr>
              <w:suppressLineNumbers/>
              <w:suppressAutoHyphens/>
              <w:spacing w:before="80" w:after="20" w:line="216" w:lineRule="auto"/>
              <w:jc w:val="center"/>
              <w:rPr>
                <w:snapToGrid w:val="0"/>
                <w:kern w:val="22"/>
                <w:sz w:val="22"/>
                <w:szCs w:val="22"/>
                <w:lang w:val="en-GB"/>
              </w:rPr>
            </w:pPr>
            <w:r>
              <w:rPr>
                <w:rFonts w:hint="cs"/>
                <w:snapToGrid w:val="0"/>
                <w:kern w:val="22"/>
                <w:sz w:val="22"/>
                <w:szCs w:val="22"/>
                <w:rtl/>
                <w:lang w:val="en-GB"/>
              </w:rPr>
              <w:t>5</w:t>
            </w:r>
          </w:p>
        </w:tc>
      </w:tr>
      <w:tr w:rsidR="000002A5" w:rsidRPr="00272DCD" w:rsidTr="0081155D">
        <w:trPr>
          <w:trHeight w:val="347"/>
          <w:jc w:val="center"/>
        </w:trPr>
        <w:tc>
          <w:tcPr>
            <w:tcW w:w="2995" w:type="dxa"/>
            <w:noWrap/>
            <w:hideMark/>
          </w:tcPr>
          <w:p w:rsidR="000002A5" w:rsidRDefault="000002A5" w:rsidP="00445B11">
            <w:pPr>
              <w:spacing w:before="80"/>
            </w:pPr>
            <w:r w:rsidRPr="00414000">
              <w:rPr>
                <w:snapToGrid w:val="0"/>
                <w:kern w:val="22"/>
                <w:sz w:val="22"/>
                <w:szCs w:val="22"/>
                <w:lang w:val="en-GB"/>
              </w:rPr>
              <w:t>CBD/SBI/3/</w:t>
            </w:r>
            <w:r>
              <w:rPr>
                <w:snapToGrid w:val="0"/>
                <w:kern w:val="22"/>
                <w:sz w:val="22"/>
                <w:szCs w:val="22"/>
                <w:lang w:val="en-GB"/>
              </w:rPr>
              <w:t>19</w:t>
            </w:r>
          </w:p>
        </w:tc>
        <w:tc>
          <w:tcPr>
            <w:tcW w:w="5557" w:type="dxa"/>
          </w:tcPr>
          <w:p w:rsidR="000002A5" w:rsidRPr="00D30CD7" w:rsidRDefault="000002A5" w:rsidP="002E71C1">
            <w:pPr>
              <w:bidi/>
              <w:spacing w:after="60" w:line="216" w:lineRule="auto"/>
              <w:rPr>
                <w:rFonts w:ascii="Simplified Arabic" w:hAnsi="Simplified Arabic" w:cs="Simplified Arabic"/>
                <w:snapToGrid w:val="0"/>
                <w:kern w:val="22"/>
                <w:rtl/>
                <w:lang w:val="en-GB"/>
              </w:rPr>
            </w:pPr>
            <w:r w:rsidRPr="00D30CD7">
              <w:rPr>
                <w:rFonts w:ascii="Simplified Arabic" w:hAnsi="Simplified Arabic" w:cs="Simplified Arabic"/>
                <w:color w:val="000000"/>
                <w:rtl/>
              </w:rPr>
              <w:t>العمل مع الحكومات والمدن والسلطات المحلية الأخرى لتعزيز تنفيذ الإطار العالمي للتنوع البيولوجي لما بعد عام 2020</w:t>
            </w:r>
          </w:p>
        </w:tc>
        <w:tc>
          <w:tcPr>
            <w:tcW w:w="1095" w:type="dxa"/>
          </w:tcPr>
          <w:p w:rsidR="000002A5" w:rsidRPr="00584721" w:rsidRDefault="00BF6A91" w:rsidP="00FD05BD">
            <w:pPr>
              <w:suppressLineNumbers/>
              <w:suppressAutoHyphens/>
              <w:spacing w:before="80" w:after="20" w:line="216" w:lineRule="auto"/>
              <w:jc w:val="center"/>
              <w:rPr>
                <w:snapToGrid w:val="0"/>
                <w:kern w:val="22"/>
                <w:sz w:val="22"/>
                <w:szCs w:val="22"/>
                <w:lang w:val="en-GB"/>
              </w:rPr>
            </w:pPr>
            <w:r>
              <w:rPr>
                <w:rFonts w:hint="cs"/>
                <w:snapToGrid w:val="0"/>
                <w:kern w:val="22"/>
                <w:sz w:val="22"/>
                <w:szCs w:val="22"/>
                <w:rtl/>
                <w:lang w:val="en-GB"/>
              </w:rPr>
              <w:t>11</w:t>
            </w:r>
          </w:p>
        </w:tc>
      </w:tr>
      <w:tr w:rsidR="000002A5" w:rsidRPr="00272DCD" w:rsidTr="0081155D">
        <w:trPr>
          <w:trHeight w:val="347"/>
          <w:jc w:val="center"/>
        </w:trPr>
        <w:tc>
          <w:tcPr>
            <w:tcW w:w="2995" w:type="dxa"/>
            <w:noWrap/>
            <w:hideMark/>
          </w:tcPr>
          <w:p w:rsidR="000002A5" w:rsidRPr="00D30CD7" w:rsidRDefault="000002A5" w:rsidP="00445B11">
            <w:pPr>
              <w:spacing w:before="80"/>
              <w:rPr>
                <w:lang w:val="en-US"/>
              </w:rPr>
            </w:pPr>
            <w:r w:rsidRPr="00414000">
              <w:rPr>
                <w:snapToGrid w:val="0"/>
                <w:kern w:val="22"/>
                <w:sz w:val="22"/>
                <w:szCs w:val="22"/>
                <w:lang w:val="en-GB"/>
              </w:rPr>
              <w:t>CBD/SBI/3/</w:t>
            </w:r>
            <w:r>
              <w:rPr>
                <w:snapToGrid w:val="0"/>
                <w:kern w:val="22"/>
                <w:sz w:val="22"/>
                <w:szCs w:val="22"/>
                <w:lang w:val="en-GB"/>
              </w:rPr>
              <w:t>20</w:t>
            </w:r>
          </w:p>
        </w:tc>
        <w:tc>
          <w:tcPr>
            <w:tcW w:w="5557" w:type="dxa"/>
          </w:tcPr>
          <w:p w:rsidR="000002A5" w:rsidRDefault="000002A5" w:rsidP="002E71C1">
            <w:pPr>
              <w:bidi/>
              <w:spacing w:after="60" w:line="216" w:lineRule="auto"/>
              <w:rPr>
                <w:rFonts w:ascii="Simplified Arabic" w:hAnsi="Simplified Arabic" w:cs="Simplified Arabic"/>
                <w:snapToGrid w:val="0"/>
                <w:kern w:val="22"/>
                <w:rtl/>
                <w:lang w:val="en-GB" w:bidi="ar-EG"/>
              </w:rPr>
            </w:pPr>
            <w:r>
              <w:rPr>
                <w:rFonts w:ascii="Simplified Arabic" w:hAnsi="Simplified Arabic" w:cs="Simplified Arabic" w:hint="cs"/>
                <w:snapToGrid w:val="0"/>
                <w:kern w:val="22"/>
                <w:rtl/>
                <w:lang w:val="en-GB" w:bidi="ar-EG"/>
              </w:rPr>
              <w:t>تقرير الهيئة الفرعية للتنفيذ عن اجتماعها الثالث (الجزء الأول)</w:t>
            </w:r>
          </w:p>
        </w:tc>
        <w:tc>
          <w:tcPr>
            <w:tcW w:w="1095" w:type="dxa"/>
          </w:tcPr>
          <w:p w:rsidR="000002A5" w:rsidRPr="00BF6A91" w:rsidRDefault="000002A5" w:rsidP="00FD05BD">
            <w:pPr>
              <w:suppressLineNumbers/>
              <w:suppressAutoHyphens/>
              <w:spacing w:before="80" w:after="20" w:line="216" w:lineRule="auto"/>
              <w:jc w:val="center"/>
              <w:rPr>
                <w:snapToGrid w:val="0"/>
                <w:kern w:val="22"/>
                <w:sz w:val="22"/>
                <w:szCs w:val="22"/>
                <w:lang w:val="en-US"/>
              </w:rPr>
            </w:pPr>
          </w:p>
        </w:tc>
      </w:tr>
      <w:tr w:rsidR="0081155D" w:rsidRPr="00272DCD" w:rsidTr="0081155D">
        <w:trPr>
          <w:trHeight w:val="347"/>
          <w:jc w:val="center"/>
        </w:trPr>
        <w:tc>
          <w:tcPr>
            <w:tcW w:w="2995" w:type="dxa"/>
            <w:noWrap/>
          </w:tcPr>
          <w:p w:rsidR="0081155D" w:rsidRPr="0057596A" w:rsidRDefault="0081155D" w:rsidP="0081155D"/>
        </w:tc>
        <w:tc>
          <w:tcPr>
            <w:tcW w:w="5557" w:type="dxa"/>
          </w:tcPr>
          <w:p w:rsidR="0081155D" w:rsidRPr="0081155D" w:rsidRDefault="0081155D" w:rsidP="002E71C1">
            <w:pPr>
              <w:bidi/>
              <w:spacing w:after="60" w:line="216" w:lineRule="auto"/>
              <w:rPr>
                <w:rFonts w:ascii="Simplified Arabic" w:hAnsi="Simplified Arabic" w:cs="Simplified Arabic"/>
                <w:i/>
                <w:iCs/>
                <w:snapToGrid w:val="0"/>
                <w:kern w:val="22"/>
                <w:rtl/>
                <w:lang w:val="en-GB" w:bidi="ar-EG"/>
              </w:rPr>
            </w:pPr>
            <w:r w:rsidRPr="0081155D">
              <w:rPr>
                <w:rFonts w:ascii="Simplified Arabic" w:hAnsi="Simplified Arabic" w:cs="Simplified Arabic" w:hint="cs"/>
                <w:i/>
                <w:iCs/>
                <w:snapToGrid w:val="0"/>
                <w:kern w:val="22"/>
                <w:rtl/>
                <w:lang w:val="en-GB" w:bidi="ar-EG"/>
              </w:rPr>
              <w:t>وثائق إعلامية</w:t>
            </w:r>
          </w:p>
        </w:tc>
        <w:tc>
          <w:tcPr>
            <w:tcW w:w="1095" w:type="dxa"/>
          </w:tcPr>
          <w:p w:rsidR="0081155D" w:rsidRPr="00BF6A91" w:rsidRDefault="0081155D" w:rsidP="00FD05BD">
            <w:pPr>
              <w:suppressLineNumbers/>
              <w:suppressAutoHyphens/>
              <w:spacing w:before="80" w:after="20" w:line="216" w:lineRule="auto"/>
              <w:jc w:val="center"/>
              <w:rPr>
                <w:snapToGrid w:val="0"/>
                <w:kern w:val="22"/>
                <w:sz w:val="22"/>
                <w:szCs w:val="22"/>
                <w:lang w:val="en-US"/>
              </w:rPr>
            </w:pPr>
          </w:p>
        </w:tc>
      </w:tr>
      <w:tr w:rsidR="00FE08F8" w:rsidRPr="00272DCD" w:rsidTr="0081155D">
        <w:trPr>
          <w:trHeight w:val="347"/>
          <w:jc w:val="center"/>
        </w:trPr>
        <w:tc>
          <w:tcPr>
            <w:tcW w:w="2995" w:type="dxa"/>
            <w:noWrap/>
          </w:tcPr>
          <w:p w:rsidR="00FE08F8" w:rsidRPr="00A13E8E" w:rsidRDefault="00FE08F8" w:rsidP="00241B19">
            <w:r w:rsidRPr="00A13E8E">
              <w:t>CBD/SBI/3/INF/1</w:t>
            </w:r>
          </w:p>
        </w:tc>
        <w:tc>
          <w:tcPr>
            <w:tcW w:w="5557" w:type="dxa"/>
          </w:tcPr>
          <w:p w:rsidR="00FE08F8" w:rsidRPr="00A13E8E" w:rsidRDefault="00FE08F8" w:rsidP="00241B19">
            <w:r w:rsidRPr="00A13E8E">
              <w:t>Evaluation of the strategic framework for capacity-building and development to support the effective implementation of the Nagoya Protocol</w:t>
            </w:r>
          </w:p>
        </w:tc>
        <w:tc>
          <w:tcPr>
            <w:tcW w:w="1095" w:type="dxa"/>
          </w:tcPr>
          <w:p w:rsidR="00FE08F8" w:rsidRPr="00A13E8E" w:rsidRDefault="00FE08F8" w:rsidP="00A45134">
            <w:pPr>
              <w:jc w:val="center"/>
            </w:pPr>
            <w:r w:rsidRPr="00A13E8E">
              <w:t>7</w:t>
            </w:r>
          </w:p>
        </w:tc>
      </w:tr>
      <w:tr w:rsidR="00FE08F8" w:rsidRPr="00272DCD" w:rsidTr="0081155D">
        <w:trPr>
          <w:trHeight w:val="347"/>
          <w:jc w:val="center"/>
        </w:trPr>
        <w:tc>
          <w:tcPr>
            <w:tcW w:w="2995" w:type="dxa"/>
            <w:noWrap/>
          </w:tcPr>
          <w:p w:rsidR="00FE08F8" w:rsidRPr="00A13E8E" w:rsidRDefault="00FE08F8" w:rsidP="00241B19">
            <w:r w:rsidRPr="00A13E8E">
              <w:t>CBD/SBI/3/INF/2</w:t>
            </w:r>
          </w:p>
        </w:tc>
        <w:tc>
          <w:tcPr>
            <w:tcW w:w="5557" w:type="dxa"/>
          </w:tcPr>
          <w:p w:rsidR="00FE08F8" w:rsidRPr="00A13E8E" w:rsidRDefault="00FE08F8" w:rsidP="00241B19">
            <w:r w:rsidRPr="00A13E8E">
              <w:t xml:space="preserve">Evaluation and review of the strategy for resource </w:t>
            </w:r>
            <w:r w:rsidRPr="00A13E8E">
              <w:lastRenderedPageBreak/>
              <w:t>mobilization and Aichi Biodiversity Target 20: First report of the Panel of Experts on Resource Mobilization</w:t>
            </w:r>
          </w:p>
        </w:tc>
        <w:tc>
          <w:tcPr>
            <w:tcW w:w="1095" w:type="dxa"/>
          </w:tcPr>
          <w:p w:rsidR="00FE08F8" w:rsidRPr="00A13E8E" w:rsidRDefault="00FE08F8" w:rsidP="00A45134">
            <w:pPr>
              <w:jc w:val="center"/>
            </w:pPr>
            <w:r w:rsidRPr="00A13E8E">
              <w:lastRenderedPageBreak/>
              <w:t>6</w:t>
            </w:r>
          </w:p>
        </w:tc>
      </w:tr>
      <w:tr w:rsidR="00FE08F8" w:rsidRPr="00272DCD" w:rsidTr="0081155D">
        <w:trPr>
          <w:trHeight w:val="347"/>
          <w:jc w:val="center"/>
        </w:trPr>
        <w:tc>
          <w:tcPr>
            <w:tcW w:w="2995" w:type="dxa"/>
            <w:noWrap/>
          </w:tcPr>
          <w:p w:rsidR="00FE08F8" w:rsidRPr="00A13E8E" w:rsidRDefault="00FE08F8" w:rsidP="00241B19">
            <w:r w:rsidRPr="00A13E8E">
              <w:t>CBD/SBI/3/INF/3</w:t>
            </w:r>
          </w:p>
        </w:tc>
        <w:tc>
          <w:tcPr>
            <w:tcW w:w="5557" w:type="dxa"/>
          </w:tcPr>
          <w:p w:rsidR="00FE08F8" w:rsidRPr="00A13E8E" w:rsidRDefault="00FE08F8" w:rsidP="00241B19">
            <w:r w:rsidRPr="00A13E8E">
              <w:t>Results of the survey to evaluate the use by Parties of the online reporting tool for the sixth national report</w:t>
            </w:r>
          </w:p>
        </w:tc>
        <w:tc>
          <w:tcPr>
            <w:tcW w:w="1095" w:type="dxa"/>
          </w:tcPr>
          <w:p w:rsidR="00FE08F8" w:rsidRPr="00A13E8E" w:rsidRDefault="00FE08F8" w:rsidP="00A45134">
            <w:pPr>
              <w:jc w:val="center"/>
            </w:pPr>
            <w:r w:rsidRPr="00A13E8E">
              <w:t>9</w:t>
            </w:r>
          </w:p>
        </w:tc>
      </w:tr>
      <w:tr w:rsidR="00FE08F8" w:rsidRPr="00272DCD" w:rsidTr="0081155D">
        <w:trPr>
          <w:trHeight w:val="347"/>
          <w:jc w:val="center"/>
        </w:trPr>
        <w:tc>
          <w:tcPr>
            <w:tcW w:w="2995" w:type="dxa"/>
            <w:noWrap/>
          </w:tcPr>
          <w:p w:rsidR="00FE08F8" w:rsidRPr="00A13E8E" w:rsidRDefault="00FE08F8" w:rsidP="00241B19">
            <w:r w:rsidRPr="00A13E8E">
              <w:t>CBD/SBI/3/INF/4</w:t>
            </w:r>
          </w:p>
        </w:tc>
        <w:tc>
          <w:tcPr>
            <w:tcW w:w="5557" w:type="dxa"/>
          </w:tcPr>
          <w:p w:rsidR="00FE08F8" w:rsidRPr="00A13E8E" w:rsidRDefault="00FE08F8" w:rsidP="00241B19">
            <w:r w:rsidRPr="00A13E8E">
              <w:t>Voluntary peer review of the revision and implementation of the national biodiversity strategic action plan 2016-2022 of Sri Lanka</w:t>
            </w:r>
          </w:p>
        </w:tc>
        <w:tc>
          <w:tcPr>
            <w:tcW w:w="1095" w:type="dxa"/>
          </w:tcPr>
          <w:p w:rsidR="00FE08F8" w:rsidRPr="00A13E8E" w:rsidRDefault="00FE08F8" w:rsidP="00A45134">
            <w:pPr>
              <w:jc w:val="center"/>
            </w:pPr>
            <w:r w:rsidRPr="00A13E8E">
              <w:t>9</w:t>
            </w:r>
          </w:p>
        </w:tc>
      </w:tr>
      <w:tr w:rsidR="00FE08F8" w:rsidRPr="00272DCD" w:rsidTr="0081155D">
        <w:trPr>
          <w:trHeight w:val="347"/>
          <w:jc w:val="center"/>
        </w:trPr>
        <w:tc>
          <w:tcPr>
            <w:tcW w:w="2995" w:type="dxa"/>
            <w:noWrap/>
          </w:tcPr>
          <w:p w:rsidR="00FE08F8" w:rsidRPr="00A13E8E" w:rsidRDefault="00FE08F8" w:rsidP="00241B19">
            <w:r w:rsidRPr="00A13E8E">
              <w:t>CBD/SBI/3/INF/5</w:t>
            </w:r>
          </w:p>
        </w:tc>
        <w:tc>
          <w:tcPr>
            <w:tcW w:w="5557" w:type="dxa"/>
          </w:tcPr>
          <w:p w:rsidR="00FE08F8" w:rsidRPr="00A13E8E" w:rsidRDefault="00FE08F8" w:rsidP="00241B19">
            <w:r w:rsidRPr="00A13E8E">
              <w:t>Estimation of resources needed for implementing the post-2020 global biodiversity framework. Preliminary second report of the Panel of Experts on Resource Mobilization: Supplementary information</w:t>
            </w:r>
          </w:p>
        </w:tc>
        <w:tc>
          <w:tcPr>
            <w:tcW w:w="1095" w:type="dxa"/>
          </w:tcPr>
          <w:p w:rsidR="00FE08F8" w:rsidRPr="00A13E8E" w:rsidRDefault="00FE08F8" w:rsidP="00A45134">
            <w:pPr>
              <w:jc w:val="center"/>
            </w:pPr>
            <w:r w:rsidRPr="00A13E8E">
              <w:t>6</w:t>
            </w:r>
          </w:p>
        </w:tc>
      </w:tr>
      <w:tr w:rsidR="00FE08F8" w:rsidRPr="00272DCD" w:rsidTr="0081155D">
        <w:trPr>
          <w:trHeight w:val="347"/>
          <w:jc w:val="center"/>
        </w:trPr>
        <w:tc>
          <w:tcPr>
            <w:tcW w:w="2995" w:type="dxa"/>
            <w:noWrap/>
          </w:tcPr>
          <w:p w:rsidR="00FE08F8" w:rsidRPr="00A13E8E" w:rsidRDefault="00FE08F8" w:rsidP="00241B19">
            <w:r w:rsidRPr="00A13E8E">
              <w:t>CBD/SBI/3/INF/6</w:t>
            </w:r>
          </w:p>
        </w:tc>
        <w:tc>
          <w:tcPr>
            <w:tcW w:w="5557" w:type="dxa"/>
          </w:tcPr>
          <w:p w:rsidR="00FE08F8" w:rsidRPr="00A13E8E" w:rsidRDefault="00FE08F8" w:rsidP="00241B19">
            <w:r w:rsidRPr="00A13E8E">
              <w:t>Progress on mainstreaming biodiversity across agricultural sectors: report by the Food and Agriculture Organization of the United Nations</w:t>
            </w:r>
          </w:p>
        </w:tc>
        <w:tc>
          <w:tcPr>
            <w:tcW w:w="1095" w:type="dxa"/>
          </w:tcPr>
          <w:p w:rsidR="00FE08F8" w:rsidRPr="00A13E8E" w:rsidRDefault="00FE08F8" w:rsidP="00A45134">
            <w:pPr>
              <w:jc w:val="center"/>
            </w:pPr>
            <w:r w:rsidRPr="00A13E8E">
              <w:t>8 and 11</w:t>
            </w:r>
          </w:p>
        </w:tc>
      </w:tr>
      <w:tr w:rsidR="00FE08F8" w:rsidRPr="00272DCD" w:rsidTr="0081155D">
        <w:trPr>
          <w:trHeight w:val="347"/>
          <w:jc w:val="center"/>
        </w:trPr>
        <w:tc>
          <w:tcPr>
            <w:tcW w:w="2995" w:type="dxa"/>
            <w:noWrap/>
          </w:tcPr>
          <w:p w:rsidR="00FE08F8" w:rsidRPr="00A13E8E" w:rsidRDefault="00FE08F8" w:rsidP="00241B19">
            <w:r w:rsidRPr="00A13E8E">
              <w:t>CBD/SBI/3/INF/7</w:t>
            </w:r>
          </w:p>
        </w:tc>
        <w:tc>
          <w:tcPr>
            <w:tcW w:w="5557" w:type="dxa"/>
          </w:tcPr>
          <w:p w:rsidR="00FE08F8" w:rsidRPr="00A13E8E" w:rsidRDefault="00FE08F8" w:rsidP="00241B19">
            <w:r w:rsidRPr="00A13E8E">
              <w:t>Preliminary report of the Global Environment Facility: projects and programmes approved during the reporting period</w:t>
            </w:r>
          </w:p>
        </w:tc>
        <w:tc>
          <w:tcPr>
            <w:tcW w:w="1095" w:type="dxa"/>
          </w:tcPr>
          <w:p w:rsidR="00FE08F8" w:rsidRPr="00A13E8E" w:rsidRDefault="00FE08F8" w:rsidP="00A45134">
            <w:pPr>
              <w:jc w:val="center"/>
            </w:pPr>
            <w:r w:rsidRPr="00A13E8E">
              <w:t>6</w:t>
            </w:r>
          </w:p>
        </w:tc>
      </w:tr>
      <w:tr w:rsidR="00FE08F8" w:rsidRPr="00272DCD" w:rsidTr="0081155D">
        <w:trPr>
          <w:trHeight w:val="347"/>
          <w:jc w:val="center"/>
        </w:trPr>
        <w:tc>
          <w:tcPr>
            <w:tcW w:w="2995" w:type="dxa"/>
            <w:noWrap/>
          </w:tcPr>
          <w:p w:rsidR="00FE08F8" w:rsidRPr="00A13E8E" w:rsidRDefault="00FE08F8" w:rsidP="00241B19">
            <w:r w:rsidRPr="00A13E8E">
              <w:t>CBD/SBI/3/INF/8</w:t>
            </w:r>
          </w:p>
        </w:tc>
        <w:tc>
          <w:tcPr>
            <w:tcW w:w="5557" w:type="dxa"/>
          </w:tcPr>
          <w:p w:rsidR="00FE08F8" w:rsidRPr="00A13E8E" w:rsidRDefault="00FE08F8" w:rsidP="00241B19">
            <w:r w:rsidRPr="00A13E8E">
              <w:t>The Data Reporting Tool for MEAs (DaRT) - A tool for biodiversity knowledge management in support of the post-2020 global biodiversity framework implementation</w:t>
            </w:r>
          </w:p>
        </w:tc>
        <w:tc>
          <w:tcPr>
            <w:tcW w:w="1095" w:type="dxa"/>
          </w:tcPr>
          <w:p w:rsidR="00FE08F8" w:rsidRPr="00A13E8E" w:rsidRDefault="00FE08F8" w:rsidP="00A45134">
            <w:pPr>
              <w:jc w:val="center"/>
            </w:pPr>
            <w:r w:rsidRPr="00A13E8E">
              <w:t>7, 9 and 10</w:t>
            </w:r>
          </w:p>
        </w:tc>
      </w:tr>
      <w:tr w:rsidR="00FE08F8" w:rsidRPr="00272DCD" w:rsidTr="0081155D">
        <w:trPr>
          <w:trHeight w:val="347"/>
          <w:jc w:val="center"/>
        </w:trPr>
        <w:tc>
          <w:tcPr>
            <w:tcW w:w="2995" w:type="dxa"/>
            <w:noWrap/>
          </w:tcPr>
          <w:p w:rsidR="00FE08F8" w:rsidRPr="00A13E8E" w:rsidRDefault="00FE08F8" w:rsidP="00241B19">
            <w:r w:rsidRPr="00A13E8E">
              <w:t>CBD/SBI/3/INF/9</w:t>
            </w:r>
          </w:p>
        </w:tc>
        <w:tc>
          <w:tcPr>
            <w:tcW w:w="5557" w:type="dxa"/>
          </w:tcPr>
          <w:p w:rsidR="00FE08F8" w:rsidRPr="00A13E8E" w:rsidRDefault="00FE08F8" w:rsidP="00241B19">
            <w:r w:rsidRPr="00A13E8E">
              <w:t>Report of the study to inform the preparation of a long-term strategic framework for capacity-building beyond 2020</w:t>
            </w:r>
          </w:p>
        </w:tc>
        <w:tc>
          <w:tcPr>
            <w:tcW w:w="1095" w:type="dxa"/>
          </w:tcPr>
          <w:p w:rsidR="00FE08F8" w:rsidRPr="00A13E8E" w:rsidRDefault="00FE08F8" w:rsidP="00A45134">
            <w:pPr>
              <w:jc w:val="center"/>
            </w:pPr>
            <w:r w:rsidRPr="00A13E8E">
              <w:t>7</w:t>
            </w:r>
          </w:p>
        </w:tc>
      </w:tr>
      <w:tr w:rsidR="00FE08F8" w:rsidRPr="00272DCD" w:rsidTr="0081155D">
        <w:trPr>
          <w:trHeight w:val="347"/>
          <w:jc w:val="center"/>
        </w:trPr>
        <w:tc>
          <w:tcPr>
            <w:tcW w:w="2995" w:type="dxa"/>
            <w:noWrap/>
          </w:tcPr>
          <w:p w:rsidR="00FE08F8" w:rsidRPr="00A13E8E" w:rsidRDefault="00FE08F8" w:rsidP="00241B19">
            <w:r w:rsidRPr="00A13E8E">
              <w:t>CBD/SBI/3/INF/10</w:t>
            </w:r>
          </w:p>
        </w:tc>
        <w:tc>
          <w:tcPr>
            <w:tcW w:w="5557" w:type="dxa"/>
          </w:tcPr>
          <w:p w:rsidR="00FE08F8" w:rsidRPr="00A13E8E" w:rsidRDefault="00FE08F8" w:rsidP="00241B19">
            <w:r w:rsidRPr="00A13E8E">
              <w:t>Mainstreaming Biodiversity: the Subnational Government Experience</w:t>
            </w:r>
          </w:p>
        </w:tc>
        <w:tc>
          <w:tcPr>
            <w:tcW w:w="1095" w:type="dxa"/>
          </w:tcPr>
          <w:p w:rsidR="00FE08F8" w:rsidRPr="00A13E8E" w:rsidRDefault="00FE08F8" w:rsidP="00A45134">
            <w:pPr>
              <w:jc w:val="center"/>
            </w:pPr>
            <w:r w:rsidRPr="00A13E8E">
              <w:t>11</w:t>
            </w:r>
          </w:p>
        </w:tc>
      </w:tr>
      <w:tr w:rsidR="00FE08F8" w:rsidRPr="00272DCD" w:rsidTr="0081155D">
        <w:trPr>
          <w:trHeight w:val="347"/>
          <w:jc w:val="center"/>
        </w:trPr>
        <w:tc>
          <w:tcPr>
            <w:tcW w:w="2995" w:type="dxa"/>
            <w:noWrap/>
          </w:tcPr>
          <w:p w:rsidR="00FE08F8" w:rsidRPr="00A13E8E" w:rsidRDefault="00FE08F8" w:rsidP="00241B19">
            <w:r w:rsidRPr="00A13E8E">
              <w:t>CBD/SBI/3/INF/11</w:t>
            </w:r>
          </w:p>
        </w:tc>
        <w:tc>
          <w:tcPr>
            <w:tcW w:w="5557" w:type="dxa"/>
          </w:tcPr>
          <w:p w:rsidR="00FE08F8" w:rsidRPr="00A13E8E" w:rsidRDefault="00FE08F8" w:rsidP="00241B19">
            <w:r w:rsidRPr="00A13E8E">
              <w:t>Updated analysis of experience under the Convention and other processes, and considerations for the enhancement of a multidimensional review mechanism</w:t>
            </w:r>
          </w:p>
        </w:tc>
        <w:tc>
          <w:tcPr>
            <w:tcW w:w="1095" w:type="dxa"/>
          </w:tcPr>
          <w:p w:rsidR="00FE08F8" w:rsidRPr="00A13E8E" w:rsidRDefault="00FE08F8" w:rsidP="00A45134">
            <w:pPr>
              <w:jc w:val="center"/>
            </w:pPr>
            <w:r w:rsidRPr="00A13E8E">
              <w:t>9</w:t>
            </w:r>
          </w:p>
        </w:tc>
      </w:tr>
      <w:tr w:rsidR="00FE08F8" w:rsidRPr="00272DCD" w:rsidTr="0081155D">
        <w:trPr>
          <w:trHeight w:val="347"/>
          <w:jc w:val="center"/>
        </w:trPr>
        <w:tc>
          <w:tcPr>
            <w:tcW w:w="2995" w:type="dxa"/>
            <w:noWrap/>
          </w:tcPr>
          <w:p w:rsidR="00FE08F8" w:rsidRPr="00A13E8E" w:rsidRDefault="00FE08F8" w:rsidP="00241B19">
            <w:r w:rsidRPr="00A13E8E">
              <w:t>CBD/SBI/3/INF/12</w:t>
            </w:r>
          </w:p>
        </w:tc>
        <w:tc>
          <w:tcPr>
            <w:tcW w:w="5557" w:type="dxa"/>
          </w:tcPr>
          <w:p w:rsidR="00FE08F8" w:rsidRPr="00A13E8E" w:rsidRDefault="00FE08F8" w:rsidP="00241B19">
            <w:r w:rsidRPr="00A13E8E">
              <w:t>Not issued</w:t>
            </w:r>
          </w:p>
        </w:tc>
        <w:tc>
          <w:tcPr>
            <w:tcW w:w="1095" w:type="dxa"/>
          </w:tcPr>
          <w:p w:rsidR="00FE08F8" w:rsidRPr="00A13E8E" w:rsidRDefault="00FE08F8" w:rsidP="00A45134">
            <w:pPr>
              <w:jc w:val="center"/>
            </w:pPr>
          </w:p>
        </w:tc>
      </w:tr>
      <w:tr w:rsidR="00FE08F8" w:rsidRPr="00272DCD" w:rsidTr="0081155D">
        <w:trPr>
          <w:trHeight w:val="347"/>
          <w:jc w:val="center"/>
        </w:trPr>
        <w:tc>
          <w:tcPr>
            <w:tcW w:w="2995" w:type="dxa"/>
            <w:noWrap/>
          </w:tcPr>
          <w:p w:rsidR="00FE08F8" w:rsidRPr="00A13E8E" w:rsidRDefault="00FE08F8" w:rsidP="00241B19">
            <w:r w:rsidRPr="00A13E8E">
              <w:t>CBD/SBI/3/INF/13</w:t>
            </w:r>
          </w:p>
        </w:tc>
        <w:tc>
          <w:tcPr>
            <w:tcW w:w="5557" w:type="dxa"/>
          </w:tcPr>
          <w:p w:rsidR="00FE08F8" w:rsidRPr="00A13E8E" w:rsidRDefault="00FE08F8" w:rsidP="00241B19">
            <w:r w:rsidRPr="00A13E8E">
              <w:t>Not issued</w:t>
            </w:r>
          </w:p>
        </w:tc>
        <w:tc>
          <w:tcPr>
            <w:tcW w:w="1095" w:type="dxa"/>
          </w:tcPr>
          <w:p w:rsidR="00FE08F8" w:rsidRPr="00A13E8E" w:rsidRDefault="00FE08F8" w:rsidP="00A45134">
            <w:pPr>
              <w:jc w:val="center"/>
            </w:pPr>
          </w:p>
        </w:tc>
      </w:tr>
      <w:tr w:rsidR="00FE08F8" w:rsidRPr="00272DCD" w:rsidTr="0081155D">
        <w:trPr>
          <w:trHeight w:val="347"/>
          <w:jc w:val="center"/>
        </w:trPr>
        <w:tc>
          <w:tcPr>
            <w:tcW w:w="2995" w:type="dxa"/>
            <w:noWrap/>
          </w:tcPr>
          <w:p w:rsidR="00FE08F8" w:rsidRPr="00A13E8E" w:rsidRDefault="00FE08F8" w:rsidP="00241B19">
            <w:r w:rsidRPr="00A13E8E">
              <w:t>CBD/SBI/3/INF/14</w:t>
            </w:r>
          </w:p>
        </w:tc>
        <w:tc>
          <w:tcPr>
            <w:tcW w:w="5557" w:type="dxa"/>
          </w:tcPr>
          <w:p w:rsidR="00FE08F8" w:rsidRPr="00A13E8E" w:rsidRDefault="00FE08F8" w:rsidP="00241B19">
            <w:r w:rsidRPr="00A13E8E">
              <w:t>Preliminary final report on the implementation of the short-term action plan (2017-2020) to enhance and support capacity-building for the implementation of the Convention and its Protocols</w:t>
            </w:r>
          </w:p>
        </w:tc>
        <w:tc>
          <w:tcPr>
            <w:tcW w:w="1095" w:type="dxa"/>
          </w:tcPr>
          <w:p w:rsidR="00FE08F8" w:rsidRPr="00A13E8E" w:rsidRDefault="00FE08F8" w:rsidP="00A45134">
            <w:pPr>
              <w:jc w:val="center"/>
            </w:pPr>
            <w:r w:rsidRPr="00A13E8E">
              <w:t>7</w:t>
            </w:r>
          </w:p>
        </w:tc>
      </w:tr>
      <w:tr w:rsidR="00FE08F8" w:rsidRPr="00272DCD" w:rsidTr="0081155D">
        <w:trPr>
          <w:trHeight w:val="347"/>
          <w:jc w:val="center"/>
        </w:trPr>
        <w:tc>
          <w:tcPr>
            <w:tcW w:w="2995" w:type="dxa"/>
            <w:noWrap/>
          </w:tcPr>
          <w:p w:rsidR="00FE08F8" w:rsidRPr="00A13E8E" w:rsidRDefault="00FE08F8" w:rsidP="00241B19">
            <w:r w:rsidRPr="00A13E8E">
              <w:t>CBD/SBI/3/INF/15</w:t>
            </w:r>
          </w:p>
        </w:tc>
        <w:tc>
          <w:tcPr>
            <w:tcW w:w="5557" w:type="dxa"/>
          </w:tcPr>
          <w:p w:rsidR="00FE08F8" w:rsidRPr="00A13E8E" w:rsidRDefault="00FE08F8" w:rsidP="00241B19">
            <w:r w:rsidRPr="00A13E8E">
              <w:t>Proposals for an inclusive process to review and renew technical and scientific cooperation programmes</w:t>
            </w:r>
          </w:p>
        </w:tc>
        <w:tc>
          <w:tcPr>
            <w:tcW w:w="1095" w:type="dxa"/>
          </w:tcPr>
          <w:p w:rsidR="00FE08F8" w:rsidRPr="00A13E8E" w:rsidRDefault="00FE08F8" w:rsidP="00A45134">
            <w:pPr>
              <w:jc w:val="center"/>
            </w:pPr>
            <w:r w:rsidRPr="00A13E8E">
              <w:t>7</w:t>
            </w:r>
          </w:p>
        </w:tc>
      </w:tr>
      <w:tr w:rsidR="00FE08F8" w:rsidRPr="00272DCD" w:rsidTr="0081155D">
        <w:trPr>
          <w:trHeight w:val="347"/>
          <w:jc w:val="center"/>
        </w:trPr>
        <w:tc>
          <w:tcPr>
            <w:tcW w:w="2995" w:type="dxa"/>
            <w:noWrap/>
          </w:tcPr>
          <w:p w:rsidR="00FE08F8" w:rsidRPr="00A13E8E" w:rsidRDefault="00FE08F8" w:rsidP="00241B19">
            <w:r w:rsidRPr="00A13E8E">
              <w:t>CBD/SBI/3/INF/16</w:t>
            </w:r>
          </w:p>
        </w:tc>
        <w:tc>
          <w:tcPr>
            <w:tcW w:w="5557" w:type="dxa"/>
          </w:tcPr>
          <w:p w:rsidR="00FE08F8" w:rsidRPr="00A13E8E" w:rsidRDefault="00FE08F8" w:rsidP="00241B19">
            <w:r w:rsidRPr="00A13E8E">
              <w:t>Options for institutional mechanisms to facilitate technical and scientific cooperation under the Convention on Biological Diversity</w:t>
            </w:r>
          </w:p>
        </w:tc>
        <w:tc>
          <w:tcPr>
            <w:tcW w:w="1095" w:type="dxa"/>
          </w:tcPr>
          <w:p w:rsidR="00FE08F8" w:rsidRPr="00A13E8E" w:rsidRDefault="00FE08F8" w:rsidP="00A45134">
            <w:pPr>
              <w:jc w:val="center"/>
            </w:pPr>
            <w:r w:rsidRPr="00A13E8E">
              <w:t>7</w:t>
            </w:r>
          </w:p>
        </w:tc>
      </w:tr>
      <w:tr w:rsidR="00FE08F8" w:rsidRPr="00272DCD" w:rsidTr="0081155D">
        <w:trPr>
          <w:trHeight w:val="347"/>
          <w:jc w:val="center"/>
        </w:trPr>
        <w:tc>
          <w:tcPr>
            <w:tcW w:w="2995" w:type="dxa"/>
            <w:noWrap/>
          </w:tcPr>
          <w:p w:rsidR="00FE08F8" w:rsidRPr="00A13E8E" w:rsidRDefault="00FE08F8" w:rsidP="00241B19">
            <w:r w:rsidRPr="00A13E8E">
              <w:t>CBD/SBI/3/INF/17</w:t>
            </w:r>
          </w:p>
        </w:tc>
        <w:tc>
          <w:tcPr>
            <w:tcW w:w="5557" w:type="dxa"/>
          </w:tcPr>
          <w:p w:rsidR="00FE08F8" w:rsidRPr="00A13E8E" w:rsidRDefault="00FE08F8" w:rsidP="00241B19">
            <w:r w:rsidRPr="00A13E8E">
              <w:t>Preliminary list of relevant institutional arrangements and networks facilitating technical and scientific cooperation at the global, regional and subregional levels</w:t>
            </w:r>
          </w:p>
        </w:tc>
        <w:tc>
          <w:tcPr>
            <w:tcW w:w="1095" w:type="dxa"/>
          </w:tcPr>
          <w:p w:rsidR="00FE08F8" w:rsidRPr="00A13E8E" w:rsidRDefault="00FE08F8" w:rsidP="00A45134">
            <w:pPr>
              <w:jc w:val="center"/>
            </w:pPr>
            <w:r w:rsidRPr="00A13E8E">
              <w:t>7</w:t>
            </w:r>
          </w:p>
        </w:tc>
      </w:tr>
      <w:tr w:rsidR="00FE08F8" w:rsidRPr="00272DCD" w:rsidTr="0081155D">
        <w:trPr>
          <w:trHeight w:val="347"/>
          <w:jc w:val="center"/>
        </w:trPr>
        <w:tc>
          <w:tcPr>
            <w:tcW w:w="2995" w:type="dxa"/>
            <w:noWrap/>
          </w:tcPr>
          <w:p w:rsidR="00FE08F8" w:rsidRPr="00A13E8E" w:rsidRDefault="00FE08F8" w:rsidP="00241B19">
            <w:r w:rsidRPr="00A13E8E">
              <w:t>CBD/SBI/3/INF/18</w:t>
            </w:r>
          </w:p>
        </w:tc>
        <w:tc>
          <w:tcPr>
            <w:tcW w:w="5557" w:type="dxa"/>
          </w:tcPr>
          <w:p w:rsidR="00FE08F8" w:rsidRPr="00A13E8E" w:rsidRDefault="00FE08F8" w:rsidP="00241B19">
            <w:r w:rsidRPr="00A13E8E">
              <w:t xml:space="preserve">Progress report on technical and scientific cooperation </w:t>
            </w:r>
            <w:r w:rsidRPr="00A13E8E">
              <w:lastRenderedPageBreak/>
              <w:t>and the Bio-Bridge Initiative</w:t>
            </w:r>
          </w:p>
        </w:tc>
        <w:tc>
          <w:tcPr>
            <w:tcW w:w="1095" w:type="dxa"/>
          </w:tcPr>
          <w:p w:rsidR="00FE08F8" w:rsidRPr="00A13E8E" w:rsidRDefault="00FE08F8" w:rsidP="00A45134">
            <w:pPr>
              <w:jc w:val="center"/>
            </w:pPr>
            <w:r w:rsidRPr="00A13E8E">
              <w:lastRenderedPageBreak/>
              <w:t>7</w:t>
            </w:r>
          </w:p>
        </w:tc>
      </w:tr>
      <w:tr w:rsidR="00FE08F8" w:rsidRPr="00272DCD" w:rsidTr="0081155D">
        <w:trPr>
          <w:trHeight w:val="347"/>
          <w:jc w:val="center"/>
        </w:trPr>
        <w:tc>
          <w:tcPr>
            <w:tcW w:w="2995" w:type="dxa"/>
            <w:noWrap/>
          </w:tcPr>
          <w:p w:rsidR="00FE08F8" w:rsidRPr="00A13E8E" w:rsidRDefault="00FE08F8" w:rsidP="00241B19">
            <w:r w:rsidRPr="00A13E8E">
              <w:t>CBD/SBI/3/INF/19</w:t>
            </w:r>
          </w:p>
        </w:tc>
        <w:tc>
          <w:tcPr>
            <w:tcW w:w="5557" w:type="dxa"/>
          </w:tcPr>
          <w:p w:rsidR="00FE08F8" w:rsidRPr="00A13E8E" w:rsidRDefault="00FE08F8" w:rsidP="00241B19">
            <w:r w:rsidRPr="00A13E8E">
              <w:t>Driving ambition through national biodiversity commitments – bringing experiences from other sectors to bear</w:t>
            </w:r>
          </w:p>
        </w:tc>
        <w:tc>
          <w:tcPr>
            <w:tcW w:w="1095" w:type="dxa"/>
          </w:tcPr>
          <w:p w:rsidR="00FE08F8" w:rsidRPr="00A13E8E" w:rsidRDefault="00FE08F8" w:rsidP="00A45134">
            <w:pPr>
              <w:jc w:val="center"/>
            </w:pPr>
            <w:r w:rsidRPr="00A13E8E">
              <w:t>9</w:t>
            </w:r>
          </w:p>
        </w:tc>
      </w:tr>
      <w:tr w:rsidR="00FE08F8" w:rsidRPr="00272DCD" w:rsidTr="0081155D">
        <w:trPr>
          <w:trHeight w:val="347"/>
          <w:jc w:val="center"/>
        </w:trPr>
        <w:tc>
          <w:tcPr>
            <w:tcW w:w="2995" w:type="dxa"/>
            <w:noWrap/>
          </w:tcPr>
          <w:p w:rsidR="00FE08F8" w:rsidRPr="00A13E8E" w:rsidRDefault="00FE08F8" w:rsidP="00241B19">
            <w:r w:rsidRPr="00A13E8E">
              <w:t>CBD/SBI/3/INF/20</w:t>
            </w:r>
          </w:p>
        </w:tc>
        <w:tc>
          <w:tcPr>
            <w:tcW w:w="5557" w:type="dxa"/>
          </w:tcPr>
          <w:p w:rsidR="00FE08F8" w:rsidRPr="00A13E8E" w:rsidRDefault="00FE08F8" w:rsidP="00241B19">
            <w:r w:rsidRPr="00A13E8E">
              <w:t>Actors other than national governments in the post-2020 global biodiversity framework – Catalyzing ambition and action 2020-2030</w:t>
            </w:r>
          </w:p>
        </w:tc>
        <w:tc>
          <w:tcPr>
            <w:tcW w:w="1095" w:type="dxa"/>
          </w:tcPr>
          <w:p w:rsidR="00FE08F8" w:rsidRPr="00A13E8E" w:rsidRDefault="00FE08F8" w:rsidP="00A45134">
            <w:pPr>
              <w:jc w:val="center"/>
            </w:pPr>
            <w:r w:rsidRPr="00A13E8E">
              <w:t>9</w:t>
            </w:r>
          </w:p>
        </w:tc>
      </w:tr>
      <w:tr w:rsidR="00FE08F8" w:rsidRPr="00272DCD" w:rsidTr="0081155D">
        <w:trPr>
          <w:trHeight w:val="347"/>
          <w:jc w:val="center"/>
        </w:trPr>
        <w:tc>
          <w:tcPr>
            <w:tcW w:w="2995" w:type="dxa"/>
            <w:noWrap/>
          </w:tcPr>
          <w:p w:rsidR="00FE08F8" w:rsidRPr="00A13E8E" w:rsidRDefault="00FE08F8" w:rsidP="00241B19">
            <w:r w:rsidRPr="00A13E8E">
              <w:t>CBD/SBI/3/INF/21</w:t>
            </w:r>
          </w:p>
        </w:tc>
        <w:tc>
          <w:tcPr>
            <w:tcW w:w="5557" w:type="dxa"/>
          </w:tcPr>
          <w:p w:rsidR="00FE08F8" w:rsidRPr="00A13E8E" w:rsidRDefault="00FE08F8" w:rsidP="00241B19">
            <w:r w:rsidRPr="00A13E8E">
              <w:t>Action plan for the long-term approach to mainstreaming biodiversity: compilation of relevant sources of information</w:t>
            </w:r>
          </w:p>
        </w:tc>
        <w:tc>
          <w:tcPr>
            <w:tcW w:w="1095" w:type="dxa"/>
          </w:tcPr>
          <w:p w:rsidR="00FE08F8" w:rsidRPr="00A13E8E" w:rsidRDefault="00FE08F8" w:rsidP="00A45134">
            <w:pPr>
              <w:jc w:val="center"/>
            </w:pPr>
            <w:r w:rsidRPr="00A13E8E">
              <w:t>11</w:t>
            </w:r>
          </w:p>
        </w:tc>
      </w:tr>
      <w:tr w:rsidR="00FE08F8" w:rsidRPr="00272DCD" w:rsidTr="0081155D">
        <w:trPr>
          <w:trHeight w:val="347"/>
          <w:jc w:val="center"/>
        </w:trPr>
        <w:tc>
          <w:tcPr>
            <w:tcW w:w="2995" w:type="dxa"/>
            <w:noWrap/>
          </w:tcPr>
          <w:p w:rsidR="00FE08F8" w:rsidRPr="00A13E8E" w:rsidRDefault="00FE08F8" w:rsidP="00241B19">
            <w:r w:rsidRPr="00A13E8E">
              <w:t>CBD/SBI/3/INF/22</w:t>
            </w:r>
          </w:p>
        </w:tc>
        <w:tc>
          <w:tcPr>
            <w:tcW w:w="5557" w:type="dxa"/>
          </w:tcPr>
          <w:p w:rsidR="00FE08F8" w:rsidRPr="00A13E8E" w:rsidRDefault="00FE08F8" w:rsidP="00241B19">
            <w:r w:rsidRPr="00A13E8E">
              <w:t>Report of the Thematic Workshop on Human Rights as Enabling Condition in the Post-2020 Global Biodiversity Framework</w:t>
            </w:r>
          </w:p>
        </w:tc>
        <w:tc>
          <w:tcPr>
            <w:tcW w:w="1095" w:type="dxa"/>
          </w:tcPr>
          <w:p w:rsidR="00FE08F8" w:rsidRPr="00A13E8E" w:rsidRDefault="00FE08F8" w:rsidP="00A45134">
            <w:pPr>
              <w:jc w:val="center"/>
            </w:pPr>
            <w:r w:rsidRPr="00A13E8E">
              <w:t>5</w:t>
            </w:r>
          </w:p>
        </w:tc>
      </w:tr>
      <w:tr w:rsidR="00FE08F8" w:rsidRPr="00272DCD" w:rsidTr="0081155D">
        <w:trPr>
          <w:trHeight w:val="347"/>
          <w:jc w:val="center"/>
        </w:trPr>
        <w:tc>
          <w:tcPr>
            <w:tcW w:w="2995" w:type="dxa"/>
            <w:noWrap/>
          </w:tcPr>
          <w:p w:rsidR="00FE08F8" w:rsidRPr="00A13E8E" w:rsidRDefault="00FE08F8" w:rsidP="00241B19">
            <w:r w:rsidRPr="00A13E8E">
              <w:t>CBD/SBI/3/INF/23</w:t>
            </w:r>
          </w:p>
        </w:tc>
        <w:tc>
          <w:tcPr>
            <w:tcW w:w="5557" w:type="dxa"/>
          </w:tcPr>
          <w:p w:rsidR="00FE08F8" w:rsidRPr="00A13E8E" w:rsidRDefault="00FE08F8" w:rsidP="00241B19">
            <w:r w:rsidRPr="00A13E8E">
              <w:t>The financial mechanism: submissions received from biodiversity-related conventions pursuant to paragraph 9 of decision XIII/21</w:t>
            </w:r>
          </w:p>
        </w:tc>
        <w:tc>
          <w:tcPr>
            <w:tcW w:w="1095" w:type="dxa"/>
          </w:tcPr>
          <w:p w:rsidR="00FE08F8" w:rsidRPr="00A13E8E" w:rsidRDefault="00FE08F8" w:rsidP="00A45134">
            <w:pPr>
              <w:jc w:val="center"/>
            </w:pPr>
            <w:r w:rsidRPr="00A13E8E">
              <w:t>6</w:t>
            </w:r>
          </w:p>
        </w:tc>
      </w:tr>
      <w:tr w:rsidR="00FE08F8" w:rsidRPr="00272DCD" w:rsidTr="0081155D">
        <w:trPr>
          <w:trHeight w:val="347"/>
          <w:jc w:val="center"/>
        </w:trPr>
        <w:tc>
          <w:tcPr>
            <w:tcW w:w="2995" w:type="dxa"/>
            <w:noWrap/>
          </w:tcPr>
          <w:p w:rsidR="00FE08F8" w:rsidRPr="00A13E8E" w:rsidRDefault="00FE08F8" w:rsidP="00241B19">
            <w:r w:rsidRPr="00A13E8E">
              <w:t>CBD/SBI/3/INF/24</w:t>
            </w:r>
          </w:p>
        </w:tc>
        <w:tc>
          <w:tcPr>
            <w:tcW w:w="5557" w:type="dxa"/>
          </w:tcPr>
          <w:p w:rsidR="00FE08F8" w:rsidRPr="00A13E8E" w:rsidRDefault="00FE08F8" w:rsidP="00241B19">
            <w:r w:rsidRPr="00A13E8E">
              <w:t>Interim report on the full assessment of funding necessary and available for the implementation of the Convention for the eighth replenishment period of the Global Environment Facility (July 2022 to June 2026)</w:t>
            </w:r>
          </w:p>
        </w:tc>
        <w:tc>
          <w:tcPr>
            <w:tcW w:w="1095" w:type="dxa"/>
          </w:tcPr>
          <w:p w:rsidR="00FE08F8" w:rsidRPr="00A13E8E" w:rsidRDefault="00FE08F8" w:rsidP="00A45134">
            <w:pPr>
              <w:jc w:val="center"/>
            </w:pPr>
            <w:r w:rsidRPr="00A13E8E">
              <w:t>6</w:t>
            </w:r>
          </w:p>
        </w:tc>
      </w:tr>
      <w:tr w:rsidR="00FE08F8" w:rsidRPr="00272DCD" w:rsidTr="0081155D">
        <w:trPr>
          <w:trHeight w:val="347"/>
          <w:jc w:val="center"/>
        </w:trPr>
        <w:tc>
          <w:tcPr>
            <w:tcW w:w="2995" w:type="dxa"/>
            <w:noWrap/>
          </w:tcPr>
          <w:p w:rsidR="00FE08F8" w:rsidRPr="00A13E8E" w:rsidRDefault="00FE08F8" w:rsidP="00241B19">
            <w:r w:rsidRPr="00A13E8E">
              <w:t>CBD/SBI/3/INF/25</w:t>
            </w:r>
          </w:p>
        </w:tc>
        <w:tc>
          <w:tcPr>
            <w:tcW w:w="5557" w:type="dxa"/>
          </w:tcPr>
          <w:p w:rsidR="00FE08F8" w:rsidRPr="00A13E8E" w:rsidRDefault="00FE08F8" w:rsidP="00241B19">
            <w:r w:rsidRPr="00A13E8E">
              <w:t>The Edinburgh Process for Subnational and Local Governments on the Development of the Post-2020 Global Biodiversity Framework: Edinburgh Declaration</w:t>
            </w:r>
          </w:p>
        </w:tc>
        <w:tc>
          <w:tcPr>
            <w:tcW w:w="1095" w:type="dxa"/>
          </w:tcPr>
          <w:p w:rsidR="00FE08F8" w:rsidRPr="00A13E8E" w:rsidRDefault="00FE08F8" w:rsidP="00A45134">
            <w:pPr>
              <w:jc w:val="center"/>
            </w:pPr>
            <w:r w:rsidRPr="00A13E8E">
              <w:t>11</w:t>
            </w:r>
          </w:p>
        </w:tc>
      </w:tr>
      <w:tr w:rsidR="00FE08F8" w:rsidRPr="00272DCD" w:rsidTr="0081155D">
        <w:trPr>
          <w:trHeight w:val="347"/>
          <w:jc w:val="center"/>
        </w:trPr>
        <w:tc>
          <w:tcPr>
            <w:tcW w:w="2995" w:type="dxa"/>
            <w:noWrap/>
          </w:tcPr>
          <w:p w:rsidR="00FE08F8" w:rsidRPr="00A13E8E" w:rsidRDefault="00FE08F8" w:rsidP="00241B19">
            <w:r w:rsidRPr="00A13E8E">
              <w:t>CBD/SBI/3/INF/26</w:t>
            </w:r>
          </w:p>
        </w:tc>
        <w:tc>
          <w:tcPr>
            <w:tcW w:w="5557" w:type="dxa"/>
          </w:tcPr>
          <w:p w:rsidR="00FE08F8" w:rsidRPr="00A13E8E" w:rsidRDefault="00FE08F8" w:rsidP="00241B19">
            <w:r w:rsidRPr="00A13E8E">
              <w:t>The Edinburgh Process for Subnational and Local Governments on the Development of the Post-2020 Global Biodiversity Framework: Plan of Action Consultation Responses</w:t>
            </w:r>
          </w:p>
        </w:tc>
        <w:tc>
          <w:tcPr>
            <w:tcW w:w="1095" w:type="dxa"/>
          </w:tcPr>
          <w:p w:rsidR="00FE08F8" w:rsidRPr="00A13E8E" w:rsidRDefault="00FE08F8" w:rsidP="00A45134">
            <w:pPr>
              <w:jc w:val="center"/>
            </w:pPr>
            <w:r w:rsidRPr="00A13E8E">
              <w:t>11</w:t>
            </w:r>
          </w:p>
        </w:tc>
      </w:tr>
      <w:tr w:rsidR="00FE08F8" w:rsidRPr="00272DCD" w:rsidTr="0081155D">
        <w:trPr>
          <w:trHeight w:val="347"/>
          <w:jc w:val="center"/>
        </w:trPr>
        <w:tc>
          <w:tcPr>
            <w:tcW w:w="2995" w:type="dxa"/>
            <w:noWrap/>
          </w:tcPr>
          <w:p w:rsidR="00FE08F8" w:rsidRPr="00A13E8E" w:rsidRDefault="00FE08F8" w:rsidP="00241B19">
            <w:r w:rsidRPr="00A13E8E">
              <w:t>CBD/SBI/3/INF/27</w:t>
            </w:r>
          </w:p>
        </w:tc>
        <w:tc>
          <w:tcPr>
            <w:tcW w:w="5557" w:type="dxa"/>
          </w:tcPr>
          <w:p w:rsidR="00FE08F8" w:rsidRPr="00A13E8E" w:rsidRDefault="00FE08F8" w:rsidP="00241B19">
            <w:r w:rsidRPr="00A13E8E">
              <w:t>Status of corporate biodiversity measurement, reporting and disclosure within the current and future global policy context</w:t>
            </w:r>
          </w:p>
        </w:tc>
        <w:tc>
          <w:tcPr>
            <w:tcW w:w="1095" w:type="dxa"/>
          </w:tcPr>
          <w:p w:rsidR="00FE08F8" w:rsidRPr="00A13E8E" w:rsidRDefault="00FE08F8" w:rsidP="00A45134">
            <w:pPr>
              <w:jc w:val="center"/>
            </w:pPr>
            <w:r w:rsidRPr="00A13E8E">
              <w:t>11</w:t>
            </w:r>
          </w:p>
        </w:tc>
      </w:tr>
      <w:tr w:rsidR="00FE08F8" w:rsidRPr="00272DCD" w:rsidTr="0081155D">
        <w:trPr>
          <w:trHeight w:val="347"/>
          <w:jc w:val="center"/>
        </w:trPr>
        <w:tc>
          <w:tcPr>
            <w:tcW w:w="2995" w:type="dxa"/>
            <w:noWrap/>
          </w:tcPr>
          <w:p w:rsidR="00FE08F8" w:rsidRPr="00A13E8E" w:rsidRDefault="00FE08F8" w:rsidP="00241B19">
            <w:r w:rsidRPr="00A13E8E">
              <w:t>CBD/SBI/3/INF/28</w:t>
            </w:r>
          </w:p>
        </w:tc>
        <w:tc>
          <w:tcPr>
            <w:tcW w:w="5557" w:type="dxa"/>
          </w:tcPr>
          <w:p w:rsidR="00FE08F8" w:rsidRPr="00A13E8E" w:rsidRDefault="00FE08F8" w:rsidP="00241B19">
            <w:r w:rsidRPr="00A13E8E">
              <w:t>The Global Taxonomy Initiative in Support of the Post-2020 Global Biodiversity Framework</w:t>
            </w:r>
          </w:p>
        </w:tc>
        <w:tc>
          <w:tcPr>
            <w:tcW w:w="1095" w:type="dxa"/>
          </w:tcPr>
          <w:p w:rsidR="00FE08F8" w:rsidRPr="00A13E8E" w:rsidRDefault="00FE08F8" w:rsidP="00A45134">
            <w:pPr>
              <w:jc w:val="center"/>
            </w:pPr>
            <w:r w:rsidRPr="00A13E8E">
              <w:t>5 and 7</w:t>
            </w:r>
          </w:p>
        </w:tc>
      </w:tr>
      <w:tr w:rsidR="00FE08F8" w:rsidRPr="00272DCD" w:rsidTr="0081155D">
        <w:trPr>
          <w:trHeight w:val="347"/>
          <w:jc w:val="center"/>
        </w:trPr>
        <w:tc>
          <w:tcPr>
            <w:tcW w:w="2995" w:type="dxa"/>
            <w:noWrap/>
          </w:tcPr>
          <w:p w:rsidR="00FE08F8" w:rsidRPr="00A13E8E" w:rsidRDefault="00FE08F8" w:rsidP="00241B19">
            <w:r w:rsidRPr="00A13E8E">
              <w:t>CBD/SBI/3/INF/29</w:t>
            </w:r>
          </w:p>
        </w:tc>
        <w:tc>
          <w:tcPr>
            <w:tcW w:w="5557" w:type="dxa"/>
          </w:tcPr>
          <w:p w:rsidR="00FE08F8" w:rsidRPr="00A13E8E" w:rsidRDefault="00FE08F8" w:rsidP="00241B19">
            <w:r w:rsidRPr="00A13E8E">
              <w:t>Report of the Second Consultation Workshop of Biodiversity-related Conventions on the Post-2020 Global Biodiversity Framework (Bern II)</w:t>
            </w:r>
          </w:p>
        </w:tc>
        <w:tc>
          <w:tcPr>
            <w:tcW w:w="1095" w:type="dxa"/>
          </w:tcPr>
          <w:p w:rsidR="00FE08F8" w:rsidRPr="00A13E8E" w:rsidRDefault="00FE08F8" w:rsidP="00A45134">
            <w:pPr>
              <w:jc w:val="center"/>
            </w:pPr>
            <w:r w:rsidRPr="00A13E8E">
              <w:t>5, 6, 7, 8, 9 and 11</w:t>
            </w:r>
          </w:p>
        </w:tc>
      </w:tr>
      <w:tr w:rsidR="00FE08F8" w:rsidRPr="00272DCD" w:rsidTr="0081155D">
        <w:trPr>
          <w:trHeight w:val="347"/>
          <w:jc w:val="center"/>
        </w:trPr>
        <w:tc>
          <w:tcPr>
            <w:tcW w:w="2995" w:type="dxa"/>
            <w:noWrap/>
          </w:tcPr>
          <w:p w:rsidR="00FE08F8" w:rsidRPr="00A13E8E" w:rsidRDefault="00FE08F8" w:rsidP="00241B19">
            <w:r w:rsidRPr="00A13E8E">
              <w:t>CBD/SBI/3/INF/30</w:t>
            </w:r>
          </w:p>
        </w:tc>
        <w:tc>
          <w:tcPr>
            <w:tcW w:w="5557" w:type="dxa"/>
          </w:tcPr>
          <w:p w:rsidR="00FE08F8" w:rsidRPr="00A13E8E" w:rsidRDefault="00FE08F8" w:rsidP="00241B19">
            <w:r w:rsidRPr="00A13E8E">
              <w:t>Lessons from the United Nations Development Programme, the United Nations Environment Programme and United Nations Environment Programme World Conservation Monitoring Centre in supporting the implementation of the Strategic Plan for Biodiversity 2011-2020 and suggestions for the post-2020 global biodiversity framework</w:t>
            </w:r>
          </w:p>
        </w:tc>
        <w:tc>
          <w:tcPr>
            <w:tcW w:w="1095" w:type="dxa"/>
          </w:tcPr>
          <w:p w:rsidR="00FE08F8" w:rsidRPr="00A13E8E" w:rsidRDefault="00FE08F8" w:rsidP="00A45134">
            <w:pPr>
              <w:jc w:val="center"/>
            </w:pPr>
            <w:r w:rsidRPr="00A13E8E">
              <w:t>3 and 5</w:t>
            </w:r>
          </w:p>
        </w:tc>
      </w:tr>
      <w:tr w:rsidR="00FE08F8" w:rsidRPr="00272DCD" w:rsidTr="0081155D">
        <w:trPr>
          <w:trHeight w:val="347"/>
          <w:jc w:val="center"/>
        </w:trPr>
        <w:tc>
          <w:tcPr>
            <w:tcW w:w="2995" w:type="dxa"/>
            <w:noWrap/>
          </w:tcPr>
          <w:p w:rsidR="00FE08F8" w:rsidRPr="00A13E8E" w:rsidRDefault="00FE08F8" w:rsidP="00241B19">
            <w:r w:rsidRPr="00A13E8E">
              <w:t>CBD/SBI/3/INF/31</w:t>
            </w:r>
          </w:p>
        </w:tc>
        <w:tc>
          <w:tcPr>
            <w:tcW w:w="5557" w:type="dxa"/>
          </w:tcPr>
          <w:p w:rsidR="00FE08F8" w:rsidRPr="00A13E8E" w:rsidRDefault="00FE08F8" w:rsidP="00241B19">
            <w:r w:rsidRPr="00A13E8E">
              <w:t>Report of activities concerning cooperation with other conventions, international organizations and initiatives</w:t>
            </w:r>
          </w:p>
        </w:tc>
        <w:tc>
          <w:tcPr>
            <w:tcW w:w="1095" w:type="dxa"/>
          </w:tcPr>
          <w:p w:rsidR="00FE08F8" w:rsidRPr="00A13E8E" w:rsidRDefault="00FE08F8" w:rsidP="00A45134">
            <w:pPr>
              <w:jc w:val="center"/>
            </w:pPr>
            <w:r w:rsidRPr="00A13E8E">
              <w:t>8</w:t>
            </w:r>
          </w:p>
        </w:tc>
      </w:tr>
      <w:tr w:rsidR="00FE08F8" w:rsidRPr="00272DCD" w:rsidTr="0081155D">
        <w:trPr>
          <w:trHeight w:val="347"/>
          <w:jc w:val="center"/>
        </w:trPr>
        <w:tc>
          <w:tcPr>
            <w:tcW w:w="2995" w:type="dxa"/>
            <w:noWrap/>
          </w:tcPr>
          <w:p w:rsidR="00FE08F8" w:rsidRPr="00A13E8E" w:rsidRDefault="00FE08F8" w:rsidP="00241B19">
            <w:r w:rsidRPr="00A13E8E">
              <w:t>CBD/SBI/3/INF/32</w:t>
            </w:r>
          </w:p>
        </w:tc>
        <w:tc>
          <w:tcPr>
            <w:tcW w:w="5557" w:type="dxa"/>
          </w:tcPr>
          <w:p w:rsidR="00FE08F8" w:rsidRPr="00A13E8E" w:rsidRDefault="00FE08F8" w:rsidP="00241B19">
            <w:r w:rsidRPr="00A13E8E">
              <w:t xml:space="preserve">Progress in implementing actions to enhance synergies </w:t>
            </w:r>
            <w:r w:rsidRPr="00A13E8E">
              <w:lastRenderedPageBreak/>
              <w:t>among biodiversity-related conventions at the international level</w:t>
            </w:r>
          </w:p>
        </w:tc>
        <w:tc>
          <w:tcPr>
            <w:tcW w:w="1095" w:type="dxa"/>
          </w:tcPr>
          <w:p w:rsidR="00FE08F8" w:rsidRPr="00A13E8E" w:rsidRDefault="00FE08F8" w:rsidP="00A45134">
            <w:pPr>
              <w:jc w:val="center"/>
            </w:pPr>
            <w:r w:rsidRPr="00A13E8E">
              <w:lastRenderedPageBreak/>
              <w:t>8</w:t>
            </w:r>
          </w:p>
        </w:tc>
      </w:tr>
      <w:tr w:rsidR="00FE08F8" w:rsidRPr="00272DCD" w:rsidTr="0081155D">
        <w:trPr>
          <w:trHeight w:val="347"/>
          <w:jc w:val="center"/>
        </w:trPr>
        <w:tc>
          <w:tcPr>
            <w:tcW w:w="2995" w:type="dxa"/>
            <w:noWrap/>
          </w:tcPr>
          <w:p w:rsidR="00FE08F8" w:rsidRPr="00A13E8E" w:rsidRDefault="00FE08F8" w:rsidP="00241B19">
            <w:r w:rsidRPr="00A13E8E">
              <w:t>CBD/SBI/3/INF/33</w:t>
            </w:r>
          </w:p>
        </w:tc>
        <w:tc>
          <w:tcPr>
            <w:tcW w:w="5557" w:type="dxa"/>
          </w:tcPr>
          <w:p w:rsidR="00FE08F8" w:rsidRPr="00A13E8E" w:rsidRDefault="00FE08F8" w:rsidP="00241B19">
            <w:r w:rsidRPr="00A13E8E">
              <w:t>Review of the Fifth Joint Work Plan Between the Convention on Biological Diversity and the Ramsar Convention on Wetlands (2011-2020)</w:t>
            </w:r>
          </w:p>
        </w:tc>
        <w:tc>
          <w:tcPr>
            <w:tcW w:w="1095" w:type="dxa"/>
          </w:tcPr>
          <w:p w:rsidR="00FE08F8" w:rsidRPr="00A13E8E" w:rsidRDefault="00FE08F8" w:rsidP="00A45134">
            <w:pPr>
              <w:jc w:val="center"/>
            </w:pPr>
            <w:r w:rsidRPr="00A13E8E">
              <w:t>8</w:t>
            </w:r>
          </w:p>
        </w:tc>
      </w:tr>
      <w:tr w:rsidR="00FE08F8" w:rsidRPr="00272DCD" w:rsidTr="0081155D">
        <w:trPr>
          <w:trHeight w:val="347"/>
          <w:jc w:val="center"/>
        </w:trPr>
        <w:tc>
          <w:tcPr>
            <w:tcW w:w="2995" w:type="dxa"/>
            <w:noWrap/>
          </w:tcPr>
          <w:p w:rsidR="00FE08F8" w:rsidRPr="00A13E8E" w:rsidRDefault="00FE08F8" w:rsidP="00241B19">
            <w:r w:rsidRPr="00A13E8E">
              <w:t>CBD/SBI/3/INF/34</w:t>
            </w:r>
          </w:p>
        </w:tc>
        <w:tc>
          <w:tcPr>
            <w:tcW w:w="5557" w:type="dxa"/>
          </w:tcPr>
          <w:p w:rsidR="00FE08F8" w:rsidRPr="00A13E8E" w:rsidRDefault="00FE08F8" w:rsidP="00241B19">
            <w:r w:rsidRPr="00A13E8E">
              <w:t>Report on progress and achievements under the Collaborative Initiative for Tropical Forest Biodiversity</w:t>
            </w:r>
          </w:p>
        </w:tc>
        <w:tc>
          <w:tcPr>
            <w:tcW w:w="1095" w:type="dxa"/>
          </w:tcPr>
          <w:p w:rsidR="00FE08F8" w:rsidRPr="00A13E8E" w:rsidRDefault="00FE08F8" w:rsidP="00A45134">
            <w:pPr>
              <w:jc w:val="center"/>
            </w:pPr>
            <w:r w:rsidRPr="00A13E8E">
              <w:t>8</w:t>
            </w:r>
          </w:p>
        </w:tc>
      </w:tr>
      <w:tr w:rsidR="00FE08F8" w:rsidRPr="00272DCD" w:rsidTr="0081155D">
        <w:trPr>
          <w:trHeight w:val="347"/>
          <w:jc w:val="center"/>
        </w:trPr>
        <w:tc>
          <w:tcPr>
            <w:tcW w:w="2995" w:type="dxa"/>
            <w:noWrap/>
          </w:tcPr>
          <w:p w:rsidR="00FE08F8" w:rsidRPr="00A13E8E" w:rsidRDefault="00FE08F8" w:rsidP="00241B19">
            <w:r w:rsidRPr="00A13E8E">
              <w:t>CBD/SBI/3/INF/35</w:t>
            </w:r>
          </w:p>
        </w:tc>
        <w:tc>
          <w:tcPr>
            <w:tcW w:w="5557" w:type="dxa"/>
          </w:tcPr>
          <w:p w:rsidR="00FE08F8" w:rsidRPr="00A13E8E" w:rsidRDefault="00FE08F8" w:rsidP="00241B19">
            <w:r w:rsidRPr="00A13E8E">
              <w:t>Collaborative Partnership on Forests (CPF) Work Plan 2021-2024</w:t>
            </w:r>
          </w:p>
        </w:tc>
        <w:tc>
          <w:tcPr>
            <w:tcW w:w="1095" w:type="dxa"/>
          </w:tcPr>
          <w:p w:rsidR="00FE08F8" w:rsidRPr="00A13E8E" w:rsidRDefault="00FE08F8" w:rsidP="00A45134">
            <w:pPr>
              <w:jc w:val="center"/>
            </w:pPr>
            <w:r w:rsidRPr="00A13E8E">
              <w:t>8</w:t>
            </w:r>
          </w:p>
        </w:tc>
      </w:tr>
      <w:tr w:rsidR="00FE08F8" w:rsidRPr="00272DCD" w:rsidTr="0081155D">
        <w:trPr>
          <w:trHeight w:val="347"/>
          <w:jc w:val="center"/>
        </w:trPr>
        <w:tc>
          <w:tcPr>
            <w:tcW w:w="2995" w:type="dxa"/>
            <w:noWrap/>
          </w:tcPr>
          <w:p w:rsidR="00FE08F8" w:rsidRPr="00A13E8E" w:rsidRDefault="00FE08F8" w:rsidP="00241B19">
            <w:r w:rsidRPr="00A13E8E">
              <w:t>CBD/SBI/3/INF/36</w:t>
            </w:r>
          </w:p>
        </w:tc>
        <w:tc>
          <w:tcPr>
            <w:tcW w:w="5557" w:type="dxa"/>
          </w:tcPr>
          <w:p w:rsidR="00FE08F8" w:rsidRPr="00A13E8E" w:rsidRDefault="00FE08F8" w:rsidP="00241B19">
            <w:r w:rsidRPr="00A13E8E">
              <w:t>A review of definitions, data, and methods for country-level assessment and reporting of primary forest - a discussion paper for the Food and Agriculture Organization of the United Nations</w:t>
            </w:r>
          </w:p>
        </w:tc>
        <w:tc>
          <w:tcPr>
            <w:tcW w:w="1095" w:type="dxa"/>
          </w:tcPr>
          <w:p w:rsidR="00FE08F8" w:rsidRPr="00A13E8E" w:rsidRDefault="00FE08F8" w:rsidP="00A45134">
            <w:pPr>
              <w:jc w:val="center"/>
            </w:pPr>
            <w:r w:rsidRPr="00A13E8E">
              <w:t>8</w:t>
            </w:r>
          </w:p>
        </w:tc>
      </w:tr>
      <w:tr w:rsidR="00FE08F8" w:rsidRPr="00272DCD" w:rsidTr="0081155D">
        <w:trPr>
          <w:trHeight w:val="347"/>
          <w:jc w:val="center"/>
        </w:trPr>
        <w:tc>
          <w:tcPr>
            <w:tcW w:w="2995" w:type="dxa"/>
            <w:noWrap/>
          </w:tcPr>
          <w:p w:rsidR="00FE08F8" w:rsidRPr="00A13E8E" w:rsidRDefault="00FE08F8" w:rsidP="00241B19">
            <w:r w:rsidRPr="00A13E8E">
              <w:t>CBD/SBI/3/INF/37</w:t>
            </w:r>
          </w:p>
        </w:tc>
        <w:tc>
          <w:tcPr>
            <w:tcW w:w="5557" w:type="dxa"/>
          </w:tcPr>
          <w:p w:rsidR="00FE08F8" w:rsidRPr="00A13E8E" w:rsidRDefault="00FE08F8" w:rsidP="00241B19">
            <w:r w:rsidRPr="00A13E8E">
              <w:t>How to enhance planning, reporting, and review mechanisms to strengthen implementation of the post-2020 global biodiversity framework and the Convention on Biological Diversity</w:t>
            </w:r>
          </w:p>
        </w:tc>
        <w:tc>
          <w:tcPr>
            <w:tcW w:w="1095" w:type="dxa"/>
          </w:tcPr>
          <w:p w:rsidR="00FE08F8" w:rsidRPr="00A13E8E" w:rsidRDefault="00FE08F8" w:rsidP="00A45134">
            <w:pPr>
              <w:jc w:val="center"/>
            </w:pPr>
            <w:r w:rsidRPr="00A13E8E">
              <w:t>9</w:t>
            </w:r>
          </w:p>
        </w:tc>
      </w:tr>
      <w:tr w:rsidR="00FE08F8" w:rsidRPr="00272DCD" w:rsidTr="0081155D">
        <w:trPr>
          <w:trHeight w:val="347"/>
          <w:jc w:val="center"/>
        </w:trPr>
        <w:tc>
          <w:tcPr>
            <w:tcW w:w="2995" w:type="dxa"/>
            <w:noWrap/>
          </w:tcPr>
          <w:p w:rsidR="00FE08F8" w:rsidRPr="00A13E8E" w:rsidRDefault="00FE08F8" w:rsidP="00241B19">
            <w:r w:rsidRPr="00A13E8E">
              <w:t>CBD/SBI/3/INF/38</w:t>
            </w:r>
          </w:p>
        </w:tc>
        <w:tc>
          <w:tcPr>
            <w:tcW w:w="5557" w:type="dxa"/>
          </w:tcPr>
          <w:p w:rsidR="00FE08F8" w:rsidRPr="00A13E8E" w:rsidRDefault="00FE08F8" w:rsidP="00241B19">
            <w:r w:rsidRPr="00A13E8E">
              <w:t>Supporting the global biodiversity agenda: a United Nations system commitment for action to assist member states delivering on the post-2020 global biodiversity framework</w:t>
            </w:r>
          </w:p>
        </w:tc>
        <w:tc>
          <w:tcPr>
            <w:tcW w:w="1095" w:type="dxa"/>
          </w:tcPr>
          <w:p w:rsidR="00FE08F8" w:rsidRPr="00A13E8E" w:rsidRDefault="00FE08F8" w:rsidP="00A45134">
            <w:pPr>
              <w:jc w:val="center"/>
            </w:pPr>
            <w:r w:rsidRPr="00A13E8E">
              <w:t>7 and 8</w:t>
            </w:r>
          </w:p>
        </w:tc>
      </w:tr>
      <w:tr w:rsidR="00FE08F8" w:rsidRPr="00272DCD" w:rsidTr="0081155D">
        <w:trPr>
          <w:trHeight w:val="347"/>
          <w:jc w:val="center"/>
        </w:trPr>
        <w:tc>
          <w:tcPr>
            <w:tcW w:w="2995" w:type="dxa"/>
            <w:noWrap/>
          </w:tcPr>
          <w:p w:rsidR="00FE08F8" w:rsidRPr="00A13E8E" w:rsidRDefault="00FE08F8" w:rsidP="00241B19">
            <w:r w:rsidRPr="00A13E8E">
              <w:t>CBD/SBI/3/INF/39</w:t>
            </w:r>
          </w:p>
        </w:tc>
        <w:tc>
          <w:tcPr>
            <w:tcW w:w="5557" w:type="dxa"/>
          </w:tcPr>
          <w:p w:rsidR="00FE08F8" w:rsidRPr="00A13E8E" w:rsidRDefault="00FE08F8" w:rsidP="00241B19">
            <w:r w:rsidRPr="00A13E8E">
              <w:t>A common approach to integrating biodiversity and nature-based solutions for sustainable development into United Nations policy and programme planning and delivery</w:t>
            </w:r>
          </w:p>
        </w:tc>
        <w:tc>
          <w:tcPr>
            <w:tcW w:w="1095" w:type="dxa"/>
          </w:tcPr>
          <w:p w:rsidR="00FE08F8" w:rsidRPr="00A13E8E" w:rsidRDefault="00FE08F8" w:rsidP="00A45134">
            <w:pPr>
              <w:jc w:val="center"/>
            </w:pPr>
            <w:r w:rsidRPr="00A13E8E">
              <w:t>7 and 8</w:t>
            </w:r>
          </w:p>
        </w:tc>
      </w:tr>
      <w:tr w:rsidR="00FE08F8" w:rsidRPr="00272DCD" w:rsidTr="0081155D">
        <w:trPr>
          <w:trHeight w:val="347"/>
          <w:jc w:val="center"/>
        </w:trPr>
        <w:tc>
          <w:tcPr>
            <w:tcW w:w="2995" w:type="dxa"/>
            <w:noWrap/>
          </w:tcPr>
          <w:p w:rsidR="00FE08F8" w:rsidRPr="00A13E8E" w:rsidRDefault="00FE08F8" w:rsidP="00241B19">
            <w:r w:rsidRPr="00A13E8E">
              <w:t>CBD/SBI/3/INF/40</w:t>
            </w:r>
          </w:p>
        </w:tc>
        <w:tc>
          <w:tcPr>
            <w:tcW w:w="5557" w:type="dxa"/>
          </w:tcPr>
          <w:p w:rsidR="00FE08F8" w:rsidRPr="00A13E8E" w:rsidRDefault="00FE08F8" w:rsidP="00241B19">
            <w:r w:rsidRPr="00A13E8E">
              <w:t>Voluntary peer review (VPR) of the revision and implementation of the National Biodiversity Strategy and Action Plan 2015-2025 (NBSAPII) of Uganda</w:t>
            </w:r>
          </w:p>
        </w:tc>
        <w:tc>
          <w:tcPr>
            <w:tcW w:w="1095" w:type="dxa"/>
          </w:tcPr>
          <w:p w:rsidR="00FE08F8" w:rsidRPr="00A13E8E" w:rsidRDefault="00FE08F8" w:rsidP="00A45134">
            <w:pPr>
              <w:jc w:val="center"/>
            </w:pPr>
            <w:r w:rsidRPr="00A13E8E">
              <w:t>9</w:t>
            </w:r>
          </w:p>
        </w:tc>
      </w:tr>
      <w:tr w:rsidR="00FE08F8" w:rsidRPr="00272DCD" w:rsidTr="0081155D">
        <w:trPr>
          <w:trHeight w:val="347"/>
          <w:jc w:val="center"/>
        </w:trPr>
        <w:tc>
          <w:tcPr>
            <w:tcW w:w="2995" w:type="dxa"/>
            <w:noWrap/>
          </w:tcPr>
          <w:p w:rsidR="00FE08F8" w:rsidRPr="00A13E8E" w:rsidRDefault="00FE08F8" w:rsidP="00241B19">
            <w:r w:rsidRPr="00A13E8E">
              <w:t>CBD/SBI/3/INF/41</w:t>
            </w:r>
          </w:p>
        </w:tc>
        <w:tc>
          <w:tcPr>
            <w:tcW w:w="5557" w:type="dxa"/>
          </w:tcPr>
          <w:p w:rsidR="00FE08F8" w:rsidRPr="00A13E8E" w:rsidRDefault="00FE08F8" w:rsidP="00241B19">
            <w:r w:rsidRPr="00A13E8E">
              <w:t>Draft post-2020 gender plan of action – highlighting linkages with the post-2020 global biodiversity framework</w:t>
            </w:r>
          </w:p>
        </w:tc>
        <w:tc>
          <w:tcPr>
            <w:tcW w:w="1095" w:type="dxa"/>
          </w:tcPr>
          <w:p w:rsidR="00FE08F8" w:rsidRPr="00A13E8E" w:rsidRDefault="00FE08F8" w:rsidP="00A45134">
            <w:pPr>
              <w:jc w:val="center"/>
            </w:pPr>
            <w:r w:rsidRPr="00A13E8E">
              <w:t>5</w:t>
            </w:r>
          </w:p>
        </w:tc>
      </w:tr>
      <w:tr w:rsidR="00FE08F8" w:rsidRPr="00272DCD" w:rsidTr="0081155D">
        <w:trPr>
          <w:trHeight w:val="347"/>
          <w:jc w:val="center"/>
        </w:trPr>
        <w:tc>
          <w:tcPr>
            <w:tcW w:w="2995" w:type="dxa"/>
            <w:noWrap/>
          </w:tcPr>
          <w:p w:rsidR="00FE08F8" w:rsidRPr="00A13E8E" w:rsidRDefault="00FE08F8" w:rsidP="00241B19">
            <w:r w:rsidRPr="00A13E8E">
              <w:t>CBD/SBI/3/INF/42</w:t>
            </w:r>
          </w:p>
        </w:tc>
        <w:tc>
          <w:tcPr>
            <w:tcW w:w="5557" w:type="dxa"/>
          </w:tcPr>
          <w:p w:rsidR="00FE08F8" w:rsidRPr="00A13E8E" w:rsidRDefault="00FE08F8" w:rsidP="00241B19">
            <w:r w:rsidRPr="00A13E8E">
              <w:t>Developing and measuring a gender-responsive post-2020 biodiversity framework: information on gender considerations within the draft post-2020 monitoring framework</w:t>
            </w:r>
          </w:p>
        </w:tc>
        <w:tc>
          <w:tcPr>
            <w:tcW w:w="1095" w:type="dxa"/>
          </w:tcPr>
          <w:p w:rsidR="00FE08F8" w:rsidRPr="00A13E8E" w:rsidRDefault="00FE08F8" w:rsidP="00A45134">
            <w:pPr>
              <w:jc w:val="center"/>
            </w:pPr>
            <w:r w:rsidRPr="00A13E8E">
              <w:t>5</w:t>
            </w:r>
          </w:p>
        </w:tc>
      </w:tr>
      <w:tr w:rsidR="00FE08F8" w:rsidRPr="00272DCD" w:rsidTr="0081155D">
        <w:trPr>
          <w:trHeight w:val="347"/>
          <w:jc w:val="center"/>
        </w:trPr>
        <w:tc>
          <w:tcPr>
            <w:tcW w:w="2995" w:type="dxa"/>
            <w:noWrap/>
          </w:tcPr>
          <w:p w:rsidR="00FE08F8" w:rsidRPr="00A13E8E" w:rsidRDefault="00FE08F8" w:rsidP="00241B19">
            <w:r w:rsidRPr="00A13E8E">
              <w:t>CBD/SBI/3/INF/43</w:t>
            </w:r>
          </w:p>
        </w:tc>
        <w:tc>
          <w:tcPr>
            <w:tcW w:w="5557" w:type="dxa"/>
          </w:tcPr>
          <w:p w:rsidR="00FE08F8" w:rsidRPr="00A13E8E" w:rsidRDefault="00FE08F8" w:rsidP="00241B19">
            <w:r w:rsidRPr="00A13E8E">
              <w:t>The financial mechanism: additional submissions received from biodiversity-related conventions pursuant to paragraph 9 of decision XIII/21</w:t>
            </w:r>
          </w:p>
        </w:tc>
        <w:tc>
          <w:tcPr>
            <w:tcW w:w="1095" w:type="dxa"/>
          </w:tcPr>
          <w:p w:rsidR="00FE08F8" w:rsidRPr="00A13E8E" w:rsidRDefault="00FE08F8" w:rsidP="00A45134">
            <w:pPr>
              <w:jc w:val="center"/>
            </w:pPr>
            <w:r w:rsidRPr="00A13E8E">
              <w:t>6</w:t>
            </w:r>
          </w:p>
        </w:tc>
      </w:tr>
      <w:tr w:rsidR="00FE08F8" w:rsidRPr="00272DCD" w:rsidTr="0081155D">
        <w:trPr>
          <w:trHeight w:val="347"/>
          <w:jc w:val="center"/>
        </w:trPr>
        <w:tc>
          <w:tcPr>
            <w:tcW w:w="2995" w:type="dxa"/>
            <w:noWrap/>
          </w:tcPr>
          <w:p w:rsidR="00FE08F8" w:rsidRPr="00A13E8E" w:rsidRDefault="00FE08F8" w:rsidP="00241B19">
            <w:r w:rsidRPr="00A13E8E">
              <w:t>CBD/SBI/3/INF/44</w:t>
            </w:r>
          </w:p>
        </w:tc>
        <w:tc>
          <w:tcPr>
            <w:tcW w:w="5557" w:type="dxa"/>
          </w:tcPr>
          <w:p w:rsidR="00FE08F8" w:rsidRPr="00A13E8E" w:rsidRDefault="00FE08F8" w:rsidP="00241B19">
            <w:r w:rsidRPr="00A13E8E">
              <w:t>Report of the full assessment of funds needed for the implementation of the Convention and its Protocols during the eighth replenishment period of the Global Environment Facility (July 2022 to June 2026)</w:t>
            </w:r>
          </w:p>
        </w:tc>
        <w:tc>
          <w:tcPr>
            <w:tcW w:w="1095" w:type="dxa"/>
          </w:tcPr>
          <w:p w:rsidR="00FE08F8" w:rsidRPr="00A13E8E" w:rsidRDefault="00FE08F8" w:rsidP="00A45134">
            <w:pPr>
              <w:jc w:val="center"/>
            </w:pPr>
            <w:r w:rsidRPr="00A13E8E">
              <w:t>6</w:t>
            </w:r>
          </w:p>
        </w:tc>
      </w:tr>
      <w:tr w:rsidR="00FE08F8" w:rsidRPr="00272DCD" w:rsidTr="0081155D">
        <w:trPr>
          <w:trHeight w:val="347"/>
          <w:jc w:val="center"/>
        </w:trPr>
        <w:tc>
          <w:tcPr>
            <w:tcW w:w="2995" w:type="dxa"/>
            <w:noWrap/>
          </w:tcPr>
          <w:p w:rsidR="00FE08F8" w:rsidRPr="00A13E8E" w:rsidRDefault="00FE08F8" w:rsidP="00241B19">
            <w:r w:rsidRPr="00A13E8E">
              <w:t>CBD/SBI/3/INF/45</w:t>
            </w:r>
          </w:p>
        </w:tc>
        <w:tc>
          <w:tcPr>
            <w:tcW w:w="5557" w:type="dxa"/>
          </w:tcPr>
          <w:p w:rsidR="00FE08F8" w:rsidRPr="00A13E8E" w:rsidRDefault="00FE08F8" w:rsidP="00241B19">
            <w:r w:rsidRPr="00A13E8E">
              <w:t>Aligning the COP guidance to the GEF with the post-2020 global biodiversity framework</w:t>
            </w:r>
          </w:p>
        </w:tc>
        <w:tc>
          <w:tcPr>
            <w:tcW w:w="1095" w:type="dxa"/>
          </w:tcPr>
          <w:p w:rsidR="00FE08F8" w:rsidRDefault="00FE08F8" w:rsidP="00A45134">
            <w:pPr>
              <w:jc w:val="center"/>
            </w:pPr>
            <w:r w:rsidRPr="00A13E8E">
              <w:t>6</w:t>
            </w:r>
          </w:p>
        </w:tc>
      </w:tr>
    </w:tbl>
    <w:p w:rsidR="00F700BA" w:rsidRPr="006C5C25" w:rsidRDefault="00386300" w:rsidP="00D31AEB">
      <w:pPr>
        <w:pStyle w:val="ListParagraph"/>
        <w:bidi/>
        <w:spacing w:after="120" w:line="216" w:lineRule="auto"/>
        <w:ind w:left="0"/>
        <w:contextualSpacing w:val="0"/>
        <w:jc w:val="center"/>
        <w:rPr>
          <w:rFonts w:cs="Simplified Arabic"/>
          <w:sz w:val="22"/>
          <w:rtl/>
          <w:lang w:bidi="ar-EG"/>
        </w:rPr>
      </w:pPr>
      <w:bookmarkStart w:id="0" w:name="_GoBack"/>
      <w:bookmarkEnd w:id="0"/>
      <w:r w:rsidRPr="006C5C25">
        <w:rPr>
          <w:rFonts w:cs="Simplified Arabic" w:hint="cs"/>
          <w:sz w:val="22"/>
          <w:rtl/>
          <w:lang w:bidi="ar-EG"/>
        </w:rPr>
        <w:t>__________</w:t>
      </w:r>
    </w:p>
    <w:sectPr w:rsidR="00F700BA" w:rsidRPr="006C5C25" w:rsidSect="00405BF3">
      <w:headerReference w:type="even" r:id="rId12"/>
      <w:headerReference w:type="default" r:id="rId13"/>
      <w:headerReference w:type="first" r:id="rId14"/>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24" w:rsidRDefault="00453B24" w:rsidP="00C005BD">
      <w:r>
        <w:separator/>
      </w:r>
    </w:p>
  </w:endnote>
  <w:endnote w:type="continuationSeparator" w:id="0">
    <w:p w:rsidR="00453B24" w:rsidRDefault="00453B24"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CG Times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24" w:rsidRDefault="00453B24" w:rsidP="00A319AA">
      <w:pPr>
        <w:bidi/>
      </w:pPr>
      <w:r>
        <w:separator/>
      </w:r>
    </w:p>
  </w:footnote>
  <w:footnote w:type="continuationSeparator" w:id="0">
    <w:p w:rsidR="00453B24" w:rsidRDefault="00453B24" w:rsidP="00C005BD">
      <w:r>
        <w:continuationSeparator/>
      </w:r>
    </w:p>
  </w:footnote>
  <w:footnote w:id="1">
    <w:p w:rsidR="0081155D" w:rsidRPr="00105960" w:rsidRDefault="0081155D" w:rsidP="00105960">
      <w:pPr>
        <w:pStyle w:val="FootnoteText"/>
        <w:bidi/>
        <w:rPr>
          <w:lang w:val="en-US"/>
        </w:rPr>
      </w:pPr>
      <w:r>
        <w:rPr>
          <w:rStyle w:val="FootnoteReference"/>
        </w:rPr>
        <w:t>*</w:t>
      </w:r>
      <w:r>
        <w:t xml:space="preserve"> </w:t>
      </w:r>
      <w:r w:rsidR="00B87926" w:rsidRPr="00B87926">
        <w:rPr>
          <w:rtl/>
        </w:rPr>
        <w:t>أُعيد إصداره في 7 فبراير</w:t>
      </w:r>
      <w:r w:rsidR="00B87926">
        <w:rPr>
          <w:rFonts w:hint="cs"/>
          <w:rtl/>
        </w:rPr>
        <w:t>/شباط</w:t>
      </w:r>
      <w:r w:rsidR="00B87926" w:rsidRPr="00B87926">
        <w:rPr>
          <w:rtl/>
        </w:rPr>
        <w:t xml:space="preserve"> 2022 لتحديث مواعيد الاجتماع وقائمة الوثائق.</w:t>
      </w:r>
    </w:p>
  </w:footnote>
  <w:footnote w:id="2">
    <w:p w:rsidR="0081155D" w:rsidRPr="001D2316" w:rsidRDefault="0081155D" w:rsidP="001D2316">
      <w:pPr>
        <w:pStyle w:val="FootnoteText"/>
        <w:bidi/>
        <w:rPr>
          <w:rtl/>
          <w:lang w:bidi="ar-EG"/>
        </w:rPr>
      </w:pPr>
      <w:r>
        <w:rPr>
          <w:rStyle w:val="FootnoteReference"/>
        </w:rPr>
        <w:footnoteRef/>
      </w:r>
      <w:r>
        <w:rPr>
          <w:rFonts w:hint="cs"/>
          <w:rtl/>
          <w:lang w:bidi="ar-EG"/>
        </w:rPr>
        <w:t xml:space="preserve"> </w:t>
      </w:r>
      <w:r w:rsidRPr="00307980">
        <w:rPr>
          <w:rFonts w:ascii="Simplified Arabic" w:hAnsi="Simplified Arabic" w:cs="Simplified Arabic"/>
          <w:rtl/>
          <w:lang w:bidi="ar-EG"/>
        </w:rPr>
        <w:t xml:space="preserve">انظر </w:t>
      </w:r>
      <w:r w:rsidRPr="001D2316">
        <w:rPr>
          <w:kern w:val="18"/>
          <w:sz w:val="18"/>
          <w:szCs w:val="18"/>
          <w:lang w:val="en-GB"/>
        </w:rPr>
        <w:t>CBD/SBI/3/20</w:t>
      </w:r>
      <w:r w:rsidRPr="00307980">
        <w:rPr>
          <w:rFonts w:ascii="Simplified Arabic" w:hAnsi="Simplified Arabic" w:cs="Simplified Arabic"/>
          <w:rtl/>
          <w:lang w:bidi="ar-EG"/>
        </w:rPr>
        <w:t>، الفقرة 79.</w:t>
      </w:r>
    </w:p>
  </w:footnote>
  <w:footnote w:id="3">
    <w:p w:rsidR="0081155D" w:rsidRPr="00307980" w:rsidRDefault="0081155D" w:rsidP="00307980">
      <w:pPr>
        <w:pStyle w:val="FootnoteText"/>
        <w:bidi/>
        <w:rPr>
          <w:rtl/>
          <w:lang w:val="en-US" w:bidi="ar-EG"/>
        </w:rPr>
      </w:pPr>
      <w:r>
        <w:rPr>
          <w:rStyle w:val="FootnoteReference"/>
        </w:rPr>
        <w:footnoteRef/>
      </w:r>
      <w:r>
        <w:rPr>
          <w:rFonts w:hint="cs"/>
          <w:rtl/>
          <w:lang w:val="en-US" w:bidi="ar-EG"/>
        </w:rPr>
        <w:t xml:space="preserve"> </w:t>
      </w:r>
      <w:r w:rsidRPr="00307980">
        <w:rPr>
          <w:rFonts w:ascii="Simplified Arabic" w:hAnsi="Simplified Arabic" w:cs="Simplified Arabic"/>
          <w:rtl/>
          <w:lang w:val="en-US" w:bidi="ar-EG"/>
        </w:rPr>
        <w:t>المرجع نفسه.</w:t>
      </w:r>
    </w:p>
  </w:footnote>
  <w:footnote w:id="4">
    <w:p w:rsidR="0081155D" w:rsidRPr="00DA373A" w:rsidRDefault="0081155D" w:rsidP="005D5B1A">
      <w:pPr>
        <w:pStyle w:val="FootnoteText"/>
        <w:bidi/>
        <w:rPr>
          <w:rtl/>
          <w:lang w:val="en-US" w:bidi="ar-EG"/>
        </w:rPr>
      </w:pPr>
      <w:r>
        <w:rPr>
          <w:rStyle w:val="FootnoteReference"/>
        </w:rPr>
        <w:footnoteRef/>
      </w:r>
      <w:r>
        <w:rPr>
          <w:rFonts w:hint="cs"/>
          <w:rtl/>
          <w:lang w:bidi="ar-EG"/>
        </w:rPr>
        <w:t xml:space="preserve"> </w:t>
      </w:r>
      <w:r w:rsidRPr="00EE77DF">
        <w:rPr>
          <w:rFonts w:ascii="Simplified Arabic" w:hAnsi="Simplified Arabic" w:cs="Simplified Arabic"/>
          <w:rtl/>
          <w:lang w:val="en-US" w:bidi="ar-EG"/>
        </w:rPr>
        <w:t>المرفق باء بمشروع المقرر المقترح؛ انظر الحاشية 3 من الوثيقة</w:t>
      </w:r>
      <w:r>
        <w:rPr>
          <w:rFonts w:hint="cs"/>
          <w:rtl/>
          <w:lang w:val="en-US" w:bidi="ar-EG"/>
        </w:rPr>
        <w:t xml:space="preserve"> </w:t>
      </w:r>
      <w:r w:rsidRPr="00EE77DF">
        <w:rPr>
          <w:kern w:val="18"/>
          <w:sz w:val="18"/>
          <w:szCs w:val="18"/>
          <w:lang w:val="en-GB"/>
        </w:rPr>
        <w:t>CBD/SBI/3/CRP.5</w:t>
      </w:r>
      <w:r w:rsidRPr="00EE77DF">
        <w:rPr>
          <w:rFonts w:ascii="Simplified Arabic" w:hAnsi="Simplified Arabic" w:cs="Simplified Arabic"/>
          <w:rtl/>
          <w:lang w:val="en-US" w:bidi="ar-EG"/>
        </w:rPr>
        <w:t>.</w:t>
      </w:r>
    </w:p>
  </w:footnote>
  <w:footnote w:id="5">
    <w:p w:rsidR="0081155D" w:rsidRPr="00DA373A" w:rsidRDefault="0081155D" w:rsidP="00EE77DF">
      <w:pPr>
        <w:pStyle w:val="FootnoteText"/>
        <w:bidi/>
        <w:rPr>
          <w:rtl/>
          <w:lang w:val="en-US" w:bidi="ar-EG"/>
        </w:rPr>
      </w:pPr>
      <w:r>
        <w:rPr>
          <w:rStyle w:val="FootnoteReference"/>
        </w:rPr>
        <w:footnoteRef/>
      </w:r>
      <w:r>
        <w:rPr>
          <w:rFonts w:hint="cs"/>
          <w:rtl/>
          <w:lang w:bidi="ar-EG"/>
        </w:rPr>
        <w:t xml:space="preserve"> </w:t>
      </w:r>
      <w:r>
        <w:rPr>
          <w:rFonts w:hint="cs"/>
          <w:rtl/>
          <w:lang w:val="en-US" w:bidi="ar-EG"/>
        </w:rPr>
        <w:t xml:space="preserve">المرفق ألف بمشروع المقرر المقترح؛ انظر الحاشية 2 </w:t>
      </w:r>
      <w:r w:rsidRPr="00EE77DF">
        <w:rPr>
          <w:rFonts w:ascii="Simplified Arabic" w:hAnsi="Simplified Arabic" w:cs="Simplified Arabic"/>
          <w:rtl/>
          <w:lang w:val="en-US" w:bidi="ar-EG"/>
        </w:rPr>
        <w:t>من الوثيقة</w:t>
      </w:r>
      <w:r>
        <w:rPr>
          <w:rFonts w:hint="cs"/>
          <w:rtl/>
          <w:lang w:val="en-US" w:bidi="ar-EG"/>
        </w:rPr>
        <w:t xml:space="preserve"> </w:t>
      </w:r>
      <w:r w:rsidRPr="00EE77DF">
        <w:rPr>
          <w:kern w:val="18"/>
          <w:sz w:val="18"/>
          <w:szCs w:val="18"/>
          <w:lang w:val="en-GB"/>
        </w:rPr>
        <w:t>CBD/SBI/3/CRP.5</w:t>
      </w:r>
      <w:r w:rsidRPr="00EE77DF">
        <w:rPr>
          <w:rFonts w:ascii="Simplified Arabic" w:hAnsi="Simplified Arabic" w:cs="Simplified Arabic"/>
          <w:rtl/>
          <w:lang w:val="en-US" w:bidi="ar-EG"/>
        </w:rPr>
        <w:t>.</w:t>
      </w:r>
    </w:p>
  </w:footnote>
  <w:footnote w:id="6">
    <w:p w:rsidR="0081155D" w:rsidRPr="00DA373A" w:rsidRDefault="0081155D" w:rsidP="00EE77DF">
      <w:pPr>
        <w:pStyle w:val="FootnoteText"/>
        <w:bidi/>
        <w:rPr>
          <w:rtl/>
          <w:lang w:val="en-US" w:bidi="ar-EG"/>
        </w:rPr>
      </w:pPr>
      <w:r>
        <w:rPr>
          <w:rStyle w:val="FootnoteReference"/>
        </w:rPr>
        <w:footnoteRef/>
      </w:r>
      <w:r>
        <w:rPr>
          <w:rFonts w:hint="cs"/>
          <w:rtl/>
          <w:lang w:bidi="ar-EG"/>
        </w:rPr>
        <w:t xml:space="preserve"> </w:t>
      </w:r>
      <w:r>
        <w:rPr>
          <w:rFonts w:hint="cs"/>
          <w:rtl/>
          <w:lang w:val="en-US" w:bidi="ar-EG"/>
        </w:rPr>
        <w:t xml:space="preserve">المرفق جيم بمشروع المقرر المقترح؛ انظر الحاشية 4 </w:t>
      </w:r>
      <w:r w:rsidRPr="00EE77DF">
        <w:rPr>
          <w:rFonts w:ascii="Simplified Arabic" w:hAnsi="Simplified Arabic" w:cs="Simplified Arabic"/>
          <w:rtl/>
          <w:lang w:val="en-US" w:bidi="ar-EG"/>
        </w:rPr>
        <w:t>من الوثيقة</w:t>
      </w:r>
      <w:r>
        <w:rPr>
          <w:rFonts w:hint="cs"/>
          <w:rtl/>
          <w:lang w:val="en-US" w:bidi="ar-EG"/>
        </w:rPr>
        <w:t xml:space="preserve"> </w:t>
      </w:r>
      <w:r w:rsidRPr="00EE77DF">
        <w:rPr>
          <w:kern w:val="18"/>
          <w:sz w:val="18"/>
          <w:szCs w:val="18"/>
          <w:lang w:val="en-GB"/>
        </w:rPr>
        <w:t>CBD/SBI/3/CRP.5</w:t>
      </w:r>
      <w:r w:rsidRPr="00EE77DF">
        <w:rPr>
          <w:rFonts w:ascii="Simplified Arabic" w:hAnsi="Simplified Arabic" w:cs="Simplified Arabic"/>
          <w:rtl/>
          <w:lang w:val="en-US" w:bidi="ar-EG"/>
        </w:rPr>
        <w:t>.</w:t>
      </w:r>
    </w:p>
  </w:footnote>
  <w:footnote w:id="7">
    <w:p w:rsidR="0081155D" w:rsidRPr="00DA373A" w:rsidRDefault="0081155D" w:rsidP="00EE77DF">
      <w:pPr>
        <w:pStyle w:val="FootnoteText"/>
        <w:bidi/>
        <w:rPr>
          <w:rtl/>
          <w:lang w:val="en-US" w:bidi="ar-EG"/>
        </w:rPr>
      </w:pPr>
      <w:r>
        <w:rPr>
          <w:rStyle w:val="FootnoteReference"/>
        </w:rPr>
        <w:footnoteRef/>
      </w:r>
      <w:r>
        <w:rPr>
          <w:rFonts w:hint="cs"/>
          <w:rtl/>
          <w:lang w:bidi="ar-EG"/>
        </w:rPr>
        <w:t xml:space="preserve"> </w:t>
      </w:r>
      <w:r>
        <w:rPr>
          <w:rFonts w:hint="cs"/>
          <w:rtl/>
          <w:lang w:val="en-US" w:bidi="ar-EG"/>
        </w:rPr>
        <w:t xml:space="preserve">المرفق دال بمشروع المقرر المقترح؛ انظر الحاشية 5 </w:t>
      </w:r>
      <w:r w:rsidRPr="00EE77DF">
        <w:rPr>
          <w:rFonts w:ascii="Simplified Arabic" w:hAnsi="Simplified Arabic" w:cs="Simplified Arabic"/>
          <w:rtl/>
          <w:lang w:val="en-US" w:bidi="ar-EG"/>
        </w:rPr>
        <w:t>من الوثيقة</w:t>
      </w:r>
      <w:r>
        <w:rPr>
          <w:rFonts w:hint="cs"/>
          <w:rtl/>
          <w:lang w:val="en-US" w:bidi="ar-EG"/>
        </w:rPr>
        <w:t xml:space="preserve"> </w:t>
      </w:r>
      <w:r w:rsidRPr="00EE77DF">
        <w:rPr>
          <w:kern w:val="18"/>
          <w:sz w:val="18"/>
          <w:szCs w:val="18"/>
          <w:lang w:val="en-GB"/>
        </w:rPr>
        <w:t>CBD/SBI/3/CRP.5</w:t>
      </w:r>
      <w:r w:rsidRPr="00EE77DF">
        <w:rPr>
          <w:rFonts w:ascii="Simplified Arabic" w:hAnsi="Simplified Arabic" w:cs="Simplified Arabic"/>
          <w:rtl/>
          <w:lang w:val="en-US"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5D" w:rsidRPr="001C7FD9" w:rsidRDefault="0081155D" w:rsidP="007C4D9C">
    <w:pPr>
      <w:pStyle w:val="Header"/>
      <w:jc w:val="right"/>
      <w:rPr>
        <w:sz w:val="22"/>
        <w:szCs w:val="22"/>
        <w:lang w:val="en-US"/>
      </w:rPr>
    </w:pPr>
    <w:r>
      <w:rPr>
        <w:sz w:val="22"/>
        <w:szCs w:val="22"/>
      </w:rPr>
      <w:t>CBD/SBI/3/1/Add.3</w:t>
    </w:r>
  </w:p>
  <w:p w:rsidR="0081155D" w:rsidRDefault="0081155D" w:rsidP="00405BF3">
    <w:pPr>
      <w:pStyle w:val="Header"/>
      <w:jc w:val="right"/>
      <w:rPr>
        <w:lang w:val="en-US"/>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A45134">
      <w:rPr>
        <w:bCs/>
        <w:noProof/>
        <w:kern w:val="22"/>
        <w:sz w:val="22"/>
        <w:szCs w:val="22"/>
        <w:lang w:val="en-GB"/>
      </w:rPr>
      <w:t>10</w:t>
    </w:r>
    <w:r w:rsidRPr="00ED543F">
      <w:rPr>
        <w:bCs/>
        <w:noProof/>
        <w:kern w:val="22"/>
        <w:sz w:val="22"/>
        <w:szCs w:val="22"/>
        <w:lang w:val="en-GB"/>
      </w:rPr>
      <w:fldChar w:fldCharType="end"/>
    </w:r>
  </w:p>
  <w:p w:rsidR="0081155D" w:rsidRDefault="0081155D" w:rsidP="00405BF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5D" w:rsidRPr="001C7FD9" w:rsidRDefault="0081155D" w:rsidP="007C4D9C">
    <w:pPr>
      <w:pStyle w:val="Header"/>
      <w:rPr>
        <w:sz w:val="22"/>
        <w:szCs w:val="22"/>
        <w:lang w:val="en-US"/>
      </w:rPr>
    </w:pPr>
    <w:r>
      <w:rPr>
        <w:sz w:val="22"/>
        <w:szCs w:val="22"/>
      </w:rPr>
      <w:t>CBD/SBI/3/1/Add.3</w:t>
    </w:r>
  </w:p>
  <w:p w:rsidR="0081155D" w:rsidRDefault="0081155D">
    <w:pPr>
      <w:pStyle w:val="Header"/>
      <w:rPr>
        <w:lang w:val="en-US"/>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A45134">
      <w:rPr>
        <w:bCs/>
        <w:noProof/>
        <w:kern w:val="22"/>
        <w:sz w:val="22"/>
        <w:szCs w:val="22"/>
        <w:lang w:val="en-GB"/>
      </w:rPr>
      <w:t>11</w:t>
    </w:r>
    <w:r w:rsidRPr="00ED543F">
      <w:rPr>
        <w:bCs/>
        <w:noProof/>
        <w:kern w:val="22"/>
        <w:sz w:val="22"/>
        <w:szCs w:val="22"/>
        <w:lang w:val="en-GB"/>
      </w:rPr>
      <w:fldChar w:fldCharType="end"/>
    </w:r>
  </w:p>
  <w:p w:rsidR="0081155D" w:rsidRPr="00405BF3" w:rsidRDefault="0081155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5D" w:rsidRPr="00442228" w:rsidRDefault="0081155D" w:rsidP="008366DE">
    <w:pPr>
      <w:pStyle w:val="Header"/>
      <w:jc w:val="right"/>
      <w:rPr>
        <w:sz w:val="22"/>
        <w:szCs w:val="22"/>
        <w:lang w:val="fr-FR"/>
      </w:rPr>
    </w:pPr>
  </w:p>
  <w:p w:rsidR="0081155D" w:rsidRPr="00C005BD" w:rsidRDefault="0081155D"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8FA"/>
    <w:multiLevelType w:val="hybridMultilevel"/>
    <w:tmpl w:val="DC30B81C"/>
    <w:lvl w:ilvl="0" w:tplc="7EB463A2">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87A69"/>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A2B44"/>
    <w:multiLevelType w:val="hybridMultilevel"/>
    <w:tmpl w:val="902C8EBC"/>
    <w:lvl w:ilvl="0" w:tplc="912495CE">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A4488"/>
    <w:multiLevelType w:val="hybridMultilevel"/>
    <w:tmpl w:val="B60A51BA"/>
    <w:lvl w:ilvl="0" w:tplc="A4F02E9E">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5"/>
  </w:num>
  <w:num w:numId="6">
    <w:abstractNumId w:val="2"/>
  </w:num>
  <w:num w:numId="7">
    <w:abstractNumId w:val="4"/>
  </w:num>
  <w:num w:numId="8">
    <w:abstractNumId w:val="7"/>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ar-SA" w:vendorID="64" w:dllVersion="131078" w:nlCheck="1" w:checkStyle="0"/>
  <w:activeWritingStyle w:appName="MSWord" w:lang="ar-EG" w:vendorID="64" w:dllVersion="131078"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F"/>
    <w:rsid w:val="00000001"/>
    <w:rsid w:val="000002A5"/>
    <w:rsid w:val="00001595"/>
    <w:rsid w:val="00003E7C"/>
    <w:rsid w:val="00004421"/>
    <w:rsid w:val="00004DD2"/>
    <w:rsid w:val="0000742A"/>
    <w:rsid w:val="000109CE"/>
    <w:rsid w:val="00015E2F"/>
    <w:rsid w:val="000160AF"/>
    <w:rsid w:val="000200BF"/>
    <w:rsid w:val="00020BC7"/>
    <w:rsid w:val="000212CF"/>
    <w:rsid w:val="00022635"/>
    <w:rsid w:val="00024707"/>
    <w:rsid w:val="00024CE7"/>
    <w:rsid w:val="00031DDB"/>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5FAA"/>
    <w:rsid w:val="00076B2B"/>
    <w:rsid w:val="0008009C"/>
    <w:rsid w:val="00085E7C"/>
    <w:rsid w:val="00090564"/>
    <w:rsid w:val="00093D6C"/>
    <w:rsid w:val="0009438F"/>
    <w:rsid w:val="000947C5"/>
    <w:rsid w:val="00096D07"/>
    <w:rsid w:val="000A1725"/>
    <w:rsid w:val="000A1F60"/>
    <w:rsid w:val="000A20D2"/>
    <w:rsid w:val="000A2909"/>
    <w:rsid w:val="000A2A00"/>
    <w:rsid w:val="000A33A3"/>
    <w:rsid w:val="000A5943"/>
    <w:rsid w:val="000A6CB0"/>
    <w:rsid w:val="000B0CB7"/>
    <w:rsid w:val="000B1263"/>
    <w:rsid w:val="000B551A"/>
    <w:rsid w:val="000B7A1A"/>
    <w:rsid w:val="000C0292"/>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5960"/>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4CE6"/>
    <w:rsid w:val="00147FFE"/>
    <w:rsid w:val="00151081"/>
    <w:rsid w:val="00152B14"/>
    <w:rsid w:val="001539CC"/>
    <w:rsid w:val="0015580C"/>
    <w:rsid w:val="00155E91"/>
    <w:rsid w:val="0016095A"/>
    <w:rsid w:val="00163136"/>
    <w:rsid w:val="00163F91"/>
    <w:rsid w:val="001659B2"/>
    <w:rsid w:val="00165BB5"/>
    <w:rsid w:val="00166176"/>
    <w:rsid w:val="00167330"/>
    <w:rsid w:val="00167386"/>
    <w:rsid w:val="0017273D"/>
    <w:rsid w:val="0017304B"/>
    <w:rsid w:val="00173BED"/>
    <w:rsid w:val="00175177"/>
    <w:rsid w:val="00175959"/>
    <w:rsid w:val="0017742B"/>
    <w:rsid w:val="00180260"/>
    <w:rsid w:val="001805E2"/>
    <w:rsid w:val="0018180F"/>
    <w:rsid w:val="00181BFF"/>
    <w:rsid w:val="00184344"/>
    <w:rsid w:val="00184A6B"/>
    <w:rsid w:val="0018663F"/>
    <w:rsid w:val="00187290"/>
    <w:rsid w:val="00192403"/>
    <w:rsid w:val="0019265E"/>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1706"/>
    <w:rsid w:val="001C2612"/>
    <w:rsid w:val="001C31CC"/>
    <w:rsid w:val="001C34B7"/>
    <w:rsid w:val="001C38FE"/>
    <w:rsid w:val="001C534C"/>
    <w:rsid w:val="001C7FD9"/>
    <w:rsid w:val="001D2316"/>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40C7"/>
    <w:rsid w:val="00205B9C"/>
    <w:rsid w:val="00206CF2"/>
    <w:rsid w:val="00212595"/>
    <w:rsid w:val="00212919"/>
    <w:rsid w:val="0021469A"/>
    <w:rsid w:val="00216421"/>
    <w:rsid w:val="00217178"/>
    <w:rsid w:val="002176F3"/>
    <w:rsid w:val="00221269"/>
    <w:rsid w:val="00227535"/>
    <w:rsid w:val="0023174B"/>
    <w:rsid w:val="0023231D"/>
    <w:rsid w:val="00233D15"/>
    <w:rsid w:val="0023529D"/>
    <w:rsid w:val="0023552C"/>
    <w:rsid w:val="0023694F"/>
    <w:rsid w:val="00236C38"/>
    <w:rsid w:val="00237438"/>
    <w:rsid w:val="00241EF9"/>
    <w:rsid w:val="0024239F"/>
    <w:rsid w:val="0024436A"/>
    <w:rsid w:val="00244D8E"/>
    <w:rsid w:val="00244DEA"/>
    <w:rsid w:val="002453E7"/>
    <w:rsid w:val="00246EF2"/>
    <w:rsid w:val="00247072"/>
    <w:rsid w:val="00251206"/>
    <w:rsid w:val="00252185"/>
    <w:rsid w:val="00254A8C"/>
    <w:rsid w:val="002560D1"/>
    <w:rsid w:val="002566BF"/>
    <w:rsid w:val="00256A36"/>
    <w:rsid w:val="0025795E"/>
    <w:rsid w:val="002601F7"/>
    <w:rsid w:val="00260700"/>
    <w:rsid w:val="00261BFB"/>
    <w:rsid w:val="002639AA"/>
    <w:rsid w:val="002663FF"/>
    <w:rsid w:val="00272F2E"/>
    <w:rsid w:val="002760B5"/>
    <w:rsid w:val="00276B6D"/>
    <w:rsid w:val="00280F5A"/>
    <w:rsid w:val="00281DF6"/>
    <w:rsid w:val="00281FED"/>
    <w:rsid w:val="00282E7A"/>
    <w:rsid w:val="00283F92"/>
    <w:rsid w:val="0028448E"/>
    <w:rsid w:val="00284E10"/>
    <w:rsid w:val="002852C1"/>
    <w:rsid w:val="00286DE5"/>
    <w:rsid w:val="002878B1"/>
    <w:rsid w:val="00291B31"/>
    <w:rsid w:val="00292A01"/>
    <w:rsid w:val="00292CA1"/>
    <w:rsid w:val="0029539F"/>
    <w:rsid w:val="00295420"/>
    <w:rsid w:val="00295A6C"/>
    <w:rsid w:val="00295BF4"/>
    <w:rsid w:val="00297C59"/>
    <w:rsid w:val="002A0E05"/>
    <w:rsid w:val="002A5BE1"/>
    <w:rsid w:val="002A6320"/>
    <w:rsid w:val="002B0B2B"/>
    <w:rsid w:val="002B0EE3"/>
    <w:rsid w:val="002B5410"/>
    <w:rsid w:val="002B65CB"/>
    <w:rsid w:val="002C04FC"/>
    <w:rsid w:val="002C17A5"/>
    <w:rsid w:val="002C3088"/>
    <w:rsid w:val="002C4E10"/>
    <w:rsid w:val="002C5D87"/>
    <w:rsid w:val="002C623A"/>
    <w:rsid w:val="002D034E"/>
    <w:rsid w:val="002D5703"/>
    <w:rsid w:val="002D74F7"/>
    <w:rsid w:val="002D77E0"/>
    <w:rsid w:val="002D7857"/>
    <w:rsid w:val="002E032D"/>
    <w:rsid w:val="002E0F6F"/>
    <w:rsid w:val="002E239D"/>
    <w:rsid w:val="002E3989"/>
    <w:rsid w:val="002E53FE"/>
    <w:rsid w:val="002E5908"/>
    <w:rsid w:val="002E6B50"/>
    <w:rsid w:val="002E6EBF"/>
    <w:rsid w:val="002E71C1"/>
    <w:rsid w:val="002F1EA6"/>
    <w:rsid w:val="002F1F6B"/>
    <w:rsid w:val="002F2AC6"/>
    <w:rsid w:val="002F2D34"/>
    <w:rsid w:val="003016F9"/>
    <w:rsid w:val="003028B1"/>
    <w:rsid w:val="00303422"/>
    <w:rsid w:val="00305F22"/>
    <w:rsid w:val="003065EF"/>
    <w:rsid w:val="0030754F"/>
    <w:rsid w:val="003077BF"/>
    <w:rsid w:val="00307980"/>
    <w:rsid w:val="003140AF"/>
    <w:rsid w:val="003140EC"/>
    <w:rsid w:val="003142D5"/>
    <w:rsid w:val="0031642F"/>
    <w:rsid w:val="00317820"/>
    <w:rsid w:val="00320D8E"/>
    <w:rsid w:val="00322B56"/>
    <w:rsid w:val="00326B76"/>
    <w:rsid w:val="00327E69"/>
    <w:rsid w:val="0033337E"/>
    <w:rsid w:val="003334D5"/>
    <w:rsid w:val="003365D8"/>
    <w:rsid w:val="00336F2F"/>
    <w:rsid w:val="00337348"/>
    <w:rsid w:val="00337C93"/>
    <w:rsid w:val="00340B98"/>
    <w:rsid w:val="00341291"/>
    <w:rsid w:val="00341F0D"/>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13E0"/>
    <w:rsid w:val="0038248F"/>
    <w:rsid w:val="003839C6"/>
    <w:rsid w:val="00386300"/>
    <w:rsid w:val="00386368"/>
    <w:rsid w:val="003868DB"/>
    <w:rsid w:val="003901AC"/>
    <w:rsid w:val="00392B0E"/>
    <w:rsid w:val="003947B1"/>
    <w:rsid w:val="003966D1"/>
    <w:rsid w:val="003A0742"/>
    <w:rsid w:val="003A0946"/>
    <w:rsid w:val="003A174F"/>
    <w:rsid w:val="003A2339"/>
    <w:rsid w:val="003A2343"/>
    <w:rsid w:val="003A3207"/>
    <w:rsid w:val="003A44FF"/>
    <w:rsid w:val="003A5142"/>
    <w:rsid w:val="003A54A7"/>
    <w:rsid w:val="003A7795"/>
    <w:rsid w:val="003B0ED0"/>
    <w:rsid w:val="003B18FD"/>
    <w:rsid w:val="003B4B7E"/>
    <w:rsid w:val="003B6733"/>
    <w:rsid w:val="003B6C97"/>
    <w:rsid w:val="003C03AD"/>
    <w:rsid w:val="003C12BD"/>
    <w:rsid w:val="003C5806"/>
    <w:rsid w:val="003C5B65"/>
    <w:rsid w:val="003C63B5"/>
    <w:rsid w:val="003C6791"/>
    <w:rsid w:val="003C7F66"/>
    <w:rsid w:val="003D0114"/>
    <w:rsid w:val="003D1B59"/>
    <w:rsid w:val="003D22BC"/>
    <w:rsid w:val="003D46F4"/>
    <w:rsid w:val="003D754B"/>
    <w:rsid w:val="003E0848"/>
    <w:rsid w:val="003E2267"/>
    <w:rsid w:val="003E440B"/>
    <w:rsid w:val="003F270B"/>
    <w:rsid w:val="003F2BF1"/>
    <w:rsid w:val="003F3973"/>
    <w:rsid w:val="003F423A"/>
    <w:rsid w:val="003F426D"/>
    <w:rsid w:val="003F58E2"/>
    <w:rsid w:val="0040036B"/>
    <w:rsid w:val="0040211C"/>
    <w:rsid w:val="00404F83"/>
    <w:rsid w:val="0040541E"/>
    <w:rsid w:val="00405BF3"/>
    <w:rsid w:val="00405F77"/>
    <w:rsid w:val="0041108B"/>
    <w:rsid w:val="00412703"/>
    <w:rsid w:val="00413277"/>
    <w:rsid w:val="0041522D"/>
    <w:rsid w:val="004219B3"/>
    <w:rsid w:val="00421FCD"/>
    <w:rsid w:val="00422789"/>
    <w:rsid w:val="00424E80"/>
    <w:rsid w:val="0042532E"/>
    <w:rsid w:val="00425F41"/>
    <w:rsid w:val="00426521"/>
    <w:rsid w:val="00426C39"/>
    <w:rsid w:val="00431F3C"/>
    <w:rsid w:val="00433F2D"/>
    <w:rsid w:val="0043646A"/>
    <w:rsid w:val="004369AE"/>
    <w:rsid w:val="00436E76"/>
    <w:rsid w:val="00440801"/>
    <w:rsid w:val="00442228"/>
    <w:rsid w:val="004427FF"/>
    <w:rsid w:val="00445B11"/>
    <w:rsid w:val="00450333"/>
    <w:rsid w:val="00450F86"/>
    <w:rsid w:val="00451599"/>
    <w:rsid w:val="00452E62"/>
    <w:rsid w:val="00453B24"/>
    <w:rsid w:val="0045763A"/>
    <w:rsid w:val="00460F11"/>
    <w:rsid w:val="004610C0"/>
    <w:rsid w:val="00461BA0"/>
    <w:rsid w:val="00462E5D"/>
    <w:rsid w:val="0046313A"/>
    <w:rsid w:val="00465311"/>
    <w:rsid w:val="0046560D"/>
    <w:rsid w:val="00466282"/>
    <w:rsid w:val="00470BE5"/>
    <w:rsid w:val="00471134"/>
    <w:rsid w:val="00471E92"/>
    <w:rsid w:val="0047236B"/>
    <w:rsid w:val="00472FC1"/>
    <w:rsid w:val="00473210"/>
    <w:rsid w:val="00473C44"/>
    <w:rsid w:val="004740F7"/>
    <w:rsid w:val="004765CF"/>
    <w:rsid w:val="00480564"/>
    <w:rsid w:val="00484CEF"/>
    <w:rsid w:val="00487860"/>
    <w:rsid w:val="004901EE"/>
    <w:rsid w:val="00491FDE"/>
    <w:rsid w:val="0049407E"/>
    <w:rsid w:val="004960F6"/>
    <w:rsid w:val="00496313"/>
    <w:rsid w:val="00496383"/>
    <w:rsid w:val="004A2D2C"/>
    <w:rsid w:val="004A3737"/>
    <w:rsid w:val="004A4A82"/>
    <w:rsid w:val="004A5F51"/>
    <w:rsid w:val="004A777D"/>
    <w:rsid w:val="004B0BBB"/>
    <w:rsid w:val="004B1C73"/>
    <w:rsid w:val="004B3429"/>
    <w:rsid w:val="004B3E36"/>
    <w:rsid w:val="004B5A11"/>
    <w:rsid w:val="004B6450"/>
    <w:rsid w:val="004C04E4"/>
    <w:rsid w:val="004C1B27"/>
    <w:rsid w:val="004C2D39"/>
    <w:rsid w:val="004C437C"/>
    <w:rsid w:val="004C6718"/>
    <w:rsid w:val="004C71CB"/>
    <w:rsid w:val="004D45B4"/>
    <w:rsid w:val="004D5295"/>
    <w:rsid w:val="004E1795"/>
    <w:rsid w:val="004E29B4"/>
    <w:rsid w:val="004E5FE3"/>
    <w:rsid w:val="004E67B5"/>
    <w:rsid w:val="004E72FC"/>
    <w:rsid w:val="004F0AF8"/>
    <w:rsid w:val="004F0BF8"/>
    <w:rsid w:val="004F1A25"/>
    <w:rsid w:val="004F1EB2"/>
    <w:rsid w:val="004F67AD"/>
    <w:rsid w:val="004F6FC5"/>
    <w:rsid w:val="00500517"/>
    <w:rsid w:val="005016D5"/>
    <w:rsid w:val="0050206C"/>
    <w:rsid w:val="00502161"/>
    <w:rsid w:val="00503721"/>
    <w:rsid w:val="00503C13"/>
    <w:rsid w:val="00505696"/>
    <w:rsid w:val="00507110"/>
    <w:rsid w:val="005127B9"/>
    <w:rsid w:val="005142BF"/>
    <w:rsid w:val="00515C7C"/>
    <w:rsid w:val="005162DE"/>
    <w:rsid w:val="00516BC5"/>
    <w:rsid w:val="00517032"/>
    <w:rsid w:val="0052012E"/>
    <w:rsid w:val="00520532"/>
    <w:rsid w:val="00520F84"/>
    <w:rsid w:val="00521A89"/>
    <w:rsid w:val="00523CCE"/>
    <w:rsid w:val="0052444F"/>
    <w:rsid w:val="00525469"/>
    <w:rsid w:val="0052548C"/>
    <w:rsid w:val="0053011D"/>
    <w:rsid w:val="00530F38"/>
    <w:rsid w:val="0053146D"/>
    <w:rsid w:val="005369EE"/>
    <w:rsid w:val="005377ED"/>
    <w:rsid w:val="00540E4D"/>
    <w:rsid w:val="005413F1"/>
    <w:rsid w:val="00544756"/>
    <w:rsid w:val="00545577"/>
    <w:rsid w:val="005466EF"/>
    <w:rsid w:val="00546C65"/>
    <w:rsid w:val="00552AF8"/>
    <w:rsid w:val="00554A13"/>
    <w:rsid w:val="00560D1E"/>
    <w:rsid w:val="00562E5F"/>
    <w:rsid w:val="00563077"/>
    <w:rsid w:val="00565C12"/>
    <w:rsid w:val="00567DE0"/>
    <w:rsid w:val="00570235"/>
    <w:rsid w:val="005727A8"/>
    <w:rsid w:val="005729FC"/>
    <w:rsid w:val="0057387C"/>
    <w:rsid w:val="00574111"/>
    <w:rsid w:val="00574A6B"/>
    <w:rsid w:val="0057577E"/>
    <w:rsid w:val="005866CB"/>
    <w:rsid w:val="00586A55"/>
    <w:rsid w:val="00587DC9"/>
    <w:rsid w:val="00591622"/>
    <w:rsid w:val="00592E04"/>
    <w:rsid w:val="005960C0"/>
    <w:rsid w:val="005A07F3"/>
    <w:rsid w:val="005A7AC9"/>
    <w:rsid w:val="005B0447"/>
    <w:rsid w:val="005B0523"/>
    <w:rsid w:val="005B57BF"/>
    <w:rsid w:val="005B6051"/>
    <w:rsid w:val="005B6222"/>
    <w:rsid w:val="005B6379"/>
    <w:rsid w:val="005B794B"/>
    <w:rsid w:val="005C0388"/>
    <w:rsid w:val="005C1343"/>
    <w:rsid w:val="005C1724"/>
    <w:rsid w:val="005C2FF9"/>
    <w:rsid w:val="005C31CE"/>
    <w:rsid w:val="005C46F1"/>
    <w:rsid w:val="005C529A"/>
    <w:rsid w:val="005C5AFC"/>
    <w:rsid w:val="005C5D48"/>
    <w:rsid w:val="005D0FAD"/>
    <w:rsid w:val="005D14C8"/>
    <w:rsid w:val="005D4774"/>
    <w:rsid w:val="005D5B1A"/>
    <w:rsid w:val="005D743F"/>
    <w:rsid w:val="005D75BA"/>
    <w:rsid w:val="005E056D"/>
    <w:rsid w:val="005E6305"/>
    <w:rsid w:val="005F2F57"/>
    <w:rsid w:val="005F4272"/>
    <w:rsid w:val="005F527A"/>
    <w:rsid w:val="005F5293"/>
    <w:rsid w:val="005F5E79"/>
    <w:rsid w:val="006031B6"/>
    <w:rsid w:val="00603268"/>
    <w:rsid w:val="00603B5B"/>
    <w:rsid w:val="00603C71"/>
    <w:rsid w:val="006061CF"/>
    <w:rsid w:val="006118FD"/>
    <w:rsid w:val="00611B14"/>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CC4"/>
    <w:rsid w:val="00636D99"/>
    <w:rsid w:val="006376CA"/>
    <w:rsid w:val="006424EA"/>
    <w:rsid w:val="00642546"/>
    <w:rsid w:val="00642F94"/>
    <w:rsid w:val="00644609"/>
    <w:rsid w:val="00644E18"/>
    <w:rsid w:val="00647A37"/>
    <w:rsid w:val="006505B7"/>
    <w:rsid w:val="00651D73"/>
    <w:rsid w:val="00652115"/>
    <w:rsid w:val="00652EEA"/>
    <w:rsid w:val="0065310A"/>
    <w:rsid w:val="00654181"/>
    <w:rsid w:val="00654ECC"/>
    <w:rsid w:val="00657429"/>
    <w:rsid w:val="00661315"/>
    <w:rsid w:val="00671204"/>
    <w:rsid w:val="00671BEC"/>
    <w:rsid w:val="00672E7F"/>
    <w:rsid w:val="00673653"/>
    <w:rsid w:val="006737F8"/>
    <w:rsid w:val="006753B9"/>
    <w:rsid w:val="006769A2"/>
    <w:rsid w:val="00676EF4"/>
    <w:rsid w:val="0068085D"/>
    <w:rsid w:val="006811F2"/>
    <w:rsid w:val="00681EDE"/>
    <w:rsid w:val="0068736E"/>
    <w:rsid w:val="006877D8"/>
    <w:rsid w:val="0068788B"/>
    <w:rsid w:val="006953DA"/>
    <w:rsid w:val="00696560"/>
    <w:rsid w:val="00697371"/>
    <w:rsid w:val="00697B91"/>
    <w:rsid w:val="006A2F2D"/>
    <w:rsid w:val="006A3912"/>
    <w:rsid w:val="006A54A6"/>
    <w:rsid w:val="006A61F9"/>
    <w:rsid w:val="006A6264"/>
    <w:rsid w:val="006A6890"/>
    <w:rsid w:val="006A6E55"/>
    <w:rsid w:val="006B036C"/>
    <w:rsid w:val="006B04EA"/>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B67"/>
    <w:rsid w:val="006E57EE"/>
    <w:rsid w:val="006E6CF9"/>
    <w:rsid w:val="006F32A6"/>
    <w:rsid w:val="006F4B01"/>
    <w:rsid w:val="00706007"/>
    <w:rsid w:val="00712417"/>
    <w:rsid w:val="00713C7A"/>
    <w:rsid w:val="00715D10"/>
    <w:rsid w:val="0071602D"/>
    <w:rsid w:val="00716901"/>
    <w:rsid w:val="0072151A"/>
    <w:rsid w:val="007219A3"/>
    <w:rsid w:val="00723747"/>
    <w:rsid w:val="007255A2"/>
    <w:rsid w:val="00736D88"/>
    <w:rsid w:val="00740C98"/>
    <w:rsid w:val="0074523B"/>
    <w:rsid w:val="0074539A"/>
    <w:rsid w:val="0074539C"/>
    <w:rsid w:val="00745887"/>
    <w:rsid w:val="00747446"/>
    <w:rsid w:val="00747BB0"/>
    <w:rsid w:val="00747E7D"/>
    <w:rsid w:val="00751256"/>
    <w:rsid w:val="00751AEA"/>
    <w:rsid w:val="007541ED"/>
    <w:rsid w:val="00756D85"/>
    <w:rsid w:val="007605FC"/>
    <w:rsid w:val="00762466"/>
    <w:rsid w:val="0077220C"/>
    <w:rsid w:val="00772AF7"/>
    <w:rsid w:val="007744CC"/>
    <w:rsid w:val="00774776"/>
    <w:rsid w:val="007762AC"/>
    <w:rsid w:val="00776BD1"/>
    <w:rsid w:val="0077711C"/>
    <w:rsid w:val="007774AF"/>
    <w:rsid w:val="007778E4"/>
    <w:rsid w:val="00780CB3"/>
    <w:rsid w:val="00781D55"/>
    <w:rsid w:val="007836F5"/>
    <w:rsid w:val="007839D3"/>
    <w:rsid w:val="00785A9E"/>
    <w:rsid w:val="007907A0"/>
    <w:rsid w:val="00790B5B"/>
    <w:rsid w:val="007925F1"/>
    <w:rsid w:val="00792F29"/>
    <w:rsid w:val="00793C0E"/>
    <w:rsid w:val="00794E96"/>
    <w:rsid w:val="007A0E00"/>
    <w:rsid w:val="007A1E7B"/>
    <w:rsid w:val="007A24C2"/>
    <w:rsid w:val="007A31ED"/>
    <w:rsid w:val="007A55FF"/>
    <w:rsid w:val="007A7CD1"/>
    <w:rsid w:val="007B0B22"/>
    <w:rsid w:val="007B15AC"/>
    <w:rsid w:val="007B2A7A"/>
    <w:rsid w:val="007B4C84"/>
    <w:rsid w:val="007C1C2B"/>
    <w:rsid w:val="007C234F"/>
    <w:rsid w:val="007C4A83"/>
    <w:rsid w:val="007C4D9C"/>
    <w:rsid w:val="007C78ED"/>
    <w:rsid w:val="007D32AF"/>
    <w:rsid w:val="007D401D"/>
    <w:rsid w:val="007D4AD9"/>
    <w:rsid w:val="007E063B"/>
    <w:rsid w:val="007E2EC1"/>
    <w:rsid w:val="007E7EB3"/>
    <w:rsid w:val="007F474C"/>
    <w:rsid w:val="007F78EF"/>
    <w:rsid w:val="007F7932"/>
    <w:rsid w:val="008026B6"/>
    <w:rsid w:val="00806667"/>
    <w:rsid w:val="0081155D"/>
    <w:rsid w:val="0081231E"/>
    <w:rsid w:val="00814010"/>
    <w:rsid w:val="0081565D"/>
    <w:rsid w:val="00815DFC"/>
    <w:rsid w:val="0081603A"/>
    <w:rsid w:val="0081695B"/>
    <w:rsid w:val="00816D69"/>
    <w:rsid w:val="00816DDF"/>
    <w:rsid w:val="00817E7B"/>
    <w:rsid w:val="008207EB"/>
    <w:rsid w:val="00821723"/>
    <w:rsid w:val="0082437D"/>
    <w:rsid w:val="00825124"/>
    <w:rsid w:val="008252F7"/>
    <w:rsid w:val="00832BB6"/>
    <w:rsid w:val="0083376A"/>
    <w:rsid w:val="0083382D"/>
    <w:rsid w:val="0083503D"/>
    <w:rsid w:val="008366DE"/>
    <w:rsid w:val="00837868"/>
    <w:rsid w:val="00840AF2"/>
    <w:rsid w:val="00840E5C"/>
    <w:rsid w:val="00845E92"/>
    <w:rsid w:val="008539A7"/>
    <w:rsid w:val="008542D4"/>
    <w:rsid w:val="008548F4"/>
    <w:rsid w:val="008556EF"/>
    <w:rsid w:val="008568F5"/>
    <w:rsid w:val="00860E67"/>
    <w:rsid w:val="0086166F"/>
    <w:rsid w:val="00861A0B"/>
    <w:rsid w:val="008638F1"/>
    <w:rsid w:val="00866660"/>
    <w:rsid w:val="00876763"/>
    <w:rsid w:val="0087712A"/>
    <w:rsid w:val="008827CF"/>
    <w:rsid w:val="00884114"/>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5EBE"/>
    <w:rsid w:val="008A63D9"/>
    <w:rsid w:val="008A6B7B"/>
    <w:rsid w:val="008A7CA0"/>
    <w:rsid w:val="008A7DC6"/>
    <w:rsid w:val="008B0631"/>
    <w:rsid w:val="008B25FF"/>
    <w:rsid w:val="008B601E"/>
    <w:rsid w:val="008B703B"/>
    <w:rsid w:val="008B71B5"/>
    <w:rsid w:val="008C0134"/>
    <w:rsid w:val="008C042C"/>
    <w:rsid w:val="008C0498"/>
    <w:rsid w:val="008C20E9"/>
    <w:rsid w:val="008C266F"/>
    <w:rsid w:val="008C287C"/>
    <w:rsid w:val="008C2BF3"/>
    <w:rsid w:val="008C2C4A"/>
    <w:rsid w:val="008C3884"/>
    <w:rsid w:val="008C411C"/>
    <w:rsid w:val="008C7272"/>
    <w:rsid w:val="008D3027"/>
    <w:rsid w:val="008D37BB"/>
    <w:rsid w:val="008D4C0B"/>
    <w:rsid w:val="008D4D2D"/>
    <w:rsid w:val="008D5974"/>
    <w:rsid w:val="008D7BD3"/>
    <w:rsid w:val="008D7E1D"/>
    <w:rsid w:val="008E376D"/>
    <w:rsid w:val="008E391B"/>
    <w:rsid w:val="008E52EB"/>
    <w:rsid w:val="008E599C"/>
    <w:rsid w:val="008E6B2B"/>
    <w:rsid w:val="008E6C12"/>
    <w:rsid w:val="008F0EF5"/>
    <w:rsid w:val="008F2AB2"/>
    <w:rsid w:val="008F46E3"/>
    <w:rsid w:val="008F663E"/>
    <w:rsid w:val="008F7448"/>
    <w:rsid w:val="008F7DF1"/>
    <w:rsid w:val="0090119B"/>
    <w:rsid w:val="00906F18"/>
    <w:rsid w:val="0091173B"/>
    <w:rsid w:val="0091278A"/>
    <w:rsid w:val="009148F3"/>
    <w:rsid w:val="00916997"/>
    <w:rsid w:val="009174E8"/>
    <w:rsid w:val="00920925"/>
    <w:rsid w:val="0092105D"/>
    <w:rsid w:val="00921075"/>
    <w:rsid w:val="00924712"/>
    <w:rsid w:val="00925AC4"/>
    <w:rsid w:val="00925EB0"/>
    <w:rsid w:val="00926B32"/>
    <w:rsid w:val="009276C7"/>
    <w:rsid w:val="00927BA0"/>
    <w:rsid w:val="00933091"/>
    <w:rsid w:val="00933712"/>
    <w:rsid w:val="00935A2D"/>
    <w:rsid w:val="0093638E"/>
    <w:rsid w:val="00936C55"/>
    <w:rsid w:val="00940047"/>
    <w:rsid w:val="00940445"/>
    <w:rsid w:val="009434BC"/>
    <w:rsid w:val="00944DE6"/>
    <w:rsid w:val="00944E7F"/>
    <w:rsid w:val="00947EF1"/>
    <w:rsid w:val="00950247"/>
    <w:rsid w:val="009503CA"/>
    <w:rsid w:val="00953C37"/>
    <w:rsid w:val="00954811"/>
    <w:rsid w:val="00956220"/>
    <w:rsid w:val="0096000A"/>
    <w:rsid w:val="0096010D"/>
    <w:rsid w:val="00960EDE"/>
    <w:rsid w:val="00961BAB"/>
    <w:rsid w:val="00962406"/>
    <w:rsid w:val="009630CB"/>
    <w:rsid w:val="00963B97"/>
    <w:rsid w:val="00966AD1"/>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0734"/>
    <w:rsid w:val="009A2FFF"/>
    <w:rsid w:val="009A469B"/>
    <w:rsid w:val="009A4963"/>
    <w:rsid w:val="009A56DF"/>
    <w:rsid w:val="009A6AF9"/>
    <w:rsid w:val="009B2AF9"/>
    <w:rsid w:val="009B4D8D"/>
    <w:rsid w:val="009C046D"/>
    <w:rsid w:val="009C3BC4"/>
    <w:rsid w:val="009C702B"/>
    <w:rsid w:val="009D2DFD"/>
    <w:rsid w:val="009D2F2C"/>
    <w:rsid w:val="009D5052"/>
    <w:rsid w:val="009D7533"/>
    <w:rsid w:val="009D7980"/>
    <w:rsid w:val="009E00BF"/>
    <w:rsid w:val="009E0F45"/>
    <w:rsid w:val="009E2BCB"/>
    <w:rsid w:val="009E52E5"/>
    <w:rsid w:val="009E610B"/>
    <w:rsid w:val="009E674F"/>
    <w:rsid w:val="009E6B25"/>
    <w:rsid w:val="009E7547"/>
    <w:rsid w:val="009F0921"/>
    <w:rsid w:val="009F2BD4"/>
    <w:rsid w:val="009F5BED"/>
    <w:rsid w:val="009F6F49"/>
    <w:rsid w:val="00A00C29"/>
    <w:rsid w:val="00A03BCD"/>
    <w:rsid w:val="00A054DB"/>
    <w:rsid w:val="00A06276"/>
    <w:rsid w:val="00A10AE0"/>
    <w:rsid w:val="00A10B97"/>
    <w:rsid w:val="00A12CC2"/>
    <w:rsid w:val="00A12EFE"/>
    <w:rsid w:val="00A16B4B"/>
    <w:rsid w:val="00A174ED"/>
    <w:rsid w:val="00A20AB5"/>
    <w:rsid w:val="00A21F91"/>
    <w:rsid w:val="00A23B3A"/>
    <w:rsid w:val="00A27078"/>
    <w:rsid w:val="00A27FCF"/>
    <w:rsid w:val="00A30B99"/>
    <w:rsid w:val="00A30E02"/>
    <w:rsid w:val="00A317A4"/>
    <w:rsid w:val="00A319AA"/>
    <w:rsid w:val="00A37185"/>
    <w:rsid w:val="00A41548"/>
    <w:rsid w:val="00A41940"/>
    <w:rsid w:val="00A41C43"/>
    <w:rsid w:val="00A41EE8"/>
    <w:rsid w:val="00A45134"/>
    <w:rsid w:val="00A50EF1"/>
    <w:rsid w:val="00A51C01"/>
    <w:rsid w:val="00A528DB"/>
    <w:rsid w:val="00A533CC"/>
    <w:rsid w:val="00A533D5"/>
    <w:rsid w:val="00A56010"/>
    <w:rsid w:val="00A609E2"/>
    <w:rsid w:val="00A60A32"/>
    <w:rsid w:val="00A60A7A"/>
    <w:rsid w:val="00A61C0F"/>
    <w:rsid w:val="00A624A0"/>
    <w:rsid w:val="00A663C6"/>
    <w:rsid w:val="00A6686B"/>
    <w:rsid w:val="00A71447"/>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42E"/>
    <w:rsid w:val="00A917F3"/>
    <w:rsid w:val="00A94207"/>
    <w:rsid w:val="00A94AED"/>
    <w:rsid w:val="00A959F9"/>
    <w:rsid w:val="00A971B3"/>
    <w:rsid w:val="00A97578"/>
    <w:rsid w:val="00A97593"/>
    <w:rsid w:val="00A97F30"/>
    <w:rsid w:val="00AA08A7"/>
    <w:rsid w:val="00AA3EEC"/>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C68B6"/>
    <w:rsid w:val="00AD0D3F"/>
    <w:rsid w:val="00AD1C59"/>
    <w:rsid w:val="00AD220C"/>
    <w:rsid w:val="00AD65BC"/>
    <w:rsid w:val="00AE0F61"/>
    <w:rsid w:val="00AE211C"/>
    <w:rsid w:val="00AF062B"/>
    <w:rsid w:val="00AF1EA9"/>
    <w:rsid w:val="00AF20C1"/>
    <w:rsid w:val="00B021B8"/>
    <w:rsid w:val="00B0281B"/>
    <w:rsid w:val="00B033AE"/>
    <w:rsid w:val="00B05179"/>
    <w:rsid w:val="00B05C9C"/>
    <w:rsid w:val="00B063F8"/>
    <w:rsid w:val="00B06D91"/>
    <w:rsid w:val="00B10398"/>
    <w:rsid w:val="00B1094B"/>
    <w:rsid w:val="00B11044"/>
    <w:rsid w:val="00B115C5"/>
    <w:rsid w:val="00B129BC"/>
    <w:rsid w:val="00B132D9"/>
    <w:rsid w:val="00B1349B"/>
    <w:rsid w:val="00B14FC5"/>
    <w:rsid w:val="00B1745B"/>
    <w:rsid w:val="00B21F63"/>
    <w:rsid w:val="00B250E9"/>
    <w:rsid w:val="00B27B01"/>
    <w:rsid w:val="00B27F16"/>
    <w:rsid w:val="00B3403A"/>
    <w:rsid w:val="00B35613"/>
    <w:rsid w:val="00B35EF0"/>
    <w:rsid w:val="00B36CD0"/>
    <w:rsid w:val="00B37DB9"/>
    <w:rsid w:val="00B4209C"/>
    <w:rsid w:val="00B4312D"/>
    <w:rsid w:val="00B47646"/>
    <w:rsid w:val="00B512B0"/>
    <w:rsid w:val="00B51B10"/>
    <w:rsid w:val="00B52230"/>
    <w:rsid w:val="00B5263E"/>
    <w:rsid w:val="00B544AB"/>
    <w:rsid w:val="00B54867"/>
    <w:rsid w:val="00B55763"/>
    <w:rsid w:val="00B5666B"/>
    <w:rsid w:val="00B57ABD"/>
    <w:rsid w:val="00B60AC4"/>
    <w:rsid w:val="00B61377"/>
    <w:rsid w:val="00B6186F"/>
    <w:rsid w:val="00B61A4E"/>
    <w:rsid w:val="00B63589"/>
    <w:rsid w:val="00B63BEB"/>
    <w:rsid w:val="00B6495D"/>
    <w:rsid w:val="00B6654C"/>
    <w:rsid w:val="00B668D3"/>
    <w:rsid w:val="00B66CFB"/>
    <w:rsid w:val="00B67941"/>
    <w:rsid w:val="00B707E5"/>
    <w:rsid w:val="00B7190B"/>
    <w:rsid w:val="00B73EAB"/>
    <w:rsid w:val="00B75C1F"/>
    <w:rsid w:val="00B80E1B"/>
    <w:rsid w:val="00B85E71"/>
    <w:rsid w:val="00B87926"/>
    <w:rsid w:val="00B92B50"/>
    <w:rsid w:val="00B9426A"/>
    <w:rsid w:val="00B94696"/>
    <w:rsid w:val="00B948FB"/>
    <w:rsid w:val="00B949B9"/>
    <w:rsid w:val="00B95080"/>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96E"/>
    <w:rsid w:val="00BC5CAC"/>
    <w:rsid w:val="00BC78AF"/>
    <w:rsid w:val="00BD0480"/>
    <w:rsid w:val="00BD0523"/>
    <w:rsid w:val="00BD05FD"/>
    <w:rsid w:val="00BD1364"/>
    <w:rsid w:val="00BD2A5D"/>
    <w:rsid w:val="00BD321B"/>
    <w:rsid w:val="00BD3FAF"/>
    <w:rsid w:val="00BD437E"/>
    <w:rsid w:val="00BD4A09"/>
    <w:rsid w:val="00BD57FF"/>
    <w:rsid w:val="00BD7D89"/>
    <w:rsid w:val="00BE05B0"/>
    <w:rsid w:val="00BE35F1"/>
    <w:rsid w:val="00BE3837"/>
    <w:rsid w:val="00BE3FFF"/>
    <w:rsid w:val="00BE4033"/>
    <w:rsid w:val="00BE569A"/>
    <w:rsid w:val="00BE5DAC"/>
    <w:rsid w:val="00BE6240"/>
    <w:rsid w:val="00BE676B"/>
    <w:rsid w:val="00BE76F1"/>
    <w:rsid w:val="00BF0867"/>
    <w:rsid w:val="00BF1B84"/>
    <w:rsid w:val="00BF26D3"/>
    <w:rsid w:val="00BF383A"/>
    <w:rsid w:val="00BF6A91"/>
    <w:rsid w:val="00BF6BA5"/>
    <w:rsid w:val="00BF7D04"/>
    <w:rsid w:val="00C005BD"/>
    <w:rsid w:val="00C0066B"/>
    <w:rsid w:val="00C010FF"/>
    <w:rsid w:val="00C02BAD"/>
    <w:rsid w:val="00C03F83"/>
    <w:rsid w:val="00C05CE3"/>
    <w:rsid w:val="00C05EDA"/>
    <w:rsid w:val="00C0607F"/>
    <w:rsid w:val="00C06A97"/>
    <w:rsid w:val="00C13A3D"/>
    <w:rsid w:val="00C142E3"/>
    <w:rsid w:val="00C16446"/>
    <w:rsid w:val="00C16C72"/>
    <w:rsid w:val="00C17BA4"/>
    <w:rsid w:val="00C23E8F"/>
    <w:rsid w:val="00C24DA7"/>
    <w:rsid w:val="00C25B90"/>
    <w:rsid w:val="00C26C86"/>
    <w:rsid w:val="00C31765"/>
    <w:rsid w:val="00C34E83"/>
    <w:rsid w:val="00C3508C"/>
    <w:rsid w:val="00C4104B"/>
    <w:rsid w:val="00C41632"/>
    <w:rsid w:val="00C41CD9"/>
    <w:rsid w:val="00C44583"/>
    <w:rsid w:val="00C454E2"/>
    <w:rsid w:val="00C45CE4"/>
    <w:rsid w:val="00C47325"/>
    <w:rsid w:val="00C47C87"/>
    <w:rsid w:val="00C535BB"/>
    <w:rsid w:val="00C5410B"/>
    <w:rsid w:val="00C54B78"/>
    <w:rsid w:val="00C55C34"/>
    <w:rsid w:val="00C56648"/>
    <w:rsid w:val="00C5766C"/>
    <w:rsid w:val="00C60504"/>
    <w:rsid w:val="00C610F4"/>
    <w:rsid w:val="00C61851"/>
    <w:rsid w:val="00C627E8"/>
    <w:rsid w:val="00C6407D"/>
    <w:rsid w:val="00C6458A"/>
    <w:rsid w:val="00C65C76"/>
    <w:rsid w:val="00C71667"/>
    <w:rsid w:val="00C71FBB"/>
    <w:rsid w:val="00C73A78"/>
    <w:rsid w:val="00C750D8"/>
    <w:rsid w:val="00C75179"/>
    <w:rsid w:val="00C81732"/>
    <w:rsid w:val="00C82B67"/>
    <w:rsid w:val="00C82E08"/>
    <w:rsid w:val="00C84220"/>
    <w:rsid w:val="00C86FE7"/>
    <w:rsid w:val="00C87683"/>
    <w:rsid w:val="00C91A4C"/>
    <w:rsid w:val="00C91E26"/>
    <w:rsid w:val="00C92C2F"/>
    <w:rsid w:val="00C92EAA"/>
    <w:rsid w:val="00C93019"/>
    <w:rsid w:val="00CA03C2"/>
    <w:rsid w:val="00CA1758"/>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6FE"/>
    <w:rsid w:val="00CC7931"/>
    <w:rsid w:val="00CD026B"/>
    <w:rsid w:val="00CD55D0"/>
    <w:rsid w:val="00CD5855"/>
    <w:rsid w:val="00CD5A25"/>
    <w:rsid w:val="00CE4098"/>
    <w:rsid w:val="00CE47C5"/>
    <w:rsid w:val="00CF01BF"/>
    <w:rsid w:val="00CF172E"/>
    <w:rsid w:val="00CF2E13"/>
    <w:rsid w:val="00CF373B"/>
    <w:rsid w:val="00CF4C02"/>
    <w:rsid w:val="00CF64C2"/>
    <w:rsid w:val="00D00229"/>
    <w:rsid w:val="00D00BC8"/>
    <w:rsid w:val="00D01601"/>
    <w:rsid w:val="00D03ADC"/>
    <w:rsid w:val="00D04CFA"/>
    <w:rsid w:val="00D054A4"/>
    <w:rsid w:val="00D05B94"/>
    <w:rsid w:val="00D05C3A"/>
    <w:rsid w:val="00D06331"/>
    <w:rsid w:val="00D109B8"/>
    <w:rsid w:val="00D10FA6"/>
    <w:rsid w:val="00D12223"/>
    <w:rsid w:val="00D12A62"/>
    <w:rsid w:val="00D12DE7"/>
    <w:rsid w:val="00D130F0"/>
    <w:rsid w:val="00D1394F"/>
    <w:rsid w:val="00D14D5E"/>
    <w:rsid w:val="00D15D5B"/>
    <w:rsid w:val="00D17846"/>
    <w:rsid w:val="00D17B7A"/>
    <w:rsid w:val="00D24A2B"/>
    <w:rsid w:val="00D24A36"/>
    <w:rsid w:val="00D25E6A"/>
    <w:rsid w:val="00D30CD7"/>
    <w:rsid w:val="00D31AEB"/>
    <w:rsid w:val="00D336FE"/>
    <w:rsid w:val="00D34978"/>
    <w:rsid w:val="00D34F35"/>
    <w:rsid w:val="00D37B1E"/>
    <w:rsid w:val="00D400BE"/>
    <w:rsid w:val="00D42150"/>
    <w:rsid w:val="00D460CB"/>
    <w:rsid w:val="00D50733"/>
    <w:rsid w:val="00D51306"/>
    <w:rsid w:val="00D51549"/>
    <w:rsid w:val="00D547C2"/>
    <w:rsid w:val="00D57152"/>
    <w:rsid w:val="00D612E4"/>
    <w:rsid w:val="00D65265"/>
    <w:rsid w:val="00D66235"/>
    <w:rsid w:val="00D7005F"/>
    <w:rsid w:val="00D715D4"/>
    <w:rsid w:val="00D73612"/>
    <w:rsid w:val="00D73BF9"/>
    <w:rsid w:val="00D74C52"/>
    <w:rsid w:val="00D76455"/>
    <w:rsid w:val="00D830B3"/>
    <w:rsid w:val="00D850BD"/>
    <w:rsid w:val="00D867EA"/>
    <w:rsid w:val="00D90ABD"/>
    <w:rsid w:val="00D93162"/>
    <w:rsid w:val="00D94694"/>
    <w:rsid w:val="00D94BE7"/>
    <w:rsid w:val="00D94C21"/>
    <w:rsid w:val="00D94EE2"/>
    <w:rsid w:val="00D970D6"/>
    <w:rsid w:val="00DA0866"/>
    <w:rsid w:val="00DA25E8"/>
    <w:rsid w:val="00DA373A"/>
    <w:rsid w:val="00DA3B1F"/>
    <w:rsid w:val="00DA62A6"/>
    <w:rsid w:val="00DA6D64"/>
    <w:rsid w:val="00DB0DAE"/>
    <w:rsid w:val="00DB10CD"/>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963"/>
    <w:rsid w:val="00DD0AAF"/>
    <w:rsid w:val="00DD0FCF"/>
    <w:rsid w:val="00DD10E5"/>
    <w:rsid w:val="00DD1AEE"/>
    <w:rsid w:val="00DD257D"/>
    <w:rsid w:val="00DD2808"/>
    <w:rsid w:val="00DD4262"/>
    <w:rsid w:val="00DD46C1"/>
    <w:rsid w:val="00DD494C"/>
    <w:rsid w:val="00DE0457"/>
    <w:rsid w:val="00DE211C"/>
    <w:rsid w:val="00DE33A6"/>
    <w:rsid w:val="00DE36A9"/>
    <w:rsid w:val="00DE4A61"/>
    <w:rsid w:val="00DE65B5"/>
    <w:rsid w:val="00DF0050"/>
    <w:rsid w:val="00DF1A28"/>
    <w:rsid w:val="00DF297A"/>
    <w:rsid w:val="00DF3C0C"/>
    <w:rsid w:val="00DF666C"/>
    <w:rsid w:val="00E0139B"/>
    <w:rsid w:val="00E03294"/>
    <w:rsid w:val="00E101C1"/>
    <w:rsid w:val="00E12275"/>
    <w:rsid w:val="00E124AB"/>
    <w:rsid w:val="00E129CB"/>
    <w:rsid w:val="00E12FA5"/>
    <w:rsid w:val="00E144DA"/>
    <w:rsid w:val="00E15526"/>
    <w:rsid w:val="00E17E94"/>
    <w:rsid w:val="00E210A5"/>
    <w:rsid w:val="00E21EEB"/>
    <w:rsid w:val="00E240B4"/>
    <w:rsid w:val="00E25B1C"/>
    <w:rsid w:val="00E31002"/>
    <w:rsid w:val="00E32D05"/>
    <w:rsid w:val="00E335FD"/>
    <w:rsid w:val="00E40CB8"/>
    <w:rsid w:val="00E428EA"/>
    <w:rsid w:val="00E43C92"/>
    <w:rsid w:val="00E50155"/>
    <w:rsid w:val="00E51019"/>
    <w:rsid w:val="00E55191"/>
    <w:rsid w:val="00E55ACE"/>
    <w:rsid w:val="00E6057C"/>
    <w:rsid w:val="00E61663"/>
    <w:rsid w:val="00E61F4B"/>
    <w:rsid w:val="00E64298"/>
    <w:rsid w:val="00E646AA"/>
    <w:rsid w:val="00E65A21"/>
    <w:rsid w:val="00E70AF3"/>
    <w:rsid w:val="00E722BD"/>
    <w:rsid w:val="00E745F1"/>
    <w:rsid w:val="00E74A98"/>
    <w:rsid w:val="00E74B24"/>
    <w:rsid w:val="00E74EF2"/>
    <w:rsid w:val="00E751C8"/>
    <w:rsid w:val="00E7665C"/>
    <w:rsid w:val="00E81890"/>
    <w:rsid w:val="00E90A47"/>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0D8E"/>
    <w:rsid w:val="00EE261F"/>
    <w:rsid w:val="00EE6AC7"/>
    <w:rsid w:val="00EE77DF"/>
    <w:rsid w:val="00EE7D2B"/>
    <w:rsid w:val="00EE7DF5"/>
    <w:rsid w:val="00EF1065"/>
    <w:rsid w:val="00EF34BE"/>
    <w:rsid w:val="00EF51B0"/>
    <w:rsid w:val="00EF7DCF"/>
    <w:rsid w:val="00EF7F31"/>
    <w:rsid w:val="00F00C8B"/>
    <w:rsid w:val="00F02AF0"/>
    <w:rsid w:val="00F03389"/>
    <w:rsid w:val="00F053C9"/>
    <w:rsid w:val="00F06929"/>
    <w:rsid w:val="00F06B7D"/>
    <w:rsid w:val="00F07970"/>
    <w:rsid w:val="00F1337A"/>
    <w:rsid w:val="00F15332"/>
    <w:rsid w:val="00F15F8E"/>
    <w:rsid w:val="00F17114"/>
    <w:rsid w:val="00F176FA"/>
    <w:rsid w:val="00F17BBB"/>
    <w:rsid w:val="00F20611"/>
    <w:rsid w:val="00F22186"/>
    <w:rsid w:val="00F23DB3"/>
    <w:rsid w:val="00F30D14"/>
    <w:rsid w:val="00F31B6D"/>
    <w:rsid w:val="00F31CDC"/>
    <w:rsid w:val="00F31DC9"/>
    <w:rsid w:val="00F36946"/>
    <w:rsid w:val="00F40EE0"/>
    <w:rsid w:val="00F41AAC"/>
    <w:rsid w:val="00F43EB7"/>
    <w:rsid w:val="00F443AF"/>
    <w:rsid w:val="00F469A9"/>
    <w:rsid w:val="00F47B94"/>
    <w:rsid w:val="00F506A2"/>
    <w:rsid w:val="00F52A50"/>
    <w:rsid w:val="00F53638"/>
    <w:rsid w:val="00F54A05"/>
    <w:rsid w:val="00F55C37"/>
    <w:rsid w:val="00F562C0"/>
    <w:rsid w:val="00F57424"/>
    <w:rsid w:val="00F60947"/>
    <w:rsid w:val="00F62355"/>
    <w:rsid w:val="00F649FB"/>
    <w:rsid w:val="00F657C8"/>
    <w:rsid w:val="00F676D3"/>
    <w:rsid w:val="00F677FC"/>
    <w:rsid w:val="00F67D65"/>
    <w:rsid w:val="00F700BA"/>
    <w:rsid w:val="00F709D3"/>
    <w:rsid w:val="00F711A7"/>
    <w:rsid w:val="00F726E2"/>
    <w:rsid w:val="00F73746"/>
    <w:rsid w:val="00F73B36"/>
    <w:rsid w:val="00F765A2"/>
    <w:rsid w:val="00F76AB0"/>
    <w:rsid w:val="00F76C9B"/>
    <w:rsid w:val="00F76CE0"/>
    <w:rsid w:val="00F77611"/>
    <w:rsid w:val="00F803A1"/>
    <w:rsid w:val="00F817E9"/>
    <w:rsid w:val="00F837C6"/>
    <w:rsid w:val="00F84551"/>
    <w:rsid w:val="00F84901"/>
    <w:rsid w:val="00F84F6A"/>
    <w:rsid w:val="00F85526"/>
    <w:rsid w:val="00F87F81"/>
    <w:rsid w:val="00F9003B"/>
    <w:rsid w:val="00F913A9"/>
    <w:rsid w:val="00F915BF"/>
    <w:rsid w:val="00F9643E"/>
    <w:rsid w:val="00F9761D"/>
    <w:rsid w:val="00FA1BA3"/>
    <w:rsid w:val="00FA24D8"/>
    <w:rsid w:val="00FA25D3"/>
    <w:rsid w:val="00FA3962"/>
    <w:rsid w:val="00FA3BD0"/>
    <w:rsid w:val="00FA4868"/>
    <w:rsid w:val="00FA5EBF"/>
    <w:rsid w:val="00FB2865"/>
    <w:rsid w:val="00FB3A85"/>
    <w:rsid w:val="00FB4127"/>
    <w:rsid w:val="00FC002E"/>
    <w:rsid w:val="00FC0E5A"/>
    <w:rsid w:val="00FC4AAA"/>
    <w:rsid w:val="00FC6C20"/>
    <w:rsid w:val="00FC7037"/>
    <w:rsid w:val="00FC75B8"/>
    <w:rsid w:val="00FD05BD"/>
    <w:rsid w:val="00FD1547"/>
    <w:rsid w:val="00FD1A6F"/>
    <w:rsid w:val="00FD43A0"/>
    <w:rsid w:val="00FD5BD3"/>
    <w:rsid w:val="00FD6C56"/>
    <w:rsid w:val="00FE08F8"/>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317CF"/>
  <w15:docId w15:val="{0785298F-6617-4CE6-9851-01E4308E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FD1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52EEA"/>
    <w:pPr>
      <w:spacing w:line="240" w:lineRule="exact"/>
      <w:jc w:val="both"/>
    </w:pPr>
    <w:rPr>
      <w:sz w:val="20"/>
      <w:szCs w:val="20"/>
      <w:vertAlign w:val="superscript"/>
    </w:rPr>
  </w:style>
  <w:style w:type="character" w:customStyle="1" w:styleId="Heading4Char">
    <w:name w:val="Heading 4 Char"/>
    <w:basedOn w:val="DefaultParagraphFont"/>
    <w:link w:val="Heading4"/>
    <w:semiHidden/>
    <w:rsid w:val="00FD1A6F"/>
    <w:rPr>
      <w:rFonts w:asciiTheme="majorHAnsi" w:eastAsiaTheme="majorEastAsia" w:hAnsiTheme="majorHAnsi" w:cstheme="majorBidi"/>
      <w:b/>
      <w:bCs/>
      <w:i/>
      <w:iCs/>
      <w:color w:val="4F81BD" w:themeColor="accent1"/>
      <w:sz w:val="24"/>
      <w:szCs w:val="24"/>
    </w:rPr>
  </w:style>
  <w:style w:type="paragraph" w:customStyle="1" w:styleId="Para1">
    <w:name w:val="Para1"/>
    <w:basedOn w:val="Normal"/>
    <w:rsid w:val="00FD1A6F"/>
    <w:pPr>
      <w:spacing w:after="120"/>
    </w:pPr>
    <w:rPr>
      <w:snapToGrid w:val="0"/>
      <w:szCs w:val="18"/>
      <w:lang w:eastAsia="en-US"/>
    </w:rPr>
  </w:style>
  <w:style w:type="paragraph" w:customStyle="1" w:styleId="Para3">
    <w:name w:val="Para3"/>
    <w:basedOn w:val="Normal"/>
    <w:rsid w:val="00FD1A6F"/>
    <w:pPr>
      <w:numPr>
        <w:ilvl w:val="2"/>
        <w:numId w:val="8"/>
      </w:numPr>
      <w:tabs>
        <w:tab w:val="left" w:pos="1980"/>
      </w:tabs>
      <w:spacing w:before="80" w:after="80"/>
    </w:pPr>
    <w:rPr>
      <w:szCs w:val="20"/>
      <w:lang w:eastAsia="en-US"/>
    </w:rPr>
  </w:style>
  <w:style w:type="paragraph" w:styleId="NormalWeb">
    <w:name w:val="Normal (Web)"/>
    <w:basedOn w:val="Normal"/>
    <w:uiPriority w:val="99"/>
    <w:unhideWhenUsed/>
    <w:rsid w:val="00A97F3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01446">
      <w:bodyDiv w:val="1"/>
      <w:marLeft w:val="0"/>
      <w:marRight w:val="0"/>
      <w:marTop w:val="0"/>
      <w:marBottom w:val="0"/>
      <w:divBdr>
        <w:top w:val="none" w:sz="0" w:space="0" w:color="auto"/>
        <w:left w:val="none" w:sz="0" w:space="0" w:color="auto"/>
        <w:bottom w:val="none" w:sz="0" w:space="0" w:color="auto"/>
        <w:right w:val="none" w:sz="0" w:space="0" w:color="auto"/>
      </w:divBdr>
    </w:div>
    <w:div w:id="1351569360">
      <w:bodyDiv w:val="1"/>
      <w:marLeft w:val="0"/>
      <w:marRight w:val="0"/>
      <w:marTop w:val="0"/>
      <w:marBottom w:val="0"/>
      <w:divBdr>
        <w:top w:val="none" w:sz="0" w:space="0" w:color="auto"/>
        <w:left w:val="none" w:sz="0" w:space="0" w:color="auto"/>
        <w:bottom w:val="none" w:sz="0" w:space="0" w:color="auto"/>
        <w:right w:val="none" w:sz="0" w:space="0" w:color="auto"/>
      </w:divBdr>
    </w:div>
    <w:div w:id="1433939726">
      <w:bodyDiv w:val="1"/>
      <w:marLeft w:val="0"/>
      <w:marRight w:val="0"/>
      <w:marTop w:val="0"/>
      <w:marBottom w:val="0"/>
      <w:divBdr>
        <w:top w:val="none" w:sz="0" w:space="0" w:color="auto"/>
        <w:left w:val="none" w:sz="0" w:space="0" w:color="auto"/>
        <w:bottom w:val="none" w:sz="0" w:space="0" w:color="auto"/>
        <w:right w:val="none" w:sz="0" w:space="0" w:color="auto"/>
      </w:divBdr>
    </w:div>
    <w:div w:id="1639724685">
      <w:bodyDiv w:val="1"/>
      <w:marLeft w:val="0"/>
      <w:marRight w:val="0"/>
      <w:marTop w:val="0"/>
      <w:marBottom w:val="0"/>
      <w:divBdr>
        <w:top w:val="none" w:sz="0" w:space="0" w:color="auto"/>
        <w:left w:val="none" w:sz="0" w:space="0" w:color="auto"/>
        <w:bottom w:val="none" w:sz="0" w:space="0" w:color="auto"/>
        <w:right w:val="none" w:sz="0" w:space="0" w:color="auto"/>
      </w:divBdr>
    </w:div>
    <w:div w:id="19912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information/adm-f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92691-4771-470D-A058-16BDC3D6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4384</Words>
  <Characters>24992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SBI-03-01-add3-ar</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SBI-03-01-add3-ar</dc:title>
  <dc:creator>SCBD</dc:creator>
  <cp:lastModifiedBy>Xue He Yan</cp:lastModifiedBy>
  <cp:revision>5</cp:revision>
  <cp:lastPrinted>2021-11-26T01:58:00Z</cp:lastPrinted>
  <dcterms:created xsi:type="dcterms:W3CDTF">2022-02-08T13:18:00Z</dcterms:created>
  <dcterms:modified xsi:type="dcterms:W3CDTF">2022-02-09T13:27:00Z</dcterms:modified>
</cp:coreProperties>
</file>