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BB1FA5" w:rsidRPr="00BB1FA5" w14:paraId="304AD780" w14:textId="77777777" w:rsidTr="008F63F3">
        <w:trPr>
          <w:trHeight w:val="851"/>
        </w:trPr>
        <w:tc>
          <w:tcPr>
            <w:tcW w:w="454" w:type="pct"/>
            <w:tcBorders>
              <w:bottom w:val="single" w:sz="8" w:space="0" w:color="auto"/>
            </w:tcBorders>
            <w:vAlign w:val="bottom"/>
          </w:tcPr>
          <w:p w14:paraId="722E3A0B" w14:textId="77777777" w:rsidR="00BB1FA5" w:rsidRPr="00285F98" w:rsidRDefault="00BB1FA5" w:rsidP="008F63F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285F98">
              <w:rPr>
                <w:rFonts w:eastAsia="Times New Roman"/>
                <w:noProof/>
                <w:sz w:val="24"/>
                <w:lang w:val="en-GB"/>
              </w:rPr>
              <w:drawing>
                <wp:inline distT="0" distB="0" distL="0" distR="0" wp14:anchorId="38AFA6DD" wp14:editId="45A12E72">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275A0F8" w14:textId="77777777" w:rsidR="00BB1FA5" w:rsidRPr="00285F98" w:rsidRDefault="00BB1FA5" w:rsidP="008F63F3">
            <w:pPr>
              <w:tabs>
                <w:tab w:val="clear" w:pos="567"/>
                <w:tab w:val="clear" w:pos="1134"/>
                <w:tab w:val="clear" w:pos="1701"/>
                <w:tab w:val="clear" w:pos="2268"/>
              </w:tabs>
              <w:spacing w:before="60"/>
              <w:rPr>
                <w:rFonts w:eastAsia="黑体"/>
                <w:sz w:val="24"/>
                <w:lang w:val="en-GB" w:eastAsia="zh-CN"/>
              </w:rPr>
            </w:pPr>
            <w:r w:rsidRPr="00285F98">
              <w:rPr>
                <w:rFonts w:eastAsia="黑体"/>
                <w:noProof/>
                <w:lang w:val="en-GB" w:eastAsia="zh-CN"/>
              </w:rPr>
              <w:drawing>
                <wp:anchor distT="0" distB="0" distL="114300" distR="114300" simplePos="0" relativeHeight="251659264" behindDoc="0" locked="0" layoutInCell="1" allowOverlap="1" wp14:anchorId="537FB42A" wp14:editId="652F868C">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85F98">
              <w:rPr>
                <w:rFonts w:eastAsia="黑体" w:hint="eastAsia"/>
                <w:sz w:val="24"/>
                <w:lang w:val="en-GB" w:eastAsia="zh-CN"/>
              </w:rPr>
              <w:t>联合国</w:t>
            </w:r>
          </w:p>
          <w:p w14:paraId="25AD365E" w14:textId="77777777" w:rsidR="00BB1FA5" w:rsidRPr="00285F98" w:rsidRDefault="00BB1FA5" w:rsidP="008F63F3">
            <w:pPr>
              <w:tabs>
                <w:tab w:val="clear" w:pos="567"/>
                <w:tab w:val="clear" w:pos="1134"/>
                <w:tab w:val="clear" w:pos="1701"/>
                <w:tab w:val="clear" w:pos="2268"/>
              </w:tabs>
              <w:rPr>
                <w:rFonts w:eastAsia="黑体"/>
                <w:sz w:val="24"/>
                <w:lang w:val="en-GB" w:eastAsia="zh-CN"/>
              </w:rPr>
            </w:pPr>
            <w:r w:rsidRPr="00285F98">
              <w:rPr>
                <w:rFonts w:eastAsia="黑体" w:hint="eastAsia"/>
                <w:sz w:val="24"/>
                <w:lang w:val="en-GB" w:eastAsia="zh-CN"/>
              </w:rPr>
              <w:t>环境规划署</w:t>
            </w:r>
          </w:p>
        </w:tc>
        <w:tc>
          <w:tcPr>
            <w:tcW w:w="2692" w:type="pct"/>
            <w:tcBorders>
              <w:bottom w:val="single" w:sz="8" w:space="0" w:color="auto"/>
            </w:tcBorders>
            <w:vAlign w:val="bottom"/>
          </w:tcPr>
          <w:p w14:paraId="010B79C3" w14:textId="4F63FF91" w:rsidR="00BB1FA5" w:rsidRPr="00285F98" w:rsidRDefault="00BB1FA5" w:rsidP="008F63F3">
            <w:pPr>
              <w:tabs>
                <w:tab w:val="clear" w:pos="567"/>
                <w:tab w:val="clear" w:pos="1134"/>
                <w:tab w:val="clear" w:pos="1701"/>
                <w:tab w:val="clear" w:pos="2268"/>
              </w:tabs>
              <w:spacing w:after="120"/>
              <w:ind w:left="2021"/>
              <w:jc w:val="right"/>
              <w:rPr>
                <w:rFonts w:eastAsiaTheme="minorEastAsia"/>
                <w:sz w:val="22"/>
                <w:lang w:val="en-GB" w:eastAsia="zh-CN"/>
              </w:rPr>
            </w:pPr>
            <w:r w:rsidRPr="00285F98">
              <w:rPr>
                <w:rFonts w:eastAsia="Times New Roman"/>
                <w:sz w:val="40"/>
                <w:szCs w:val="40"/>
                <w:lang w:val="en-GB"/>
              </w:rPr>
              <w:t>CBD</w:t>
            </w:r>
            <w:r w:rsidRPr="00285F98">
              <w:rPr>
                <w:rFonts w:eastAsia="Times New Roman"/>
                <w:sz w:val="24"/>
                <w:szCs w:val="22"/>
              </w:rPr>
              <w:t>/CP/MOP/11/</w:t>
            </w:r>
            <w:r>
              <w:rPr>
                <w:rFonts w:eastAsiaTheme="minorEastAsia" w:hint="eastAsia"/>
                <w:sz w:val="24"/>
                <w:szCs w:val="22"/>
                <w:lang w:eastAsia="zh-CN"/>
              </w:rPr>
              <w:t>10</w:t>
            </w:r>
          </w:p>
        </w:tc>
      </w:tr>
      <w:tr w:rsidR="00BB1FA5" w:rsidRPr="00BB1FA5" w14:paraId="0A17DD95" w14:textId="77777777" w:rsidTr="008F63F3">
        <w:tc>
          <w:tcPr>
            <w:tcW w:w="2308" w:type="pct"/>
            <w:gridSpan w:val="2"/>
            <w:tcBorders>
              <w:top w:val="single" w:sz="8" w:space="0" w:color="auto"/>
              <w:bottom w:val="single" w:sz="12" w:space="0" w:color="auto"/>
            </w:tcBorders>
          </w:tcPr>
          <w:p w14:paraId="423A230A" w14:textId="77777777" w:rsidR="00BB1FA5" w:rsidRPr="00285F98" w:rsidRDefault="00BB1FA5" w:rsidP="008F63F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285F98">
              <w:rPr>
                <w:b/>
                <w:noProof/>
                <w:sz w:val="24"/>
                <w:lang w:eastAsia="zh-CN"/>
              </w:rPr>
              <w:drawing>
                <wp:inline distT="0" distB="0" distL="0" distR="0" wp14:anchorId="6B499A26" wp14:editId="01AB963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B5F1E4C" w14:textId="77777777" w:rsidR="00BB1FA5" w:rsidRPr="00285F98" w:rsidRDefault="00BB1FA5" w:rsidP="008F63F3">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Distr.: General</w:t>
            </w:r>
          </w:p>
          <w:p w14:paraId="1B1A1BBC" w14:textId="017D1F7E" w:rsidR="00BB1FA5" w:rsidRPr="00285F98" w:rsidRDefault="00BB1FA5" w:rsidP="008F63F3">
            <w:pPr>
              <w:tabs>
                <w:tab w:val="clear" w:pos="567"/>
                <w:tab w:val="clear" w:pos="1134"/>
                <w:tab w:val="clear" w:pos="1701"/>
                <w:tab w:val="clear" w:pos="2268"/>
              </w:tabs>
              <w:ind w:left="2021"/>
              <w:rPr>
                <w:rFonts w:eastAsia="Times New Roman"/>
                <w:sz w:val="24"/>
                <w:lang w:val="en-GB"/>
              </w:rPr>
            </w:pPr>
            <w:r>
              <w:rPr>
                <w:rFonts w:eastAsiaTheme="minorEastAsia" w:hint="eastAsia"/>
                <w:sz w:val="24"/>
                <w:lang w:val="en-GB" w:eastAsia="zh-CN"/>
              </w:rPr>
              <w:t>8</w:t>
            </w:r>
            <w:r w:rsidRPr="00D2794E">
              <w:rPr>
                <w:rFonts w:eastAsia="Times New Roman"/>
                <w:sz w:val="24"/>
                <w:lang w:val="en-GB"/>
              </w:rPr>
              <w:t xml:space="preserve"> July </w:t>
            </w:r>
            <w:r w:rsidRPr="00285F98">
              <w:rPr>
                <w:rFonts w:eastAsia="Times New Roman"/>
                <w:sz w:val="24"/>
              </w:rPr>
              <w:t>2024</w:t>
            </w:r>
          </w:p>
          <w:p w14:paraId="53A6B1C5" w14:textId="77777777" w:rsidR="00BB1FA5" w:rsidRPr="00285F98" w:rsidRDefault="00BB1FA5" w:rsidP="008F63F3">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Chinese</w:t>
            </w:r>
          </w:p>
          <w:p w14:paraId="3CFEAE6E" w14:textId="77777777" w:rsidR="00BB1FA5" w:rsidRPr="00285F98" w:rsidRDefault="00BB1FA5" w:rsidP="008F63F3">
            <w:pPr>
              <w:tabs>
                <w:tab w:val="clear" w:pos="567"/>
                <w:tab w:val="clear" w:pos="1134"/>
                <w:tab w:val="clear" w:pos="1701"/>
                <w:tab w:val="clear" w:pos="2268"/>
              </w:tabs>
              <w:ind w:left="2021"/>
              <w:rPr>
                <w:rFonts w:eastAsia="Times New Roman"/>
                <w:sz w:val="24"/>
                <w:lang w:val="en-GB"/>
              </w:rPr>
            </w:pPr>
            <w:r w:rsidRPr="00285F98">
              <w:rPr>
                <w:rFonts w:eastAsia="Times New Roman"/>
                <w:sz w:val="24"/>
                <w:lang w:val="en-GB"/>
              </w:rPr>
              <w:t>Original: English</w:t>
            </w:r>
          </w:p>
          <w:p w14:paraId="11767FF7" w14:textId="77777777" w:rsidR="00BB1FA5" w:rsidRPr="00285F98" w:rsidRDefault="00BB1FA5" w:rsidP="008F63F3">
            <w:pPr>
              <w:tabs>
                <w:tab w:val="clear" w:pos="567"/>
                <w:tab w:val="clear" w:pos="1134"/>
                <w:tab w:val="clear" w:pos="1701"/>
                <w:tab w:val="clear" w:pos="2268"/>
              </w:tabs>
              <w:rPr>
                <w:rFonts w:eastAsia="Times New Roman"/>
                <w:sz w:val="24"/>
                <w:szCs w:val="24"/>
                <w:lang w:val="en-GB"/>
              </w:rPr>
            </w:pPr>
          </w:p>
        </w:tc>
      </w:tr>
    </w:tbl>
    <w:bookmarkEnd w:id="1"/>
    <w:bookmarkEnd w:id="2"/>
    <w:p w14:paraId="509C4F1B" w14:textId="77777777" w:rsidR="00BB1FA5" w:rsidRPr="00285F98" w:rsidRDefault="00BB1FA5" w:rsidP="00BB1FA5">
      <w:pPr>
        <w:pStyle w:val="Cornernotation"/>
        <w:tabs>
          <w:tab w:val="clear" w:pos="567"/>
          <w:tab w:val="clear" w:pos="1134"/>
          <w:tab w:val="clear" w:pos="1701"/>
          <w:tab w:val="clear" w:pos="2268"/>
        </w:tabs>
        <w:spacing w:before="120"/>
        <w:ind w:left="0" w:right="4262" w:firstLine="0"/>
        <w:rPr>
          <w:bCs/>
          <w:szCs w:val="24"/>
          <w:lang w:eastAsia="zh-CN"/>
        </w:rPr>
      </w:pPr>
      <w:r w:rsidRPr="00285F98">
        <w:rPr>
          <w:rFonts w:hint="eastAsia"/>
          <w:bCs/>
          <w:szCs w:val="24"/>
          <w:lang w:val="en-GB" w:eastAsia="zh-CN"/>
        </w:rPr>
        <w:t>作为卡塔赫纳生物安全议定书缔约方会议</w:t>
      </w:r>
      <w:r w:rsidRPr="00285F98">
        <w:rPr>
          <w:bCs/>
          <w:szCs w:val="24"/>
          <w:lang w:val="en-GB" w:eastAsia="zh-CN"/>
        </w:rPr>
        <w:br/>
      </w:r>
      <w:r w:rsidRPr="00285F98">
        <w:rPr>
          <w:rFonts w:hint="eastAsia"/>
          <w:bCs/>
          <w:szCs w:val="24"/>
          <w:lang w:val="en-GB" w:eastAsia="zh-CN"/>
        </w:rPr>
        <w:t>的生物多样性公约缔约方大会</w:t>
      </w:r>
    </w:p>
    <w:p w14:paraId="17939E92" w14:textId="77777777" w:rsidR="00BB1FA5" w:rsidRPr="00285F98" w:rsidRDefault="00BB1FA5" w:rsidP="00BB1FA5">
      <w:pPr>
        <w:pStyle w:val="Cornernotation"/>
        <w:tabs>
          <w:tab w:val="clear" w:pos="567"/>
          <w:tab w:val="clear" w:pos="1134"/>
          <w:tab w:val="clear" w:pos="1701"/>
          <w:tab w:val="clear" w:pos="2268"/>
        </w:tabs>
        <w:rPr>
          <w:bCs/>
          <w:szCs w:val="24"/>
          <w:lang w:eastAsia="zh-CN"/>
        </w:rPr>
      </w:pPr>
      <w:r w:rsidRPr="00285F98">
        <w:rPr>
          <w:rFonts w:hint="eastAsia"/>
          <w:bCs/>
          <w:szCs w:val="24"/>
          <w:lang w:eastAsia="zh-CN"/>
        </w:rPr>
        <w:t>第十一次会议</w:t>
      </w:r>
    </w:p>
    <w:p w14:paraId="1536FFC3" w14:textId="77777777" w:rsidR="00BB1FA5" w:rsidRPr="00285F98" w:rsidRDefault="00BB1FA5" w:rsidP="00BB1FA5">
      <w:pPr>
        <w:pStyle w:val="Venuedate"/>
        <w:tabs>
          <w:tab w:val="clear" w:pos="567"/>
          <w:tab w:val="clear" w:pos="1134"/>
          <w:tab w:val="clear" w:pos="1701"/>
          <w:tab w:val="clear" w:pos="2268"/>
        </w:tabs>
        <w:rPr>
          <w:sz w:val="24"/>
          <w:szCs w:val="24"/>
          <w:lang w:val="en-CA" w:eastAsia="zh-CN"/>
        </w:rPr>
      </w:pPr>
      <w:bookmarkStart w:id="3" w:name="_Hlk170896575"/>
      <w:r w:rsidRPr="00285F98">
        <w:rPr>
          <w:rFonts w:hint="eastAsia"/>
          <w:sz w:val="24"/>
          <w:szCs w:val="24"/>
          <w:lang w:eastAsia="zh-CN"/>
        </w:rPr>
        <w:t>2024</w:t>
      </w:r>
      <w:r w:rsidRPr="00285F98">
        <w:rPr>
          <w:rFonts w:hint="eastAsia"/>
          <w:sz w:val="24"/>
          <w:szCs w:val="24"/>
          <w:lang w:eastAsia="zh-CN"/>
        </w:rPr>
        <w:t>年</w:t>
      </w:r>
      <w:r w:rsidRPr="00285F98">
        <w:rPr>
          <w:rFonts w:hint="eastAsia"/>
          <w:sz w:val="24"/>
          <w:szCs w:val="24"/>
          <w:lang w:eastAsia="zh-CN"/>
        </w:rPr>
        <w:t>10</w:t>
      </w:r>
      <w:r w:rsidRPr="00285F98">
        <w:rPr>
          <w:rFonts w:hint="eastAsia"/>
          <w:sz w:val="24"/>
          <w:szCs w:val="24"/>
          <w:lang w:eastAsia="zh-CN"/>
        </w:rPr>
        <w:t>月</w:t>
      </w:r>
      <w:r w:rsidRPr="00285F98">
        <w:rPr>
          <w:rFonts w:hint="eastAsia"/>
          <w:sz w:val="24"/>
          <w:szCs w:val="24"/>
          <w:lang w:eastAsia="zh-CN"/>
        </w:rPr>
        <w:t>21</w:t>
      </w:r>
      <w:r w:rsidRPr="00285F98">
        <w:rPr>
          <w:rFonts w:hint="eastAsia"/>
          <w:sz w:val="24"/>
          <w:szCs w:val="24"/>
          <w:lang w:eastAsia="zh-CN"/>
        </w:rPr>
        <w:t>日至</w:t>
      </w:r>
      <w:r w:rsidRPr="00285F98">
        <w:rPr>
          <w:rFonts w:hint="eastAsia"/>
          <w:sz w:val="24"/>
          <w:szCs w:val="24"/>
          <w:lang w:eastAsia="zh-CN"/>
        </w:rPr>
        <w:t>11</w:t>
      </w:r>
      <w:r w:rsidRPr="00285F98">
        <w:rPr>
          <w:rFonts w:hint="eastAsia"/>
          <w:sz w:val="24"/>
          <w:szCs w:val="24"/>
          <w:lang w:eastAsia="zh-CN"/>
        </w:rPr>
        <w:t>月</w:t>
      </w:r>
      <w:r w:rsidRPr="00285F98">
        <w:rPr>
          <w:rFonts w:hint="eastAsia"/>
          <w:sz w:val="24"/>
          <w:szCs w:val="24"/>
          <w:lang w:eastAsia="zh-CN"/>
        </w:rPr>
        <w:t>1</w:t>
      </w:r>
      <w:r w:rsidRPr="00285F98">
        <w:rPr>
          <w:rFonts w:hint="eastAsia"/>
          <w:sz w:val="24"/>
          <w:szCs w:val="24"/>
          <w:lang w:eastAsia="zh-CN"/>
        </w:rPr>
        <w:t>日，哥伦比亚卡利</w:t>
      </w:r>
      <w:bookmarkEnd w:id="3"/>
    </w:p>
    <w:p w14:paraId="754C9A7E" w14:textId="51DF2025" w:rsidR="00BB1FA5" w:rsidRDefault="00BB1FA5" w:rsidP="00BB1FA5">
      <w:pPr>
        <w:rPr>
          <w:sz w:val="24"/>
          <w:szCs w:val="24"/>
          <w:lang w:eastAsia="zh-CN"/>
        </w:rPr>
      </w:pPr>
      <w:r w:rsidRPr="00285F98">
        <w:rPr>
          <w:rFonts w:hint="eastAsia"/>
          <w:sz w:val="24"/>
          <w:szCs w:val="24"/>
          <w:lang w:eastAsia="zh-CN"/>
        </w:rPr>
        <w:t>临时议程</w:t>
      </w:r>
      <w:r w:rsidRPr="00285F98">
        <w:rPr>
          <w:sz w:val="24"/>
          <w:szCs w:val="24"/>
          <w:vertAlign w:val="superscript"/>
          <w:lang w:eastAsia="zh-CN"/>
        </w:rPr>
        <w:footnoteReference w:customMarkFollows="1" w:id="2"/>
        <w:t>*</w:t>
      </w:r>
      <w:r w:rsidRPr="00285F98">
        <w:rPr>
          <w:rFonts w:hint="eastAsia"/>
          <w:sz w:val="24"/>
          <w:szCs w:val="24"/>
          <w:lang w:eastAsia="zh-CN"/>
        </w:rPr>
        <w:t>项目</w:t>
      </w:r>
      <w:r>
        <w:rPr>
          <w:rFonts w:hint="eastAsia"/>
          <w:sz w:val="24"/>
          <w:szCs w:val="24"/>
          <w:lang w:eastAsia="zh-CN"/>
        </w:rPr>
        <w:t>13</w:t>
      </w:r>
    </w:p>
    <w:p w14:paraId="475D9D1A" w14:textId="6D60D120" w:rsidR="00BB1FA5" w:rsidRPr="00BB1FA5" w:rsidRDefault="00BB1FA5" w:rsidP="00BB1FA5">
      <w:pPr>
        <w:rPr>
          <w:b/>
          <w:bCs/>
          <w:sz w:val="24"/>
          <w:lang w:eastAsia="zh-CN"/>
        </w:rPr>
      </w:pPr>
      <w:bookmarkStart w:id="4" w:name="_Hlk176443797"/>
      <w:r w:rsidRPr="00BB1FA5">
        <w:rPr>
          <w:rFonts w:hint="eastAsia"/>
          <w:b/>
          <w:bCs/>
          <w:sz w:val="24"/>
          <w:szCs w:val="24"/>
          <w:lang w:val="en-GB" w:eastAsia="zh-CN"/>
        </w:rPr>
        <w:t>社会经济考虑因素</w:t>
      </w:r>
      <w:bookmarkEnd w:id="4"/>
    </w:p>
    <w:p w14:paraId="3E432CB9" w14:textId="77777777" w:rsidR="00BB1FA5" w:rsidRPr="00BB1FA5" w:rsidRDefault="00BB1FA5">
      <w:pPr>
        <w:rPr>
          <w:sz w:val="24"/>
          <w:lang w:eastAsia="zh-CN"/>
        </w:rPr>
      </w:pPr>
    </w:p>
    <w:p w14:paraId="014CE0A0" w14:textId="7D73661E" w:rsidR="00A96B21" w:rsidRPr="00245F6C" w:rsidRDefault="00BB1FA5" w:rsidP="00BB1FA5">
      <w:pPr>
        <w:pStyle w:val="Title"/>
        <w:tabs>
          <w:tab w:val="clear" w:pos="567"/>
          <w:tab w:val="clear" w:pos="1134"/>
          <w:tab w:val="clear" w:pos="1701"/>
          <w:tab w:val="clear" w:pos="2268"/>
        </w:tabs>
        <w:ind w:left="490"/>
        <w:rPr>
          <w:lang w:val="en-GB" w:eastAsia="zh-CN"/>
        </w:rPr>
      </w:pPr>
      <w:r w:rsidRPr="00BB1FA5">
        <w:rPr>
          <w:rFonts w:ascii="Times New Roman" w:eastAsia="宋体" w:hAnsi="Times New Roman"/>
          <w:lang w:val="en-GB" w:eastAsia="zh-CN"/>
        </w:rPr>
        <w:t>社会经济考虑因素</w:t>
      </w:r>
    </w:p>
    <w:p w14:paraId="7D521A8F" w14:textId="3AAE9739" w:rsidR="00A96B21" w:rsidRPr="00F20F63" w:rsidRDefault="00F20F63" w:rsidP="00BB1FA5">
      <w:pPr>
        <w:pStyle w:val="Subtitle"/>
        <w:tabs>
          <w:tab w:val="clear" w:pos="567"/>
          <w:tab w:val="clear" w:pos="1134"/>
          <w:tab w:val="clear" w:pos="1701"/>
          <w:tab w:val="clear" w:pos="2268"/>
        </w:tabs>
        <w:spacing w:before="120" w:after="120"/>
        <w:ind w:left="490"/>
        <w:jc w:val="left"/>
        <w:rPr>
          <w:rFonts w:ascii="Times New Roman" w:eastAsia="宋体" w:hAnsi="Times New Roman" w:cs="Times New Roman"/>
          <w:color w:val="auto"/>
          <w:sz w:val="24"/>
          <w:lang w:val="en-GB" w:eastAsia="zh-CN"/>
        </w:rPr>
      </w:pPr>
      <w:r w:rsidRPr="00F20F63">
        <w:rPr>
          <w:rFonts w:ascii="Times New Roman" w:eastAsia="宋体" w:hAnsi="Times New Roman" w:cs="Times New Roman"/>
          <w:color w:val="auto"/>
          <w:sz w:val="24"/>
          <w:lang w:val="en-GB" w:eastAsia="zh-CN"/>
        </w:rPr>
        <w:t>秘书处的说明</w:t>
      </w:r>
    </w:p>
    <w:p w14:paraId="51D1E83F" w14:textId="1BC3CA38" w:rsidR="00FA18C9" w:rsidRPr="00F20F63" w:rsidRDefault="00825E50" w:rsidP="00BB1FA5">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一</w:t>
      </w:r>
      <w:r w:rsidR="00FF3766" w:rsidRPr="00F20F63">
        <w:rPr>
          <w:lang w:eastAsia="zh-CN"/>
        </w:rPr>
        <w:t>.</w:t>
      </w:r>
      <w:r w:rsidR="00FF3766" w:rsidRPr="00F20F63">
        <w:rPr>
          <w:lang w:eastAsia="zh-CN"/>
        </w:rPr>
        <w:tab/>
      </w:r>
      <w:r>
        <w:rPr>
          <w:rFonts w:hint="eastAsia"/>
          <w:lang w:eastAsia="zh-CN"/>
        </w:rPr>
        <w:t>导言</w:t>
      </w:r>
    </w:p>
    <w:p w14:paraId="1AFFAC78" w14:textId="05A47448" w:rsidR="00611774"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Pr="00F20F63">
        <w:rPr>
          <w:sz w:val="24"/>
          <w:lang w:eastAsia="zh-CN"/>
        </w:rPr>
        <w:tab/>
      </w:r>
      <w:r w:rsidR="00922C0D" w:rsidRPr="00922C0D">
        <w:rPr>
          <w:rFonts w:hint="eastAsia"/>
          <w:sz w:val="24"/>
          <w:lang w:val="en-US" w:eastAsia="zh-CN"/>
        </w:rPr>
        <w:t>作为卡塔赫纳生物安全议定书缔约方会议的缔约方大会在其第</w:t>
      </w:r>
      <w:r w:rsidR="00922C0D" w:rsidRPr="00922C0D">
        <w:rPr>
          <w:rFonts w:hint="eastAsia"/>
          <w:sz w:val="24"/>
          <w:lang w:val="en-US" w:eastAsia="zh-CN"/>
        </w:rPr>
        <w:t xml:space="preserve"> CP-9/14 </w:t>
      </w:r>
      <w:r w:rsidR="00922C0D" w:rsidRPr="00922C0D">
        <w:rPr>
          <w:rFonts w:hint="eastAsia"/>
          <w:sz w:val="24"/>
          <w:lang w:val="en-US" w:eastAsia="zh-CN"/>
        </w:rPr>
        <w:t>号决定中表示</w:t>
      </w:r>
      <w:r w:rsidR="00D36BB0">
        <w:rPr>
          <w:rFonts w:hint="eastAsia"/>
          <w:sz w:val="24"/>
          <w:lang w:val="en-US" w:eastAsia="zh-CN"/>
        </w:rPr>
        <w:t>，</w:t>
      </w:r>
      <w:r w:rsidR="00922C0D" w:rsidRPr="00922C0D">
        <w:rPr>
          <w:rFonts w:hint="eastAsia"/>
          <w:sz w:val="24"/>
          <w:lang w:val="en-US" w:eastAsia="zh-CN"/>
        </w:rPr>
        <w:t>注意到</w:t>
      </w:r>
      <w:r w:rsidR="00922C0D" w:rsidRPr="00922C0D">
        <w:rPr>
          <w:rFonts w:hint="eastAsia"/>
          <w:sz w:val="24"/>
          <w:lang w:val="en-US" w:eastAsia="zh-CN"/>
        </w:rPr>
        <w:t>CBD/CP/MOP/9/10</w:t>
      </w:r>
      <w:r w:rsidR="00922C0D" w:rsidRPr="00922C0D">
        <w:rPr>
          <w:rFonts w:hint="eastAsia"/>
          <w:sz w:val="24"/>
          <w:lang w:val="en-US" w:eastAsia="zh-CN"/>
        </w:rPr>
        <w:t>号文件附件所载关于卡塔赫纳生物安全议定书第</w:t>
      </w:r>
      <w:r w:rsidR="00922C0D" w:rsidRPr="00922C0D">
        <w:rPr>
          <w:rFonts w:hint="eastAsia"/>
          <w:sz w:val="24"/>
          <w:lang w:val="en-US" w:eastAsia="zh-CN"/>
        </w:rPr>
        <w:t>26</w:t>
      </w:r>
      <w:r w:rsidR="00922C0D" w:rsidRPr="00922C0D">
        <w:rPr>
          <w:rFonts w:hint="eastAsia"/>
          <w:sz w:val="24"/>
          <w:lang w:val="en-US" w:eastAsia="zh-CN"/>
        </w:rPr>
        <w:t>条范围内的社会</w:t>
      </w:r>
      <w:r w:rsidR="00922C0D" w:rsidRPr="00922C0D">
        <w:rPr>
          <w:rFonts w:hint="eastAsia"/>
          <w:sz w:val="24"/>
          <w:lang w:val="en-US" w:eastAsia="zh-CN"/>
        </w:rPr>
        <w:t>-</w:t>
      </w:r>
      <w:r w:rsidR="00922C0D" w:rsidRPr="00922C0D">
        <w:rPr>
          <w:rFonts w:hint="eastAsia"/>
          <w:sz w:val="24"/>
          <w:lang w:val="en-US" w:eastAsia="zh-CN"/>
        </w:rPr>
        <w:t>经济因素评估的指导意见，并延长了社会</w:t>
      </w:r>
      <w:r w:rsidR="00922C0D" w:rsidRPr="00922C0D">
        <w:rPr>
          <w:rFonts w:hint="eastAsia"/>
          <w:sz w:val="24"/>
          <w:lang w:val="en-US" w:eastAsia="zh-CN"/>
        </w:rPr>
        <w:t>-</w:t>
      </w:r>
      <w:r w:rsidR="00922C0D" w:rsidRPr="00922C0D">
        <w:rPr>
          <w:rFonts w:hint="eastAsia"/>
          <w:sz w:val="24"/>
          <w:lang w:val="en-US" w:eastAsia="zh-CN"/>
        </w:rPr>
        <w:t>经济因素问题特设技术专家组的任务期限，以便根据所提交的使用该指导意见的初步经验信息，并根据参照该指导意见的要素考虑社会经济因素的方法和应用实例对该指导意见进行补充。</w:t>
      </w:r>
      <w:r w:rsidR="00611774" w:rsidRPr="00F20F63">
        <w:rPr>
          <w:sz w:val="24"/>
          <w:lang w:eastAsia="zh-CN"/>
        </w:rPr>
        <w:t xml:space="preserve"> </w:t>
      </w:r>
    </w:p>
    <w:p w14:paraId="7CC7877C" w14:textId="65BEF7D7" w:rsidR="00C2354A"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2.</w:t>
      </w:r>
      <w:r w:rsidRPr="00F20F63">
        <w:rPr>
          <w:sz w:val="24"/>
          <w:lang w:eastAsia="zh-CN"/>
        </w:rPr>
        <w:tab/>
      </w:r>
      <w:r w:rsidR="002D653D" w:rsidRPr="002D653D">
        <w:rPr>
          <w:rFonts w:hint="eastAsia"/>
          <w:sz w:val="24"/>
          <w:lang w:val="en-US" w:eastAsia="zh-CN"/>
        </w:rPr>
        <w:t>作为卡塔赫纳议定书缔约方会议的缔约方大会在其第</w:t>
      </w:r>
      <w:r w:rsidR="002D653D" w:rsidRPr="002D653D">
        <w:rPr>
          <w:rFonts w:hint="eastAsia"/>
          <w:sz w:val="24"/>
          <w:lang w:val="en-US" w:eastAsia="zh-CN"/>
        </w:rPr>
        <w:t xml:space="preserve"> CP-10/12 </w:t>
      </w:r>
      <w:r w:rsidR="002D653D" w:rsidRPr="002D653D">
        <w:rPr>
          <w:rFonts w:hint="eastAsia"/>
          <w:sz w:val="24"/>
          <w:lang w:val="en-US" w:eastAsia="zh-CN"/>
        </w:rPr>
        <w:t>号决定中赞赏地注意到特设技术专家组在闭会期间开展的工作，并认识到可供利用自愿指导意见的时间有限，因此邀请各缔约方、其他国家政府、相关组织和其他利益攸关方酌情利用指导意见，并向执行秘书提交其</w:t>
      </w:r>
      <w:bookmarkStart w:id="5" w:name="_Hlk176511757"/>
      <w:r w:rsidR="002D653D" w:rsidRPr="002D653D">
        <w:rPr>
          <w:rFonts w:hint="eastAsia"/>
          <w:sz w:val="24"/>
          <w:lang w:val="en-US" w:eastAsia="zh-CN"/>
        </w:rPr>
        <w:t>经验以及根据指导意见的要素考虑社会经济因素的方法和应用实例</w:t>
      </w:r>
      <w:bookmarkEnd w:id="5"/>
      <w:r w:rsidR="002D653D" w:rsidRPr="002D653D">
        <w:rPr>
          <w:rFonts w:hint="eastAsia"/>
          <w:sz w:val="24"/>
          <w:lang w:val="en-US" w:eastAsia="zh-CN"/>
        </w:rPr>
        <w:t>。</w:t>
      </w:r>
      <w:r w:rsidR="00481FB9" w:rsidRPr="00F20F63">
        <w:rPr>
          <w:sz w:val="24"/>
          <w:lang w:eastAsia="zh-CN"/>
        </w:rPr>
        <w:t xml:space="preserve"> </w:t>
      </w:r>
    </w:p>
    <w:p w14:paraId="40A175BB" w14:textId="3010D0C6" w:rsidR="00AD68C1"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3.</w:t>
      </w:r>
      <w:r w:rsidRPr="00F20F63">
        <w:rPr>
          <w:sz w:val="24"/>
          <w:lang w:eastAsia="zh-CN"/>
        </w:rPr>
        <w:tab/>
      </w:r>
      <w:r w:rsidR="002D653D" w:rsidRPr="002D653D">
        <w:rPr>
          <w:rFonts w:hint="eastAsia"/>
          <w:sz w:val="24"/>
          <w:lang w:val="en-US" w:eastAsia="zh-CN"/>
        </w:rPr>
        <w:t>作为议定书缔约方会议的缔约方大会在同一决定中请</w:t>
      </w:r>
      <w:r w:rsidR="00A94DC2">
        <w:rPr>
          <w:rFonts w:hint="eastAsia"/>
          <w:sz w:val="24"/>
          <w:lang w:val="en-US" w:eastAsia="zh-CN"/>
        </w:rPr>
        <w:t>执行秘书</w:t>
      </w:r>
      <w:r w:rsidR="002D653D" w:rsidRPr="002D653D">
        <w:rPr>
          <w:rFonts w:hint="eastAsia"/>
          <w:sz w:val="24"/>
          <w:lang w:val="en-US" w:eastAsia="zh-CN"/>
        </w:rPr>
        <w:t>联系那些在第四次国家报告中表示</w:t>
      </w:r>
      <w:r w:rsidR="002D653D" w:rsidRPr="002D653D">
        <w:rPr>
          <w:rFonts w:hint="eastAsia"/>
          <w:sz w:val="24"/>
          <w:lang w:val="en-US" w:eastAsia="zh-CN"/>
        </w:rPr>
        <w:t xml:space="preserve"> (a) </w:t>
      </w:r>
      <w:r w:rsidR="002D653D" w:rsidRPr="002D653D">
        <w:rPr>
          <w:rFonts w:hint="eastAsia"/>
          <w:sz w:val="24"/>
          <w:lang w:val="en-US" w:eastAsia="zh-CN"/>
        </w:rPr>
        <w:t>有具体办法或要求以便利在改性活生物体决策中考虑社会</w:t>
      </w:r>
      <w:r w:rsidR="002D653D" w:rsidRPr="002D653D">
        <w:rPr>
          <w:rFonts w:hint="eastAsia"/>
          <w:sz w:val="24"/>
          <w:lang w:val="en-US" w:eastAsia="zh-CN"/>
        </w:rPr>
        <w:t>-</w:t>
      </w:r>
      <w:r w:rsidR="002D653D" w:rsidRPr="002D653D">
        <w:rPr>
          <w:rFonts w:hint="eastAsia"/>
          <w:sz w:val="24"/>
          <w:lang w:val="en-US" w:eastAsia="zh-CN"/>
        </w:rPr>
        <w:t>经济因素，或</w:t>
      </w:r>
      <w:r w:rsidR="002D653D" w:rsidRPr="002D653D">
        <w:rPr>
          <w:rFonts w:hint="eastAsia"/>
          <w:sz w:val="24"/>
          <w:lang w:val="en-US" w:eastAsia="zh-CN"/>
        </w:rPr>
        <w:t xml:space="preserve"> (b) </w:t>
      </w:r>
      <w:r w:rsidR="002D653D" w:rsidRPr="002D653D">
        <w:rPr>
          <w:rFonts w:hint="eastAsia"/>
          <w:sz w:val="24"/>
          <w:lang w:val="en-US" w:eastAsia="zh-CN"/>
        </w:rPr>
        <w:t>已考虑到改性活生物体对生物多样性保护和可持续利用的影响所引起的社会</w:t>
      </w:r>
      <w:r w:rsidR="002D653D" w:rsidRPr="002D653D">
        <w:rPr>
          <w:rFonts w:hint="eastAsia"/>
          <w:sz w:val="24"/>
          <w:lang w:val="en-US" w:eastAsia="zh-CN"/>
        </w:rPr>
        <w:t>-</w:t>
      </w:r>
      <w:r w:rsidR="002D653D" w:rsidRPr="002D653D">
        <w:rPr>
          <w:rFonts w:hint="eastAsia"/>
          <w:sz w:val="24"/>
          <w:lang w:val="en-US" w:eastAsia="zh-CN"/>
        </w:rPr>
        <w:t>经济因素的缔约方，邀请其分享与第</w:t>
      </w:r>
      <w:r w:rsidR="002D653D" w:rsidRPr="002D653D">
        <w:rPr>
          <w:rFonts w:hint="eastAsia"/>
          <w:sz w:val="24"/>
          <w:lang w:val="en-US" w:eastAsia="zh-CN"/>
        </w:rPr>
        <w:t>26</w:t>
      </w:r>
      <w:r w:rsidR="002D653D" w:rsidRPr="002D653D">
        <w:rPr>
          <w:rFonts w:hint="eastAsia"/>
          <w:sz w:val="24"/>
          <w:lang w:val="en-US" w:eastAsia="zh-CN"/>
        </w:rPr>
        <w:t>条有关的经验。该决定还请执行秘书汇编因此收集的信息，提交一份概述供作为议定书缔约方会议的缔约方大会第十一次会议审议，以确定有无必要开展更多工作。</w:t>
      </w:r>
    </w:p>
    <w:p w14:paraId="0DA58EA5" w14:textId="2E1325DF" w:rsidR="00D3059B"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lastRenderedPageBreak/>
        <w:t>4.</w:t>
      </w:r>
      <w:r w:rsidRPr="00F20F63">
        <w:rPr>
          <w:sz w:val="24"/>
          <w:lang w:eastAsia="zh-CN"/>
        </w:rPr>
        <w:tab/>
      </w:r>
      <w:r w:rsidR="002D653D" w:rsidRPr="002D653D">
        <w:rPr>
          <w:rFonts w:hint="eastAsia"/>
          <w:sz w:val="24"/>
          <w:lang w:val="en-US" w:eastAsia="zh-CN"/>
        </w:rPr>
        <w:t>本文件综述了收集的信息（第二节）（附件则提供了更详细的摘要），并载有一项决定草案（第三节）。</w:t>
      </w:r>
    </w:p>
    <w:p w14:paraId="235E0751" w14:textId="1EECF526" w:rsidR="00D3059B" w:rsidRPr="00F20F63" w:rsidRDefault="006E198E" w:rsidP="00BB1FA5">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二</w:t>
      </w:r>
      <w:r w:rsidR="003D7E83" w:rsidRPr="00F20F63">
        <w:rPr>
          <w:lang w:eastAsia="zh-CN"/>
        </w:rPr>
        <w:t>.</w:t>
      </w:r>
      <w:r w:rsidR="003D7E83" w:rsidRPr="00F20F63">
        <w:rPr>
          <w:lang w:eastAsia="zh-CN"/>
        </w:rPr>
        <w:tab/>
      </w:r>
      <w:r w:rsidRPr="006E198E">
        <w:rPr>
          <w:rFonts w:hint="eastAsia"/>
          <w:lang w:val="en-US" w:eastAsia="zh-CN"/>
        </w:rPr>
        <w:t>根据第</w:t>
      </w:r>
      <w:r w:rsidRPr="006E198E">
        <w:rPr>
          <w:rFonts w:hint="eastAsia"/>
          <w:lang w:val="en-US" w:eastAsia="zh-CN"/>
        </w:rPr>
        <w:t xml:space="preserve"> CP-10/12 </w:t>
      </w:r>
      <w:r w:rsidRPr="006E198E">
        <w:rPr>
          <w:rFonts w:hint="eastAsia"/>
          <w:lang w:val="en-US" w:eastAsia="zh-CN"/>
        </w:rPr>
        <w:t>号决定所收集信息的综述</w:t>
      </w:r>
    </w:p>
    <w:p w14:paraId="5309197B" w14:textId="089523C2" w:rsidR="00D04306"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5.</w:t>
      </w:r>
      <w:r w:rsidRPr="00F20F63">
        <w:rPr>
          <w:sz w:val="24"/>
          <w:lang w:eastAsia="zh-CN"/>
        </w:rPr>
        <w:tab/>
      </w:r>
      <w:r w:rsidR="00A94DC2" w:rsidRPr="00A94DC2">
        <w:rPr>
          <w:rFonts w:hint="eastAsia"/>
          <w:sz w:val="24"/>
          <w:lang w:val="en-US" w:eastAsia="zh-CN"/>
        </w:rPr>
        <w:t>代理执行秘书根据第</w:t>
      </w:r>
      <w:r w:rsidR="00A94DC2" w:rsidRPr="00A94DC2">
        <w:rPr>
          <w:rFonts w:hint="eastAsia"/>
          <w:sz w:val="24"/>
          <w:lang w:val="en-US" w:eastAsia="zh-CN"/>
        </w:rPr>
        <w:t xml:space="preserve">CP-10/12 </w:t>
      </w:r>
      <w:r w:rsidR="00A94DC2" w:rsidRPr="00A94DC2">
        <w:rPr>
          <w:rFonts w:hint="eastAsia"/>
          <w:sz w:val="24"/>
          <w:lang w:val="en-US" w:eastAsia="zh-CN"/>
        </w:rPr>
        <w:t>号决定第</w:t>
      </w:r>
      <w:r w:rsidR="00A94DC2" w:rsidRPr="00A94DC2">
        <w:rPr>
          <w:rFonts w:hint="eastAsia"/>
          <w:sz w:val="24"/>
          <w:lang w:val="en-US" w:eastAsia="zh-CN"/>
        </w:rPr>
        <w:t xml:space="preserve"> 3 </w:t>
      </w:r>
      <w:r w:rsidR="00A94DC2" w:rsidRPr="00A94DC2">
        <w:rPr>
          <w:rFonts w:hint="eastAsia"/>
          <w:sz w:val="24"/>
          <w:lang w:val="en-US" w:eastAsia="zh-CN"/>
        </w:rPr>
        <w:t>段，通过</w:t>
      </w:r>
      <w:r w:rsidR="00A94DC2" w:rsidRPr="00A94DC2">
        <w:rPr>
          <w:rFonts w:hint="eastAsia"/>
          <w:sz w:val="24"/>
          <w:lang w:val="en-US" w:eastAsia="zh-CN"/>
        </w:rPr>
        <w:t xml:space="preserve"> 2023 </w:t>
      </w:r>
      <w:r w:rsidR="00A94DC2" w:rsidRPr="00A94DC2">
        <w:rPr>
          <w:rFonts w:hint="eastAsia"/>
          <w:sz w:val="24"/>
          <w:lang w:val="en-US" w:eastAsia="zh-CN"/>
        </w:rPr>
        <w:t>年</w:t>
      </w:r>
      <w:r w:rsidR="00A94DC2" w:rsidRPr="00A94DC2">
        <w:rPr>
          <w:rFonts w:hint="eastAsia"/>
          <w:sz w:val="24"/>
          <w:lang w:val="en-US" w:eastAsia="zh-CN"/>
        </w:rPr>
        <w:t xml:space="preserve"> 12 </w:t>
      </w:r>
      <w:r w:rsidR="00A94DC2" w:rsidRPr="00A94DC2">
        <w:rPr>
          <w:rFonts w:hint="eastAsia"/>
          <w:sz w:val="24"/>
          <w:lang w:val="en-US" w:eastAsia="zh-CN"/>
        </w:rPr>
        <w:t>月</w:t>
      </w:r>
      <w:r w:rsidR="00A94DC2" w:rsidRPr="00A94DC2">
        <w:rPr>
          <w:rFonts w:hint="eastAsia"/>
          <w:sz w:val="24"/>
          <w:lang w:val="en-US" w:eastAsia="zh-CN"/>
        </w:rPr>
        <w:t xml:space="preserve"> 11 </w:t>
      </w:r>
      <w:r w:rsidR="00A94DC2" w:rsidRPr="00A94DC2">
        <w:rPr>
          <w:rFonts w:hint="eastAsia"/>
          <w:sz w:val="24"/>
          <w:lang w:val="en-US" w:eastAsia="zh-CN"/>
        </w:rPr>
        <w:t>日第</w:t>
      </w:r>
      <w:r w:rsidR="00A94DC2" w:rsidRPr="00A94DC2">
        <w:rPr>
          <w:rFonts w:hint="eastAsia"/>
          <w:sz w:val="24"/>
          <w:lang w:val="en-US" w:eastAsia="zh-CN"/>
        </w:rPr>
        <w:t xml:space="preserve"> 2023-133 </w:t>
      </w:r>
      <w:r w:rsidR="00A94DC2" w:rsidRPr="00A94DC2">
        <w:rPr>
          <w:rFonts w:hint="eastAsia"/>
          <w:sz w:val="24"/>
          <w:lang w:val="en-US" w:eastAsia="zh-CN"/>
        </w:rPr>
        <w:t>号通知邀请缔约方、其他国家政府、相关组织和其他利益攸关方提交以下方面的信息：</w:t>
      </w:r>
      <w:r w:rsidR="00A94DC2" w:rsidRPr="00A94DC2">
        <w:rPr>
          <w:rFonts w:hint="eastAsia"/>
          <w:sz w:val="24"/>
          <w:lang w:val="en-US" w:eastAsia="zh-CN"/>
        </w:rPr>
        <w:t xml:space="preserve">(a) </w:t>
      </w:r>
      <w:r w:rsidR="00A94DC2" w:rsidRPr="00A94DC2">
        <w:rPr>
          <w:rFonts w:hint="eastAsia"/>
          <w:sz w:val="24"/>
          <w:lang w:val="en-US" w:eastAsia="zh-CN"/>
        </w:rPr>
        <w:t>使用自愿指导意见的经验；</w:t>
      </w:r>
      <w:r w:rsidR="00A94DC2" w:rsidRPr="00A94DC2">
        <w:rPr>
          <w:rFonts w:hint="eastAsia"/>
          <w:sz w:val="24"/>
          <w:lang w:val="en-US" w:eastAsia="zh-CN"/>
        </w:rPr>
        <w:t xml:space="preserve"> (b) </w:t>
      </w:r>
      <w:r w:rsidR="00A94DC2" w:rsidRPr="00A94DC2">
        <w:rPr>
          <w:rFonts w:hint="eastAsia"/>
          <w:sz w:val="24"/>
          <w:lang w:val="en-US" w:eastAsia="zh-CN"/>
        </w:rPr>
        <w:t>参照指导意见的要素考虑社会经济因素的方法和应用实例。</w:t>
      </w:r>
      <w:r w:rsidR="006A6655" w:rsidRPr="00F20F63">
        <w:rPr>
          <w:sz w:val="24"/>
          <w:lang w:eastAsia="zh-CN"/>
        </w:rPr>
        <w:t xml:space="preserve"> </w:t>
      </w:r>
    </w:p>
    <w:p w14:paraId="3F974D78" w14:textId="444CD63E" w:rsidR="006A6655"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6.</w:t>
      </w:r>
      <w:r w:rsidRPr="00F20F63">
        <w:rPr>
          <w:sz w:val="24"/>
          <w:lang w:eastAsia="zh-CN"/>
        </w:rPr>
        <w:tab/>
      </w:r>
      <w:r w:rsidR="00A94DC2" w:rsidRPr="00A94DC2">
        <w:rPr>
          <w:rFonts w:hint="eastAsia"/>
          <w:sz w:val="24"/>
          <w:lang w:val="en-US" w:eastAsia="zh-CN"/>
        </w:rPr>
        <w:t>截至提交截止日期（</w:t>
      </w:r>
      <w:r w:rsidR="00A94DC2" w:rsidRPr="00A94DC2">
        <w:rPr>
          <w:rFonts w:hint="eastAsia"/>
          <w:sz w:val="24"/>
          <w:lang w:val="en-US" w:eastAsia="zh-CN"/>
        </w:rPr>
        <w:t xml:space="preserve">2024 </w:t>
      </w:r>
      <w:r w:rsidR="00A94DC2" w:rsidRPr="00A94DC2">
        <w:rPr>
          <w:rFonts w:hint="eastAsia"/>
          <w:sz w:val="24"/>
          <w:lang w:val="en-US" w:eastAsia="zh-CN"/>
        </w:rPr>
        <w:t>年</w:t>
      </w:r>
      <w:r w:rsidR="00A94DC2" w:rsidRPr="00A94DC2">
        <w:rPr>
          <w:rFonts w:hint="eastAsia"/>
          <w:sz w:val="24"/>
          <w:lang w:val="en-US" w:eastAsia="zh-CN"/>
        </w:rPr>
        <w:t xml:space="preserve"> 1 </w:t>
      </w:r>
      <w:r w:rsidR="00A94DC2" w:rsidRPr="00A94DC2">
        <w:rPr>
          <w:rFonts w:hint="eastAsia"/>
          <w:sz w:val="24"/>
          <w:lang w:val="en-US" w:eastAsia="zh-CN"/>
        </w:rPr>
        <w:t>月</w:t>
      </w:r>
      <w:r w:rsidR="00A94DC2" w:rsidRPr="00A94DC2">
        <w:rPr>
          <w:rFonts w:hint="eastAsia"/>
          <w:sz w:val="24"/>
          <w:lang w:val="en-US" w:eastAsia="zh-CN"/>
        </w:rPr>
        <w:t xml:space="preserve"> 15 </w:t>
      </w:r>
      <w:r w:rsidR="00A94DC2" w:rsidRPr="00A94DC2">
        <w:rPr>
          <w:rFonts w:hint="eastAsia"/>
          <w:sz w:val="24"/>
          <w:lang w:val="en-US" w:eastAsia="zh-CN"/>
        </w:rPr>
        <w:t>日），收到了三个缔约方和一个组织提交的材料。</w:t>
      </w:r>
      <w:r w:rsidR="00856EA9" w:rsidRPr="00F20F63">
        <w:rPr>
          <w:rStyle w:val="FootnoteReference"/>
          <w:sz w:val="24"/>
        </w:rPr>
        <w:footnoteReference w:id="3"/>
      </w:r>
    </w:p>
    <w:p w14:paraId="429FD7E2" w14:textId="08C21FA7" w:rsidR="005B189A"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7.</w:t>
      </w:r>
      <w:r w:rsidRPr="00F20F63">
        <w:rPr>
          <w:sz w:val="24"/>
          <w:lang w:eastAsia="zh-CN"/>
        </w:rPr>
        <w:tab/>
      </w:r>
      <w:r w:rsidR="00A94DC2" w:rsidRPr="00A94DC2">
        <w:rPr>
          <w:rFonts w:hint="eastAsia"/>
          <w:sz w:val="24"/>
          <w:lang w:val="en-US" w:eastAsia="zh-CN"/>
        </w:rPr>
        <w:t>根据上文第</w:t>
      </w:r>
      <w:r w:rsidR="00A94DC2" w:rsidRPr="00A94DC2">
        <w:rPr>
          <w:rFonts w:hint="eastAsia"/>
          <w:sz w:val="24"/>
          <w:lang w:val="en-US" w:eastAsia="zh-CN"/>
        </w:rPr>
        <w:t xml:space="preserve"> 3 </w:t>
      </w:r>
      <w:r w:rsidR="00A94DC2" w:rsidRPr="00A94DC2">
        <w:rPr>
          <w:rFonts w:hint="eastAsia"/>
          <w:sz w:val="24"/>
          <w:lang w:val="en-US" w:eastAsia="zh-CN"/>
        </w:rPr>
        <w:t>段概述的对执行秘书的请求，于</w:t>
      </w:r>
      <w:r w:rsidR="00A94DC2" w:rsidRPr="00A94DC2">
        <w:rPr>
          <w:rFonts w:hint="eastAsia"/>
          <w:sz w:val="24"/>
          <w:lang w:val="en-US" w:eastAsia="zh-CN"/>
        </w:rPr>
        <w:t xml:space="preserve"> 2023 </w:t>
      </w:r>
      <w:r w:rsidR="00A94DC2" w:rsidRPr="00A94DC2">
        <w:rPr>
          <w:rFonts w:hint="eastAsia"/>
          <w:sz w:val="24"/>
          <w:lang w:val="en-US" w:eastAsia="zh-CN"/>
        </w:rPr>
        <w:t>年</w:t>
      </w:r>
      <w:r w:rsidR="00A94DC2" w:rsidRPr="00A94DC2">
        <w:rPr>
          <w:rFonts w:hint="eastAsia"/>
          <w:sz w:val="24"/>
          <w:lang w:val="en-US" w:eastAsia="zh-CN"/>
        </w:rPr>
        <w:t xml:space="preserve"> 6 </w:t>
      </w:r>
      <w:r w:rsidR="00A94DC2" w:rsidRPr="00A94DC2">
        <w:rPr>
          <w:rFonts w:hint="eastAsia"/>
          <w:sz w:val="24"/>
          <w:lang w:val="en-US" w:eastAsia="zh-CN"/>
        </w:rPr>
        <w:t>月向</w:t>
      </w:r>
      <w:r w:rsidR="00A94DC2" w:rsidRPr="00A94DC2">
        <w:rPr>
          <w:rFonts w:hint="eastAsia"/>
          <w:sz w:val="24"/>
          <w:lang w:val="en-US" w:eastAsia="zh-CN"/>
        </w:rPr>
        <w:t xml:space="preserve"> 73 </w:t>
      </w:r>
      <w:r w:rsidR="00A94DC2" w:rsidRPr="00A94DC2">
        <w:rPr>
          <w:rFonts w:hint="eastAsia"/>
          <w:sz w:val="24"/>
          <w:lang w:val="en-US" w:eastAsia="zh-CN"/>
        </w:rPr>
        <w:t>个对第四次国家报告的问题</w:t>
      </w:r>
      <w:r w:rsidR="00A94DC2" w:rsidRPr="00A94DC2">
        <w:rPr>
          <w:rFonts w:hint="eastAsia"/>
          <w:sz w:val="24"/>
          <w:lang w:val="en-US" w:eastAsia="zh-CN"/>
        </w:rPr>
        <w:t xml:space="preserve">162 </w:t>
      </w:r>
      <w:r w:rsidR="00A94DC2" w:rsidRPr="00A94DC2">
        <w:rPr>
          <w:rFonts w:hint="eastAsia"/>
          <w:sz w:val="24"/>
          <w:lang w:val="en-US" w:eastAsia="zh-CN"/>
        </w:rPr>
        <w:t>或问题</w:t>
      </w:r>
      <w:r w:rsidR="00A94DC2" w:rsidRPr="00A94DC2">
        <w:rPr>
          <w:rFonts w:hint="eastAsia"/>
          <w:sz w:val="24"/>
          <w:lang w:val="en-US" w:eastAsia="zh-CN"/>
        </w:rPr>
        <w:t>163</w:t>
      </w:r>
      <w:r w:rsidR="00A94DC2" w:rsidRPr="00A94DC2">
        <w:rPr>
          <w:rFonts w:hint="eastAsia"/>
          <w:sz w:val="24"/>
          <w:lang w:val="en-US" w:eastAsia="zh-CN"/>
        </w:rPr>
        <w:t>（</w:t>
      </w:r>
      <w:proofErr w:type="gramStart"/>
      <w:r w:rsidR="00A94DC2" w:rsidRPr="00A94DC2">
        <w:rPr>
          <w:rFonts w:hint="eastAsia"/>
          <w:sz w:val="24"/>
          <w:lang w:val="en-US" w:eastAsia="zh-CN"/>
        </w:rPr>
        <w:t>分别为“</w:t>
      </w:r>
      <w:proofErr w:type="gramEnd"/>
      <w:r w:rsidR="00A94DC2" w:rsidRPr="00A94DC2">
        <w:rPr>
          <w:rFonts w:hint="eastAsia"/>
          <w:sz w:val="24"/>
          <w:lang w:val="en-US" w:eastAsia="zh-CN"/>
        </w:rPr>
        <w:t>贵国是否在促进如何将改性活生物体之社会经济影响纳入决策制定过程方面拥有一些特定方法或要求？”和“在本报告所述期间，贵国是否在决策过程中考虑到了改性活生物体造成的社会经济影响？”）作出了肯定答复的《卡塔赫纳议定书》缔约方发出了信函。</w:t>
      </w:r>
    </w:p>
    <w:p w14:paraId="09A555DB" w14:textId="45A0372D" w:rsidR="000F4F4F" w:rsidRPr="000F4F4F" w:rsidRDefault="00D428E9" w:rsidP="000F4F4F">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val="en-US" w:eastAsia="zh-CN"/>
        </w:rPr>
      </w:pPr>
      <w:r w:rsidRPr="00F20F63">
        <w:rPr>
          <w:sz w:val="24"/>
          <w:lang w:eastAsia="zh-CN"/>
        </w:rPr>
        <w:t>8.</w:t>
      </w:r>
      <w:r w:rsidRPr="00F20F63">
        <w:rPr>
          <w:sz w:val="24"/>
          <w:lang w:eastAsia="zh-CN"/>
        </w:rPr>
        <w:tab/>
      </w:r>
      <w:bookmarkStart w:id="6" w:name="_Hlk176452157"/>
      <w:r w:rsidR="000F4F4F" w:rsidRPr="000F4F4F">
        <w:rPr>
          <w:rFonts w:hint="eastAsia"/>
          <w:sz w:val="24"/>
          <w:lang w:eastAsia="zh-CN"/>
        </w:rPr>
        <w:t>这些信函邀请缔约方分享其方法和经验</w:t>
      </w:r>
      <w:r w:rsidR="000F4F4F" w:rsidRPr="000F4F4F">
        <w:rPr>
          <w:rFonts w:hint="eastAsia"/>
          <w:sz w:val="24"/>
          <w:lang w:val="en-US" w:eastAsia="zh-CN"/>
        </w:rPr>
        <w:t>，为此提交这方面的任何相关信息和文件，包括所采用的方法和进行的社会经济评估的报告。</w:t>
      </w:r>
      <w:r w:rsidR="000F4F4F" w:rsidRPr="000F4F4F">
        <w:rPr>
          <w:rFonts w:hint="eastAsia"/>
          <w:sz w:val="24"/>
          <w:lang w:val="en-US" w:eastAsia="zh-CN"/>
        </w:rPr>
        <w:t xml:space="preserve">28 </w:t>
      </w:r>
      <w:r w:rsidR="000F4F4F" w:rsidRPr="000F4F4F">
        <w:rPr>
          <w:rFonts w:hint="eastAsia"/>
          <w:sz w:val="24"/>
          <w:lang w:val="en-US" w:eastAsia="zh-CN"/>
        </w:rPr>
        <w:t>个缔约方在回复信函时提供了信息。下文概述了收到的回复，回复全文可在线查阅。</w:t>
      </w:r>
      <w:r w:rsidR="000F4F4F" w:rsidRPr="000F4F4F">
        <w:rPr>
          <w:sz w:val="24"/>
          <w:vertAlign w:val="superscript"/>
          <w:lang w:val="en-US"/>
        </w:rPr>
        <w:footnoteReference w:id="4"/>
      </w:r>
    </w:p>
    <w:bookmarkEnd w:id="6"/>
    <w:p w14:paraId="4F57C431" w14:textId="5682679E" w:rsidR="001A2253"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9.</w:t>
      </w:r>
      <w:r w:rsidRPr="00F20F63">
        <w:rPr>
          <w:sz w:val="24"/>
          <w:lang w:eastAsia="zh-CN"/>
        </w:rPr>
        <w:tab/>
      </w:r>
      <w:r w:rsidR="006B0120" w:rsidRPr="006B0120">
        <w:rPr>
          <w:rFonts w:hint="eastAsia"/>
          <w:sz w:val="24"/>
          <w:lang w:val="en-US" w:eastAsia="zh-CN"/>
        </w:rPr>
        <w:t>根据第</w:t>
      </w:r>
      <w:r w:rsidR="006B0120" w:rsidRPr="006B0120">
        <w:rPr>
          <w:rFonts w:hint="eastAsia"/>
          <w:sz w:val="24"/>
          <w:lang w:val="en-US" w:eastAsia="zh-CN"/>
        </w:rPr>
        <w:t xml:space="preserve"> 2023-133 </w:t>
      </w:r>
      <w:r w:rsidR="006B0120" w:rsidRPr="006B0120">
        <w:rPr>
          <w:rFonts w:hint="eastAsia"/>
          <w:sz w:val="24"/>
          <w:lang w:val="en-US" w:eastAsia="zh-CN"/>
        </w:rPr>
        <w:t>号通知和上述信函提交的信息显示，为考虑社会经济影响所采取的监管方法各不相同，通常包括一项相当泛泛的评估社会经济影响的义务或权利。一些缔约方采取了法律措施来规范社会经济评估，并制定了进一步的方法，包括指导社会经济评估的评估标准和程序。在很多情况下，标准侧重于经济方面的问题，诸如与引入改性活生物体相关的经济成本和节省。例如，这些标准涉及购买转基因种子的成本、节省的农业投入和劳动力、对产量和损耗的影响以及对市场准入的影响。共存措施的成本，以及在某些情况下对贸易的影响，也被考虑在内。在若干评估方法中需要考虑的社会方面的问题包括粮食安全、营养问题、消费者的看法和选择自由、技术转让以及为帮助地方机构而开展的能力建设工作。社会经济评估中考虑的其他要素包括知识产权和农民权利。此外，一些缔约方表示，它们在评估社会经济因素时考虑了文化和伦理问题，有时还考虑到宗教问题。</w:t>
      </w:r>
    </w:p>
    <w:p w14:paraId="3987A9E3" w14:textId="31A18DB6" w:rsidR="00FF5717"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10.</w:t>
      </w:r>
      <w:r w:rsidRPr="00F20F63">
        <w:rPr>
          <w:sz w:val="24"/>
          <w:lang w:eastAsia="zh-CN"/>
        </w:rPr>
        <w:tab/>
      </w:r>
      <w:r w:rsidR="00B66D44" w:rsidRPr="00B66D44">
        <w:rPr>
          <w:rFonts w:hint="eastAsia"/>
          <w:sz w:val="24"/>
          <w:lang w:val="en-US" w:eastAsia="zh-CN"/>
        </w:rPr>
        <w:t>一些缔约方介绍了它们的社会经济评估方法如何</w:t>
      </w:r>
      <w:r w:rsidR="003251CA">
        <w:rPr>
          <w:rFonts w:hint="eastAsia"/>
          <w:sz w:val="24"/>
          <w:lang w:val="en-US" w:eastAsia="zh-CN"/>
        </w:rPr>
        <w:t>以</w:t>
      </w:r>
      <w:r w:rsidR="00B66D44" w:rsidRPr="00B66D44">
        <w:rPr>
          <w:rFonts w:hint="eastAsia"/>
          <w:sz w:val="24"/>
          <w:lang w:val="en-US" w:eastAsia="zh-CN"/>
        </w:rPr>
        <w:t>《卡塔赫纳议定书》第</w:t>
      </w:r>
      <w:r w:rsidR="00B66D44" w:rsidRPr="00B66D44">
        <w:rPr>
          <w:rFonts w:hint="eastAsia"/>
          <w:sz w:val="24"/>
          <w:lang w:val="en-US" w:eastAsia="zh-CN"/>
        </w:rPr>
        <w:t xml:space="preserve"> 26 </w:t>
      </w:r>
      <w:r w:rsidR="00B66D44" w:rsidRPr="00B66D44">
        <w:rPr>
          <w:rFonts w:hint="eastAsia"/>
          <w:sz w:val="24"/>
          <w:lang w:val="en-US" w:eastAsia="zh-CN"/>
        </w:rPr>
        <w:t>条</w:t>
      </w:r>
      <w:r w:rsidR="003251CA">
        <w:rPr>
          <w:rFonts w:hint="eastAsia"/>
          <w:sz w:val="24"/>
          <w:lang w:val="en-US" w:eastAsia="zh-CN"/>
        </w:rPr>
        <w:t>为背景，</w:t>
      </w:r>
      <w:r w:rsidR="00B66D44" w:rsidRPr="00B66D44">
        <w:rPr>
          <w:rFonts w:hint="eastAsia"/>
          <w:sz w:val="24"/>
          <w:lang w:val="en-US" w:eastAsia="zh-CN"/>
        </w:rPr>
        <w:t>符合关于评估社会经济因素的自愿指导意见或纳入了其中的要素。一个缔约方解释说，其社会经济评估方法比第</w:t>
      </w:r>
      <w:r w:rsidR="00B66D44" w:rsidRPr="00B66D44">
        <w:rPr>
          <w:rFonts w:hint="eastAsia"/>
          <w:sz w:val="24"/>
          <w:lang w:val="en-US" w:eastAsia="zh-CN"/>
        </w:rPr>
        <w:t xml:space="preserve"> 26 </w:t>
      </w:r>
      <w:r w:rsidR="00B66D44" w:rsidRPr="00B66D44">
        <w:rPr>
          <w:rFonts w:hint="eastAsia"/>
          <w:sz w:val="24"/>
          <w:lang w:val="en-US" w:eastAsia="zh-CN"/>
        </w:rPr>
        <w:t>条第</w:t>
      </w:r>
      <w:r w:rsidR="00B66D44" w:rsidRPr="00B66D44">
        <w:rPr>
          <w:rFonts w:hint="eastAsia"/>
          <w:sz w:val="24"/>
          <w:lang w:val="en-US" w:eastAsia="zh-CN"/>
        </w:rPr>
        <w:t xml:space="preserve"> 1 </w:t>
      </w:r>
      <w:r w:rsidR="00B66D44" w:rsidRPr="00B66D44">
        <w:rPr>
          <w:rFonts w:hint="eastAsia"/>
          <w:sz w:val="24"/>
          <w:lang w:val="en-US" w:eastAsia="zh-CN"/>
        </w:rPr>
        <w:t>款设想的更广泛，考虑到了改性活生物体的</w:t>
      </w:r>
      <w:r w:rsidR="009F2848">
        <w:rPr>
          <w:rFonts w:hint="eastAsia"/>
          <w:sz w:val="24"/>
          <w:lang w:val="en-US" w:eastAsia="zh-CN"/>
        </w:rPr>
        <w:t>所有</w:t>
      </w:r>
      <w:r w:rsidR="00B66D44" w:rsidRPr="00B66D44">
        <w:rPr>
          <w:rFonts w:hint="eastAsia"/>
          <w:sz w:val="24"/>
          <w:lang w:val="en-US" w:eastAsia="zh-CN"/>
        </w:rPr>
        <w:t>社会经济影响，而不仅仅是改性活生物体对生物多样性的保护和可持续利用的影响所</w:t>
      </w:r>
      <w:r w:rsidR="009F2848">
        <w:rPr>
          <w:rFonts w:hint="eastAsia"/>
          <w:sz w:val="24"/>
          <w:lang w:val="en-US" w:eastAsia="zh-CN"/>
        </w:rPr>
        <w:t>引起</w:t>
      </w:r>
      <w:r w:rsidR="00B66D44" w:rsidRPr="00B66D44">
        <w:rPr>
          <w:rFonts w:hint="eastAsia"/>
          <w:sz w:val="24"/>
          <w:lang w:val="en-US" w:eastAsia="zh-CN"/>
        </w:rPr>
        <w:t>的社会经济考量。提交的材料中描述的很多例子要么是没有明确提到指导意见，要么是日期早于指导意见</w:t>
      </w:r>
      <w:r w:rsidR="00B66D44">
        <w:rPr>
          <w:rFonts w:hint="eastAsia"/>
          <w:sz w:val="24"/>
          <w:lang w:val="en-US" w:eastAsia="zh-CN"/>
        </w:rPr>
        <w:t>的制定</w:t>
      </w:r>
      <w:r w:rsidR="00B66D44" w:rsidRPr="00B66D44">
        <w:rPr>
          <w:rFonts w:hint="eastAsia"/>
          <w:sz w:val="24"/>
          <w:lang w:val="en-US" w:eastAsia="zh-CN"/>
        </w:rPr>
        <w:t>。</w:t>
      </w:r>
    </w:p>
    <w:p w14:paraId="73985C84" w14:textId="7234CF78" w:rsidR="00AC5E8A"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lastRenderedPageBreak/>
        <w:t>11.</w:t>
      </w:r>
      <w:r w:rsidRPr="00F20F63">
        <w:rPr>
          <w:sz w:val="24"/>
          <w:lang w:eastAsia="zh-CN"/>
        </w:rPr>
        <w:tab/>
      </w:r>
      <w:r w:rsidR="00544FC4" w:rsidRPr="00544FC4">
        <w:rPr>
          <w:rFonts w:hint="eastAsia"/>
          <w:sz w:val="24"/>
          <w:lang w:val="en-US" w:eastAsia="zh-CN"/>
        </w:rPr>
        <w:t>一些缔约方提供了关于社会经济评估程序的各方面信息。在许多情况下，征求公众和利益攸关方的意见是评估的核心，土著人民和当地社区的参与也是如此。一些缔约方介绍了它们如何让社会经济专家参与其中。</w:t>
      </w:r>
    </w:p>
    <w:p w14:paraId="48DFB432" w14:textId="329534E2" w:rsidR="00137DA0"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12.</w:t>
      </w:r>
      <w:r w:rsidRPr="00F20F63">
        <w:rPr>
          <w:sz w:val="24"/>
          <w:lang w:eastAsia="zh-CN"/>
        </w:rPr>
        <w:tab/>
      </w:r>
      <w:r w:rsidR="00544FC4" w:rsidRPr="00544FC4">
        <w:rPr>
          <w:rFonts w:hint="eastAsia"/>
          <w:sz w:val="24"/>
          <w:lang w:val="en-US" w:eastAsia="zh-CN"/>
        </w:rPr>
        <w:t>一些缔约方在做出关于改性活生物体的决策时进行了社会经济评估。在许多此类情况下，评估所侧重的社会经济问题主要是经济方面的问题，尽管也指出，还考虑了技术的可获得性、营养方面的问题和宗教信仰。这可能表明，社会标准的评估可能比经济因素的评估更具挑战性。</w:t>
      </w:r>
    </w:p>
    <w:p w14:paraId="1728B21B" w14:textId="3E7258F5" w:rsidR="004944FA"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13.</w:t>
      </w:r>
      <w:r w:rsidRPr="00F20F63">
        <w:rPr>
          <w:sz w:val="24"/>
          <w:lang w:eastAsia="zh-CN"/>
        </w:rPr>
        <w:tab/>
      </w:r>
      <w:r w:rsidR="00544FC4" w:rsidRPr="00544FC4">
        <w:rPr>
          <w:rFonts w:hint="eastAsia"/>
          <w:sz w:val="24"/>
          <w:lang w:val="en-US" w:eastAsia="zh-CN"/>
        </w:rPr>
        <w:t>一些缔约方表示，虽然有进行社会经济评估的方法，但数据的可得性是一个制约因素，在这方面需要做更多的工作。提到的其他制约因素包括：</w:t>
      </w:r>
      <w:r w:rsidR="003251CA">
        <w:rPr>
          <w:rFonts w:hint="eastAsia"/>
          <w:sz w:val="24"/>
          <w:lang w:val="en-US" w:eastAsia="zh-CN"/>
        </w:rPr>
        <w:t>在</w:t>
      </w:r>
      <w:r w:rsidR="00544FC4" w:rsidRPr="00544FC4">
        <w:rPr>
          <w:rFonts w:hint="eastAsia"/>
          <w:sz w:val="24"/>
          <w:lang w:val="en-US" w:eastAsia="zh-CN"/>
        </w:rPr>
        <w:t>考虑社会经济影响</w:t>
      </w:r>
      <w:r w:rsidR="003251CA">
        <w:rPr>
          <w:rFonts w:hint="eastAsia"/>
          <w:sz w:val="24"/>
          <w:lang w:val="en-US" w:eastAsia="zh-CN"/>
        </w:rPr>
        <w:t>时，</w:t>
      </w:r>
      <w:r w:rsidR="00544FC4" w:rsidRPr="00544FC4">
        <w:rPr>
          <w:rFonts w:hint="eastAsia"/>
          <w:sz w:val="24"/>
          <w:lang w:val="en-US" w:eastAsia="zh-CN"/>
        </w:rPr>
        <w:t>开发过程</w:t>
      </w:r>
      <w:r w:rsidR="003251CA">
        <w:rPr>
          <w:rFonts w:hint="eastAsia"/>
          <w:sz w:val="24"/>
          <w:lang w:val="en-US" w:eastAsia="zh-CN"/>
        </w:rPr>
        <w:t>已进入</w:t>
      </w:r>
      <w:r w:rsidR="00544FC4" w:rsidRPr="00544FC4">
        <w:rPr>
          <w:rFonts w:hint="eastAsia"/>
          <w:sz w:val="24"/>
          <w:lang w:val="en-US" w:eastAsia="zh-CN"/>
        </w:rPr>
        <w:t>后期阶段、了解生物技术和生物安全的社会经济专家人数有限、根据社会经济考量批准或拒绝申请的门槛不明确、缺乏让地方利益攸关方参与评估过程的有效办法。</w:t>
      </w:r>
    </w:p>
    <w:p w14:paraId="4C81E81F" w14:textId="038C9016" w:rsidR="00820DA3" w:rsidRPr="00F20F63" w:rsidRDefault="00544FC4" w:rsidP="00BB1FA5">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三</w:t>
      </w:r>
      <w:r w:rsidR="00820DA3" w:rsidRPr="00F20F63">
        <w:rPr>
          <w:lang w:eastAsia="zh-CN"/>
        </w:rPr>
        <w:t>.</w:t>
      </w:r>
      <w:r w:rsidR="00820DA3" w:rsidRPr="00F20F63">
        <w:rPr>
          <w:lang w:eastAsia="zh-CN"/>
        </w:rPr>
        <w:tab/>
      </w:r>
      <w:r>
        <w:rPr>
          <w:rFonts w:hint="eastAsia"/>
          <w:lang w:eastAsia="zh-CN"/>
        </w:rPr>
        <w:t>决定草案</w:t>
      </w:r>
    </w:p>
    <w:p w14:paraId="01799BEE" w14:textId="3F44611D" w:rsidR="00574043"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14.</w:t>
      </w:r>
      <w:r w:rsidRPr="00F20F63">
        <w:rPr>
          <w:sz w:val="24"/>
          <w:lang w:eastAsia="zh-CN"/>
        </w:rPr>
        <w:tab/>
      </w:r>
      <w:r w:rsidR="00590DBC" w:rsidRPr="00590DBC">
        <w:rPr>
          <w:rFonts w:hint="eastAsia"/>
          <w:sz w:val="24"/>
          <w:lang w:val="en-US" w:eastAsia="zh-CN"/>
        </w:rPr>
        <w:t>根据第</w:t>
      </w:r>
      <w:r w:rsidR="00590DBC" w:rsidRPr="00590DBC">
        <w:rPr>
          <w:rFonts w:hint="eastAsia"/>
          <w:sz w:val="24"/>
          <w:lang w:val="en-US" w:eastAsia="zh-CN"/>
        </w:rPr>
        <w:t xml:space="preserve">CP-10/12 </w:t>
      </w:r>
      <w:r w:rsidR="00590DBC" w:rsidRPr="00590DBC">
        <w:rPr>
          <w:rFonts w:hint="eastAsia"/>
          <w:sz w:val="24"/>
          <w:lang w:val="en-US" w:eastAsia="zh-CN"/>
        </w:rPr>
        <w:t>号决定第</w:t>
      </w:r>
      <w:r w:rsidR="00590DBC" w:rsidRPr="00590DBC">
        <w:rPr>
          <w:rFonts w:hint="eastAsia"/>
          <w:sz w:val="24"/>
          <w:lang w:val="en-US" w:eastAsia="zh-CN"/>
        </w:rPr>
        <w:t xml:space="preserve"> 5 </w:t>
      </w:r>
      <w:r w:rsidR="00590DBC" w:rsidRPr="00590DBC">
        <w:rPr>
          <w:rFonts w:hint="eastAsia"/>
          <w:sz w:val="24"/>
          <w:lang w:val="en-US" w:eastAsia="zh-CN"/>
        </w:rPr>
        <w:t>段，上述信息旨在有助于确定进一步开展工作的必要性，有鉴于此，谨建议作为卡塔赫纳议定书缔约方会议的缔约方大会通过一项大致如下的决定：</w:t>
      </w:r>
      <w:r w:rsidR="008B27B6" w:rsidRPr="00F20F63">
        <w:rPr>
          <w:sz w:val="24"/>
          <w:lang w:eastAsia="zh-CN"/>
        </w:rPr>
        <w:t xml:space="preserve"> </w:t>
      </w:r>
    </w:p>
    <w:p w14:paraId="794EDB59" w14:textId="1CE19403" w:rsidR="008B27B6" w:rsidRPr="00590DBC" w:rsidRDefault="00590DBC" w:rsidP="00825E50">
      <w:pPr>
        <w:pStyle w:val="Para1"/>
        <w:numPr>
          <w:ilvl w:val="0"/>
          <w:numId w:val="0"/>
        </w:numPr>
        <w:tabs>
          <w:tab w:val="clear" w:pos="567"/>
          <w:tab w:val="clear" w:pos="1134"/>
          <w:tab w:val="clear" w:pos="1701"/>
          <w:tab w:val="clear" w:pos="2268"/>
        </w:tabs>
        <w:ind w:left="490" w:firstLine="567"/>
        <w:rPr>
          <w:rFonts w:eastAsia="楷体"/>
          <w:sz w:val="24"/>
          <w:lang w:val="en-GB" w:eastAsia="zh-CN"/>
        </w:rPr>
      </w:pPr>
      <w:r w:rsidRPr="00590DBC">
        <w:rPr>
          <w:rFonts w:eastAsia="楷体" w:hint="eastAsia"/>
          <w:sz w:val="24"/>
          <w:lang w:val="en-US" w:eastAsia="zh-CN"/>
        </w:rPr>
        <w:t>作为卡塔赫纳生物安全议定书缔约方会议的缔约方大会，</w:t>
      </w:r>
    </w:p>
    <w:p w14:paraId="55453698" w14:textId="4EBD23DF" w:rsidR="007B7B1E" w:rsidRPr="00495D71" w:rsidRDefault="00590DBC" w:rsidP="00825E50">
      <w:pPr>
        <w:pStyle w:val="Para1"/>
        <w:numPr>
          <w:ilvl w:val="0"/>
          <w:numId w:val="0"/>
        </w:numPr>
        <w:tabs>
          <w:tab w:val="clear" w:pos="567"/>
          <w:tab w:val="clear" w:pos="1134"/>
          <w:tab w:val="clear" w:pos="1701"/>
          <w:tab w:val="clear" w:pos="2268"/>
        </w:tabs>
        <w:ind w:left="490" w:firstLine="567"/>
        <w:rPr>
          <w:sz w:val="24"/>
          <w:lang w:val="en-GB" w:eastAsia="zh-CN"/>
        </w:rPr>
      </w:pPr>
      <w:r w:rsidRPr="00590DBC">
        <w:rPr>
          <w:rFonts w:eastAsia="楷体" w:hint="eastAsia"/>
          <w:sz w:val="24"/>
          <w:lang w:val="en-US" w:eastAsia="zh-CN"/>
        </w:rPr>
        <w:t>回顾</w:t>
      </w:r>
      <w:r w:rsidRPr="00590DBC">
        <w:rPr>
          <w:rFonts w:eastAsia="楷体" w:hint="eastAsia"/>
          <w:sz w:val="24"/>
          <w:lang w:val="en-US" w:eastAsia="zh-CN"/>
        </w:rPr>
        <w:t xml:space="preserve"> </w:t>
      </w:r>
      <w:r w:rsidRPr="00590DBC">
        <w:rPr>
          <w:rFonts w:hint="eastAsia"/>
          <w:sz w:val="24"/>
          <w:lang w:val="en-US" w:eastAsia="zh-CN"/>
        </w:rPr>
        <w:t xml:space="preserve">2018 </w:t>
      </w:r>
      <w:r w:rsidRPr="00590DBC">
        <w:rPr>
          <w:rFonts w:hint="eastAsia"/>
          <w:sz w:val="24"/>
          <w:lang w:val="en-US" w:eastAsia="zh-CN"/>
        </w:rPr>
        <w:t>年</w:t>
      </w:r>
      <w:r w:rsidRPr="00590DBC">
        <w:rPr>
          <w:rFonts w:hint="eastAsia"/>
          <w:sz w:val="24"/>
          <w:lang w:val="en-US" w:eastAsia="zh-CN"/>
        </w:rPr>
        <w:t xml:space="preserve"> 11 </w:t>
      </w:r>
      <w:r w:rsidRPr="00590DBC">
        <w:rPr>
          <w:rFonts w:hint="eastAsia"/>
          <w:sz w:val="24"/>
          <w:lang w:val="en-US" w:eastAsia="zh-CN"/>
        </w:rPr>
        <w:t>月</w:t>
      </w:r>
      <w:r w:rsidRPr="00590DBC">
        <w:rPr>
          <w:rFonts w:hint="eastAsia"/>
          <w:sz w:val="24"/>
          <w:lang w:val="en-US" w:eastAsia="zh-CN"/>
        </w:rPr>
        <w:t xml:space="preserve"> 28 </w:t>
      </w:r>
      <w:r w:rsidRPr="00590DBC">
        <w:rPr>
          <w:rFonts w:hint="eastAsia"/>
          <w:sz w:val="24"/>
          <w:lang w:val="en-US" w:eastAsia="zh-CN"/>
        </w:rPr>
        <w:t>日第</w:t>
      </w:r>
      <w:r w:rsidRPr="00590DBC">
        <w:rPr>
          <w:rFonts w:hint="eastAsia"/>
          <w:sz w:val="24"/>
          <w:lang w:val="en-US" w:eastAsia="zh-CN"/>
        </w:rPr>
        <w:t>CP-9/14</w:t>
      </w:r>
      <w:r w:rsidRPr="00590DBC">
        <w:rPr>
          <w:rFonts w:hint="eastAsia"/>
          <w:sz w:val="24"/>
          <w:lang w:val="en-US" w:eastAsia="zh-CN"/>
        </w:rPr>
        <w:t>号决定表示注意到的关于</w:t>
      </w:r>
      <w:r>
        <w:rPr>
          <w:rFonts w:hint="eastAsia"/>
          <w:sz w:val="24"/>
          <w:lang w:val="en-US" w:eastAsia="zh-CN"/>
        </w:rPr>
        <w:t>在</w:t>
      </w:r>
      <w:r w:rsidRPr="00590DBC">
        <w:rPr>
          <w:rFonts w:hint="eastAsia"/>
          <w:sz w:val="24"/>
          <w:lang w:val="en-US" w:eastAsia="zh-CN"/>
        </w:rPr>
        <w:t>《卡塔赫纳生物安全议定书》第</w:t>
      </w:r>
      <w:r w:rsidRPr="00590DBC">
        <w:rPr>
          <w:rFonts w:hint="eastAsia"/>
          <w:sz w:val="24"/>
          <w:lang w:val="en-US" w:eastAsia="zh-CN"/>
        </w:rPr>
        <w:t xml:space="preserve"> 26 </w:t>
      </w:r>
      <w:r w:rsidRPr="00590DBC">
        <w:rPr>
          <w:rFonts w:hint="eastAsia"/>
          <w:sz w:val="24"/>
          <w:lang w:val="en-US" w:eastAsia="zh-CN"/>
        </w:rPr>
        <w:t>条</w:t>
      </w:r>
      <w:r>
        <w:rPr>
          <w:rFonts w:hint="eastAsia"/>
          <w:sz w:val="24"/>
          <w:lang w:val="en-US" w:eastAsia="zh-CN"/>
        </w:rPr>
        <w:t>背景下</w:t>
      </w:r>
      <w:r w:rsidRPr="00590DBC">
        <w:rPr>
          <w:rFonts w:hint="eastAsia"/>
          <w:sz w:val="24"/>
          <w:lang w:val="en-US" w:eastAsia="zh-CN"/>
        </w:rPr>
        <w:t>评估社会经济因素的指导意见，</w:t>
      </w:r>
      <w:r w:rsidR="00495D71" w:rsidRPr="00495D71">
        <w:rPr>
          <w:sz w:val="24"/>
          <w:vertAlign w:val="superscript"/>
          <w:lang w:val="en-GB" w:eastAsia="zh-CN"/>
        </w:rPr>
        <w:footnoteReference w:id="5"/>
      </w:r>
    </w:p>
    <w:p w14:paraId="54AD208F" w14:textId="443D41A7" w:rsidR="008B27B6" w:rsidRPr="00F20F63" w:rsidRDefault="00590DBC" w:rsidP="00825E50">
      <w:pPr>
        <w:pStyle w:val="Para1"/>
        <w:numPr>
          <w:ilvl w:val="0"/>
          <w:numId w:val="0"/>
        </w:numPr>
        <w:tabs>
          <w:tab w:val="clear" w:pos="567"/>
          <w:tab w:val="clear" w:pos="1134"/>
          <w:tab w:val="clear" w:pos="1701"/>
          <w:tab w:val="clear" w:pos="2268"/>
        </w:tabs>
        <w:ind w:left="490" w:firstLine="567"/>
        <w:rPr>
          <w:sz w:val="24"/>
          <w:lang w:val="en-GB" w:eastAsia="zh-CN"/>
        </w:rPr>
      </w:pPr>
      <w:r w:rsidRPr="00590DBC">
        <w:rPr>
          <w:rFonts w:eastAsia="楷体" w:hint="eastAsia"/>
          <w:sz w:val="24"/>
          <w:lang w:val="en-US" w:eastAsia="zh-CN"/>
        </w:rPr>
        <w:t>又回顾</w:t>
      </w:r>
      <w:r w:rsidRPr="00590DBC">
        <w:rPr>
          <w:rFonts w:eastAsia="楷体" w:hint="eastAsia"/>
          <w:sz w:val="24"/>
          <w:lang w:val="en-US" w:eastAsia="zh-CN"/>
        </w:rPr>
        <w:t xml:space="preserve"> </w:t>
      </w:r>
      <w:r w:rsidRPr="00590DBC">
        <w:rPr>
          <w:rFonts w:hint="eastAsia"/>
          <w:sz w:val="24"/>
          <w:lang w:val="en-US" w:eastAsia="zh-CN"/>
        </w:rPr>
        <w:t xml:space="preserve">2022 </w:t>
      </w:r>
      <w:r w:rsidRPr="00590DBC">
        <w:rPr>
          <w:rFonts w:hint="eastAsia"/>
          <w:sz w:val="24"/>
          <w:lang w:val="en-US" w:eastAsia="zh-CN"/>
        </w:rPr>
        <w:t>年</w:t>
      </w:r>
      <w:r w:rsidRPr="00590DBC">
        <w:rPr>
          <w:rFonts w:hint="eastAsia"/>
          <w:sz w:val="24"/>
          <w:lang w:val="en-US" w:eastAsia="zh-CN"/>
        </w:rPr>
        <w:t xml:space="preserve"> 12 </w:t>
      </w:r>
      <w:r w:rsidRPr="00590DBC">
        <w:rPr>
          <w:rFonts w:hint="eastAsia"/>
          <w:sz w:val="24"/>
          <w:lang w:val="en-US" w:eastAsia="zh-CN"/>
        </w:rPr>
        <w:t>月</w:t>
      </w:r>
      <w:r w:rsidRPr="00590DBC">
        <w:rPr>
          <w:rFonts w:hint="eastAsia"/>
          <w:sz w:val="24"/>
          <w:lang w:val="en-US" w:eastAsia="zh-CN"/>
        </w:rPr>
        <w:t xml:space="preserve"> 10 </w:t>
      </w:r>
      <w:r w:rsidRPr="00590DBC">
        <w:rPr>
          <w:rFonts w:hint="eastAsia"/>
          <w:sz w:val="24"/>
          <w:lang w:val="en-US" w:eastAsia="zh-CN"/>
        </w:rPr>
        <w:t>日第</w:t>
      </w:r>
      <w:r w:rsidRPr="00590DBC">
        <w:rPr>
          <w:rFonts w:hint="eastAsia"/>
          <w:sz w:val="24"/>
          <w:lang w:val="en-US" w:eastAsia="zh-CN"/>
        </w:rPr>
        <w:t xml:space="preserve"> CP-10/12 </w:t>
      </w:r>
      <w:r w:rsidRPr="00590DBC">
        <w:rPr>
          <w:rFonts w:hint="eastAsia"/>
          <w:sz w:val="24"/>
          <w:lang w:val="en-US" w:eastAsia="zh-CN"/>
        </w:rPr>
        <w:t>号决定，</w:t>
      </w:r>
    </w:p>
    <w:p w14:paraId="08015649" w14:textId="1B2C4F38" w:rsidR="008A51E6" w:rsidRDefault="008A51E6" w:rsidP="00825E50">
      <w:pPr>
        <w:pStyle w:val="Para1"/>
        <w:numPr>
          <w:ilvl w:val="0"/>
          <w:numId w:val="0"/>
        </w:numPr>
        <w:tabs>
          <w:tab w:val="clear" w:pos="567"/>
          <w:tab w:val="clear" w:pos="1134"/>
          <w:tab w:val="clear" w:pos="1701"/>
          <w:tab w:val="clear" w:pos="2268"/>
        </w:tabs>
        <w:ind w:left="490" w:firstLine="567"/>
        <w:rPr>
          <w:sz w:val="24"/>
          <w:lang w:val="en-GB" w:eastAsia="zh-CN"/>
        </w:rPr>
      </w:pPr>
      <w:r w:rsidRPr="008A51E6">
        <w:rPr>
          <w:rFonts w:eastAsia="楷体" w:hint="eastAsia"/>
          <w:sz w:val="24"/>
          <w:lang w:val="en-US" w:eastAsia="zh-CN"/>
        </w:rPr>
        <w:t>还回顾</w:t>
      </w:r>
      <w:r w:rsidRPr="008A51E6">
        <w:rPr>
          <w:rFonts w:hint="eastAsia"/>
          <w:sz w:val="24"/>
          <w:lang w:val="en-US" w:eastAsia="zh-CN"/>
        </w:rPr>
        <w:t>《卡塔赫纳议定书》执行计划</w:t>
      </w:r>
      <w:r w:rsidRPr="00F20F63">
        <w:rPr>
          <w:rStyle w:val="FootnoteReference"/>
          <w:sz w:val="24"/>
          <w:lang w:val="en-GB"/>
        </w:rPr>
        <w:footnoteReference w:id="6"/>
      </w:r>
      <w:r w:rsidRPr="008A51E6">
        <w:rPr>
          <w:rFonts w:hint="eastAsia"/>
          <w:sz w:val="24"/>
          <w:lang w:val="en-US" w:eastAsia="zh-CN"/>
        </w:rPr>
        <w:t>和能力建设行动计划的长期目标</w:t>
      </w:r>
      <w:r w:rsidRPr="008A51E6">
        <w:rPr>
          <w:rFonts w:hint="eastAsia"/>
          <w:sz w:val="24"/>
          <w:lang w:val="en-US" w:eastAsia="zh-CN"/>
        </w:rPr>
        <w:t xml:space="preserve"> A.9</w:t>
      </w:r>
      <w:r w:rsidRPr="008A51E6">
        <w:rPr>
          <w:rFonts w:hint="eastAsia"/>
          <w:sz w:val="24"/>
          <w:lang w:val="en-US" w:eastAsia="zh-CN"/>
        </w:rPr>
        <w:t>，</w:t>
      </w:r>
      <w:r w:rsidRPr="00F20F63">
        <w:rPr>
          <w:rStyle w:val="FootnoteReference"/>
          <w:sz w:val="24"/>
          <w:lang w:val="en-GB"/>
        </w:rPr>
        <w:footnoteReference w:id="7"/>
      </w:r>
    </w:p>
    <w:p w14:paraId="63282C7F" w14:textId="43B65617" w:rsidR="00D3387A" w:rsidRPr="00F20F63" w:rsidRDefault="00A22373" w:rsidP="00825E50">
      <w:pPr>
        <w:pStyle w:val="CBDDesicionText"/>
        <w:tabs>
          <w:tab w:val="clear" w:pos="567"/>
          <w:tab w:val="clear" w:pos="1134"/>
          <w:tab w:val="clear" w:pos="1701"/>
          <w:tab w:val="clear" w:pos="2268"/>
          <w:tab w:val="clear" w:pos="2835"/>
          <w:tab w:val="clear" w:pos="3402"/>
        </w:tabs>
        <w:spacing w:before="120"/>
        <w:ind w:left="490" w:firstLine="567"/>
        <w:rPr>
          <w:sz w:val="24"/>
          <w:lang w:val="en-GB" w:eastAsia="zh-CN"/>
        </w:rPr>
      </w:pPr>
      <w:r w:rsidRPr="00F20F63">
        <w:rPr>
          <w:sz w:val="24"/>
          <w:lang w:val="en-GB" w:eastAsia="zh-CN"/>
        </w:rPr>
        <w:t>1.</w:t>
      </w:r>
      <w:r w:rsidRPr="00F20F63">
        <w:rPr>
          <w:i/>
          <w:iCs/>
          <w:sz w:val="24"/>
          <w:lang w:val="en-GB" w:eastAsia="zh-CN"/>
        </w:rPr>
        <w:tab/>
      </w:r>
      <w:r w:rsidR="005F7544" w:rsidRPr="005F7544">
        <w:rPr>
          <w:rFonts w:eastAsia="楷体" w:hint="eastAsia"/>
          <w:sz w:val="24"/>
          <w:lang w:eastAsia="zh-CN"/>
        </w:rPr>
        <w:t>欢迎</w:t>
      </w:r>
      <w:r w:rsidR="005F7544" w:rsidRPr="005F7544">
        <w:rPr>
          <w:rFonts w:hint="eastAsia"/>
          <w:sz w:val="24"/>
          <w:lang w:eastAsia="zh-CN"/>
        </w:rPr>
        <w:t>分享信息，说明使用自愿指导意见的经验以及根据指导意见的要素考虑社会经济因素的方法和应用实例，</w:t>
      </w:r>
      <w:r w:rsidR="005F7544" w:rsidRPr="005F7544">
        <w:rPr>
          <w:sz w:val="24"/>
          <w:vertAlign w:val="superscript"/>
          <w:lang w:val="en-GB"/>
        </w:rPr>
        <w:footnoteReference w:id="8"/>
      </w:r>
      <w:r w:rsidR="005F7544" w:rsidRPr="005F7544">
        <w:rPr>
          <w:rFonts w:hint="eastAsia"/>
          <w:sz w:val="24"/>
          <w:lang w:eastAsia="zh-CN"/>
        </w:rPr>
        <w:t>同时认识到在这方面提交的信息有限；</w:t>
      </w:r>
    </w:p>
    <w:p w14:paraId="13A17A28" w14:textId="60EC8DDC" w:rsidR="00D3387A" w:rsidRPr="00AA7FD3" w:rsidRDefault="00A22373" w:rsidP="00825E50">
      <w:pPr>
        <w:pStyle w:val="CBDDesicionText"/>
        <w:tabs>
          <w:tab w:val="clear" w:pos="567"/>
          <w:tab w:val="clear" w:pos="1134"/>
          <w:tab w:val="clear" w:pos="1701"/>
          <w:tab w:val="clear" w:pos="2268"/>
          <w:tab w:val="clear" w:pos="2835"/>
          <w:tab w:val="clear" w:pos="3402"/>
        </w:tabs>
        <w:spacing w:before="120"/>
        <w:ind w:left="490" w:firstLine="567"/>
        <w:rPr>
          <w:i/>
          <w:iCs/>
          <w:sz w:val="24"/>
          <w:lang w:val="en-GB" w:eastAsia="zh-CN"/>
        </w:rPr>
      </w:pPr>
      <w:r w:rsidRPr="00F20F63">
        <w:rPr>
          <w:sz w:val="24"/>
          <w:lang w:val="en-GB" w:eastAsia="zh-CN"/>
        </w:rPr>
        <w:t>2.</w:t>
      </w:r>
      <w:r w:rsidRPr="00F20F63">
        <w:rPr>
          <w:i/>
          <w:iCs/>
          <w:sz w:val="24"/>
          <w:lang w:val="en-GB" w:eastAsia="zh-CN"/>
        </w:rPr>
        <w:tab/>
      </w:r>
      <w:r w:rsidR="00AA7FD3" w:rsidRPr="00AA7FD3">
        <w:rPr>
          <w:rFonts w:eastAsia="楷体" w:hint="eastAsia"/>
          <w:sz w:val="24"/>
          <w:lang w:eastAsia="zh-CN"/>
        </w:rPr>
        <w:t>又欢迎</w:t>
      </w:r>
      <w:r w:rsidR="00AA7FD3" w:rsidRPr="00AA7FD3">
        <w:rPr>
          <w:rFonts w:hint="eastAsia"/>
          <w:sz w:val="24"/>
          <w:lang w:eastAsia="zh-CN"/>
        </w:rPr>
        <w:t>缔约方</w:t>
      </w:r>
      <w:r w:rsidR="00AA7FD3">
        <w:rPr>
          <w:rFonts w:hint="eastAsia"/>
          <w:sz w:val="24"/>
          <w:lang w:eastAsia="zh-CN"/>
        </w:rPr>
        <w:t>根据在</w:t>
      </w:r>
      <w:r w:rsidR="00AA7FD3" w:rsidRPr="00AA7FD3">
        <w:rPr>
          <w:rFonts w:hint="eastAsia"/>
          <w:sz w:val="24"/>
          <w:lang w:eastAsia="zh-CN"/>
        </w:rPr>
        <w:t>其第四次国家报告</w:t>
      </w:r>
      <w:r w:rsidR="00AA7FD3">
        <w:rPr>
          <w:rFonts w:hint="eastAsia"/>
          <w:sz w:val="24"/>
          <w:lang w:eastAsia="zh-CN"/>
        </w:rPr>
        <w:t>中</w:t>
      </w:r>
      <w:r w:rsidR="00AA7FD3" w:rsidRPr="00AA7FD3">
        <w:rPr>
          <w:rFonts w:hint="eastAsia"/>
          <w:sz w:val="24"/>
          <w:lang w:eastAsia="zh-CN"/>
        </w:rPr>
        <w:t>做出</w:t>
      </w:r>
      <w:r w:rsidR="00AA7FD3">
        <w:rPr>
          <w:rFonts w:hint="eastAsia"/>
          <w:sz w:val="24"/>
          <w:lang w:eastAsia="zh-CN"/>
        </w:rPr>
        <w:t>的</w:t>
      </w:r>
      <w:r w:rsidR="00AA7FD3" w:rsidRPr="00AA7FD3">
        <w:rPr>
          <w:rFonts w:hint="eastAsia"/>
          <w:sz w:val="24"/>
          <w:lang w:eastAsia="zh-CN"/>
        </w:rPr>
        <w:t>答复分享信息，说明考虑社会经济因素的方法和要求以及评估社会经济因素的经验；</w:t>
      </w:r>
      <w:r w:rsidR="00AA7FD3" w:rsidRPr="00AA7FD3">
        <w:rPr>
          <w:sz w:val="24"/>
          <w:vertAlign w:val="superscript"/>
          <w:lang w:val="en-GB"/>
        </w:rPr>
        <w:footnoteReference w:id="9"/>
      </w:r>
    </w:p>
    <w:p w14:paraId="62D6918A" w14:textId="17BF0614" w:rsidR="003E183C" w:rsidRPr="00F20F63" w:rsidRDefault="00A22373" w:rsidP="00825E50">
      <w:pPr>
        <w:pStyle w:val="CBDDesicionText"/>
        <w:tabs>
          <w:tab w:val="clear" w:pos="567"/>
          <w:tab w:val="clear" w:pos="1134"/>
          <w:tab w:val="clear" w:pos="1701"/>
          <w:tab w:val="clear" w:pos="2268"/>
          <w:tab w:val="clear" w:pos="2835"/>
          <w:tab w:val="clear" w:pos="3402"/>
        </w:tabs>
        <w:spacing w:before="120"/>
        <w:ind w:left="490" w:firstLine="567"/>
        <w:rPr>
          <w:i/>
          <w:iCs/>
          <w:sz w:val="24"/>
          <w:lang w:val="en-GB" w:eastAsia="zh-CN"/>
        </w:rPr>
      </w:pPr>
      <w:r w:rsidRPr="00F20F63">
        <w:rPr>
          <w:sz w:val="24"/>
          <w:lang w:val="en-GB" w:eastAsia="zh-CN"/>
        </w:rPr>
        <w:t>3.</w:t>
      </w:r>
      <w:r w:rsidRPr="00F20F63">
        <w:rPr>
          <w:i/>
          <w:iCs/>
          <w:sz w:val="24"/>
          <w:lang w:val="en-GB" w:eastAsia="zh-CN"/>
        </w:rPr>
        <w:tab/>
      </w:r>
      <w:r w:rsidR="00AA7FD3" w:rsidRPr="00AA7FD3">
        <w:rPr>
          <w:rFonts w:eastAsia="楷体" w:hint="eastAsia"/>
          <w:sz w:val="24"/>
          <w:lang w:eastAsia="zh-CN"/>
        </w:rPr>
        <w:t>邀请</w:t>
      </w:r>
      <w:r w:rsidR="00AA7FD3" w:rsidRPr="00AA7FD3">
        <w:rPr>
          <w:rFonts w:hint="eastAsia"/>
          <w:sz w:val="24"/>
          <w:lang w:eastAsia="zh-CN"/>
        </w:rPr>
        <w:t>缔约方、其他国家政府、相关组织和其他利益攸关方酌情使用自愿指导意见并在第五次国家报告中分享这方面的经验，或在生物安全信息交换所虚拟图书馆中提供这些经验；</w:t>
      </w:r>
    </w:p>
    <w:p w14:paraId="618E83F6" w14:textId="661BEA8F" w:rsidR="00532ED9" w:rsidRPr="00F20F63" w:rsidRDefault="00A22373" w:rsidP="00825E50">
      <w:pPr>
        <w:pStyle w:val="CBDDesicionText"/>
        <w:tabs>
          <w:tab w:val="clear" w:pos="567"/>
          <w:tab w:val="clear" w:pos="1134"/>
          <w:tab w:val="clear" w:pos="1701"/>
          <w:tab w:val="clear" w:pos="2268"/>
          <w:tab w:val="clear" w:pos="2835"/>
          <w:tab w:val="clear" w:pos="3402"/>
        </w:tabs>
        <w:spacing w:before="120"/>
        <w:ind w:left="490" w:firstLine="567"/>
        <w:rPr>
          <w:i/>
          <w:iCs/>
          <w:sz w:val="24"/>
          <w:lang w:val="en-GB" w:eastAsia="zh-CN"/>
        </w:rPr>
      </w:pPr>
      <w:r w:rsidRPr="00F20F63">
        <w:rPr>
          <w:sz w:val="24"/>
          <w:lang w:val="en-GB" w:eastAsia="zh-CN"/>
        </w:rPr>
        <w:t>4.</w:t>
      </w:r>
      <w:r w:rsidRPr="00F20F63">
        <w:rPr>
          <w:i/>
          <w:iCs/>
          <w:sz w:val="24"/>
          <w:lang w:val="en-GB" w:eastAsia="zh-CN"/>
        </w:rPr>
        <w:tab/>
      </w:r>
      <w:r w:rsidR="00AA7FD3" w:rsidRPr="00AA7FD3">
        <w:rPr>
          <w:rFonts w:eastAsia="楷体" w:hint="eastAsia"/>
          <w:sz w:val="24"/>
          <w:lang w:eastAsia="zh-CN"/>
        </w:rPr>
        <w:t>请</w:t>
      </w:r>
      <w:r w:rsidR="00AA7FD3" w:rsidRPr="00AA7FD3">
        <w:rPr>
          <w:rFonts w:hint="eastAsia"/>
          <w:sz w:val="24"/>
          <w:lang w:eastAsia="zh-CN"/>
        </w:rPr>
        <w:t>执行秘书综合根据上文第</w:t>
      </w:r>
      <w:r w:rsidR="00AA7FD3" w:rsidRPr="00AA7FD3">
        <w:rPr>
          <w:rFonts w:hint="eastAsia"/>
          <w:sz w:val="24"/>
          <w:lang w:eastAsia="zh-CN"/>
        </w:rPr>
        <w:t>3</w:t>
      </w:r>
      <w:r w:rsidR="00AA7FD3" w:rsidRPr="00AA7FD3">
        <w:rPr>
          <w:rFonts w:hint="eastAsia"/>
          <w:sz w:val="24"/>
          <w:lang w:eastAsia="zh-CN"/>
        </w:rPr>
        <w:t>段在第五次国家报告中提供的信息，供作为卡塔赫纳生物安全议定书缔约方会议的缔约方大会第十二次会议审议；</w:t>
      </w:r>
    </w:p>
    <w:p w14:paraId="6096730C" w14:textId="43CB86BF" w:rsidR="005A0DC6" w:rsidRPr="00F20F63" w:rsidRDefault="00A22373" w:rsidP="003251CA">
      <w:pPr>
        <w:pStyle w:val="CBDDesicionText"/>
        <w:tabs>
          <w:tab w:val="clear" w:pos="567"/>
          <w:tab w:val="clear" w:pos="1134"/>
          <w:tab w:val="clear" w:pos="1701"/>
          <w:tab w:val="clear" w:pos="2268"/>
          <w:tab w:val="clear" w:pos="2835"/>
          <w:tab w:val="clear" w:pos="3402"/>
        </w:tabs>
        <w:spacing w:before="120"/>
        <w:ind w:left="490" w:firstLine="567"/>
        <w:rPr>
          <w:i/>
          <w:iCs/>
          <w:sz w:val="24"/>
          <w:lang w:val="en-GB" w:eastAsia="zh-CN"/>
        </w:rPr>
      </w:pPr>
      <w:r w:rsidRPr="00F20F63">
        <w:rPr>
          <w:sz w:val="24"/>
          <w:lang w:val="en-GB" w:eastAsia="zh-CN"/>
        </w:rPr>
        <w:lastRenderedPageBreak/>
        <w:t>5.</w:t>
      </w:r>
      <w:r w:rsidRPr="00F20F63">
        <w:rPr>
          <w:i/>
          <w:iCs/>
          <w:sz w:val="24"/>
          <w:lang w:val="en-GB" w:eastAsia="zh-CN"/>
        </w:rPr>
        <w:tab/>
      </w:r>
      <w:r w:rsidR="00AA7FD3" w:rsidRPr="00AA7FD3">
        <w:rPr>
          <w:rFonts w:eastAsia="楷体" w:hint="eastAsia"/>
          <w:sz w:val="24"/>
          <w:lang w:eastAsia="zh-CN"/>
        </w:rPr>
        <w:t>邀请</w:t>
      </w:r>
      <w:r w:rsidR="00AA7FD3" w:rsidRPr="00AA7FD3">
        <w:rPr>
          <w:rFonts w:hint="eastAsia"/>
          <w:sz w:val="24"/>
          <w:lang w:eastAsia="zh-CN"/>
        </w:rPr>
        <w:t>缔约方、其他国家政府和组织开展能力建设和提高认识活动，支持实现卡塔赫纳议定书执行计划和能力建设行动计划的长期目标</w:t>
      </w:r>
      <w:r w:rsidR="00AA7FD3" w:rsidRPr="00AA7FD3">
        <w:rPr>
          <w:rFonts w:hint="eastAsia"/>
          <w:sz w:val="24"/>
          <w:lang w:eastAsia="zh-CN"/>
        </w:rPr>
        <w:t>A.9</w:t>
      </w:r>
      <w:r w:rsidR="00AA7FD3" w:rsidRPr="00AA7FD3">
        <w:rPr>
          <w:rFonts w:hint="eastAsia"/>
          <w:sz w:val="24"/>
          <w:lang w:eastAsia="zh-CN"/>
        </w:rPr>
        <w:t>，并鼓励捐助方为此提供必要资源。</w:t>
      </w:r>
      <w:r w:rsidR="005A0DC6" w:rsidRPr="00F20F63">
        <w:rPr>
          <w:i/>
          <w:iCs/>
          <w:sz w:val="24"/>
          <w:lang w:val="en-GB" w:eastAsia="zh-CN"/>
        </w:rPr>
        <w:br w:type="page"/>
      </w:r>
    </w:p>
    <w:p w14:paraId="3F593B70" w14:textId="4558D681" w:rsidR="00296432" w:rsidRPr="00F20F63" w:rsidRDefault="00AA7FD3" w:rsidP="00245F6C">
      <w:pPr>
        <w:pStyle w:val="CBDAnnex"/>
        <w:rPr>
          <w:lang w:eastAsia="zh-CN"/>
        </w:rPr>
      </w:pPr>
      <w:r w:rsidRPr="00AA7FD3">
        <w:rPr>
          <w:rFonts w:hint="eastAsia"/>
          <w:lang w:val="en-US" w:eastAsia="zh-CN"/>
        </w:rPr>
        <w:lastRenderedPageBreak/>
        <w:t>附件</w:t>
      </w:r>
      <w:r w:rsidR="0041295F" w:rsidRPr="00F20F63">
        <w:rPr>
          <w:lang w:eastAsia="zh-CN"/>
        </w:rPr>
        <w:t xml:space="preserve"> </w:t>
      </w:r>
      <w:r w:rsidR="0041295F" w:rsidRPr="00F20F63">
        <w:rPr>
          <w:lang w:eastAsia="zh-CN"/>
        </w:rPr>
        <w:br/>
      </w:r>
      <w:r w:rsidRPr="00AA7FD3">
        <w:rPr>
          <w:rFonts w:hint="eastAsia"/>
          <w:lang w:val="en-US" w:eastAsia="zh-CN"/>
        </w:rPr>
        <w:t>根据</w:t>
      </w:r>
      <w:r w:rsidRPr="00AA7FD3">
        <w:rPr>
          <w:rFonts w:hint="eastAsia"/>
          <w:lang w:val="en-US" w:eastAsia="zh-CN"/>
        </w:rPr>
        <w:t xml:space="preserve"> CP-10/12 </w:t>
      </w:r>
      <w:r w:rsidRPr="00AA7FD3">
        <w:rPr>
          <w:rFonts w:hint="eastAsia"/>
          <w:lang w:val="en-US" w:eastAsia="zh-CN"/>
        </w:rPr>
        <w:t>号决定收集的信息摘要</w:t>
      </w:r>
    </w:p>
    <w:p w14:paraId="25C189EF" w14:textId="6C6A93C4" w:rsidR="000E4C00" w:rsidRPr="00F20F63" w:rsidRDefault="00AA7FD3" w:rsidP="00AA7FD3">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一</w:t>
      </w:r>
      <w:r w:rsidR="000E4C00" w:rsidRPr="00F20F63">
        <w:rPr>
          <w:lang w:eastAsia="zh-CN"/>
        </w:rPr>
        <w:t>.</w:t>
      </w:r>
      <w:r w:rsidR="002174EC" w:rsidRPr="00F20F63">
        <w:rPr>
          <w:lang w:eastAsia="zh-CN"/>
        </w:rPr>
        <w:tab/>
      </w:r>
      <w:r w:rsidRPr="00AA7FD3">
        <w:rPr>
          <w:rFonts w:hint="eastAsia"/>
          <w:lang w:val="en-US" w:eastAsia="zh-CN"/>
        </w:rPr>
        <w:t>根据</w:t>
      </w:r>
      <w:r w:rsidRPr="00AA7FD3">
        <w:rPr>
          <w:rFonts w:hint="eastAsia"/>
          <w:lang w:val="en-US" w:eastAsia="zh-CN"/>
        </w:rPr>
        <w:t xml:space="preserve"> CP-10/12 </w:t>
      </w:r>
      <w:r w:rsidRPr="00AA7FD3">
        <w:rPr>
          <w:rFonts w:hint="eastAsia"/>
          <w:lang w:val="en-US" w:eastAsia="zh-CN"/>
        </w:rPr>
        <w:t>号决定第</w:t>
      </w:r>
      <w:r w:rsidRPr="00AA7FD3">
        <w:rPr>
          <w:rFonts w:hint="eastAsia"/>
          <w:lang w:val="en-US" w:eastAsia="zh-CN"/>
        </w:rPr>
        <w:t xml:space="preserve"> 3 </w:t>
      </w:r>
      <w:r w:rsidRPr="00AA7FD3">
        <w:rPr>
          <w:rFonts w:hint="eastAsia"/>
          <w:lang w:val="en-US" w:eastAsia="zh-CN"/>
        </w:rPr>
        <w:t>段收到的</w:t>
      </w:r>
      <w:r>
        <w:rPr>
          <w:rFonts w:hint="eastAsia"/>
          <w:lang w:val="en-US" w:eastAsia="zh-CN"/>
        </w:rPr>
        <w:t>信息</w:t>
      </w:r>
      <w:r w:rsidRPr="00AA7FD3">
        <w:rPr>
          <w:rFonts w:hint="eastAsia"/>
          <w:lang w:val="en-US" w:eastAsia="zh-CN"/>
        </w:rPr>
        <w:t>摘要</w:t>
      </w:r>
    </w:p>
    <w:p w14:paraId="14ABDFDB" w14:textId="6C0FC93A" w:rsidR="009F2848" w:rsidRDefault="00F35CBC"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D428E9" w:rsidRPr="00F20F63">
        <w:rPr>
          <w:sz w:val="24"/>
          <w:lang w:eastAsia="zh-CN"/>
        </w:rPr>
        <w:t>.</w:t>
      </w:r>
      <w:r w:rsidR="00D428E9" w:rsidRPr="00F20F63">
        <w:rPr>
          <w:sz w:val="24"/>
          <w:lang w:eastAsia="zh-CN"/>
        </w:rPr>
        <w:tab/>
      </w:r>
      <w:r w:rsidR="009F2848" w:rsidRPr="009F2848">
        <w:rPr>
          <w:rFonts w:hint="eastAsia"/>
          <w:sz w:val="24"/>
          <w:lang w:val="en-US" w:eastAsia="zh-CN"/>
        </w:rPr>
        <w:t>一个缔约方</w:t>
      </w:r>
      <w:r w:rsidR="009F2848" w:rsidRPr="009F2848">
        <w:rPr>
          <w:sz w:val="24"/>
          <w:vertAlign w:val="superscript"/>
          <w:lang w:val="en-US" w:eastAsia="zh-CN"/>
        </w:rPr>
        <w:footnoteReference w:id="10"/>
      </w:r>
      <w:r w:rsidR="009F2848" w:rsidRPr="009F2848">
        <w:rPr>
          <w:rFonts w:hint="eastAsia"/>
          <w:sz w:val="24"/>
          <w:lang w:val="en-US" w:eastAsia="zh-CN"/>
        </w:rPr>
        <w:t>在提交的</w:t>
      </w:r>
      <w:r w:rsidR="009F2848">
        <w:rPr>
          <w:rFonts w:hint="eastAsia"/>
          <w:sz w:val="24"/>
          <w:lang w:val="en-US" w:eastAsia="zh-CN"/>
        </w:rPr>
        <w:t>材料</w:t>
      </w:r>
      <w:r w:rsidR="009F2848" w:rsidRPr="009F2848">
        <w:rPr>
          <w:rFonts w:hint="eastAsia"/>
          <w:sz w:val="24"/>
          <w:lang w:val="en-US" w:eastAsia="zh-CN"/>
        </w:rPr>
        <w:t>中指出，《卡塔赫纳生物安全议定书》第</w:t>
      </w:r>
      <w:r w:rsidR="009F2848" w:rsidRPr="009F2848">
        <w:rPr>
          <w:rFonts w:hint="eastAsia"/>
          <w:sz w:val="24"/>
          <w:lang w:val="en-US" w:eastAsia="zh-CN"/>
        </w:rPr>
        <w:t xml:space="preserve"> 26 </w:t>
      </w:r>
      <w:r w:rsidR="009F2848" w:rsidRPr="009F2848">
        <w:rPr>
          <w:rFonts w:hint="eastAsia"/>
          <w:sz w:val="24"/>
          <w:lang w:val="en-US" w:eastAsia="zh-CN"/>
        </w:rPr>
        <w:t>条背景下的社会经济因素评估自愿指导意见提供了国家一级的社会经济评估重点领域，指导意见的要素运用起来简单直接。该缔约方介绍了其社会经济因素评估如何纳入了指导意见的要素，同时考虑到本国的社会经济状况。在其社会经济评估中考虑了若干要素，包括改性活生物体的潜在影响与此类影响成为现实的可能性之间的联系、改性活生物体的利用的可持续性、在释放地区生活的人的职业以及释放地区主要宗教团体的观点。将调查结果与常规（非转基因）生物的数据和其他农业生态地点使用改性活生物体的数据进行了比较。</w:t>
      </w:r>
      <w:r w:rsidR="00F461A8">
        <w:rPr>
          <w:rFonts w:hint="eastAsia"/>
          <w:sz w:val="24"/>
          <w:lang w:val="en-US" w:eastAsia="zh-CN"/>
        </w:rPr>
        <w:t>查明</w:t>
      </w:r>
      <w:r w:rsidR="009F2848" w:rsidRPr="009F2848">
        <w:rPr>
          <w:rFonts w:hint="eastAsia"/>
          <w:sz w:val="24"/>
          <w:lang w:val="en-US" w:eastAsia="zh-CN"/>
        </w:rPr>
        <w:t>了该领域的专家并让他们参与社会经济评估，并将评估结果反映在风险评估报告的专门章节中，把这些报告提交给决策机构。土著人民和地方社区参与了对拟释放改性活生物体的地区的监测和检查。该缔约方表示，迄今为止的经验表明，该国并未出现负面的社会经济影响，就转基因抗豆荚</w:t>
      </w:r>
      <w:r w:rsidR="009F2848" w:rsidRPr="009F2848">
        <w:rPr>
          <w:sz w:val="24"/>
          <w:lang w:val="en-US" w:eastAsia="zh-CN"/>
        </w:rPr>
        <w:t>蛀虫</w:t>
      </w:r>
      <w:r w:rsidR="009F2848" w:rsidRPr="009F2848">
        <w:rPr>
          <w:rFonts w:hint="eastAsia"/>
          <w:sz w:val="24"/>
          <w:lang w:val="en-US" w:eastAsia="zh-CN"/>
        </w:rPr>
        <w:t>豇豆而言，侵染率已大幅降低，农民收入大幅增加，而且没有收到任何关于无法获得种子或违反宗教规则的投诉。</w:t>
      </w:r>
    </w:p>
    <w:p w14:paraId="10E33A72" w14:textId="22B40493"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2</w:t>
      </w:r>
      <w:r w:rsidR="00D428E9" w:rsidRPr="00F20F63">
        <w:rPr>
          <w:sz w:val="24"/>
          <w:lang w:eastAsia="zh-CN"/>
        </w:rPr>
        <w:t>.</w:t>
      </w:r>
      <w:r w:rsidR="00D428E9" w:rsidRPr="00F20F63">
        <w:rPr>
          <w:sz w:val="24"/>
          <w:lang w:eastAsia="zh-CN"/>
        </w:rPr>
        <w:tab/>
      </w:r>
      <w:r w:rsidR="00C652B3" w:rsidRPr="00C652B3">
        <w:rPr>
          <w:rFonts w:hint="eastAsia"/>
          <w:sz w:val="24"/>
          <w:lang w:val="en-US" w:eastAsia="zh-CN"/>
        </w:rPr>
        <w:t>在另一份提交的材料中，一个缔约方</w:t>
      </w:r>
      <w:r w:rsidR="00C652B3" w:rsidRPr="00C652B3">
        <w:rPr>
          <w:sz w:val="24"/>
          <w:vertAlign w:val="superscript"/>
          <w:lang w:val="en-US"/>
        </w:rPr>
        <w:footnoteReference w:id="11"/>
      </w:r>
      <w:r w:rsidR="00C652B3" w:rsidRPr="00C652B3">
        <w:rPr>
          <w:rFonts w:hint="eastAsia"/>
          <w:sz w:val="24"/>
          <w:lang w:val="en-US" w:eastAsia="zh-CN"/>
        </w:rPr>
        <w:t>表示，该国考虑社会经济因素的方法比《卡塔赫纳议定书》第</w:t>
      </w:r>
      <w:r w:rsidR="00C652B3" w:rsidRPr="00C652B3">
        <w:rPr>
          <w:rFonts w:hint="eastAsia"/>
          <w:sz w:val="24"/>
          <w:lang w:val="en-US" w:eastAsia="zh-CN"/>
        </w:rPr>
        <w:t xml:space="preserve"> 26 </w:t>
      </w:r>
      <w:r w:rsidR="00C652B3" w:rsidRPr="00C652B3">
        <w:rPr>
          <w:rFonts w:hint="eastAsia"/>
          <w:sz w:val="24"/>
          <w:lang w:val="en-US" w:eastAsia="zh-CN"/>
        </w:rPr>
        <w:t>条第</w:t>
      </w:r>
      <w:r w:rsidR="00C652B3" w:rsidRPr="00C652B3">
        <w:rPr>
          <w:rFonts w:hint="eastAsia"/>
          <w:sz w:val="24"/>
          <w:lang w:val="en-US" w:eastAsia="zh-CN"/>
        </w:rPr>
        <w:t xml:space="preserve"> 1 </w:t>
      </w:r>
      <w:r w:rsidR="00C652B3" w:rsidRPr="00C652B3">
        <w:rPr>
          <w:rFonts w:hint="eastAsia"/>
          <w:sz w:val="24"/>
          <w:lang w:val="en-US" w:eastAsia="zh-CN"/>
        </w:rPr>
        <w:t>款设想</w:t>
      </w:r>
      <w:r w:rsidR="00F461A8">
        <w:rPr>
          <w:rFonts w:hint="eastAsia"/>
          <w:sz w:val="24"/>
          <w:lang w:val="en-US" w:eastAsia="zh-CN"/>
        </w:rPr>
        <w:t>的</w:t>
      </w:r>
      <w:r w:rsidR="00C652B3" w:rsidRPr="00C652B3">
        <w:rPr>
          <w:rFonts w:hint="eastAsia"/>
          <w:sz w:val="24"/>
          <w:lang w:val="en-US" w:eastAsia="zh-CN"/>
        </w:rPr>
        <w:t>更广泛。该缔约方在其国家进程中考虑了改性活生物体的所有社会经济影响，而不是仅仅关注改性活生物体对生物多样性保护和可持续利用的影响所引起的社会经济考量。该缔约方表示，其国家做法总体上符合自愿指导意见的规定，尽管国家生物安全立法并不包括关于自由、事先和知情同意的要求。然而，该缔约方指出，其他法律文书涉及其中一些方面。该缔约方还指出了与各种支持性监管工具和风险评估工作的密切联系，包括其中关于保护工作目标的规定。该缔约方进一步指出，指导意见是一个有用的框架和潜在的有用参考。该缔约方写道，在一次讨论指导意见的国家研讨会上，人们指出，大多数社会经济因素并不一定需要一个广泛的评价进程。</w:t>
      </w:r>
    </w:p>
    <w:p w14:paraId="7845E381" w14:textId="5B9164ED"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3</w:t>
      </w:r>
      <w:r w:rsidR="00D428E9" w:rsidRPr="00F20F63">
        <w:rPr>
          <w:sz w:val="24"/>
          <w:lang w:eastAsia="zh-CN"/>
        </w:rPr>
        <w:t>.</w:t>
      </w:r>
      <w:r w:rsidR="00D428E9" w:rsidRPr="00F20F63">
        <w:rPr>
          <w:sz w:val="24"/>
          <w:lang w:eastAsia="zh-CN"/>
        </w:rPr>
        <w:tab/>
      </w:r>
      <w:r w:rsidR="002317D4" w:rsidRPr="002317D4">
        <w:rPr>
          <w:rFonts w:hint="eastAsia"/>
          <w:sz w:val="24"/>
          <w:lang w:val="en-US" w:eastAsia="zh-CN"/>
        </w:rPr>
        <w:t>一个缔约方</w:t>
      </w:r>
      <w:r w:rsidR="002317D4" w:rsidRPr="002317D4">
        <w:rPr>
          <w:sz w:val="24"/>
          <w:vertAlign w:val="superscript"/>
          <w:lang w:val="fr-CA"/>
        </w:rPr>
        <w:footnoteReference w:id="12"/>
      </w:r>
      <w:r w:rsidR="002317D4" w:rsidRPr="002317D4">
        <w:rPr>
          <w:rFonts w:hint="eastAsia"/>
          <w:sz w:val="24"/>
          <w:lang w:val="en-US" w:eastAsia="zh-CN"/>
        </w:rPr>
        <w:t>在提交的材料中写道，自</w:t>
      </w:r>
      <w:r w:rsidR="002317D4" w:rsidRPr="002317D4">
        <w:rPr>
          <w:rFonts w:hint="eastAsia"/>
          <w:sz w:val="24"/>
          <w:lang w:val="en-US" w:eastAsia="zh-CN"/>
        </w:rPr>
        <w:t xml:space="preserve"> 2012 </w:t>
      </w:r>
      <w:r w:rsidR="002317D4" w:rsidRPr="002317D4">
        <w:rPr>
          <w:rFonts w:hint="eastAsia"/>
          <w:sz w:val="24"/>
          <w:lang w:val="en-US" w:eastAsia="zh-CN"/>
        </w:rPr>
        <w:t>年以来，其管辖范围内没有进行过任何开放式的改性活生物体种植，因此，该国没有近期内考虑社会经济因素的相关经验。该缔约方介绍了欧盟制定的与社会经济因素相关的监管框架和方法。它提到了欧洲转基因生物社会经济局制定的</w:t>
      </w:r>
      <w:r w:rsidR="002317D4" w:rsidRPr="002317D4">
        <w:rPr>
          <w:rFonts w:hint="eastAsia"/>
          <w:sz w:val="24"/>
          <w:lang w:val="en-US" w:eastAsia="zh-CN"/>
        </w:rPr>
        <w:t xml:space="preserve">2015 </w:t>
      </w:r>
      <w:r w:rsidR="002317D4" w:rsidRPr="002317D4">
        <w:rPr>
          <w:rFonts w:hint="eastAsia"/>
          <w:sz w:val="24"/>
          <w:lang w:val="en-US" w:eastAsia="zh-CN"/>
        </w:rPr>
        <w:t>年</w:t>
      </w:r>
      <w:r w:rsidR="002317D4" w:rsidRPr="002317D4">
        <w:rPr>
          <w:rFonts w:hint="eastAsia"/>
          <w:sz w:val="24"/>
          <w:lang w:val="en-US" w:eastAsia="zh-CN"/>
        </w:rPr>
        <w:t xml:space="preserve"> </w:t>
      </w:r>
      <w:r w:rsidR="002317D4" w:rsidRPr="002317D4">
        <w:rPr>
          <w:rFonts w:hint="eastAsia"/>
          <w:sz w:val="24"/>
          <w:lang w:val="en-US" w:eastAsia="zh-CN"/>
        </w:rPr>
        <w:t>“</w:t>
      </w:r>
      <w:proofErr w:type="gramStart"/>
      <w:r w:rsidR="002317D4" w:rsidRPr="002317D4">
        <w:rPr>
          <w:rFonts w:hint="eastAsia"/>
          <w:sz w:val="24"/>
          <w:lang w:val="en-US" w:eastAsia="zh-CN"/>
        </w:rPr>
        <w:t>转基因作物种植社会经济分析框架”和</w:t>
      </w:r>
      <w:proofErr w:type="gramEnd"/>
      <w:r w:rsidR="002317D4" w:rsidRPr="002317D4">
        <w:rPr>
          <w:rFonts w:hint="eastAsia"/>
          <w:sz w:val="24"/>
          <w:lang w:val="en-US" w:eastAsia="zh-CN"/>
        </w:rPr>
        <w:t xml:space="preserve"> 2016 </w:t>
      </w:r>
      <w:r w:rsidR="002317D4" w:rsidRPr="002317D4">
        <w:rPr>
          <w:rFonts w:hint="eastAsia"/>
          <w:sz w:val="24"/>
          <w:lang w:val="en-US" w:eastAsia="zh-CN"/>
        </w:rPr>
        <w:t>年“</w:t>
      </w:r>
      <w:bookmarkStart w:id="7" w:name="_Hlk176532527"/>
      <w:r w:rsidR="002317D4" w:rsidRPr="002317D4">
        <w:rPr>
          <w:sz w:val="24"/>
          <w:lang w:val="en-US" w:eastAsia="zh-CN"/>
        </w:rPr>
        <w:t>转</w:t>
      </w:r>
      <w:proofErr w:type="spellStart"/>
      <w:r w:rsidR="002317D4" w:rsidRPr="002317D4">
        <w:rPr>
          <w:sz w:val="24"/>
          <w:lang w:val="en-US" w:eastAsia="zh-CN"/>
        </w:rPr>
        <w:t>Bt</w:t>
      </w:r>
      <w:proofErr w:type="spellEnd"/>
      <w:r w:rsidR="002317D4" w:rsidRPr="002317D4">
        <w:rPr>
          <w:sz w:val="24"/>
          <w:lang w:val="en-US" w:eastAsia="zh-CN"/>
        </w:rPr>
        <w:t>基因抗虫</w:t>
      </w:r>
      <w:bookmarkEnd w:id="7"/>
      <w:r w:rsidR="002317D4" w:rsidRPr="002317D4">
        <w:rPr>
          <w:sz w:val="24"/>
          <w:lang w:val="en-US" w:eastAsia="zh-CN"/>
        </w:rPr>
        <w:t>玉米</w:t>
      </w:r>
      <w:r w:rsidR="002317D4" w:rsidRPr="002317D4">
        <w:rPr>
          <w:rFonts w:hint="eastAsia"/>
          <w:sz w:val="24"/>
          <w:lang w:val="en-US" w:eastAsia="zh-CN"/>
        </w:rPr>
        <w:t>种植社会经济影响评估框架”，</w:t>
      </w:r>
      <w:r w:rsidR="002317D4" w:rsidRPr="002317D4">
        <w:rPr>
          <w:sz w:val="24"/>
          <w:vertAlign w:val="superscript"/>
          <w:lang w:val="en-US"/>
        </w:rPr>
        <w:footnoteReference w:id="13"/>
      </w:r>
      <w:r w:rsidR="002317D4" w:rsidRPr="002317D4">
        <w:rPr>
          <w:rFonts w:hint="eastAsia"/>
          <w:sz w:val="24"/>
          <w:lang w:val="en-US" w:eastAsia="zh-CN"/>
        </w:rPr>
        <w:t>并表示其依靠这些框架进行社会经济评估。该缔约方指出，这两个框架遵循的方法与自愿指导意见的相同，但是更为详细，并且是专门针对欧盟背景制定的。该缔约方表示具有进行社会经济评估的方法，但缺乏数据是进行评估的主要制约因素，需要在这方面开展更多工作。该缔约方提到了几个正在进行或最近完成的与社会经济因素相关的研究项目。</w:t>
      </w:r>
    </w:p>
    <w:p w14:paraId="2C35BFA1" w14:textId="6D1C06D2"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lastRenderedPageBreak/>
        <w:t>4</w:t>
      </w:r>
      <w:r w:rsidR="00D428E9" w:rsidRPr="00F20F63">
        <w:rPr>
          <w:sz w:val="24"/>
          <w:lang w:eastAsia="zh-CN"/>
        </w:rPr>
        <w:t>.</w:t>
      </w:r>
      <w:r w:rsidR="00D428E9" w:rsidRPr="00F20F63">
        <w:rPr>
          <w:sz w:val="24"/>
          <w:lang w:eastAsia="zh-CN"/>
        </w:rPr>
        <w:tab/>
      </w:r>
      <w:r w:rsidR="00315BBC" w:rsidRPr="00315BBC">
        <w:rPr>
          <w:rFonts w:hint="eastAsia"/>
          <w:sz w:val="24"/>
          <w:lang w:val="en-US" w:eastAsia="zh-CN"/>
        </w:rPr>
        <w:t>一个组织</w:t>
      </w:r>
      <w:r w:rsidR="00315BBC" w:rsidRPr="00315BBC">
        <w:rPr>
          <w:sz w:val="24"/>
          <w:vertAlign w:val="superscript"/>
          <w:lang w:val="fr-CA"/>
        </w:rPr>
        <w:footnoteReference w:id="14"/>
      </w:r>
      <w:r w:rsidR="00315BBC" w:rsidRPr="00315BBC">
        <w:rPr>
          <w:rFonts w:hint="eastAsia"/>
          <w:sz w:val="24"/>
          <w:lang w:val="en-US" w:eastAsia="zh-CN"/>
        </w:rPr>
        <w:t>在其提交的材料中着重指出并总结了</w:t>
      </w:r>
      <w:r w:rsidR="00315BBC" w:rsidRPr="00315BBC">
        <w:rPr>
          <w:rFonts w:hint="eastAsia"/>
          <w:sz w:val="24"/>
          <w:lang w:val="en-US" w:eastAsia="zh-CN"/>
        </w:rPr>
        <w:t xml:space="preserve"> 2019 </w:t>
      </w:r>
      <w:r w:rsidR="00315BBC" w:rsidRPr="00315BBC">
        <w:rPr>
          <w:rFonts w:hint="eastAsia"/>
          <w:sz w:val="24"/>
          <w:lang w:val="en-US" w:eastAsia="zh-CN"/>
        </w:rPr>
        <w:t>年以来开展的几项研究，这些研究提供了实例，说明如何结合自愿指导意见的要素进行社会经济考量。</w:t>
      </w:r>
      <w:r w:rsidR="00B87D8E" w:rsidRPr="00F20F63">
        <w:rPr>
          <w:sz w:val="24"/>
          <w:lang w:eastAsia="zh-CN"/>
        </w:rPr>
        <w:t xml:space="preserve"> </w:t>
      </w:r>
    </w:p>
    <w:p w14:paraId="0EEAB40B" w14:textId="389DCDDD" w:rsidR="008E2C12" w:rsidRPr="00F20F63" w:rsidRDefault="002D753C" w:rsidP="00315BBC">
      <w:pPr>
        <w:pStyle w:val="CBDH1"/>
        <w:tabs>
          <w:tab w:val="clear" w:pos="567"/>
          <w:tab w:val="clear" w:pos="1134"/>
          <w:tab w:val="clear" w:pos="1701"/>
          <w:tab w:val="clear" w:pos="2268"/>
          <w:tab w:val="clear" w:pos="2835"/>
          <w:tab w:val="clear" w:pos="3402"/>
        </w:tabs>
        <w:spacing w:before="120"/>
        <w:ind w:left="490" w:hanging="490"/>
        <w:rPr>
          <w:lang w:eastAsia="zh-CN"/>
        </w:rPr>
      </w:pPr>
      <w:r w:rsidRPr="00F20F63">
        <w:rPr>
          <w:lang w:eastAsia="zh-CN"/>
        </w:rPr>
        <w:t>II</w:t>
      </w:r>
      <w:r w:rsidR="008E2C12" w:rsidRPr="00F20F63">
        <w:rPr>
          <w:lang w:eastAsia="zh-CN"/>
        </w:rPr>
        <w:t>.</w:t>
      </w:r>
      <w:r w:rsidRPr="00F20F63">
        <w:rPr>
          <w:lang w:eastAsia="zh-CN"/>
        </w:rPr>
        <w:tab/>
      </w:r>
      <w:r w:rsidR="00315BBC" w:rsidRPr="00315BBC">
        <w:rPr>
          <w:rFonts w:hint="eastAsia"/>
          <w:lang w:val="en-US" w:eastAsia="zh-CN"/>
        </w:rPr>
        <w:t>根据</w:t>
      </w:r>
      <w:r w:rsidR="00315BBC" w:rsidRPr="00315BBC">
        <w:rPr>
          <w:rFonts w:hint="eastAsia"/>
          <w:lang w:val="en-US" w:eastAsia="zh-CN"/>
        </w:rPr>
        <w:t xml:space="preserve"> CP-10/12 </w:t>
      </w:r>
      <w:r w:rsidR="00315BBC" w:rsidRPr="00315BBC">
        <w:rPr>
          <w:rFonts w:hint="eastAsia"/>
          <w:lang w:val="en-US" w:eastAsia="zh-CN"/>
        </w:rPr>
        <w:t>号决定第</w:t>
      </w:r>
      <w:r w:rsidR="00315BBC">
        <w:rPr>
          <w:rFonts w:hint="eastAsia"/>
          <w:lang w:val="en-US" w:eastAsia="zh-CN"/>
        </w:rPr>
        <w:t>4</w:t>
      </w:r>
      <w:r w:rsidR="00315BBC" w:rsidRPr="00315BBC">
        <w:rPr>
          <w:rFonts w:hint="eastAsia"/>
          <w:lang w:val="en-US" w:eastAsia="zh-CN"/>
        </w:rPr>
        <w:t>段收到的信息摘要</w:t>
      </w:r>
    </w:p>
    <w:p w14:paraId="65E5D1A4" w14:textId="15222E29"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5</w:t>
      </w:r>
      <w:r w:rsidR="00D428E9" w:rsidRPr="00F20F63">
        <w:rPr>
          <w:sz w:val="24"/>
          <w:lang w:eastAsia="zh-CN"/>
        </w:rPr>
        <w:t>.</w:t>
      </w:r>
      <w:r w:rsidR="00D428E9" w:rsidRPr="00F20F63">
        <w:rPr>
          <w:sz w:val="24"/>
          <w:lang w:eastAsia="zh-CN"/>
        </w:rPr>
        <w:tab/>
      </w:r>
      <w:r w:rsidR="00943F55" w:rsidRPr="00943F55">
        <w:rPr>
          <w:rFonts w:hint="eastAsia"/>
          <w:sz w:val="24"/>
          <w:lang w:val="en-US" w:eastAsia="zh-CN"/>
        </w:rPr>
        <w:t>许多缔约方</w:t>
      </w:r>
      <w:r w:rsidR="00943F55" w:rsidRPr="00943F55">
        <w:rPr>
          <w:sz w:val="24"/>
          <w:vertAlign w:val="superscript"/>
          <w:lang w:val="fr-CA"/>
        </w:rPr>
        <w:footnoteReference w:id="15"/>
      </w:r>
      <w:r w:rsidR="00943F55" w:rsidRPr="00943F55">
        <w:rPr>
          <w:rFonts w:hint="eastAsia"/>
          <w:sz w:val="24"/>
          <w:lang w:val="en-US" w:eastAsia="zh-CN"/>
        </w:rPr>
        <w:t>在答复秘书处的请求时描述了其法律如何要求或允许在改性活生物体的审批过程中把社会经济因素</w:t>
      </w:r>
      <w:r w:rsidR="00F461A8">
        <w:rPr>
          <w:rFonts w:hint="eastAsia"/>
          <w:sz w:val="24"/>
          <w:lang w:val="en-US" w:eastAsia="zh-CN"/>
        </w:rPr>
        <w:t>考虑</w:t>
      </w:r>
      <w:r w:rsidR="00943F55" w:rsidRPr="00943F55">
        <w:rPr>
          <w:rFonts w:hint="eastAsia"/>
          <w:sz w:val="24"/>
          <w:lang w:val="en-US" w:eastAsia="zh-CN"/>
        </w:rPr>
        <w:t>在内。其中一些缔约方提交了更多信息，说明其本国的社会经济评估方法。</w:t>
      </w:r>
      <w:r w:rsidR="00B87D8E" w:rsidRPr="00F20F63">
        <w:rPr>
          <w:sz w:val="24"/>
          <w:lang w:eastAsia="zh-CN"/>
        </w:rPr>
        <w:t xml:space="preserve"> </w:t>
      </w:r>
    </w:p>
    <w:p w14:paraId="3CA86F2C" w14:textId="639E2D50"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6</w:t>
      </w:r>
      <w:r w:rsidR="00D428E9" w:rsidRPr="00F20F63">
        <w:rPr>
          <w:sz w:val="24"/>
          <w:lang w:eastAsia="zh-CN"/>
        </w:rPr>
        <w:t>.</w:t>
      </w:r>
      <w:r w:rsidR="00D428E9" w:rsidRPr="00F20F63">
        <w:rPr>
          <w:sz w:val="24"/>
          <w:lang w:eastAsia="zh-CN"/>
        </w:rPr>
        <w:tab/>
      </w:r>
      <w:r w:rsidR="00762D99" w:rsidRPr="00762D99">
        <w:rPr>
          <w:rFonts w:hint="eastAsia"/>
          <w:sz w:val="24"/>
          <w:lang w:val="en-US" w:eastAsia="zh-CN"/>
        </w:rPr>
        <w:t>要求评估社会经济因素的缔约方之一</w:t>
      </w:r>
      <w:r w:rsidR="00762D99" w:rsidRPr="00762D99">
        <w:rPr>
          <w:sz w:val="24"/>
          <w:vertAlign w:val="superscript"/>
          <w:lang w:val="en-US"/>
        </w:rPr>
        <w:footnoteReference w:id="16"/>
      </w:r>
      <w:r w:rsidR="00762D99" w:rsidRPr="00762D99">
        <w:rPr>
          <w:rFonts w:hint="eastAsia"/>
          <w:sz w:val="24"/>
          <w:lang w:val="en-US" w:eastAsia="zh-CN"/>
        </w:rPr>
        <w:t>解释了它如何以公众协商为基础，制定了以下社会经济评估参数：转基因技术对国家粮食安全和可持续性的贡献；技术的获取；农民的收入；种子和种植材料的成本；转基因作物和非转基因作物的共存；在区域和国际层面产生的贸易影响；选择自由；生物安全管理计划。该缔约方还提交了在转基因生物申请中考虑社会经济因素的操作程序，其中纳入了上述参数并提供了每个参数的指导性问题。该缔约方解释说，申请人必须使用这些参数进行一项社会经济研究，并将研究结果连同整套主要申请文件一起提交决策机构。决策机构聘请了独立的社会经济专家来审查该报告并提出建议。决策机构在作出决定之前将审议这些建议和研究报告，同时审议一项风险评估报告和公众参与情况报告。该缔约方写道，它已针对四份改性活生物体申请评估了社会经济因素，其中一份申请由于社会经济因素而未获批准，具体原因是可能失去向国外市场出口鲜花的机会。该缔约方提供了有关社会经济评估过程的信息。</w:t>
      </w:r>
      <w:r w:rsidR="00B87D8E" w:rsidRPr="00F20F63">
        <w:rPr>
          <w:sz w:val="24"/>
          <w:lang w:eastAsia="zh-CN"/>
        </w:rPr>
        <w:t xml:space="preserve"> </w:t>
      </w:r>
    </w:p>
    <w:p w14:paraId="24BDC8B9" w14:textId="37408CA4"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7</w:t>
      </w:r>
      <w:r w:rsidR="00D428E9" w:rsidRPr="00F20F63">
        <w:rPr>
          <w:sz w:val="24"/>
          <w:lang w:eastAsia="zh-CN"/>
        </w:rPr>
        <w:t>.</w:t>
      </w:r>
      <w:r w:rsidR="00D428E9" w:rsidRPr="00F20F63">
        <w:rPr>
          <w:sz w:val="24"/>
          <w:lang w:eastAsia="zh-CN"/>
        </w:rPr>
        <w:tab/>
      </w:r>
      <w:r w:rsidR="004C3011" w:rsidRPr="004C3011">
        <w:rPr>
          <w:rFonts w:hint="eastAsia"/>
          <w:sz w:val="24"/>
          <w:lang w:val="en-US" w:eastAsia="zh-CN"/>
        </w:rPr>
        <w:t>同一个缔约方介绍了它在考虑社会经济影响方面遇到的一些挑战。在这方面，该缔约方除其他外提到了以下挑战：事前进行影响评估的方法存在缺点；仅在改性活生物体的释放阶段评估社会经济影响为时已晚；缺乏一个在全球或区域一级考虑社会经济影响的共同和明确的框架；该国拥有的具备生物技术和生物安全知识的社会经济专家人数有限；没有明确的门槛来出于社会经济考量批准或驳回申请。</w:t>
      </w:r>
    </w:p>
    <w:p w14:paraId="1FCA1D9A" w14:textId="6EC3A454"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8</w:t>
      </w:r>
      <w:r w:rsidR="00D428E9" w:rsidRPr="00F20F63">
        <w:rPr>
          <w:sz w:val="24"/>
          <w:lang w:eastAsia="zh-CN"/>
        </w:rPr>
        <w:t>.</w:t>
      </w:r>
      <w:r w:rsidR="00D428E9" w:rsidRPr="00F20F63">
        <w:rPr>
          <w:sz w:val="24"/>
          <w:lang w:eastAsia="zh-CN"/>
        </w:rPr>
        <w:tab/>
      </w:r>
      <w:r w:rsidR="004C3011" w:rsidRPr="004C3011">
        <w:rPr>
          <w:sz w:val="24"/>
          <w:lang w:val="en-US" w:eastAsia="zh-CN"/>
        </w:rPr>
        <w:t>一个</w:t>
      </w:r>
      <w:r w:rsidR="004C3011" w:rsidRPr="004C3011">
        <w:rPr>
          <w:rFonts w:hint="eastAsia"/>
          <w:sz w:val="24"/>
          <w:lang w:val="en-US" w:eastAsia="zh-CN"/>
        </w:rPr>
        <w:t>缔约方</w:t>
      </w:r>
      <w:r w:rsidR="004C3011" w:rsidRPr="004C3011">
        <w:rPr>
          <w:sz w:val="24"/>
          <w:vertAlign w:val="superscript"/>
          <w:lang w:val="en-US"/>
        </w:rPr>
        <w:footnoteReference w:id="17"/>
      </w:r>
      <w:r w:rsidR="004C3011" w:rsidRPr="004C3011">
        <w:rPr>
          <w:rFonts w:hint="eastAsia"/>
          <w:sz w:val="24"/>
          <w:lang w:val="en-US" w:eastAsia="zh-CN"/>
        </w:rPr>
        <w:t>表示，该国法律要求评估转基因生物对拟释放该生物的地区附近社区的社会经济影响。该缔约方表示，社会经济影响评估采用以下关键评估标准：向地方机构转让技术和为其开展能力建设；转基因作物的经济价值；技术的可获得性和可负担性；知识产权；文化和伦理问题；农民和消费者的权利。该缔约方解释说，社会经济评估很大程度上依靠公众和决策机构发表的意见。该缔约方补充说，在报纸上公布申请书以征求对申请的意见和邀请参与决策过程的做法并不有效，因为许多最终用户很难接触到报纸或识字有困难。因此，就</w:t>
      </w:r>
      <w:r w:rsidR="004C3011" w:rsidRPr="004C3011">
        <w:rPr>
          <w:sz w:val="24"/>
          <w:lang w:val="en-US" w:eastAsia="zh-CN"/>
        </w:rPr>
        <w:t>转</w:t>
      </w:r>
      <w:proofErr w:type="spellStart"/>
      <w:r w:rsidR="004C3011" w:rsidRPr="004C3011">
        <w:rPr>
          <w:sz w:val="24"/>
          <w:lang w:val="en-US" w:eastAsia="zh-CN"/>
        </w:rPr>
        <w:t>Bt</w:t>
      </w:r>
      <w:proofErr w:type="spellEnd"/>
      <w:r w:rsidR="004C3011" w:rsidRPr="004C3011">
        <w:rPr>
          <w:sz w:val="24"/>
          <w:lang w:val="en-US" w:eastAsia="zh-CN"/>
        </w:rPr>
        <w:t>基因抗虫</w:t>
      </w:r>
      <w:r w:rsidR="004C3011" w:rsidRPr="004C3011">
        <w:rPr>
          <w:rFonts w:hint="eastAsia"/>
          <w:sz w:val="24"/>
          <w:lang w:val="en-US" w:eastAsia="zh-CN"/>
        </w:rPr>
        <w:t>棉花的申请而言，技术的可获得性和可负担性没有得到充分考虑，农民现在面临着种子成本高昂的挑战。该缔约方的结论是，为了解决社会经济问题，必须有健全的监管框架、透明的决策过程、长期监测和有效的公众参与。</w:t>
      </w:r>
      <w:r w:rsidR="00B87D8E" w:rsidRPr="00F20F63">
        <w:rPr>
          <w:sz w:val="24"/>
          <w:lang w:eastAsia="zh-CN"/>
        </w:rPr>
        <w:t xml:space="preserve"> </w:t>
      </w:r>
    </w:p>
    <w:p w14:paraId="27DE5FDC" w14:textId="29256C1F"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lastRenderedPageBreak/>
        <w:t>9</w:t>
      </w:r>
      <w:r w:rsidR="00D428E9" w:rsidRPr="00F20F63">
        <w:rPr>
          <w:sz w:val="24"/>
          <w:lang w:eastAsia="zh-CN"/>
        </w:rPr>
        <w:t>.</w:t>
      </w:r>
      <w:r w:rsidR="00D428E9" w:rsidRPr="00F20F63">
        <w:rPr>
          <w:sz w:val="24"/>
          <w:lang w:eastAsia="zh-CN"/>
        </w:rPr>
        <w:tab/>
      </w:r>
      <w:r w:rsidR="001A529D" w:rsidRPr="001A529D">
        <w:rPr>
          <w:rFonts w:hint="eastAsia"/>
          <w:sz w:val="24"/>
          <w:lang w:val="en-US" w:eastAsia="zh-CN"/>
        </w:rPr>
        <w:t>两个缔约方</w:t>
      </w:r>
      <w:r w:rsidR="001A529D" w:rsidRPr="001A529D">
        <w:rPr>
          <w:sz w:val="24"/>
          <w:vertAlign w:val="superscript"/>
          <w:lang w:val="en-US"/>
        </w:rPr>
        <w:footnoteReference w:id="18"/>
      </w:r>
      <w:r w:rsidR="001A529D" w:rsidRPr="001A529D">
        <w:rPr>
          <w:rFonts w:hint="eastAsia"/>
          <w:sz w:val="24"/>
          <w:lang w:val="en-US" w:eastAsia="zh-CN"/>
        </w:rPr>
        <w:t>介绍了如何在社会经济评估中顾及宗教方面的因素。其中一个缔约方</w:t>
      </w:r>
      <w:r w:rsidR="001A529D" w:rsidRPr="001A529D">
        <w:rPr>
          <w:sz w:val="24"/>
          <w:vertAlign w:val="superscript"/>
          <w:lang w:val="en-US"/>
        </w:rPr>
        <w:footnoteReference w:id="19"/>
      </w:r>
      <w:r w:rsidR="001A529D" w:rsidRPr="001A529D">
        <w:rPr>
          <w:rFonts w:hint="eastAsia"/>
          <w:sz w:val="24"/>
          <w:lang w:val="en-US" w:eastAsia="zh-CN"/>
        </w:rPr>
        <w:t>解释说，其社会经济评估包括分析使用或释放改性活生物体或此类生物体的产品对社区宗教、社会、文化和伦理价值观的影响。该缔约方表示，几项改性活生物体的授权考虑到了社会经济因素。该缔约方考虑了其食品和饲料行业对玉米和大豆进口的依赖以及转基因大豆和玉米的</w:t>
      </w:r>
      <w:r w:rsidR="00753B0F">
        <w:rPr>
          <w:rFonts w:hint="eastAsia"/>
          <w:sz w:val="24"/>
          <w:lang w:val="en-US" w:eastAsia="zh-CN"/>
        </w:rPr>
        <w:t>普及程度</w:t>
      </w:r>
      <w:r w:rsidR="001A529D" w:rsidRPr="001A529D">
        <w:rPr>
          <w:rFonts w:hint="eastAsia"/>
          <w:sz w:val="24"/>
          <w:lang w:val="en-US" w:eastAsia="zh-CN"/>
        </w:rPr>
        <w:t>。该缔约方得出结论认为，禁止转基因玉米和大豆品种将使进口更加昂贵，并将对食品和饲料行业（包括畜牧业）产生负面经济影响。该国以此为依据批准了有关改性活生物体的进口。</w:t>
      </w:r>
      <w:r w:rsidR="00B87D8E" w:rsidRPr="00F20F63">
        <w:rPr>
          <w:sz w:val="24"/>
          <w:lang w:eastAsia="zh-CN"/>
        </w:rPr>
        <w:t xml:space="preserve"> </w:t>
      </w:r>
    </w:p>
    <w:p w14:paraId="19103645" w14:textId="12C6A84E"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0</w:t>
      </w:r>
      <w:r w:rsidRPr="00F20F63">
        <w:rPr>
          <w:sz w:val="24"/>
          <w:lang w:eastAsia="zh-CN"/>
        </w:rPr>
        <w:t>.</w:t>
      </w:r>
      <w:r w:rsidRPr="00F20F63">
        <w:rPr>
          <w:sz w:val="24"/>
          <w:lang w:eastAsia="zh-CN"/>
        </w:rPr>
        <w:tab/>
      </w:r>
      <w:r w:rsidR="00BF252F" w:rsidRPr="00BF252F">
        <w:rPr>
          <w:sz w:val="24"/>
          <w:lang w:val="en-US" w:eastAsia="zh-CN"/>
        </w:rPr>
        <w:t>一个</w:t>
      </w:r>
      <w:r w:rsidR="00BF252F" w:rsidRPr="00BF252F">
        <w:rPr>
          <w:rFonts w:hint="eastAsia"/>
          <w:sz w:val="24"/>
          <w:lang w:val="en-US" w:eastAsia="zh-CN"/>
        </w:rPr>
        <w:t>缔约方</w:t>
      </w:r>
      <w:r w:rsidR="00BF252F" w:rsidRPr="00BF252F">
        <w:rPr>
          <w:sz w:val="24"/>
          <w:vertAlign w:val="superscript"/>
          <w:lang w:val="en-US"/>
        </w:rPr>
        <w:footnoteReference w:id="20"/>
      </w:r>
      <w:r w:rsidR="00BF252F" w:rsidRPr="00BF252F">
        <w:rPr>
          <w:rFonts w:hint="eastAsia"/>
          <w:sz w:val="24"/>
          <w:lang w:val="en-US" w:eastAsia="zh-CN"/>
        </w:rPr>
        <w:t>在答复中分享了一份社会经济影响评估报告，其中比较了六项关于若干转基因玉米品种的社会经济影响的事后和事前研究的结果，这些研究是</w:t>
      </w:r>
      <w:r w:rsidR="00BF252F" w:rsidRPr="00BF252F">
        <w:rPr>
          <w:rFonts w:hint="eastAsia"/>
          <w:sz w:val="24"/>
          <w:lang w:val="en-US" w:eastAsia="zh-CN"/>
        </w:rPr>
        <w:t xml:space="preserve">2002 </w:t>
      </w:r>
      <w:r w:rsidR="00BF252F" w:rsidRPr="00BF252F">
        <w:rPr>
          <w:rFonts w:hint="eastAsia"/>
          <w:sz w:val="24"/>
          <w:lang w:val="en-US" w:eastAsia="zh-CN"/>
        </w:rPr>
        <w:t>年至</w:t>
      </w:r>
      <w:r w:rsidR="00BF252F" w:rsidRPr="00BF252F">
        <w:rPr>
          <w:rFonts w:hint="eastAsia"/>
          <w:sz w:val="24"/>
          <w:lang w:val="en-US" w:eastAsia="zh-CN"/>
        </w:rPr>
        <w:t xml:space="preserve"> 2012 </w:t>
      </w:r>
      <w:r w:rsidR="00BF252F" w:rsidRPr="00BF252F">
        <w:rPr>
          <w:rFonts w:hint="eastAsia"/>
          <w:sz w:val="24"/>
          <w:lang w:val="en-US" w:eastAsia="zh-CN"/>
        </w:rPr>
        <w:t>年期间在其领土上进行的。社会经济评估比较了转基因玉米品种与杂交玉米品种的影响。所采用的指标如下：粮食产量；单位生产成本；农场净收入；投资回报；生存承载能力和全球竞争力。分析发现，转基因玉米品种的性能优于杂交玉米。</w:t>
      </w:r>
    </w:p>
    <w:p w14:paraId="1DFEA326" w14:textId="47FCA465"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1</w:t>
      </w:r>
      <w:r w:rsidRPr="00F20F63">
        <w:rPr>
          <w:sz w:val="24"/>
          <w:lang w:eastAsia="zh-CN"/>
        </w:rPr>
        <w:t>.</w:t>
      </w:r>
      <w:r w:rsidRPr="00F20F63">
        <w:rPr>
          <w:sz w:val="24"/>
          <w:lang w:eastAsia="zh-CN"/>
        </w:rPr>
        <w:tab/>
      </w:r>
      <w:r w:rsidR="00261F60" w:rsidRPr="00261F60">
        <w:rPr>
          <w:rFonts w:hint="eastAsia"/>
          <w:sz w:val="24"/>
          <w:lang w:val="en-US" w:eastAsia="zh-CN"/>
        </w:rPr>
        <w:t>一个缔约方</w:t>
      </w:r>
      <w:r w:rsidR="00261F60" w:rsidRPr="00261F60">
        <w:rPr>
          <w:sz w:val="24"/>
          <w:vertAlign w:val="superscript"/>
          <w:lang w:val="en-US"/>
        </w:rPr>
        <w:footnoteReference w:id="21"/>
      </w:r>
      <w:r w:rsidR="00261F60" w:rsidRPr="00261F60">
        <w:rPr>
          <w:rFonts w:hint="eastAsia"/>
          <w:sz w:val="24"/>
          <w:lang w:val="en-US" w:eastAsia="zh-CN"/>
        </w:rPr>
        <w:t>介绍了一项关于</w:t>
      </w:r>
      <w:r w:rsidR="00261F60" w:rsidRPr="00261F60">
        <w:rPr>
          <w:sz w:val="24"/>
          <w:lang w:val="en-US" w:eastAsia="zh-CN"/>
        </w:rPr>
        <w:t>转</w:t>
      </w:r>
      <w:proofErr w:type="spellStart"/>
      <w:r w:rsidR="00261F60" w:rsidRPr="00261F60">
        <w:rPr>
          <w:sz w:val="24"/>
          <w:lang w:val="en-US" w:eastAsia="zh-CN"/>
        </w:rPr>
        <w:t>Bt</w:t>
      </w:r>
      <w:proofErr w:type="spellEnd"/>
      <w:r w:rsidR="00261F60" w:rsidRPr="00261F60">
        <w:rPr>
          <w:sz w:val="24"/>
          <w:lang w:val="en-US" w:eastAsia="zh-CN"/>
        </w:rPr>
        <w:t>基因抗虫</w:t>
      </w:r>
      <w:r w:rsidR="00261F60" w:rsidRPr="00261F60">
        <w:rPr>
          <w:rFonts w:hint="eastAsia"/>
          <w:sz w:val="24"/>
          <w:lang w:val="en-US" w:eastAsia="zh-CN"/>
        </w:rPr>
        <w:t>茄子技术所产生影响的研究，以及几篇关于</w:t>
      </w:r>
      <w:r w:rsidR="00261F60" w:rsidRPr="00261F60">
        <w:rPr>
          <w:sz w:val="24"/>
          <w:lang w:val="en-US" w:eastAsia="zh-CN"/>
        </w:rPr>
        <w:t>转</w:t>
      </w:r>
      <w:proofErr w:type="spellStart"/>
      <w:r w:rsidR="00261F60" w:rsidRPr="00261F60">
        <w:rPr>
          <w:sz w:val="24"/>
          <w:lang w:val="en-US" w:eastAsia="zh-CN"/>
        </w:rPr>
        <w:t>Bt</w:t>
      </w:r>
      <w:proofErr w:type="spellEnd"/>
      <w:r w:rsidR="00261F60" w:rsidRPr="00261F60">
        <w:rPr>
          <w:sz w:val="24"/>
          <w:lang w:val="en-US" w:eastAsia="zh-CN"/>
        </w:rPr>
        <w:t>基因抗虫</w:t>
      </w:r>
      <w:r w:rsidR="00261F60" w:rsidRPr="00261F60">
        <w:rPr>
          <w:rFonts w:hint="eastAsia"/>
          <w:sz w:val="24"/>
          <w:lang w:val="en-US" w:eastAsia="zh-CN"/>
        </w:rPr>
        <w:t>茄子种植所产生影响的相关研究论文。这些研究考虑了若干方面的问题，包括环境影响（例如与农药使用有关的影响）、健康影响（例如与接触农药有关的影响）和社会经济影响，重点关注技术成本、劳动力和投入成本、产量和生产损失等因素。该缔约方还提交了一份关于该国的转</w:t>
      </w:r>
      <w:proofErr w:type="spellStart"/>
      <w:r w:rsidR="00261F60" w:rsidRPr="00261F60">
        <w:rPr>
          <w:sz w:val="24"/>
          <w:lang w:val="en-US" w:eastAsia="zh-CN"/>
        </w:rPr>
        <w:t>Bt</w:t>
      </w:r>
      <w:proofErr w:type="spellEnd"/>
      <w:r w:rsidR="00261F60" w:rsidRPr="00261F60">
        <w:rPr>
          <w:sz w:val="24"/>
          <w:lang w:val="en-US" w:eastAsia="zh-CN"/>
        </w:rPr>
        <w:t>基因抗虫</w:t>
      </w:r>
      <w:r w:rsidR="00261F60" w:rsidRPr="00261F60">
        <w:rPr>
          <w:rFonts w:hint="eastAsia"/>
          <w:sz w:val="24"/>
          <w:lang w:val="en-US" w:eastAsia="zh-CN"/>
        </w:rPr>
        <w:t>棉花种植所产生</w:t>
      </w:r>
      <w:r w:rsidR="00753B0F">
        <w:rPr>
          <w:rFonts w:hint="eastAsia"/>
          <w:sz w:val="24"/>
          <w:lang w:val="en-US" w:eastAsia="zh-CN"/>
        </w:rPr>
        <w:t>的</w:t>
      </w:r>
      <w:r w:rsidR="00261F60" w:rsidRPr="00261F60">
        <w:rPr>
          <w:rFonts w:hint="eastAsia"/>
          <w:sz w:val="24"/>
          <w:lang w:val="en-US" w:eastAsia="zh-CN"/>
        </w:rPr>
        <w:t>社会经济和环境影响的评价报告。这项评价考虑了若干社会经济标准，重点关注投入使用情况、生产成本、利润率、病虫害管理做法和对转基因棉花的看法。</w:t>
      </w:r>
      <w:r w:rsidR="00B87D8E" w:rsidRPr="00F20F63">
        <w:rPr>
          <w:sz w:val="24"/>
          <w:lang w:eastAsia="zh-CN"/>
        </w:rPr>
        <w:t xml:space="preserve"> </w:t>
      </w:r>
    </w:p>
    <w:p w14:paraId="4CC5B77B" w14:textId="1A144909"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2</w:t>
      </w:r>
      <w:r w:rsidRPr="00F20F63">
        <w:rPr>
          <w:sz w:val="24"/>
          <w:lang w:eastAsia="zh-CN"/>
        </w:rPr>
        <w:t>.</w:t>
      </w:r>
      <w:r w:rsidRPr="00F20F63">
        <w:rPr>
          <w:sz w:val="24"/>
          <w:lang w:eastAsia="zh-CN"/>
        </w:rPr>
        <w:tab/>
      </w:r>
      <w:r w:rsidR="005203F3" w:rsidRPr="005203F3">
        <w:rPr>
          <w:rFonts w:hint="eastAsia"/>
          <w:sz w:val="24"/>
          <w:lang w:val="en-US" w:eastAsia="zh-CN"/>
        </w:rPr>
        <w:t>三个缔约方</w:t>
      </w:r>
      <w:r w:rsidR="005203F3" w:rsidRPr="005203F3">
        <w:rPr>
          <w:sz w:val="24"/>
          <w:vertAlign w:val="superscript"/>
          <w:lang w:val="fr-CA"/>
        </w:rPr>
        <w:footnoteReference w:id="22"/>
      </w:r>
      <w:r w:rsidR="005203F3" w:rsidRPr="005203F3">
        <w:rPr>
          <w:rFonts w:hint="eastAsia"/>
          <w:sz w:val="24"/>
          <w:lang w:val="en-US" w:eastAsia="zh-CN"/>
        </w:rPr>
        <w:t>在其提交的报告中提到，除了让社会参与或考虑公众意见外，还考虑了社会经济方面的问题。第四个缔约方</w:t>
      </w:r>
      <w:r w:rsidR="005203F3" w:rsidRPr="005203F3">
        <w:rPr>
          <w:sz w:val="24"/>
          <w:vertAlign w:val="superscript"/>
          <w:lang w:val="en-US"/>
        </w:rPr>
        <w:footnoteReference w:id="23"/>
      </w:r>
      <w:r w:rsidR="005203F3" w:rsidRPr="005203F3">
        <w:rPr>
          <w:rFonts w:hint="eastAsia"/>
          <w:sz w:val="24"/>
          <w:lang w:val="en-US" w:eastAsia="zh-CN"/>
        </w:rPr>
        <w:t>介绍了生物安全立法如何要求在决策过程中考虑社会经济因素，并指出在这方面制定了让公众参与的规定，因为考虑社会经济因素将使公众受益。另一个缔约方</w:t>
      </w:r>
      <w:r w:rsidR="005203F3" w:rsidRPr="005203F3">
        <w:rPr>
          <w:sz w:val="24"/>
          <w:vertAlign w:val="superscript"/>
          <w:lang w:val="en-US"/>
        </w:rPr>
        <w:footnoteReference w:id="24"/>
      </w:r>
      <w:r w:rsidR="005203F3" w:rsidRPr="005203F3">
        <w:rPr>
          <w:rFonts w:hint="eastAsia"/>
          <w:sz w:val="24"/>
          <w:lang w:val="en-US" w:eastAsia="zh-CN"/>
        </w:rPr>
        <w:t>解释称，在几次野外试验中虽然没有对社会经济因素进行正式评估，但进行了公众协商，参与协商的方面除其他外包括地方当局、土著人民和地方社区，这使决策机构能够把特定的社会经济方面因素考虑在内。</w:t>
      </w:r>
    </w:p>
    <w:p w14:paraId="581CB8E2" w14:textId="4C1B03EF"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3</w:t>
      </w:r>
      <w:r w:rsidRPr="00F20F63">
        <w:rPr>
          <w:sz w:val="24"/>
          <w:lang w:eastAsia="zh-CN"/>
        </w:rPr>
        <w:t>.</w:t>
      </w:r>
      <w:r w:rsidRPr="00F20F63">
        <w:rPr>
          <w:sz w:val="24"/>
          <w:lang w:eastAsia="zh-CN"/>
        </w:rPr>
        <w:tab/>
      </w:r>
      <w:r w:rsidR="00A5447B" w:rsidRPr="00A5447B">
        <w:rPr>
          <w:rFonts w:hint="eastAsia"/>
          <w:sz w:val="24"/>
          <w:lang w:val="en-US" w:eastAsia="zh-CN"/>
        </w:rPr>
        <w:t>一个缔约方</w:t>
      </w:r>
      <w:r w:rsidR="00A5447B" w:rsidRPr="00A5447B">
        <w:rPr>
          <w:sz w:val="24"/>
          <w:vertAlign w:val="superscript"/>
          <w:lang w:val="fr-CA"/>
        </w:rPr>
        <w:footnoteReference w:id="25"/>
      </w:r>
      <w:r w:rsidR="00A5447B" w:rsidRPr="00A5447B">
        <w:rPr>
          <w:rFonts w:hint="eastAsia"/>
          <w:sz w:val="24"/>
          <w:lang w:val="en-US" w:eastAsia="zh-CN"/>
        </w:rPr>
        <w:t>解释说，该国不是评估某次具体的引进所产生的社会经济影响，而是评估生物安全立法的通过所产生的社会经济影响，将其作为通过立法的过程中进行的总体影响评估的一部分。</w:t>
      </w:r>
    </w:p>
    <w:p w14:paraId="60ED8FB7" w14:textId="610A19C9"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55269D" w:rsidRPr="00F20F63">
        <w:rPr>
          <w:sz w:val="24"/>
          <w:lang w:eastAsia="zh-CN"/>
        </w:rPr>
        <w:t>4</w:t>
      </w:r>
      <w:r w:rsidRPr="00F20F63">
        <w:rPr>
          <w:sz w:val="24"/>
          <w:lang w:eastAsia="zh-CN"/>
        </w:rPr>
        <w:t>.</w:t>
      </w:r>
      <w:r w:rsidRPr="00F20F63">
        <w:rPr>
          <w:sz w:val="24"/>
          <w:lang w:eastAsia="zh-CN"/>
        </w:rPr>
        <w:tab/>
      </w:r>
      <w:r w:rsidR="00A5447B" w:rsidRPr="00A5447B">
        <w:rPr>
          <w:rFonts w:hint="eastAsia"/>
          <w:sz w:val="24"/>
          <w:lang w:val="en-US" w:eastAsia="zh-CN"/>
        </w:rPr>
        <w:t>一个缔约方</w:t>
      </w:r>
      <w:r w:rsidR="00A5447B" w:rsidRPr="00A5447B">
        <w:rPr>
          <w:sz w:val="24"/>
          <w:vertAlign w:val="superscript"/>
          <w:lang w:val="fr-CA"/>
        </w:rPr>
        <w:footnoteReference w:id="26"/>
      </w:r>
      <w:r w:rsidR="00A5447B" w:rsidRPr="00A5447B">
        <w:rPr>
          <w:rFonts w:hint="eastAsia"/>
          <w:sz w:val="24"/>
          <w:lang w:val="en-US" w:eastAsia="zh-CN"/>
        </w:rPr>
        <w:t>澄清说，该国已禁止进口和使用改性活生物体，除非有社会经济理由证明，进口加工或半加工的转基因产品是合理的。该缔约方提到，迄今为止尚未提出任何此类理由。</w:t>
      </w:r>
    </w:p>
    <w:p w14:paraId="14AF429D" w14:textId="13DDC282"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lastRenderedPageBreak/>
        <w:t>1</w:t>
      </w:r>
      <w:r w:rsidR="001E587D" w:rsidRPr="00F20F63">
        <w:rPr>
          <w:sz w:val="24"/>
          <w:lang w:eastAsia="zh-CN"/>
        </w:rPr>
        <w:t>5</w:t>
      </w:r>
      <w:r w:rsidRPr="00F20F63">
        <w:rPr>
          <w:sz w:val="24"/>
          <w:lang w:eastAsia="zh-CN"/>
        </w:rPr>
        <w:t>.</w:t>
      </w:r>
      <w:r w:rsidRPr="00F20F63">
        <w:rPr>
          <w:sz w:val="24"/>
          <w:lang w:eastAsia="zh-CN"/>
        </w:rPr>
        <w:tab/>
      </w:r>
      <w:r w:rsidR="00DF069B" w:rsidRPr="00DF069B">
        <w:rPr>
          <w:rFonts w:hint="eastAsia"/>
          <w:sz w:val="24"/>
          <w:lang w:val="en-US" w:eastAsia="zh-CN"/>
        </w:rPr>
        <w:t>一个缔约方</w:t>
      </w:r>
      <w:r w:rsidR="00DF069B" w:rsidRPr="00DF069B">
        <w:rPr>
          <w:sz w:val="24"/>
          <w:vertAlign w:val="superscript"/>
          <w:lang w:val="en-US"/>
        </w:rPr>
        <w:footnoteReference w:id="27"/>
      </w:r>
      <w:r w:rsidR="00DF069B" w:rsidRPr="00DF069B">
        <w:rPr>
          <w:rFonts w:hint="eastAsia"/>
          <w:sz w:val="24"/>
          <w:lang w:val="en-US" w:eastAsia="zh-CN"/>
        </w:rPr>
        <w:t>提到，该国在评估社会经济影响时遵循了自愿指导意见的方法。该缔约方介绍了如何在评估中考虑到转基因油菜籽在收获、运输和储存过程中与非转基因食品级油菜籽混合的可能性以及这种混合将造成的经济损失。该缔约方还提到，已考虑到共存措施的高成本。</w:t>
      </w:r>
      <w:r w:rsidR="00B87D8E" w:rsidRPr="00F20F63">
        <w:rPr>
          <w:sz w:val="24"/>
          <w:lang w:eastAsia="zh-CN"/>
        </w:rPr>
        <w:t xml:space="preserve"> </w:t>
      </w:r>
    </w:p>
    <w:p w14:paraId="229B406D" w14:textId="4F368B8B"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6</w:t>
      </w:r>
      <w:r w:rsidRPr="00F20F63">
        <w:rPr>
          <w:sz w:val="24"/>
          <w:lang w:eastAsia="zh-CN"/>
        </w:rPr>
        <w:t>.</w:t>
      </w:r>
      <w:r w:rsidRPr="00F20F63">
        <w:rPr>
          <w:sz w:val="24"/>
          <w:lang w:eastAsia="zh-CN"/>
        </w:rPr>
        <w:tab/>
      </w:r>
      <w:r w:rsidR="00DF069B" w:rsidRPr="00DF069B">
        <w:rPr>
          <w:rFonts w:hint="eastAsia"/>
          <w:sz w:val="24"/>
          <w:lang w:val="en-US" w:eastAsia="zh-CN"/>
        </w:rPr>
        <w:t>在收到的</w:t>
      </w:r>
      <w:r w:rsidR="00DF069B" w:rsidRPr="00DF069B">
        <w:rPr>
          <w:rFonts w:hint="eastAsia"/>
          <w:sz w:val="24"/>
          <w:lang w:val="en-US" w:eastAsia="zh-CN"/>
        </w:rPr>
        <w:t xml:space="preserve"> 28 </w:t>
      </w:r>
      <w:r w:rsidR="00DF069B" w:rsidRPr="00DF069B">
        <w:rPr>
          <w:rFonts w:hint="eastAsia"/>
          <w:sz w:val="24"/>
          <w:lang w:val="en-US" w:eastAsia="zh-CN"/>
        </w:rPr>
        <w:t>份答复中，有</w:t>
      </w:r>
      <w:r w:rsidR="00DF069B" w:rsidRPr="00DF069B">
        <w:rPr>
          <w:rFonts w:hint="eastAsia"/>
          <w:sz w:val="24"/>
          <w:lang w:val="en-US" w:eastAsia="zh-CN"/>
        </w:rPr>
        <w:t xml:space="preserve"> 12 </w:t>
      </w:r>
      <w:r w:rsidR="00DF069B" w:rsidRPr="00DF069B">
        <w:rPr>
          <w:rFonts w:hint="eastAsia"/>
          <w:sz w:val="24"/>
          <w:lang w:val="en-US" w:eastAsia="zh-CN"/>
        </w:rPr>
        <w:t>份由</w:t>
      </w:r>
      <w:r w:rsidR="00EF2D86" w:rsidRPr="00DF069B">
        <w:rPr>
          <w:rFonts w:hint="eastAsia"/>
          <w:sz w:val="24"/>
          <w:lang w:val="en-US" w:eastAsia="zh-CN"/>
        </w:rPr>
        <w:t>缔约方</w:t>
      </w:r>
      <w:r w:rsidR="00EF2D86">
        <w:rPr>
          <w:rFonts w:hint="eastAsia"/>
          <w:sz w:val="24"/>
          <w:lang w:val="en-US" w:eastAsia="zh-CN"/>
        </w:rPr>
        <w:t>中的</w:t>
      </w:r>
      <w:r w:rsidR="00DF069B" w:rsidRPr="00DF069B">
        <w:rPr>
          <w:rFonts w:hint="eastAsia"/>
          <w:sz w:val="24"/>
          <w:lang w:val="en-US" w:eastAsia="zh-CN"/>
        </w:rPr>
        <w:t>欧盟成员国提交，一份由欧盟本身提交。这些缔约方的生物安全监管框架以欧盟立法为基础，其经验显示出某些相似之处。因此把这些缔约方的答复汇总如下。</w:t>
      </w:r>
      <w:r w:rsidR="00B87D8E" w:rsidRPr="00F20F63">
        <w:rPr>
          <w:sz w:val="24"/>
          <w:lang w:eastAsia="zh-CN"/>
        </w:rPr>
        <w:t xml:space="preserve"> </w:t>
      </w:r>
    </w:p>
    <w:p w14:paraId="390362B3" w14:textId="639219A6"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7</w:t>
      </w:r>
      <w:r w:rsidRPr="00F20F63">
        <w:rPr>
          <w:sz w:val="24"/>
          <w:lang w:eastAsia="zh-CN"/>
        </w:rPr>
        <w:t>.</w:t>
      </w:r>
      <w:r w:rsidRPr="00F20F63">
        <w:rPr>
          <w:sz w:val="24"/>
          <w:lang w:eastAsia="zh-CN"/>
        </w:rPr>
        <w:tab/>
      </w:r>
      <w:r w:rsidR="00D205B2" w:rsidRPr="00D205B2">
        <w:rPr>
          <w:rFonts w:hint="eastAsia"/>
          <w:sz w:val="24"/>
          <w:lang w:val="en-US" w:eastAsia="zh-CN"/>
        </w:rPr>
        <w:t>若干缔约方</w:t>
      </w:r>
      <w:r w:rsidR="00D205B2" w:rsidRPr="00D205B2">
        <w:rPr>
          <w:sz w:val="24"/>
          <w:vertAlign w:val="superscript"/>
          <w:lang w:val="en-US"/>
        </w:rPr>
        <w:footnoteReference w:id="28"/>
      </w:r>
      <w:r w:rsidR="00D205B2" w:rsidRPr="00D205B2">
        <w:rPr>
          <w:rFonts w:hint="eastAsia"/>
          <w:sz w:val="24"/>
          <w:lang w:val="en-US" w:eastAsia="zh-CN"/>
        </w:rPr>
        <w:t>解释说，在欧盟，转基因生物的授权是在欧盟一级给予。</w:t>
      </w:r>
      <w:proofErr w:type="gramStart"/>
      <w:r w:rsidR="00D205B2" w:rsidRPr="00D205B2">
        <w:rPr>
          <w:rFonts w:hint="eastAsia"/>
          <w:sz w:val="24"/>
          <w:lang w:val="en-US" w:eastAsia="zh-CN"/>
        </w:rPr>
        <w:t>根据</w:t>
      </w:r>
      <w:r w:rsidR="00EF2D86">
        <w:rPr>
          <w:rFonts w:hint="eastAsia"/>
          <w:sz w:val="24"/>
          <w:lang w:val="en-US" w:eastAsia="zh-CN"/>
        </w:rPr>
        <w:t>(</w:t>
      </w:r>
      <w:proofErr w:type="gramEnd"/>
      <w:r w:rsidR="00EF2D86">
        <w:rPr>
          <w:rFonts w:hint="eastAsia"/>
          <w:sz w:val="24"/>
          <w:lang w:val="en-US" w:eastAsia="zh-CN"/>
        </w:rPr>
        <w:t>EU)</w:t>
      </w:r>
      <w:r w:rsidR="00D205B2" w:rsidRPr="00D205B2">
        <w:rPr>
          <w:rFonts w:hint="eastAsia"/>
          <w:sz w:val="24"/>
          <w:lang w:val="en-US" w:eastAsia="zh-CN"/>
        </w:rPr>
        <w:t xml:space="preserve"> 2015/412</w:t>
      </w:r>
      <w:r w:rsidR="00D205B2" w:rsidRPr="00D205B2">
        <w:rPr>
          <w:rFonts w:hint="eastAsia"/>
          <w:sz w:val="24"/>
          <w:lang w:val="en-US" w:eastAsia="zh-CN"/>
        </w:rPr>
        <w:t>号指令的规定，欧盟成员国可采取措施，限制或禁止在其全部或部分领土上种植已获授权的转基因生物或一组转基因生物。此类措施必须合理、适度、不歧视，并有令人信服的理由。该指令列出的令人信服的理由之一是“社会经济影响”。自该指令通过以来，还没有提出任何种植转基因生物的申请，缔约方因此没有适用该项规定的经验。</w:t>
      </w:r>
      <w:r w:rsidR="00D205B2" w:rsidRPr="00D205B2">
        <w:rPr>
          <w:sz w:val="24"/>
          <w:vertAlign w:val="superscript"/>
          <w:lang w:val="en-US"/>
        </w:rPr>
        <w:footnoteReference w:id="29"/>
      </w:r>
    </w:p>
    <w:p w14:paraId="51EE4358" w14:textId="18CA9009"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w:t>
      </w:r>
      <w:r w:rsidR="001E587D" w:rsidRPr="00F20F63">
        <w:rPr>
          <w:sz w:val="24"/>
          <w:lang w:eastAsia="zh-CN"/>
        </w:rPr>
        <w:t>8</w:t>
      </w:r>
      <w:r w:rsidRPr="00F20F63">
        <w:rPr>
          <w:sz w:val="24"/>
          <w:lang w:eastAsia="zh-CN"/>
        </w:rPr>
        <w:t>.</w:t>
      </w:r>
      <w:r w:rsidRPr="00F20F63">
        <w:rPr>
          <w:sz w:val="24"/>
          <w:lang w:eastAsia="zh-CN"/>
        </w:rPr>
        <w:tab/>
      </w:r>
      <w:r w:rsidR="00CF3A85" w:rsidRPr="00CF3A85">
        <w:rPr>
          <w:rFonts w:hint="eastAsia"/>
          <w:sz w:val="24"/>
          <w:lang w:val="en-US" w:eastAsia="zh-CN"/>
        </w:rPr>
        <w:t>一个缔约方提交了欧洲转基因生物社会经济局发布的两份技术报告。</w:t>
      </w:r>
      <w:r w:rsidR="00CF3A85" w:rsidRPr="00CF3A85">
        <w:rPr>
          <w:sz w:val="24"/>
          <w:vertAlign w:val="superscript"/>
          <w:lang w:val="en-US"/>
        </w:rPr>
        <w:footnoteReference w:id="30"/>
      </w:r>
      <w:r w:rsidR="00CF3A85" w:rsidRPr="00CF3A85">
        <w:rPr>
          <w:rFonts w:hint="eastAsia"/>
          <w:sz w:val="24"/>
          <w:lang w:val="en-US" w:eastAsia="zh-CN"/>
        </w:rPr>
        <w:t>一份报告是关于转基因作物种植的社会经济分析框架，另一份是关于</w:t>
      </w:r>
      <w:r w:rsidR="00CF3A85" w:rsidRPr="00CF3A85">
        <w:rPr>
          <w:sz w:val="24"/>
          <w:lang w:val="en-US" w:eastAsia="zh-CN"/>
        </w:rPr>
        <w:t>转</w:t>
      </w:r>
      <w:proofErr w:type="spellStart"/>
      <w:r w:rsidR="00CF3A85" w:rsidRPr="00CF3A85">
        <w:rPr>
          <w:sz w:val="24"/>
          <w:lang w:val="en-US" w:eastAsia="zh-CN"/>
        </w:rPr>
        <w:t>Bt</w:t>
      </w:r>
      <w:proofErr w:type="spellEnd"/>
      <w:r w:rsidR="00CF3A85" w:rsidRPr="00CF3A85">
        <w:rPr>
          <w:sz w:val="24"/>
          <w:lang w:val="en-US" w:eastAsia="zh-CN"/>
        </w:rPr>
        <w:t>基因抗虫</w:t>
      </w:r>
      <w:r w:rsidR="00CF3A85" w:rsidRPr="00CF3A85">
        <w:rPr>
          <w:rFonts w:hint="eastAsia"/>
          <w:sz w:val="24"/>
          <w:lang w:val="en-US" w:eastAsia="zh-CN"/>
        </w:rPr>
        <w:t>玉米种植的社会经济影响评估框架。这两个框架提供了社会经济评估的主题、指标和方法清单。</w:t>
      </w:r>
      <w:r w:rsidR="00B87D8E" w:rsidRPr="00F20F63">
        <w:rPr>
          <w:sz w:val="24"/>
          <w:lang w:eastAsia="zh-CN"/>
        </w:rPr>
        <w:t xml:space="preserve"> </w:t>
      </w:r>
    </w:p>
    <w:p w14:paraId="3C9A6A66" w14:textId="46107FC2" w:rsidR="00B87D8E" w:rsidRPr="00F20F63" w:rsidRDefault="001E587D"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19</w:t>
      </w:r>
      <w:r w:rsidR="00D428E9" w:rsidRPr="00F20F63">
        <w:rPr>
          <w:sz w:val="24"/>
          <w:lang w:eastAsia="zh-CN"/>
        </w:rPr>
        <w:t>.</w:t>
      </w:r>
      <w:r w:rsidR="00D428E9" w:rsidRPr="00F20F63">
        <w:rPr>
          <w:sz w:val="24"/>
          <w:lang w:eastAsia="zh-CN"/>
        </w:rPr>
        <w:tab/>
      </w:r>
      <w:r w:rsidR="00EF2D86" w:rsidRPr="00EF2D86">
        <w:rPr>
          <w:rFonts w:hint="eastAsia"/>
          <w:sz w:val="24"/>
          <w:lang w:val="en-US" w:eastAsia="zh-CN"/>
        </w:rPr>
        <w:t>缔约方中的欧盟成员国在几个答复中提到了执行</w:t>
      </w:r>
      <w:r w:rsidR="00EF2D86" w:rsidRPr="00EF2D86">
        <w:rPr>
          <w:rFonts w:hint="eastAsia"/>
          <w:sz w:val="24"/>
          <w:lang w:val="en-US" w:eastAsia="zh-CN"/>
        </w:rPr>
        <w:t xml:space="preserve"> (EU) 2015/412 </w:t>
      </w:r>
      <w:r w:rsidR="00EF2D86" w:rsidRPr="00EF2D86">
        <w:rPr>
          <w:rFonts w:hint="eastAsia"/>
          <w:sz w:val="24"/>
          <w:lang w:val="en-US" w:eastAsia="zh-CN"/>
        </w:rPr>
        <w:t>号指令的国家立法。在这方面，一个缔约方</w:t>
      </w:r>
      <w:r w:rsidR="00EF2D86" w:rsidRPr="00EF2D86">
        <w:rPr>
          <w:sz w:val="24"/>
          <w:vertAlign w:val="superscript"/>
          <w:lang w:val="fr-CA"/>
        </w:rPr>
        <w:footnoteReference w:id="31"/>
      </w:r>
      <w:r w:rsidR="00EF2D86" w:rsidRPr="00EF2D86">
        <w:rPr>
          <w:rFonts w:hint="eastAsia"/>
          <w:sz w:val="24"/>
          <w:lang w:val="en-US" w:eastAsia="zh-CN"/>
        </w:rPr>
        <w:t>提到，在国家</w:t>
      </w:r>
      <w:r w:rsidR="00753B0F">
        <w:rPr>
          <w:rFonts w:hint="eastAsia"/>
          <w:sz w:val="24"/>
          <w:lang w:val="en-US" w:eastAsia="zh-CN"/>
        </w:rPr>
        <w:t>一级</w:t>
      </w:r>
      <w:r w:rsidR="00EF2D86" w:rsidRPr="00EF2D86">
        <w:rPr>
          <w:rFonts w:hint="eastAsia"/>
          <w:sz w:val="24"/>
          <w:lang w:val="en-US" w:eastAsia="zh-CN"/>
        </w:rPr>
        <w:t>，应通过分析特定因素来评估社会经济影响，这些因素的例子包括共存措施的不切实际或高昂成本，或由于特定地理条件（例如在小岛屿或山区），共存措施无法实施。</w:t>
      </w:r>
    </w:p>
    <w:p w14:paraId="0AF0A652" w14:textId="5814FFF0" w:rsidR="00B87D8E" w:rsidRPr="00EB0B3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val="fr-CA" w:eastAsia="zh-CN"/>
        </w:rPr>
      </w:pPr>
      <w:r w:rsidRPr="00F20F63">
        <w:rPr>
          <w:sz w:val="24"/>
          <w:lang w:eastAsia="zh-CN"/>
        </w:rPr>
        <w:t>2</w:t>
      </w:r>
      <w:r w:rsidR="001E587D" w:rsidRPr="00F20F63">
        <w:rPr>
          <w:sz w:val="24"/>
          <w:lang w:eastAsia="zh-CN"/>
        </w:rPr>
        <w:t>0</w:t>
      </w:r>
      <w:r w:rsidRPr="00F20F63">
        <w:rPr>
          <w:sz w:val="24"/>
          <w:lang w:eastAsia="zh-CN"/>
        </w:rPr>
        <w:t>.</w:t>
      </w:r>
      <w:r w:rsidRPr="00F20F63">
        <w:rPr>
          <w:sz w:val="24"/>
          <w:lang w:eastAsia="zh-CN"/>
        </w:rPr>
        <w:tab/>
      </w:r>
      <w:r w:rsidR="00EB0B33" w:rsidRPr="00EB0B33">
        <w:rPr>
          <w:rFonts w:hint="eastAsia"/>
          <w:sz w:val="24"/>
          <w:lang w:val="en-US" w:eastAsia="zh-CN"/>
        </w:rPr>
        <w:t>缔约方中的一个欧盟成员国</w:t>
      </w:r>
      <w:r w:rsidR="00EB0B33" w:rsidRPr="00EB0B33">
        <w:rPr>
          <w:sz w:val="24"/>
          <w:vertAlign w:val="superscript"/>
          <w:lang w:val="fr-CA"/>
        </w:rPr>
        <w:footnoteReference w:id="32"/>
      </w:r>
      <w:r w:rsidR="00EB0B33" w:rsidRPr="00EB0B33">
        <w:rPr>
          <w:rFonts w:hint="eastAsia"/>
          <w:sz w:val="24"/>
          <w:lang w:val="en-US" w:eastAsia="zh-CN"/>
        </w:rPr>
        <w:t>在答复中概述了该国现有的生物安全体制框架。在这个框架内，国家机构设立了一个社会经济委员会，负责分析食品、环境和工作场所领域的健康风险。可以要求该委员会考虑与生物安全相关的社会经济方面的因素。这个缔约方还提到，政府可以要求一个负责社会经济和社会事务的国家经济、社会和环境委员会以及一个负责审议伦理问题的国家伦理咨询委员会来考虑与生物安全相关的问题。在这方面，该国政府请求就新基因组技术在植物育种中的应用可能产生的影响提供咨询意见。该</w:t>
      </w:r>
      <w:r w:rsidR="00753B0F">
        <w:rPr>
          <w:rFonts w:hint="eastAsia"/>
          <w:sz w:val="24"/>
          <w:lang w:val="en-US" w:eastAsia="zh-CN"/>
        </w:rPr>
        <w:t>咨询</w:t>
      </w:r>
      <w:r w:rsidR="00EB0B33" w:rsidRPr="00EB0B33">
        <w:rPr>
          <w:rFonts w:hint="eastAsia"/>
          <w:sz w:val="24"/>
          <w:lang w:val="en-US" w:eastAsia="zh-CN"/>
        </w:rPr>
        <w:t>意见涉及与改性活生物体风险评估相关的各方面问题以及所关注的社会经济问题，特别是与行业和市场的组织、共存措施、知识产权有关的问题，以及在可以得到数据的情况下与产品检测、可追溯性和标识的影响有关的问题。正在这方面开展的工作为制定生物安全领域社会经济评估的分析方法提供了机会。答复中还提到了在生物技术高级理事会主持下编写的三项建议，这些建议除其他许多要素外，涉及某些社会经济方面的问题，包括改性活生物体的经济成</w:t>
      </w:r>
      <w:r w:rsidR="00EB0B33" w:rsidRPr="00EB0B33">
        <w:rPr>
          <w:rFonts w:hint="eastAsia"/>
          <w:sz w:val="24"/>
          <w:lang w:val="en-US" w:eastAsia="zh-CN"/>
        </w:rPr>
        <w:lastRenderedPageBreak/>
        <w:t>本和效益、伦理问题、对地方行为体的影响、可追溯性、标识、共存和对知识产权各方面的影响。</w:t>
      </w:r>
      <w:r w:rsidR="00EB0B33" w:rsidRPr="00EB0B33">
        <w:rPr>
          <w:sz w:val="24"/>
          <w:vertAlign w:val="superscript"/>
          <w:lang w:val="fr-CA"/>
        </w:rPr>
        <w:footnoteReference w:id="33"/>
      </w:r>
    </w:p>
    <w:p w14:paraId="292DB692" w14:textId="77777777" w:rsidR="008F00EF" w:rsidRPr="008F00EF" w:rsidRDefault="00D428E9" w:rsidP="008F00EF">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val="en-US" w:eastAsia="zh-CN"/>
        </w:rPr>
      </w:pPr>
      <w:r w:rsidRPr="00F20F63">
        <w:rPr>
          <w:sz w:val="24"/>
          <w:lang w:eastAsia="zh-CN"/>
        </w:rPr>
        <w:t>2</w:t>
      </w:r>
      <w:r w:rsidR="001E587D" w:rsidRPr="00F20F63">
        <w:rPr>
          <w:sz w:val="24"/>
          <w:lang w:eastAsia="zh-CN"/>
        </w:rPr>
        <w:t>1</w:t>
      </w:r>
      <w:r w:rsidRPr="00F20F63">
        <w:rPr>
          <w:sz w:val="24"/>
          <w:lang w:eastAsia="zh-CN"/>
        </w:rPr>
        <w:t>.</w:t>
      </w:r>
      <w:r w:rsidRPr="00F20F63">
        <w:rPr>
          <w:sz w:val="24"/>
          <w:lang w:eastAsia="zh-CN"/>
        </w:rPr>
        <w:tab/>
      </w:r>
      <w:r w:rsidR="008F00EF" w:rsidRPr="008F00EF">
        <w:rPr>
          <w:rFonts w:hint="eastAsia"/>
          <w:sz w:val="24"/>
          <w:lang w:val="en-US" w:eastAsia="zh-CN"/>
        </w:rPr>
        <w:t>缔约方中的一个欧盟成员国</w:t>
      </w:r>
      <w:r w:rsidR="008F00EF" w:rsidRPr="008F00EF">
        <w:rPr>
          <w:sz w:val="24"/>
          <w:vertAlign w:val="superscript"/>
          <w:lang w:val="en-US"/>
        </w:rPr>
        <w:footnoteReference w:id="34"/>
      </w:r>
      <w:r w:rsidR="008F00EF" w:rsidRPr="008F00EF">
        <w:rPr>
          <w:rFonts w:hint="eastAsia"/>
          <w:sz w:val="24"/>
          <w:lang w:val="en-US" w:eastAsia="zh-CN"/>
        </w:rPr>
        <w:t>在答复中澄清说，</w:t>
      </w:r>
      <w:r w:rsidR="008F00EF" w:rsidRPr="008F00EF">
        <w:rPr>
          <w:rFonts w:hint="eastAsia"/>
          <w:sz w:val="24"/>
          <w:lang w:eastAsia="zh-CN"/>
        </w:rPr>
        <w:t>其农业政策涉及特定改性活生物体引起的社会经济考量</w:t>
      </w:r>
      <w:r w:rsidR="008F00EF" w:rsidRPr="008F00EF">
        <w:rPr>
          <w:rFonts w:hint="eastAsia"/>
          <w:sz w:val="24"/>
          <w:lang w:val="en-US" w:eastAsia="zh-CN"/>
        </w:rPr>
        <w:t>。特别是强制规定，须对转基因动物的繁殖和使用进行伦理评估。已经制定了针对转基因作物种植的评估框架，其中包括以下标准：消费者和农民的选择自由；国家共存政策；农药政策；对有机作物农户和传统农户的经济影响；社会接受度；改性活生物体在可持续性、粮食安全和消费者利益等方面的潜在优势。这些标准应与欧洲联盟制定的要求放在一起考虑，并以非歧视和适度的方式适用。此外，还必须说明符合或不符合标准的理由。该缔约方在其提交的材料中还提到了其国家转基因委员会在</w:t>
      </w:r>
      <w:r w:rsidR="008F00EF" w:rsidRPr="008F00EF">
        <w:rPr>
          <w:rFonts w:hint="eastAsia"/>
          <w:sz w:val="24"/>
          <w:lang w:val="en-US" w:eastAsia="zh-CN"/>
        </w:rPr>
        <w:t xml:space="preserve">2014 </w:t>
      </w:r>
      <w:r w:rsidR="008F00EF" w:rsidRPr="008F00EF">
        <w:rPr>
          <w:rFonts w:hint="eastAsia"/>
          <w:sz w:val="24"/>
          <w:lang w:val="en-US" w:eastAsia="zh-CN"/>
        </w:rPr>
        <w:t>年编写的一份报告，其中考虑了改性活生物体种植的社会经济因素和其他方面因素，特别是以下因素：经济和繁荣；健康和福利；粮食供应和粮食安全；文化遗产；选择自由；给社会和政策目标带来的总体效益。</w:t>
      </w:r>
      <w:r w:rsidR="008F00EF" w:rsidRPr="008F00EF">
        <w:rPr>
          <w:sz w:val="24"/>
          <w:vertAlign w:val="superscript"/>
          <w:lang w:val="fr-CA"/>
        </w:rPr>
        <w:footnoteReference w:id="35"/>
      </w:r>
    </w:p>
    <w:p w14:paraId="4597F199" w14:textId="14BBDD79" w:rsidR="00B87D8E"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2</w:t>
      </w:r>
      <w:r w:rsidR="001E587D" w:rsidRPr="00F20F63">
        <w:rPr>
          <w:sz w:val="24"/>
          <w:lang w:eastAsia="zh-CN"/>
        </w:rPr>
        <w:t>2</w:t>
      </w:r>
      <w:r w:rsidRPr="00F20F63">
        <w:rPr>
          <w:sz w:val="24"/>
          <w:lang w:eastAsia="zh-CN"/>
        </w:rPr>
        <w:t>.</w:t>
      </w:r>
      <w:r w:rsidRPr="00F20F63">
        <w:rPr>
          <w:sz w:val="24"/>
          <w:lang w:eastAsia="zh-CN"/>
        </w:rPr>
        <w:tab/>
      </w:r>
      <w:r w:rsidR="0081252A" w:rsidRPr="0081252A">
        <w:rPr>
          <w:rFonts w:hint="eastAsia"/>
          <w:sz w:val="24"/>
          <w:lang w:val="en-US" w:eastAsia="zh-CN"/>
        </w:rPr>
        <w:t>缔约方中的一个欧洲联盟成员国</w:t>
      </w:r>
      <w:r w:rsidR="0081252A" w:rsidRPr="0081252A">
        <w:rPr>
          <w:sz w:val="24"/>
          <w:vertAlign w:val="superscript"/>
          <w:lang w:val="en-US"/>
        </w:rPr>
        <w:footnoteReference w:id="36"/>
      </w:r>
      <w:r w:rsidR="0081252A" w:rsidRPr="0081252A">
        <w:rPr>
          <w:rFonts w:hint="eastAsia"/>
          <w:sz w:val="24"/>
          <w:lang w:val="en-US" w:eastAsia="zh-CN"/>
        </w:rPr>
        <w:t>在其答复中解释说，该国的转基因生物问题部际理事会是国家一级关于转基因生物问题的决策机构，由代表不同行业和利益（包括社会和经济利益）的多个部委的代表组成。除了风险评估报告外，该理事会还考虑广泛的观点和利益，例如与研究、开发、投资、农业食品部门和消费者利益、公共卫生、国际贸易、环境考量和农村事务有关的观点和利益。</w:t>
      </w:r>
    </w:p>
    <w:p w14:paraId="40986B0E" w14:textId="54517F97" w:rsidR="008B27B6" w:rsidRPr="00F20F63" w:rsidRDefault="00D428E9" w:rsidP="00825E5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z w:val="24"/>
          <w:lang w:eastAsia="zh-CN"/>
        </w:rPr>
      </w:pPr>
      <w:r w:rsidRPr="00F20F63">
        <w:rPr>
          <w:sz w:val="24"/>
          <w:lang w:eastAsia="zh-CN"/>
        </w:rPr>
        <w:t>2</w:t>
      </w:r>
      <w:r w:rsidR="001E587D" w:rsidRPr="00F20F63">
        <w:rPr>
          <w:sz w:val="24"/>
          <w:lang w:eastAsia="zh-CN"/>
        </w:rPr>
        <w:t>3</w:t>
      </w:r>
      <w:r w:rsidRPr="00F20F63">
        <w:rPr>
          <w:sz w:val="24"/>
          <w:lang w:eastAsia="zh-CN"/>
        </w:rPr>
        <w:t>.</w:t>
      </w:r>
      <w:r w:rsidRPr="00F20F63">
        <w:rPr>
          <w:sz w:val="24"/>
          <w:lang w:eastAsia="zh-CN"/>
        </w:rPr>
        <w:tab/>
      </w:r>
      <w:r w:rsidR="00492119" w:rsidRPr="00492119">
        <w:rPr>
          <w:rFonts w:hint="eastAsia"/>
          <w:sz w:val="24"/>
          <w:lang w:val="en-US" w:eastAsia="zh-CN"/>
        </w:rPr>
        <w:t>缔约方中的一个欧盟成员国</w:t>
      </w:r>
      <w:r w:rsidR="00492119" w:rsidRPr="00492119">
        <w:rPr>
          <w:sz w:val="24"/>
          <w:vertAlign w:val="superscript"/>
          <w:lang w:val="fr-CA"/>
        </w:rPr>
        <w:footnoteReference w:id="37"/>
      </w:r>
      <w:r w:rsidR="00492119" w:rsidRPr="00492119">
        <w:rPr>
          <w:rFonts w:hint="eastAsia"/>
          <w:sz w:val="24"/>
          <w:lang w:val="en-US" w:eastAsia="zh-CN"/>
        </w:rPr>
        <w:t>在答复中介绍了该国如何通过立法来限制或禁止种植转基因植物。该国写道，在就种植改性活生物体举行的利益攸关方协商和国家讨论中考虑了社会经济问题，包括以下这样的问题：生产者价格和产量、成本、劳动力灵活性、替代耕作方法的成本、消费者选择、价格歧视、对种子产业的依赖、共存措施的成本以及特别是该国地理条件所导致的邻近农民之间的冲突。此外，该缔约方还提到，已经开展研究来评估公众对现代生物技术产品的接受程度。在此背景下，汇编了影响公众对合成生物学和基因组编辑新技术的接受程度的社会经济因素，将其分为以下类别：经济影响、福利影响、法律和政策框架、更广泛的社会因素、跨界影响和环境风险。</w:t>
      </w:r>
    </w:p>
    <w:p w14:paraId="4B6C0BE1" w14:textId="77777777" w:rsidR="002B559C" w:rsidRPr="00BB1FA5" w:rsidRDefault="00ED3849" w:rsidP="0090573B">
      <w:pPr>
        <w:pStyle w:val="Para1"/>
        <w:numPr>
          <w:ilvl w:val="0"/>
          <w:numId w:val="0"/>
        </w:numPr>
        <w:ind w:left="567"/>
        <w:jc w:val="center"/>
        <w:rPr>
          <w:sz w:val="24"/>
          <w:lang w:val="en-GB"/>
        </w:rPr>
      </w:pPr>
      <w:r w:rsidRPr="00BB1FA5">
        <w:rPr>
          <w:sz w:val="24"/>
          <w:lang w:val="en-GB"/>
        </w:rPr>
        <w:t>__________</w:t>
      </w:r>
    </w:p>
    <w:sectPr w:rsidR="002B559C" w:rsidRPr="00BB1FA5" w:rsidSect="00EA528C">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36222" w14:textId="77777777" w:rsidR="0021746A" w:rsidRDefault="0021746A" w:rsidP="00A96B21">
      <w:r>
        <w:separator/>
      </w:r>
    </w:p>
  </w:endnote>
  <w:endnote w:type="continuationSeparator" w:id="0">
    <w:p w14:paraId="49FC1D0A" w14:textId="77777777" w:rsidR="0021746A" w:rsidRDefault="0021746A" w:rsidP="00A96B21">
      <w:r>
        <w:continuationSeparator/>
      </w:r>
    </w:p>
  </w:endnote>
  <w:endnote w:type="continuationNotice" w:id="1">
    <w:p w14:paraId="6B25BE58" w14:textId="77777777" w:rsidR="0021746A" w:rsidRDefault="00217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8D3D9" w14:textId="77777777" w:rsidR="0021746A" w:rsidRDefault="0021746A" w:rsidP="00A96B21">
      <w:r>
        <w:separator/>
      </w:r>
    </w:p>
  </w:footnote>
  <w:footnote w:type="continuationSeparator" w:id="0">
    <w:p w14:paraId="2204DF54" w14:textId="77777777" w:rsidR="0021746A" w:rsidRDefault="0021746A" w:rsidP="00A96B21">
      <w:r>
        <w:continuationSeparator/>
      </w:r>
    </w:p>
  </w:footnote>
  <w:footnote w:type="continuationNotice" w:id="1">
    <w:p w14:paraId="686B875E" w14:textId="77777777" w:rsidR="0021746A" w:rsidRDefault="0021746A"/>
  </w:footnote>
  <w:footnote w:id="2">
    <w:p w14:paraId="2EAECA45" w14:textId="77777777" w:rsidR="00BB1FA5" w:rsidRPr="008F00EF" w:rsidRDefault="00BB1FA5" w:rsidP="00BB1FA5">
      <w:pPr>
        <w:pStyle w:val="Footnote"/>
        <w:rPr>
          <w:sz w:val="20"/>
          <w:szCs w:val="20"/>
          <w:lang w:eastAsia="zh-CN"/>
        </w:rPr>
      </w:pPr>
      <w:r w:rsidRPr="008F00EF">
        <w:rPr>
          <w:rStyle w:val="FootnoteReference"/>
          <w:sz w:val="20"/>
          <w:szCs w:val="20"/>
        </w:rPr>
        <w:t>*</w:t>
      </w:r>
      <w:r w:rsidRPr="008F00EF">
        <w:rPr>
          <w:sz w:val="20"/>
          <w:szCs w:val="20"/>
        </w:rPr>
        <w:t xml:space="preserve"> CBD/CP/MOP/11/1</w:t>
      </w:r>
      <w:r w:rsidRPr="008F00EF">
        <w:rPr>
          <w:sz w:val="20"/>
          <w:szCs w:val="20"/>
          <w:lang w:eastAsia="zh-CN"/>
        </w:rPr>
        <w:t>。</w:t>
      </w:r>
    </w:p>
  </w:footnote>
  <w:footnote w:id="3">
    <w:p w14:paraId="4211A9BA" w14:textId="0A09C581" w:rsidR="00856EA9" w:rsidRPr="008F00EF" w:rsidRDefault="00856EA9">
      <w:pPr>
        <w:pStyle w:val="FootnoteText"/>
        <w:rPr>
          <w:sz w:val="20"/>
        </w:rPr>
      </w:pPr>
      <w:r w:rsidRPr="008F00EF">
        <w:rPr>
          <w:rStyle w:val="FootnoteReference"/>
          <w:sz w:val="20"/>
        </w:rPr>
        <w:footnoteRef/>
      </w:r>
      <w:r w:rsidRPr="008F00EF">
        <w:rPr>
          <w:sz w:val="20"/>
        </w:rPr>
        <w:t xml:space="preserve"> </w:t>
      </w:r>
      <w:r w:rsidR="00A94DC2" w:rsidRPr="008F00EF">
        <w:rPr>
          <w:rFonts w:hint="eastAsia"/>
          <w:sz w:val="20"/>
          <w:lang w:eastAsia="zh-CN"/>
        </w:rPr>
        <w:t>见</w:t>
      </w:r>
      <w:r w:rsidR="00B36671" w:rsidRPr="008F00EF">
        <w:rPr>
          <w:sz w:val="20"/>
        </w:rPr>
        <w:t xml:space="preserve"> </w:t>
      </w:r>
      <w:hyperlink r:id="rId1" w:history="1">
        <w:r w:rsidR="00B36671" w:rsidRPr="008F00EF">
          <w:rPr>
            <w:rStyle w:val="Hyperlink"/>
            <w:sz w:val="20"/>
          </w:rPr>
          <w:t>www.cbd.int/notifications/2023-133</w:t>
        </w:r>
      </w:hyperlink>
      <w:r w:rsidR="00A94DC2" w:rsidRPr="008F00EF">
        <w:rPr>
          <w:rStyle w:val="Hyperlink"/>
          <w:rFonts w:hint="eastAsia"/>
          <w:color w:val="auto"/>
          <w:sz w:val="20"/>
          <w:u w:val="none"/>
          <w:lang w:eastAsia="zh-CN"/>
        </w:rPr>
        <w:t>。</w:t>
      </w:r>
    </w:p>
  </w:footnote>
  <w:footnote w:id="4">
    <w:p w14:paraId="481A4DA2" w14:textId="715C303C" w:rsidR="000F4F4F" w:rsidRPr="008F00EF" w:rsidRDefault="000F4F4F" w:rsidP="000F4F4F">
      <w:pPr>
        <w:pStyle w:val="FootnoteText"/>
        <w:rPr>
          <w:sz w:val="20"/>
        </w:rPr>
      </w:pPr>
      <w:r w:rsidRPr="008F00EF">
        <w:rPr>
          <w:rStyle w:val="FootnoteReference"/>
          <w:sz w:val="20"/>
        </w:rPr>
        <w:footnoteRef/>
      </w:r>
      <w:r w:rsidRPr="008F00EF">
        <w:rPr>
          <w:sz w:val="20"/>
        </w:rPr>
        <w:t xml:space="preserve"> </w:t>
      </w:r>
      <w:r w:rsidRPr="008F00EF">
        <w:rPr>
          <w:rFonts w:hint="eastAsia"/>
          <w:sz w:val="20"/>
          <w:lang w:eastAsia="zh-CN"/>
        </w:rPr>
        <w:t>见</w:t>
      </w:r>
      <w:hyperlink r:id="rId2" w:history="1">
        <w:r w:rsidRPr="008F00EF">
          <w:rPr>
            <w:rStyle w:val="Hyperlink"/>
            <w:sz w:val="20"/>
          </w:rPr>
          <w:t>bch.cbd.int/onlineconferences/portal_art26/Activities2023-2024.shtml</w:t>
        </w:r>
      </w:hyperlink>
      <w:r w:rsidRPr="008F00EF">
        <w:rPr>
          <w:rFonts w:hint="eastAsia"/>
          <w:sz w:val="20"/>
          <w:lang w:eastAsia="zh-CN"/>
        </w:rPr>
        <w:t>。</w:t>
      </w:r>
    </w:p>
  </w:footnote>
  <w:footnote w:id="5">
    <w:p w14:paraId="4915F1A9" w14:textId="731D946B" w:rsidR="00495D71" w:rsidRPr="00AE72B4" w:rsidRDefault="00495D71" w:rsidP="00495D71">
      <w:pPr>
        <w:pStyle w:val="FootnoteText"/>
      </w:pPr>
      <w:r w:rsidRPr="00AE72B4">
        <w:rPr>
          <w:rStyle w:val="FootnoteReference"/>
        </w:rPr>
        <w:footnoteRef/>
      </w:r>
      <w:r w:rsidRPr="00AE72B4">
        <w:t xml:space="preserve"> </w:t>
      </w:r>
      <w:r w:rsidRPr="00245F6C">
        <w:t>CBD</w:t>
      </w:r>
      <w:r w:rsidRPr="00AE72B4">
        <w:t>/</w:t>
      </w:r>
      <w:r w:rsidRPr="00245F6C">
        <w:t>CP</w:t>
      </w:r>
      <w:r w:rsidRPr="00AE72B4">
        <w:t>/</w:t>
      </w:r>
      <w:r w:rsidRPr="00245F6C">
        <w:t>MOP</w:t>
      </w:r>
      <w:r w:rsidRPr="00AE72B4">
        <w:t>/9/10</w:t>
      </w:r>
      <w:r>
        <w:rPr>
          <w:rFonts w:hint="eastAsia"/>
          <w:lang w:eastAsia="zh-CN"/>
        </w:rPr>
        <w:t>，附件。</w:t>
      </w:r>
    </w:p>
  </w:footnote>
  <w:footnote w:id="6">
    <w:p w14:paraId="6613663C" w14:textId="77777777" w:rsidR="008A51E6" w:rsidRPr="008F00EF" w:rsidRDefault="008A51E6" w:rsidP="008A51E6">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第</w:t>
      </w:r>
      <w:r w:rsidRPr="008F00EF">
        <w:rPr>
          <w:sz w:val="20"/>
          <w:lang w:eastAsia="zh-CN"/>
        </w:rPr>
        <w:t>CP-10/3</w:t>
      </w:r>
      <w:r w:rsidRPr="008F00EF">
        <w:rPr>
          <w:rFonts w:hint="eastAsia"/>
          <w:sz w:val="20"/>
          <w:lang w:eastAsia="zh-CN"/>
        </w:rPr>
        <w:t>号决定，附件。</w:t>
      </w:r>
    </w:p>
  </w:footnote>
  <w:footnote w:id="7">
    <w:p w14:paraId="0DE7E905" w14:textId="77777777" w:rsidR="008A51E6" w:rsidRPr="008F00EF" w:rsidRDefault="008A51E6" w:rsidP="008A51E6">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第</w:t>
      </w:r>
      <w:r w:rsidRPr="008F00EF">
        <w:rPr>
          <w:sz w:val="20"/>
          <w:lang w:eastAsia="zh-CN"/>
        </w:rPr>
        <w:t>CP-10/4</w:t>
      </w:r>
      <w:r w:rsidRPr="008F00EF">
        <w:rPr>
          <w:rFonts w:hint="eastAsia"/>
          <w:sz w:val="20"/>
          <w:lang w:eastAsia="zh-CN"/>
        </w:rPr>
        <w:t>号决定，附件。</w:t>
      </w:r>
    </w:p>
  </w:footnote>
  <w:footnote w:id="8">
    <w:p w14:paraId="4511981F" w14:textId="77777777" w:rsidR="005F7544" w:rsidRPr="008F00EF" w:rsidRDefault="005F7544" w:rsidP="005F7544">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见</w:t>
      </w:r>
      <w:hyperlink r:id="rId3" w:history="1">
        <w:r w:rsidRPr="008F00EF">
          <w:rPr>
            <w:rStyle w:val="Hyperlink"/>
            <w:sz w:val="20"/>
            <w:lang w:eastAsia="zh-CN"/>
          </w:rPr>
          <w:t>www.cbd.int/notifications/2023-133</w:t>
        </w:r>
      </w:hyperlink>
      <w:r w:rsidRPr="008F00EF">
        <w:rPr>
          <w:rFonts w:hint="eastAsia"/>
          <w:sz w:val="20"/>
          <w:lang w:eastAsia="zh-CN"/>
        </w:rPr>
        <w:t>。</w:t>
      </w:r>
      <w:r w:rsidRPr="008F00EF">
        <w:rPr>
          <w:sz w:val="20"/>
          <w:lang w:eastAsia="zh-CN"/>
        </w:rPr>
        <w:t xml:space="preserve"> </w:t>
      </w:r>
    </w:p>
  </w:footnote>
  <w:footnote w:id="9">
    <w:p w14:paraId="3F4BB3E2" w14:textId="4EF8087D" w:rsidR="00AA7FD3" w:rsidRPr="008F00EF" w:rsidRDefault="00AA7FD3" w:rsidP="00AA7FD3">
      <w:pPr>
        <w:pStyle w:val="FootnoteText"/>
        <w:rPr>
          <w:sz w:val="20"/>
        </w:rPr>
      </w:pPr>
      <w:r w:rsidRPr="008F00EF">
        <w:rPr>
          <w:rStyle w:val="FootnoteReference"/>
          <w:sz w:val="20"/>
        </w:rPr>
        <w:footnoteRef/>
      </w:r>
      <w:r w:rsidRPr="008F00EF">
        <w:rPr>
          <w:sz w:val="20"/>
        </w:rPr>
        <w:t xml:space="preserve"> </w:t>
      </w:r>
      <w:r w:rsidRPr="008F00EF">
        <w:rPr>
          <w:rFonts w:hint="eastAsia"/>
          <w:sz w:val="20"/>
          <w:lang w:eastAsia="zh-CN"/>
        </w:rPr>
        <w:t>见</w:t>
      </w:r>
      <w:hyperlink r:id="rId4" w:history="1">
        <w:r w:rsidRPr="008F00EF">
          <w:rPr>
            <w:rStyle w:val="Hyperlink"/>
            <w:sz w:val="20"/>
          </w:rPr>
          <w:t>bch.cbd.int/onlineconferences/portal_art26/Activities2023-2024.shtml</w:t>
        </w:r>
      </w:hyperlink>
      <w:r w:rsidRPr="008F00EF">
        <w:rPr>
          <w:rFonts w:hint="eastAsia"/>
          <w:sz w:val="20"/>
          <w:lang w:eastAsia="zh-CN"/>
        </w:rPr>
        <w:t>。</w:t>
      </w:r>
      <w:r w:rsidRPr="008F00EF">
        <w:rPr>
          <w:sz w:val="20"/>
        </w:rPr>
        <w:t xml:space="preserve"> </w:t>
      </w:r>
    </w:p>
  </w:footnote>
  <w:footnote w:id="10">
    <w:p w14:paraId="5683D498" w14:textId="32EC9255" w:rsidR="009F2848" w:rsidRPr="008F00EF" w:rsidRDefault="009F2848" w:rsidP="009F2848">
      <w:pPr>
        <w:pStyle w:val="FootnoteText"/>
        <w:rPr>
          <w:sz w:val="20"/>
        </w:rPr>
      </w:pPr>
      <w:r w:rsidRPr="008F00EF">
        <w:rPr>
          <w:rStyle w:val="FootnoteReference"/>
          <w:sz w:val="20"/>
        </w:rPr>
        <w:footnoteRef/>
      </w:r>
      <w:r w:rsidRPr="008F00EF">
        <w:rPr>
          <w:sz w:val="20"/>
        </w:rPr>
        <w:t xml:space="preserve"> </w:t>
      </w:r>
      <w:r w:rsidRPr="008F00EF">
        <w:rPr>
          <w:rFonts w:hint="eastAsia"/>
          <w:sz w:val="20"/>
          <w:lang w:eastAsia="zh-CN"/>
        </w:rPr>
        <w:t>尼日利亚。</w:t>
      </w:r>
    </w:p>
  </w:footnote>
  <w:footnote w:id="11">
    <w:p w14:paraId="7AC6D577" w14:textId="77777777" w:rsidR="00C652B3" w:rsidRPr="008F00EF" w:rsidRDefault="00C652B3" w:rsidP="00C652B3">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南非。</w:t>
      </w:r>
    </w:p>
  </w:footnote>
  <w:footnote w:id="12">
    <w:p w14:paraId="73D9B53B" w14:textId="77777777" w:rsidR="002317D4" w:rsidRPr="008F00EF" w:rsidRDefault="002317D4" w:rsidP="002317D4">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德国。</w:t>
      </w:r>
    </w:p>
  </w:footnote>
  <w:footnote w:id="13">
    <w:p w14:paraId="020A902C" w14:textId="77777777" w:rsidR="002317D4" w:rsidRPr="008F00EF" w:rsidRDefault="002317D4" w:rsidP="002317D4">
      <w:pPr>
        <w:pStyle w:val="FootnoteText"/>
        <w:rPr>
          <w:sz w:val="20"/>
          <w:lang w:val="en-CA" w:eastAsia="zh-CN"/>
        </w:rPr>
      </w:pPr>
      <w:r w:rsidRPr="008F00EF">
        <w:rPr>
          <w:rStyle w:val="FootnoteReference"/>
          <w:sz w:val="20"/>
        </w:rPr>
        <w:footnoteRef/>
      </w:r>
      <w:r w:rsidRPr="008F00EF">
        <w:rPr>
          <w:sz w:val="20"/>
          <w:lang w:eastAsia="zh-CN"/>
        </w:rPr>
        <w:t xml:space="preserve"> </w:t>
      </w:r>
      <w:r w:rsidRPr="008F00EF">
        <w:rPr>
          <w:rFonts w:hint="eastAsia"/>
          <w:sz w:val="20"/>
          <w:lang w:val="en-CA" w:eastAsia="zh-CN"/>
        </w:rPr>
        <w:t>这两份报告均载于：</w:t>
      </w:r>
      <w:r w:rsidR="00000000" w:rsidRPr="008F00EF">
        <w:rPr>
          <w:sz w:val="20"/>
        </w:rPr>
        <w:fldChar w:fldCharType="begin"/>
      </w:r>
      <w:r w:rsidR="00000000" w:rsidRPr="008F00EF">
        <w:rPr>
          <w:sz w:val="20"/>
        </w:rPr>
        <w:instrText>HYPERLINK "https://bch.cbd.int/onlineconferences/portal_art26/Forum2019.shtml"</w:instrText>
      </w:r>
      <w:r w:rsidR="00000000" w:rsidRPr="008F00EF">
        <w:rPr>
          <w:sz w:val="20"/>
        </w:rPr>
      </w:r>
      <w:r w:rsidR="00000000" w:rsidRPr="008F00EF">
        <w:rPr>
          <w:sz w:val="20"/>
        </w:rPr>
        <w:fldChar w:fldCharType="separate"/>
      </w:r>
      <w:r w:rsidRPr="008F00EF">
        <w:rPr>
          <w:rStyle w:val="Hyperlink"/>
          <w:sz w:val="20"/>
          <w:lang w:val="en-CA" w:eastAsia="zh-CN"/>
        </w:rPr>
        <w:t>https://bch.cbd.int/onlineconferences/portal_art26/Forum2019.shtml</w:t>
      </w:r>
      <w:r w:rsidR="00000000" w:rsidRPr="008F00EF">
        <w:rPr>
          <w:rStyle w:val="Hyperlink"/>
          <w:sz w:val="20"/>
          <w:lang w:val="en-CA" w:eastAsia="zh-CN"/>
        </w:rPr>
        <w:fldChar w:fldCharType="end"/>
      </w:r>
      <w:r w:rsidRPr="008F00EF">
        <w:rPr>
          <w:rFonts w:hint="eastAsia"/>
          <w:sz w:val="20"/>
          <w:lang w:val="en-CA" w:eastAsia="zh-CN"/>
        </w:rPr>
        <w:t>。</w:t>
      </w:r>
    </w:p>
  </w:footnote>
  <w:footnote w:id="14">
    <w:p w14:paraId="673E9914" w14:textId="77777777" w:rsidR="00315BBC" w:rsidRPr="008F00EF" w:rsidRDefault="00315BBC" w:rsidP="00315BBC">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第三世界网。</w:t>
      </w:r>
    </w:p>
  </w:footnote>
  <w:footnote w:id="15">
    <w:p w14:paraId="56A43C0A" w14:textId="77777777" w:rsidR="00943F55" w:rsidRPr="008F00EF" w:rsidRDefault="00943F55" w:rsidP="00943F55">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孟加拉国、斯威士兰、欧盟、几内亚比绍、肯尼亚、马拉维、马来西亚和墨西哥。本节将在下文讨论欧盟提供的关于其立法如何使其成员国能够考虑社会经济因素的信息，同时还将讨论欧盟成员国提供的信息。</w:t>
      </w:r>
    </w:p>
  </w:footnote>
  <w:footnote w:id="16">
    <w:p w14:paraId="0CFC19C0" w14:textId="77777777" w:rsidR="00762D99" w:rsidRPr="008F00EF" w:rsidRDefault="00762D99" w:rsidP="00762D99">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肯尼亚。</w:t>
      </w:r>
    </w:p>
  </w:footnote>
  <w:footnote w:id="17">
    <w:p w14:paraId="1686A941" w14:textId="77777777" w:rsidR="004C3011" w:rsidRPr="008F00EF" w:rsidRDefault="004C3011" w:rsidP="004C3011">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马拉维。</w:t>
      </w:r>
    </w:p>
  </w:footnote>
  <w:footnote w:id="18">
    <w:p w14:paraId="15A27859" w14:textId="77777777" w:rsidR="001A529D" w:rsidRPr="008F00EF" w:rsidRDefault="001A529D" w:rsidP="001A529D">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马来西亚和尼日利亚。</w:t>
      </w:r>
    </w:p>
  </w:footnote>
  <w:footnote w:id="19">
    <w:p w14:paraId="14EFB5F7" w14:textId="77777777" w:rsidR="001A529D" w:rsidRPr="008F00EF" w:rsidRDefault="001A529D" w:rsidP="001A529D">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马来西亚。</w:t>
      </w:r>
    </w:p>
  </w:footnote>
  <w:footnote w:id="20">
    <w:p w14:paraId="6A336118" w14:textId="77777777" w:rsidR="00BF252F" w:rsidRPr="008F00EF" w:rsidRDefault="00BF252F" w:rsidP="00BF252F">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菲律宾。</w:t>
      </w:r>
    </w:p>
  </w:footnote>
  <w:footnote w:id="21">
    <w:p w14:paraId="6A2C7DC8" w14:textId="77777777" w:rsidR="00261F60" w:rsidRPr="008F00EF" w:rsidRDefault="00261F60" w:rsidP="00261F60">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孟加拉国。</w:t>
      </w:r>
    </w:p>
  </w:footnote>
  <w:footnote w:id="22">
    <w:p w14:paraId="17429D96" w14:textId="77777777" w:rsidR="005203F3" w:rsidRPr="008F00EF" w:rsidRDefault="005203F3" w:rsidP="005203F3">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希腊、卢旺达和斯洛文尼亚。</w:t>
      </w:r>
    </w:p>
  </w:footnote>
  <w:footnote w:id="23">
    <w:p w14:paraId="71A4499F" w14:textId="77777777" w:rsidR="005203F3" w:rsidRPr="008F00EF" w:rsidRDefault="005203F3" w:rsidP="005203F3">
      <w:pPr>
        <w:pStyle w:val="FootnoteText"/>
        <w:rPr>
          <w:sz w:val="20"/>
        </w:rPr>
      </w:pPr>
      <w:r w:rsidRPr="008F00EF">
        <w:rPr>
          <w:rStyle w:val="FootnoteReference"/>
          <w:sz w:val="20"/>
        </w:rPr>
        <w:footnoteRef/>
      </w:r>
      <w:r w:rsidRPr="008F00EF">
        <w:rPr>
          <w:sz w:val="20"/>
        </w:rPr>
        <w:t xml:space="preserve"> </w:t>
      </w:r>
      <w:proofErr w:type="spellStart"/>
      <w:r w:rsidRPr="008F00EF">
        <w:rPr>
          <w:rFonts w:hint="eastAsia"/>
          <w:sz w:val="20"/>
        </w:rPr>
        <w:t>斯威士兰</w:t>
      </w:r>
      <w:proofErr w:type="spellEnd"/>
      <w:r w:rsidRPr="008F00EF">
        <w:rPr>
          <w:rFonts w:hint="eastAsia"/>
          <w:sz w:val="20"/>
        </w:rPr>
        <w:t>。</w:t>
      </w:r>
    </w:p>
  </w:footnote>
  <w:footnote w:id="24">
    <w:p w14:paraId="46A95990" w14:textId="53179E1A" w:rsidR="005203F3" w:rsidRPr="008F00EF" w:rsidRDefault="005203F3" w:rsidP="005203F3">
      <w:pPr>
        <w:pStyle w:val="FootnoteText"/>
        <w:rPr>
          <w:sz w:val="20"/>
        </w:rPr>
      </w:pPr>
      <w:r w:rsidRPr="008F00EF">
        <w:rPr>
          <w:rStyle w:val="FootnoteReference"/>
          <w:sz w:val="20"/>
        </w:rPr>
        <w:footnoteRef/>
      </w:r>
      <w:r w:rsidRPr="008F00EF">
        <w:rPr>
          <w:sz w:val="20"/>
        </w:rPr>
        <w:t xml:space="preserve"> </w:t>
      </w:r>
      <w:r w:rsidR="00753B0F">
        <w:rPr>
          <w:rFonts w:hint="eastAsia"/>
          <w:sz w:val="20"/>
          <w:lang w:eastAsia="zh-CN"/>
        </w:rPr>
        <w:t>喀麦隆。</w:t>
      </w:r>
    </w:p>
  </w:footnote>
  <w:footnote w:id="25">
    <w:p w14:paraId="4372D42C" w14:textId="77777777" w:rsidR="00A5447B" w:rsidRPr="008F00EF" w:rsidRDefault="00A5447B" w:rsidP="00A5447B">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阿拉伯联合酋长国。</w:t>
      </w:r>
    </w:p>
  </w:footnote>
  <w:footnote w:id="26">
    <w:p w14:paraId="5B8C11FA" w14:textId="77777777" w:rsidR="00A5447B" w:rsidRPr="008F00EF" w:rsidRDefault="00A5447B" w:rsidP="00A5447B">
      <w:pPr>
        <w:pStyle w:val="FootnoteText"/>
        <w:rPr>
          <w:rFonts w:hint="eastAsia"/>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不丹。</w:t>
      </w:r>
    </w:p>
  </w:footnote>
  <w:footnote w:id="27">
    <w:p w14:paraId="3D7BB67D" w14:textId="77777777" w:rsidR="00DF069B" w:rsidRPr="008F00EF" w:rsidRDefault="00DF069B" w:rsidP="00DF069B">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白俄罗斯。</w:t>
      </w:r>
    </w:p>
  </w:footnote>
  <w:footnote w:id="28">
    <w:p w14:paraId="0918677F" w14:textId="77777777" w:rsidR="00D205B2" w:rsidRPr="008F00EF" w:rsidRDefault="00D205B2" w:rsidP="00D205B2">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包括奥地利、丹麦、匈牙利、意大利、马耳他和斯洛维尼亚。</w:t>
      </w:r>
    </w:p>
  </w:footnote>
  <w:footnote w:id="29">
    <w:p w14:paraId="08472006" w14:textId="76EEE71E" w:rsidR="00D205B2" w:rsidRPr="008F00EF" w:rsidRDefault="00D205B2" w:rsidP="00D205B2">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(EU) 2015/412</w:t>
      </w:r>
      <w:r w:rsidRPr="008F00EF">
        <w:rPr>
          <w:rFonts w:hint="eastAsia"/>
          <w:sz w:val="20"/>
          <w:lang w:eastAsia="zh-CN"/>
        </w:rPr>
        <w:t>号指令规定，在特定转基因生物的授权程序中或在延长同意或授权期间，欧盟成员国可要求调整书面同意或授权的地理范围，将该成员国的全部或部分领土排除在种植地区之外。根据为准备该指令生效而实施的过渡措施，允许欧盟成员国采取措施禁止或限制种植已获授权或正在获得授权的转基因生物，且无需提供令人信服的理由。缔约方在一些提交的材料中表示，它们已利用了这些措施。</w:t>
      </w:r>
      <w:r w:rsidRPr="008F00EF">
        <w:rPr>
          <w:sz w:val="20"/>
          <w:lang w:eastAsia="zh-CN"/>
        </w:rPr>
        <w:t xml:space="preserve"> </w:t>
      </w:r>
    </w:p>
  </w:footnote>
  <w:footnote w:id="30">
    <w:p w14:paraId="2E045840" w14:textId="77777777" w:rsidR="00CF3A85" w:rsidRPr="008F00EF" w:rsidRDefault="00CF3A85" w:rsidP="00CF3A85">
      <w:pPr>
        <w:pStyle w:val="FootnoteText"/>
        <w:rPr>
          <w:sz w:val="20"/>
        </w:rPr>
      </w:pPr>
      <w:r w:rsidRPr="008F00EF">
        <w:rPr>
          <w:rStyle w:val="FootnoteReference"/>
          <w:sz w:val="20"/>
        </w:rPr>
        <w:footnoteRef/>
      </w:r>
      <w:r w:rsidRPr="008F00EF">
        <w:rPr>
          <w:sz w:val="20"/>
        </w:rPr>
        <w:t xml:space="preserve"> </w:t>
      </w:r>
      <w:r w:rsidRPr="008F00EF">
        <w:rPr>
          <w:rFonts w:hint="eastAsia"/>
          <w:sz w:val="20"/>
        </w:rPr>
        <w:t>两份报告均载于：</w:t>
      </w:r>
      <w:hyperlink r:id="rId5" w:history="1">
        <w:r w:rsidRPr="008F00EF">
          <w:rPr>
            <w:rStyle w:val="Hyperlink"/>
            <w:sz w:val="20"/>
          </w:rPr>
          <w:t>https://bch.cbd.int/onlineconferences/portal_art26/Activities2023-2024.shtml</w:t>
        </w:r>
      </w:hyperlink>
      <w:r w:rsidRPr="008F00EF">
        <w:rPr>
          <w:rFonts w:hint="eastAsia"/>
          <w:sz w:val="20"/>
        </w:rPr>
        <w:t>。</w:t>
      </w:r>
    </w:p>
  </w:footnote>
  <w:footnote w:id="31">
    <w:p w14:paraId="793A2B08" w14:textId="77777777" w:rsidR="00EF2D86" w:rsidRPr="008F00EF" w:rsidRDefault="00EF2D86" w:rsidP="00EF2D86">
      <w:pPr>
        <w:pStyle w:val="FootnoteText"/>
        <w:rPr>
          <w:sz w:val="20"/>
          <w:lang w:val="fr-FR" w:eastAsia="zh-CN"/>
        </w:rPr>
      </w:pPr>
      <w:r w:rsidRPr="008F00EF">
        <w:rPr>
          <w:rStyle w:val="FootnoteReference"/>
          <w:sz w:val="20"/>
        </w:rPr>
        <w:footnoteRef/>
      </w:r>
      <w:r w:rsidRPr="008F00EF">
        <w:rPr>
          <w:sz w:val="20"/>
          <w:lang w:val="fr-FR" w:eastAsia="zh-CN"/>
        </w:rPr>
        <w:t xml:space="preserve"> </w:t>
      </w:r>
      <w:r w:rsidRPr="008F00EF">
        <w:rPr>
          <w:rFonts w:hint="eastAsia"/>
          <w:sz w:val="20"/>
          <w:lang w:val="fr-FR" w:eastAsia="zh-CN"/>
        </w:rPr>
        <w:t>克罗地亚。</w:t>
      </w:r>
    </w:p>
  </w:footnote>
  <w:footnote w:id="32">
    <w:p w14:paraId="039F4C62" w14:textId="77777777" w:rsidR="00EB0B33" w:rsidRPr="008F00EF" w:rsidRDefault="00EB0B33" w:rsidP="00EB0B33">
      <w:pPr>
        <w:pStyle w:val="FootnoteText"/>
        <w:rPr>
          <w:sz w:val="20"/>
          <w:lang w:val="fr-FR" w:eastAsia="zh-CN"/>
        </w:rPr>
      </w:pPr>
      <w:r w:rsidRPr="008F00EF">
        <w:rPr>
          <w:rStyle w:val="FootnoteReference"/>
          <w:sz w:val="20"/>
        </w:rPr>
        <w:footnoteRef/>
      </w:r>
      <w:r w:rsidRPr="008F00EF">
        <w:rPr>
          <w:sz w:val="20"/>
          <w:lang w:val="fr-FR" w:eastAsia="zh-CN"/>
        </w:rPr>
        <w:t xml:space="preserve"> </w:t>
      </w:r>
      <w:r w:rsidRPr="008F00EF">
        <w:rPr>
          <w:rFonts w:hint="eastAsia"/>
          <w:sz w:val="20"/>
          <w:lang w:val="fr-FR" w:eastAsia="zh-CN"/>
        </w:rPr>
        <w:t>法国。</w:t>
      </w:r>
    </w:p>
  </w:footnote>
  <w:footnote w:id="33">
    <w:p w14:paraId="1141FDBB" w14:textId="77777777" w:rsidR="00EB0B33" w:rsidRPr="008F00EF" w:rsidRDefault="00EB0B33" w:rsidP="00EB0B33">
      <w:pPr>
        <w:pStyle w:val="FootnoteText"/>
        <w:rPr>
          <w:sz w:val="20"/>
          <w:lang w:val="fr-FR" w:eastAsia="zh-CN"/>
        </w:rPr>
      </w:pPr>
      <w:r w:rsidRPr="008F00EF">
        <w:rPr>
          <w:rStyle w:val="FootnoteReference"/>
          <w:sz w:val="20"/>
        </w:rPr>
        <w:footnoteRef/>
      </w:r>
      <w:r w:rsidRPr="008F00EF">
        <w:rPr>
          <w:rFonts w:hint="eastAsia"/>
          <w:sz w:val="20"/>
          <w:lang w:val="fr-FR" w:eastAsia="zh-CN"/>
        </w:rPr>
        <w:t xml:space="preserve"> </w:t>
      </w:r>
      <w:r w:rsidRPr="008F00EF">
        <w:rPr>
          <w:rFonts w:hint="eastAsia"/>
          <w:sz w:val="20"/>
          <w:lang w:val="en-CA" w:eastAsia="zh-CN"/>
        </w:rPr>
        <w:t>见</w:t>
      </w:r>
      <w:hyperlink r:id="rId6" w:history="1">
        <w:r w:rsidRPr="008F00EF">
          <w:rPr>
            <w:rStyle w:val="Hyperlink"/>
            <w:sz w:val="20"/>
            <w:lang w:val="fr-FR" w:eastAsia="zh-CN"/>
          </w:rPr>
          <w:t>https://bch.cbd.int/onlineconferences/portal_art26/Activities2023-2024.shtml</w:t>
        </w:r>
      </w:hyperlink>
      <w:r w:rsidRPr="008F00EF">
        <w:rPr>
          <w:rFonts w:hint="eastAsia"/>
          <w:sz w:val="20"/>
          <w:lang w:val="fr-FR" w:eastAsia="zh-CN"/>
        </w:rPr>
        <w:t>。</w:t>
      </w:r>
      <w:r w:rsidRPr="008F00EF">
        <w:rPr>
          <w:sz w:val="20"/>
          <w:lang w:val="fr-FR" w:eastAsia="zh-CN"/>
        </w:rPr>
        <w:t xml:space="preserve"> </w:t>
      </w:r>
    </w:p>
  </w:footnote>
  <w:footnote w:id="34">
    <w:p w14:paraId="791DAA46" w14:textId="77777777" w:rsidR="008F00EF" w:rsidRPr="008F00EF" w:rsidRDefault="008F00EF" w:rsidP="008F00EF">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荷兰王国。</w:t>
      </w:r>
    </w:p>
  </w:footnote>
  <w:footnote w:id="35">
    <w:p w14:paraId="021A3D17" w14:textId="77777777" w:rsidR="008F00EF" w:rsidRPr="008F00EF" w:rsidRDefault="008F00EF" w:rsidP="008F00EF">
      <w:pPr>
        <w:pStyle w:val="FootnoteText"/>
        <w:rPr>
          <w:sz w:val="20"/>
          <w:lang w:eastAsia="zh-CN"/>
        </w:rPr>
      </w:pPr>
      <w:r w:rsidRPr="008F00EF">
        <w:rPr>
          <w:rStyle w:val="FootnoteReference"/>
          <w:sz w:val="20"/>
        </w:rPr>
        <w:footnoteRef/>
      </w:r>
      <w:r w:rsidRPr="008F00EF">
        <w:rPr>
          <w:sz w:val="20"/>
          <w:lang w:eastAsia="zh-CN"/>
        </w:rPr>
        <w:t xml:space="preserve"> </w:t>
      </w:r>
      <w:r w:rsidRPr="008F00EF">
        <w:rPr>
          <w:rFonts w:hint="eastAsia"/>
          <w:sz w:val="20"/>
          <w:lang w:eastAsia="zh-CN"/>
        </w:rPr>
        <w:t>载于：</w:t>
      </w:r>
      <w:hyperlink r:id="rId7" w:history="1">
        <w:r w:rsidRPr="008F00EF">
          <w:rPr>
            <w:rStyle w:val="Hyperlink"/>
            <w:sz w:val="20"/>
            <w:lang w:eastAsia="zh-CN"/>
          </w:rPr>
          <w:t>https://s3.amazonaws.com/cbddocumentspublic-imagebucket-15w2zyxk3prl8/c272720b6bac8e7063c3282e02b77d00</w:t>
        </w:r>
      </w:hyperlink>
      <w:r w:rsidRPr="008F00EF">
        <w:rPr>
          <w:rFonts w:hint="eastAsia"/>
          <w:sz w:val="20"/>
          <w:lang w:eastAsia="zh-CN"/>
        </w:rPr>
        <w:t>。</w:t>
      </w:r>
      <w:r w:rsidRPr="008F00EF">
        <w:rPr>
          <w:sz w:val="20"/>
          <w:lang w:eastAsia="zh-CN"/>
        </w:rPr>
        <w:t xml:space="preserve"> </w:t>
      </w:r>
    </w:p>
  </w:footnote>
  <w:footnote w:id="36">
    <w:p w14:paraId="062C33F1" w14:textId="77777777" w:rsidR="0081252A" w:rsidRPr="008F00EF" w:rsidRDefault="0081252A" w:rsidP="0081252A">
      <w:pPr>
        <w:pStyle w:val="FootnoteText"/>
        <w:rPr>
          <w:sz w:val="20"/>
        </w:rPr>
      </w:pPr>
      <w:r w:rsidRPr="008F00EF">
        <w:rPr>
          <w:rStyle w:val="FootnoteReference"/>
          <w:sz w:val="20"/>
        </w:rPr>
        <w:footnoteRef/>
      </w:r>
      <w:r w:rsidRPr="008F00EF">
        <w:rPr>
          <w:sz w:val="20"/>
        </w:rPr>
        <w:t xml:space="preserve"> </w:t>
      </w:r>
      <w:r w:rsidRPr="008F00EF">
        <w:rPr>
          <w:rFonts w:hint="eastAsia"/>
          <w:sz w:val="20"/>
          <w:lang w:eastAsia="zh-CN"/>
        </w:rPr>
        <w:t>西班牙</w:t>
      </w:r>
    </w:p>
  </w:footnote>
  <w:footnote w:id="37">
    <w:p w14:paraId="55989381" w14:textId="77777777" w:rsidR="00492119" w:rsidRPr="00F41409" w:rsidRDefault="00492119" w:rsidP="00492119">
      <w:pPr>
        <w:pStyle w:val="FootnoteText"/>
      </w:pPr>
      <w:r w:rsidRPr="008F00EF">
        <w:rPr>
          <w:rStyle w:val="FootnoteReference"/>
          <w:sz w:val="20"/>
        </w:rPr>
        <w:footnoteRef/>
      </w:r>
      <w:r w:rsidRPr="008F00EF">
        <w:rPr>
          <w:sz w:val="20"/>
        </w:rPr>
        <w:t xml:space="preserve"> </w:t>
      </w:r>
      <w:r w:rsidRPr="008F00EF">
        <w:rPr>
          <w:rFonts w:hint="eastAsia"/>
          <w:sz w:val="20"/>
          <w:lang w:eastAsia="zh-CN"/>
        </w:rPr>
        <w:t>斯洛维尼亚。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BB0D5D0" w14:textId="0DD91E80" w:rsidR="00A00234" w:rsidRDefault="00000000" w:rsidP="00245F6C">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3E34" w:rsidRPr="00A00234">
          <w:rPr>
            <w:szCs w:val="20"/>
            <w:lang w:val="fr-FR"/>
          </w:rPr>
          <w:t>CBD</w:t>
        </w:r>
        <w:r w:rsidR="00573E34">
          <w:rPr>
            <w:szCs w:val="20"/>
            <w:lang w:val="fr-FR"/>
          </w:rPr>
          <w:t>/CP/M</w:t>
        </w:r>
        <w:r w:rsidR="00573E34" w:rsidRPr="00A00234">
          <w:rPr>
            <w:szCs w:val="20"/>
            <w:lang w:val="fr-FR"/>
          </w:rPr>
          <w:t>OP/1</w:t>
        </w:r>
        <w:r w:rsidR="00573E34">
          <w:rPr>
            <w:szCs w:val="20"/>
            <w:lang w:val="fr-FR"/>
          </w:rPr>
          <w:t>1</w:t>
        </w:r>
        <w:r w:rsidR="00573E34" w:rsidRPr="00A00234">
          <w:rPr>
            <w:szCs w:val="20"/>
            <w:lang w:val="fr-FR"/>
          </w:rPr>
          <w:t>/</w:t>
        </w:r>
        <w:r w:rsidR="00AE4AC7">
          <w:rPr>
            <w:szCs w:val="20"/>
            <w:lang w:val="fr-FR"/>
          </w:rPr>
          <w:t>10</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372AC5E7" w:rsidR="002B559C" w:rsidRPr="002B559C" w:rsidRDefault="00AE4AC7" w:rsidP="002B559C">
        <w:pPr>
          <w:pStyle w:val="Header"/>
          <w:spacing w:after="240"/>
          <w:jc w:val="right"/>
          <w:rPr>
            <w:szCs w:val="20"/>
            <w:lang w:val="fr-FR"/>
          </w:rPr>
        </w:pPr>
        <w:r>
          <w:rPr>
            <w:szCs w:val="20"/>
            <w:lang w:val="fr-FR"/>
          </w:rPr>
          <w:t>CBD/CP/MOP/11/10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34F72BE"/>
    <w:multiLevelType w:val="hybridMultilevel"/>
    <w:tmpl w:val="64963FA8"/>
    <w:lvl w:ilvl="0" w:tplc="82B24ADC">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8CA4EFA6"/>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9D40C9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E32C3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177C5BFA"/>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4"/>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5"/>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035155014">
    <w:abstractNumId w:val="14"/>
    <w:lvlOverride w:ilvl="0">
      <w:startOverride w:val="1"/>
    </w:lvlOverride>
  </w:num>
  <w:num w:numId="22" w16cid:durableId="1269586073">
    <w:abstractNumId w:val="14"/>
    <w:lvlOverride w:ilvl="0">
      <w:startOverride w:val="1"/>
    </w:lvlOverride>
  </w:num>
  <w:num w:numId="23" w16cid:durableId="531767011">
    <w:abstractNumId w:val="14"/>
  </w:num>
  <w:num w:numId="24" w16cid:durableId="750078530">
    <w:abstractNumId w:val="14"/>
  </w:num>
  <w:num w:numId="25" w16cid:durableId="1481455808">
    <w:abstractNumId w:val="14"/>
  </w:num>
  <w:num w:numId="26" w16cid:durableId="1586762726">
    <w:abstractNumId w:val="6"/>
  </w:num>
  <w:num w:numId="27" w16cid:durableId="679505750">
    <w:abstractNumId w:val="9"/>
  </w:num>
  <w:num w:numId="28" w16cid:durableId="801266080">
    <w:abstractNumId w:val="0"/>
  </w:num>
  <w:num w:numId="29" w16cid:durableId="430780643">
    <w:abstractNumId w:val="14"/>
  </w:num>
  <w:num w:numId="30" w16cid:durableId="1210217635">
    <w:abstractNumId w:val="14"/>
    <w:lvlOverride w:ilvl="0">
      <w:startOverride w:val="1"/>
    </w:lvlOverride>
  </w:num>
  <w:num w:numId="31" w16cid:durableId="1088229969">
    <w:abstractNumId w:val="14"/>
  </w:num>
  <w:num w:numId="32" w16cid:durableId="161169274">
    <w:abstractNumId w:val="14"/>
    <w:lvlOverride w:ilvl="0">
      <w:startOverride w:val="1"/>
    </w:lvlOverride>
  </w:num>
  <w:num w:numId="33" w16cid:durableId="1734503410">
    <w:abstractNumId w:val="1"/>
  </w:num>
  <w:num w:numId="34" w16cid:durableId="1209533384">
    <w:abstractNumId w:val="10"/>
  </w:num>
  <w:num w:numId="35" w16cid:durableId="745885951">
    <w:abstractNumId w:val="7"/>
  </w:num>
  <w:num w:numId="36" w16cid:durableId="553278017">
    <w:abstractNumId w:val="15"/>
  </w:num>
  <w:num w:numId="37" w16cid:durableId="571742806">
    <w:abstractNumId w:val="15"/>
  </w:num>
  <w:num w:numId="38" w16cid:durableId="2362151">
    <w:abstractNumId w:val="15"/>
  </w:num>
  <w:num w:numId="39" w16cid:durableId="334381834">
    <w:abstractNumId w:val="15"/>
  </w:num>
  <w:num w:numId="40" w16cid:durableId="526212234">
    <w:abstractNumId w:val="15"/>
  </w:num>
  <w:num w:numId="41" w16cid:durableId="1358656019">
    <w:abstractNumId w:val="15"/>
  </w:num>
  <w:num w:numId="42" w16cid:durableId="103042196">
    <w:abstractNumId w:val="16"/>
  </w:num>
  <w:num w:numId="43" w16cid:durableId="479229703">
    <w:abstractNumId w:val="16"/>
  </w:num>
  <w:num w:numId="44" w16cid:durableId="191385002">
    <w:abstractNumId w:val="16"/>
  </w:num>
  <w:num w:numId="45" w16cid:durableId="1002050716">
    <w:abstractNumId w:val="16"/>
  </w:num>
  <w:num w:numId="46" w16cid:durableId="785974670">
    <w:abstractNumId w:val="7"/>
  </w:num>
  <w:num w:numId="47" w16cid:durableId="1473593712">
    <w:abstractNumId w:val="7"/>
  </w:num>
  <w:num w:numId="48" w16cid:durableId="1449199014">
    <w:abstractNumId w:val="7"/>
  </w:num>
  <w:num w:numId="49" w16cid:durableId="28337266">
    <w:abstractNumId w:val="7"/>
  </w:num>
  <w:num w:numId="50" w16cid:durableId="372388866">
    <w:abstractNumId w:val="7"/>
  </w:num>
  <w:num w:numId="51" w16cid:durableId="825707097">
    <w:abstractNumId w:val="7"/>
  </w:num>
  <w:num w:numId="52" w16cid:durableId="1614433929">
    <w:abstractNumId w:val="7"/>
  </w:num>
  <w:num w:numId="53" w16cid:durableId="1859348098">
    <w:abstractNumId w:val="7"/>
  </w:num>
  <w:num w:numId="54" w16cid:durableId="1692536312">
    <w:abstractNumId w:val="7"/>
  </w:num>
  <w:num w:numId="55" w16cid:durableId="1021473743">
    <w:abstractNumId w:val="7"/>
  </w:num>
  <w:num w:numId="56" w16cid:durableId="1494683668">
    <w:abstractNumId w:val="7"/>
  </w:num>
  <w:num w:numId="57" w16cid:durableId="324743363">
    <w:abstractNumId w:val="7"/>
  </w:num>
  <w:num w:numId="58" w16cid:durableId="324475374">
    <w:abstractNumId w:val="7"/>
  </w:num>
  <w:num w:numId="59" w16cid:durableId="884831105">
    <w:abstractNumId w:val="7"/>
  </w:num>
  <w:num w:numId="60" w16cid:durableId="1989433412">
    <w:abstractNumId w:val="7"/>
  </w:num>
  <w:num w:numId="61" w16cid:durableId="1227768041">
    <w:abstractNumId w:val="7"/>
  </w:num>
  <w:num w:numId="62" w16cid:durableId="1757047983">
    <w:abstractNumId w:val="7"/>
  </w:num>
  <w:num w:numId="63" w16cid:durableId="1101074477">
    <w:abstractNumId w:val="7"/>
  </w:num>
  <w:num w:numId="64" w16cid:durableId="1266770100">
    <w:abstractNumId w:val="7"/>
  </w:num>
  <w:num w:numId="65" w16cid:durableId="1808158888">
    <w:abstractNumId w:val="7"/>
  </w:num>
  <w:num w:numId="66" w16cid:durableId="59210283">
    <w:abstractNumId w:val="7"/>
  </w:num>
  <w:num w:numId="67" w16cid:durableId="24332055">
    <w:abstractNumId w:val="7"/>
  </w:num>
  <w:num w:numId="68" w16cid:durableId="1389919999">
    <w:abstractNumId w:val="7"/>
  </w:num>
  <w:num w:numId="69" w16cid:durableId="1582564186">
    <w:abstractNumId w:val="7"/>
  </w:num>
  <w:num w:numId="70" w16cid:durableId="1388918554">
    <w:abstractNumId w:val="7"/>
  </w:num>
  <w:num w:numId="71" w16cid:durableId="1805542819">
    <w:abstractNumId w:val="7"/>
  </w:num>
  <w:num w:numId="72" w16cid:durableId="318002427">
    <w:abstractNumId w:val="7"/>
  </w:num>
  <w:num w:numId="73" w16cid:durableId="582570864">
    <w:abstractNumId w:val="7"/>
  </w:num>
  <w:num w:numId="74" w16cid:durableId="61176236">
    <w:abstractNumId w:val="7"/>
  </w:num>
  <w:num w:numId="75" w16cid:durableId="1359624215">
    <w:abstractNumId w:val="7"/>
  </w:num>
  <w:num w:numId="76" w16cid:durableId="183398198">
    <w:abstractNumId w:val="7"/>
  </w:num>
  <w:num w:numId="77" w16cid:durableId="747505068">
    <w:abstractNumId w:val="7"/>
  </w:num>
  <w:num w:numId="78" w16cid:durableId="1384862461">
    <w:abstractNumId w:val="7"/>
  </w:num>
  <w:num w:numId="79" w16cid:durableId="1338658658">
    <w:abstractNumId w:val="7"/>
  </w:num>
  <w:num w:numId="80" w16cid:durableId="1426612176">
    <w:abstractNumId w:val="7"/>
  </w:num>
  <w:num w:numId="81" w16cid:durableId="1916083836">
    <w:abstractNumId w:val="7"/>
  </w:num>
  <w:num w:numId="82" w16cid:durableId="705521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75568861">
    <w:abstractNumId w:val="7"/>
  </w:num>
  <w:num w:numId="84" w16cid:durableId="2092463858">
    <w:abstractNumId w:val="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3F67"/>
    <w:rsid w:val="000043C3"/>
    <w:rsid w:val="00004F68"/>
    <w:rsid w:val="00005BC6"/>
    <w:rsid w:val="00007621"/>
    <w:rsid w:val="000100BA"/>
    <w:rsid w:val="00010481"/>
    <w:rsid w:val="00020F34"/>
    <w:rsid w:val="00022485"/>
    <w:rsid w:val="0003053A"/>
    <w:rsid w:val="00031CF0"/>
    <w:rsid w:val="00032A75"/>
    <w:rsid w:val="00040598"/>
    <w:rsid w:val="000448B3"/>
    <w:rsid w:val="000464D8"/>
    <w:rsid w:val="0004651F"/>
    <w:rsid w:val="00047F97"/>
    <w:rsid w:val="00053F0C"/>
    <w:rsid w:val="0005798E"/>
    <w:rsid w:val="00057A98"/>
    <w:rsid w:val="0006266F"/>
    <w:rsid w:val="0006443A"/>
    <w:rsid w:val="0006482E"/>
    <w:rsid w:val="00066690"/>
    <w:rsid w:val="000668D2"/>
    <w:rsid w:val="00067729"/>
    <w:rsid w:val="00071853"/>
    <w:rsid w:val="00075418"/>
    <w:rsid w:val="000759C5"/>
    <w:rsid w:val="00075D51"/>
    <w:rsid w:val="0007658A"/>
    <w:rsid w:val="00080B5E"/>
    <w:rsid w:val="00080E98"/>
    <w:rsid w:val="00081C71"/>
    <w:rsid w:val="00082C0C"/>
    <w:rsid w:val="00090238"/>
    <w:rsid w:val="00093F2B"/>
    <w:rsid w:val="0009496E"/>
    <w:rsid w:val="000960FD"/>
    <w:rsid w:val="00097EF8"/>
    <w:rsid w:val="000A0E65"/>
    <w:rsid w:val="000A1EFF"/>
    <w:rsid w:val="000A3497"/>
    <w:rsid w:val="000A7AC8"/>
    <w:rsid w:val="000B20D2"/>
    <w:rsid w:val="000B4152"/>
    <w:rsid w:val="000B4D9F"/>
    <w:rsid w:val="000B5052"/>
    <w:rsid w:val="000B6B02"/>
    <w:rsid w:val="000D7853"/>
    <w:rsid w:val="000E344E"/>
    <w:rsid w:val="000E4C00"/>
    <w:rsid w:val="000E5904"/>
    <w:rsid w:val="000E5A1F"/>
    <w:rsid w:val="000E68CE"/>
    <w:rsid w:val="000F4F4F"/>
    <w:rsid w:val="001004D5"/>
    <w:rsid w:val="001014E0"/>
    <w:rsid w:val="00107ED9"/>
    <w:rsid w:val="00111469"/>
    <w:rsid w:val="0012032F"/>
    <w:rsid w:val="00120BC8"/>
    <w:rsid w:val="00122813"/>
    <w:rsid w:val="00123728"/>
    <w:rsid w:val="00123E02"/>
    <w:rsid w:val="001241CE"/>
    <w:rsid w:val="00127F2E"/>
    <w:rsid w:val="0013038A"/>
    <w:rsid w:val="00132581"/>
    <w:rsid w:val="00134304"/>
    <w:rsid w:val="00135B84"/>
    <w:rsid w:val="001363DD"/>
    <w:rsid w:val="001366A1"/>
    <w:rsid w:val="00136870"/>
    <w:rsid w:val="00137B49"/>
    <w:rsid w:val="00137DA0"/>
    <w:rsid w:val="0014085F"/>
    <w:rsid w:val="00141FAE"/>
    <w:rsid w:val="00142DD3"/>
    <w:rsid w:val="00142DE2"/>
    <w:rsid w:val="001456C6"/>
    <w:rsid w:val="00145D94"/>
    <w:rsid w:val="00146307"/>
    <w:rsid w:val="0014657B"/>
    <w:rsid w:val="0014791A"/>
    <w:rsid w:val="001510A5"/>
    <w:rsid w:val="00151B30"/>
    <w:rsid w:val="00152109"/>
    <w:rsid w:val="00152258"/>
    <w:rsid w:val="00152DA9"/>
    <w:rsid w:val="00165BDF"/>
    <w:rsid w:val="001671BB"/>
    <w:rsid w:val="0017114B"/>
    <w:rsid w:val="0017231E"/>
    <w:rsid w:val="00173A46"/>
    <w:rsid w:val="0017620D"/>
    <w:rsid w:val="00176D67"/>
    <w:rsid w:val="00184909"/>
    <w:rsid w:val="001867A6"/>
    <w:rsid w:val="0018788A"/>
    <w:rsid w:val="00191445"/>
    <w:rsid w:val="00194741"/>
    <w:rsid w:val="001973E7"/>
    <w:rsid w:val="001A2253"/>
    <w:rsid w:val="001A4181"/>
    <w:rsid w:val="001A49FA"/>
    <w:rsid w:val="001A529D"/>
    <w:rsid w:val="001A54AC"/>
    <w:rsid w:val="001A5C3B"/>
    <w:rsid w:val="001A7FFE"/>
    <w:rsid w:val="001B045C"/>
    <w:rsid w:val="001B7083"/>
    <w:rsid w:val="001B779B"/>
    <w:rsid w:val="001C31B2"/>
    <w:rsid w:val="001D0133"/>
    <w:rsid w:val="001D1B66"/>
    <w:rsid w:val="001D2290"/>
    <w:rsid w:val="001D52EE"/>
    <w:rsid w:val="001D7501"/>
    <w:rsid w:val="001E00CE"/>
    <w:rsid w:val="001E405B"/>
    <w:rsid w:val="001E41FF"/>
    <w:rsid w:val="001E4E2E"/>
    <w:rsid w:val="001E587D"/>
    <w:rsid w:val="001E655C"/>
    <w:rsid w:val="001E6A5D"/>
    <w:rsid w:val="001E7B8D"/>
    <w:rsid w:val="001F076C"/>
    <w:rsid w:val="001F2820"/>
    <w:rsid w:val="001F2C45"/>
    <w:rsid w:val="001F2F6B"/>
    <w:rsid w:val="001F3795"/>
    <w:rsid w:val="001F5AFB"/>
    <w:rsid w:val="001F625F"/>
    <w:rsid w:val="0020013A"/>
    <w:rsid w:val="00200213"/>
    <w:rsid w:val="00207164"/>
    <w:rsid w:val="002135D7"/>
    <w:rsid w:val="0021746A"/>
    <w:rsid w:val="002174EC"/>
    <w:rsid w:val="002215E1"/>
    <w:rsid w:val="00222720"/>
    <w:rsid w:val="00225BF7"/>
    <w:rsid w:val="00230870"/>
    <w:rsid w:val="00230C3F"/>
    <w:rsid w:val="00231052"/>
    <w:rsid w:val="002317D4"/>
    <w:rsid w:val="0023353E"/>
    <w:rsid w:val="002379B4"/>
    <w:rsid w:val="00245F6C"/>
    <w:rsid w:val="00247330"/>
    <w:rsid w:val="00250731"/>
    <w:rsid w:val="0025075D"/>
    <w:rsid w:val="00250CD1"/>
    <w:rsid w:val="0025240D"/>
    <w:rsid w:val="00252D04"/>
    <w:rsid w:val="002535CE"/>
    <w:rsid w:val="00256231"/>
    <w:rsid w:val="002603B4"/>
    <w:rsid w:val="00261F60"/>
    <w:rsid w:val="00263885"/>
    <w:rsid w:val="0026457A"/>
    <w:rsid w:val="0026490F"/>
    <w:rsid w:val="00264E1B"/>
    <w:rsid w:val="00265734"/>
    <w:rsid w:val="00265CDC"/>
    <w:rsid w:val="00270D96"/>
    <w:rsid w:val="00271E9B"/>
    <w:rsid w:val="00271EBF"/>
    <w:rsid w:val="00275CE1"/>
    <w:rsid w:val="00277D67"/>
    <w:rsid w:val="002807B4"/>
    <w:rsid w:val="002819F5"/>
    <w:rsid w:val="00282429"/>
    <w:rsid w:val="002825DB"/>
    <w:rsid w:val="002827FE"/>
    <w:rsid w:val="002829E6"/>
    <w:rsid w:val="00282DBC"/>
    <w:rsid w:val="002848A0"/>
    <w:rsid w:val="00284AF9"/>
    <w:rsid w:val="0028646E"/>
    <w:rsid w:val="00287398"/>
    <w:rsid w:val="002930F1"/>
    <w:rsid w:val="00293EB0"/>
    <w:rsid w:val="00294285"/>
    <w:rsid w:val="00294A5A"/>
    <w:rsid w:val="00296432"/>
    <w:rsid w:val="00297D8F"/>
    <w:rsid w:val="002A2342"/>
    <w:rsid w:val="002A7934"/>
    <w:rsid w:val="002B00CA"/>
    <w:rsid w:val="002B01A0"/>
    <w:rsid w:val="002B1A62"/>
    <w:rsid w:val="002B3FBC"/>
    <w:rsid w:val="002B4468"/>
    <w:rsid w:val="002B559C"/>
    <w:rsid w:val="002B56A1"/>
    <w:rsid w:val="002C22AB"/>
    <w:rsid w:val="002C4E62"/>
    <w:rsid w:val="002C7DDB"/>
    <w:rsid w:val="002D2AFB"/>
    <w:rsid w:val="002D651E"/>
    <w:rsid w:val="002D653D"/>
    <w:rsid w:val="002D6B5E"/>
    <w:rsid w:val="002D753C"/>
    <w:rsid w:val="002E543F"/>
    <w:rsid w:val="002E6F62"/>
    <w:rsid w:val="002F186C"/>
    <w:rsid w:val="002F74CB"/>
    <w:rsid w:val="002F7815"/>
    <w:rsid w:val="00300790"/>
    <w:rsid w:val="00300F46"/>
    <w:rsid w:val="003029F7"/>
    <w:rsid w:val="00303D29"/>
    <w:rsid w:val="003041D7"/>
    <w:rsid w:val="0030603F"/>
    <w:rsid w:val="00307F1B"/>
    <w:rsid w:val="00310608"/>
    <w:rsid w:val="00310AA1"/>
    <w:rsid w:val="00310C2B"/>
    <w:rsid w:val="00310D77"/>
    <w:rsid w:val="00315BBC"/>
    <w:rsid w:val="00321CEA"/>
    <w:rsid w:val="00321F84"/>
    <w:rsid w:val="00322FE1"/>
    <w:rsid w:val="00323C8F"/>
    <w:rsid w:val="00323F22"/>
    <w:rsid w:val="00324B9E"/>
    <w:rsid w:val="003251CA"/>
    <w:rsid w:val="00326BC1"/>
    <w:rsid w:val="00327B0D"/>
    <w:rsid w:val="00327FD1"/>
    <w:rsid w:val="00330A7F"/>
    <w:rsid w:val="003311DC"/>
    <w:rsid w:val="0033146F"/>
    <w:rsid w:val="003335CF"/>
    <w:rsid w:val="00333E48"/>
    <w:rsid w:val="00337B8C"/>
    <w:rsid w:val="00340CC8"/>
    <w:rsid w:val="003439F5"/>
    <w:rsid w:val="003476A9"/>
    <w:rsid w:val="00350CCD"/>
    <w:rsid w:val="00351CE0"/>
    <w:rsid w:val="00351E0C"/>
    <w:rsid w:val="0035563D"/>
    <w:rsid w:val="00356814"/>
    <w:rsid w:val="00360E5F"/>
    <w:rsid w:val="00361E60"/>
    <w:rsid w:val="003623E9"/>
    <w:rsid w:val="00362591"/>
    <w:rsid w:val="00362653"/>
    <w:rsid w:val="0036590D"/>
    <w:rsid w:val="003659E3"/>
    <w:rsid w:val="00370222"/>
    <w:rsid w:val="00370484"/>
    <w:rsid w:val="00372580"/>
    <w:rsid w:val="00373CBE"/>
    <w:rsid w:val="00374089"/>
    <w:rsid w:val="003745FD"/>
    <w:rsid w:val="00375A78"/>
    <w:rsid w:val="0038191E"/>
    <w:rsid w:val="003825E4"/>
    <w:rsid w:val="00386336"/>
    <w:rsid w:val="003869F2"/>
    <w:rsid w:val="003A0914"/>
    <w:rsid w:val="003A361F"/>
    <w:rsid w:val="003A3863"/>
    <w:rsid w:val="003A487E"/>
    <w:rsid w:val="003B39ED"/>
    <w:rsid w:val="003B524F"/>
    <w:rsid w:val="003C0DBF"/>
    <w:rsid w:val="003C1981"/>
    <w:rsid w:val="003C20E4"/>
    <w:rsid w:val="003C39B2"/>
    <w:rsid w:val="003C4B51"/>
    <w:rsid w:val="003C6F10"/>
    <w:rsid w:val="003D36C1"/>
    <w:rsid w:val="003D5AE9"/>
    <w:rsid w:val="003D73B9"/>
    <w:rsid w:val="003D79AA"/>
    <w:rsid w:val="003D7E83"/>
    <w:rsid w:val="003E183C"/>
    <w:rsid w:val="003E2078"/>
    <w:rsid w:val="003E33D1"/>
    <w:rsid w:val="003E7938"/>
    <w:rsid w:val="003F0D0D"/>
    <w:rsid w:val="003F66BD"/>
    <w:rsid w:val="003F6DCC"/>
    <w:rsid w:val="003F723B"/>
    <w:rsid w:val="004007FF"/>
    <w:rsid w:val="00401B75"/>
    <w:rsid w:val="00402B47"/>
    <w:rsid w:val="0040740E"/>
    <w:rsid w:val="0041032A"/>
    <w:rsid w:val="00411447"/>
    <w:rsid w:val="0041155B"/>
    <w:rsid w:val="0041295F"/>
    <w:rsid w:val="00416698"/>
    <w:rsid w:val="00416D8B"/>
    <w:rsid w:val="00417E02"/>
    <w:rsid w:val="00417F79"/>
    <w:rsid w:val="00422498"/>
    <w:rsid w:val="0042597D"/>
    <w:rsid w:val="0043698D"/>
    <w:rsid w:val="00437603"/>
    <w:rsid w:val="00437B8D"/>
    <w:rsid w:val="00437E4F"/>
    <w:rsid w:val="00440D28"/>
    <w:rsid w:val="00441498"/>
    <w:rsid w:val="0044186C"/>
    <w:rsid w:val="00442726"/>
    <w:rsid w:val="00443794"/>
    <w:rsid w:val="00446449"/>
    <w:rsid w:val="00446B11"/>
    <w:rsid w:val="00446EFB"/>
    <w:rsid w:val="00447974"/>
    <w:rsid w:val="004479E4"/>
    <w:rsid w:val="004533A3"/>
    <w:rsid w:val="004554FC"/>
    <w:rsid w:val="00465C3F"/>
    <w:rsid w:val="004701EE"/>
    <w:rsid w:val="00471552"/>
    <w:rsid w:val="0047361E"/>
    <w:rsid w:val="00475B49"/>
    <w:rsid w:val="00477159"/>
    <w:rsid w:val="00480A8D"/>
    <w:rsid w:val="00481287"/>
    <w:rsid w:val="00481FB9"/>
    <w:rsid w:val="00485800"/>
    <w:rsid w:val="00490A12"/>
    <w:rsid w:val="00490C8E"/>
    <w:rsid w:val="00492119"/>
    <w:rsid w:val="0049229A"/>
    <w:rsid w:val="0049257F"/>
    <w:rsid w:val="004944FA"/>
    <w:rsid w:val="00495D71"/>
    <w:rsid w:val="00495F7E"/>
    <w:rsid w:val="0049637D"/>
    <w:rsid w:val="004A0632"/>
    <w:rsid w:val="004A2A2D"/>
    <w:rsid w:val="004A2F36"/>
    <w:rsid w:val="004A326F"/>
    <w:rsid w:val="004A34B3"/>
    <w:rsid w:val="004A3A53"/>
    <w:rsid w:val="004A5C84"/>
    <w:rsid w:val="004B15BD"/>
    <w:rsid w:val="004B248F"/>
    <w:rsid w:val="004B342C"/>
    <w:rsid w:val="004B39E1"/>
    <w:rsid w:val="004B58B1"/>
    <w:rsid w:val="004B7CAE"/>
    <w:rsid w:val="004C0077"/>
    <w:rsid w:val="004C3011"/>
    <w:rsid w:val="004C4A1B"/>
    <w:rsid w:val="004C51CB"/>
    <w:rsid w:val="004C789D"/>
    <w:rsid w:val="004D0D76"/>
    <w:rsid w:val="004D22C5"/>
    <w:rsid w:val="004D2771"/>
    <w:rsid w:val="004D2A0A"/>
    <w:rsid w:val="004D4D44"/>
    <w:rsid w:val="004D54DF"/>
    <w:rsid w:val="004E048F"/>
    <w:rsid w:val="004E2377"/>
    <w:rsid w:val="004E2842"/>
    <w:rsid w:val="004E4524"/>
    <w:rsid w:val="004E4B87"/>
    <w:rsid w:val="004F4C9D"/>
    <w:rsid w:val="004F6C19"/>
    <w:rsid w:val="004F6CBE"/>
    <w:rsid w:val="004F7A43"/>
    <w:rsid w:val="00501926"/>
    <w:rsid w:val="005034DC"/>
    <w:rsid w:val="00504354"/>
    <w:rsid w:val="00506564"/>
    <w:rsid w:val="005131D5"/>
    <w:rsid w:val="00513E83"/>
    <w:rsid w:val="00517475"/>
    <w:rsid w:val="005203F3"/>
    <w:rsid w:val="00523156"/>
    <w:rsid w:val="00524B2F"/>
    <w:rsid w:val="00524D3A"/>
    <w:rsid w:val="00524EDA"/>
    <w:rsid w:val="00525AC3"/>
    <w:rsid w:val="00527DAC"/>
    <w:rsid w:val="0053039E"/>
    <w:rsid w:val="00532ED9"/>
    <w:rsid w:val="00534EC1"/>
    <w:rsid w:val="00537248"/>
    <w:rsid w:val="00542489"/>
    <w:rsid w:val="00544FC4"/>
    <w:rsid w:val="00550F01"/>
    <w:rsid w:val="0055269D"/>
    <w:rsid w:val="005567CA"/>
    <w:rsid w:val="00556FB1"/>
    <w:rsid w:val="005573E4"/>
    <w:rsid w:val="00564EB1"/>
    <w:rsid w:val="00564FD8"/>
    <w:rsid w:val="0056796E"/>
    <w:rsid w:val="00567D34"/>
    <w:rsid w:val="00572120"/>
    <w:rsid w:val="00573E34"/>
    <w:rsid w:val="00574043"/>
    <w:rsid w:val="00575E77"/>
    <w:rsid w:val="0058263E"/>
    <w:rsid w:val="005842D3"/>
    <w:rsid w:val="00585048"/>
    <w:rsid w:val="00586BE6"/>
    <w:rsid w:val="00590C75"/>
    <w:rsid w:val="00590DBC"/>
    <w:rsid w:val="0059455C"/>
    <w:rsid w:val="00594B4B"/>
    <w:rsid w:val="00595A79"/>
    <w:rsid w:val="0059657C"/>
    <w:rsid w:val="005972E6"/>
    <w:rsid w:val="005A0DC6"/>
    <w:rsid w:val="005A1314"/>
    <w:rsid w:val="005A1E04"/>
    <w:rsid w:val="005A206E"/>
    <w:rsid w:val="005A2459"/>
    <w:rsid w:val="005A2C98"/>
    <w:rsid w:val="005A6D53"/>
    <w:rsid w:val="005B019E"/>
    <w:rsid w:val="005B189A"/>
    <w:rsid w:val="005B3C59"/>
    <w:rsid w:val="005B58B9"/>
    <w:rsid w:val="005B6492"/>
    <w:rsid w:val="005B689B"/>
    <w:rsid w:val="005B7A02"/>
    <w:rsid w:val="005C0058"/>
    <w:rsid w:val="005C00F8"/>
    <w:rsid w:val="005C184E"/>
    <w:rsid w:val="005C4719"/>
    <w:rsid w:val="005C4866"/>
    <w:rsid w:val="005C5849"/>
    <w:rsid w:val="005D1E1E"/>
    <w:rsid w:val="005D1F07"/>
    <w:rsid w:val="005D3117"/>
    <w:rsid w:val="005D320D"/>
    <w:rsid w:val="005D4062"/>
    <w:rsid w:val="005D7F2D"/>
    <w:rsid w:val="005E161B"/>
    <w:rsid w:val="005E2605"/>
    <w:rsid w:val="005E2B9D"/>
    <w:rsid w:val="005E334A"/>
    <w:rsid w:val="005E3627"/>
    <w:rsid w:val="005E3D34"/>
    <w:rsid w:val="005F328E"/>
    <w:rsid w:val="005F6BBA"/>
    <w:rsid w:val="005F7016"/>
    <w:rsid w:val="005F7544"/>
    <w:rsid w:val="00605416"/>
    <w:rsid w:val="00606EDD"/>
    <w:rsid w:val="00610451"/>
    <w:rsid w:val="00611774"/>
    <w:rsid w:val="006122C8"/>
    <w:rsid w:val="0061263C"/>
    <w:rsid w:val="00612955"/>
    <w:rsid w:val="00612F5B"/>
    <w:rsid w:val="00613947"/>
    <w:rsid w:val="00613A7F"/>
    <w:rsid w:val="00614346"/>
    <w:rsid w:val="006239C6"/>
    <w:rsid w:val="0063128F"/>
    <w:rsid w:val="00631FEC"/>
    <w:rsid w:val="00632A52"/>
    <w:rsid w:val="00635096"/>
    <w:rsid w:val="00635152"/>
    <w:rsid w:val="00641AF3"/>
    <w:rsid w:val="006424EE"/>
    <w:rsid w:val="00643166"/>
    <w:rsid w:val="00643C28"/>
    <w:rsid w:val="00650155"/>
    <w:rsid w:val="00651A57"/>
    <w:rsid w:val="00652110"/>
    <w:rsid w:val="00653021"/>
    <w:rsid w:val="0065488E"/>
    <w:rsid w:val="00654B51"/>
    <w:rsid w:val="00654EA6"/>
    <w:rsid w:val="00655256"/>
    <w:rsid w:val="00655D91"/>
    <w:rsid w:val="00657ED6"/>
    <w:rsid w:val="0066145F"/>
    <w:rsid w:val="00661AC0"/>
    <w:rsid w:val="0066497D"/>
    <w:rsid w:val="00664F4F"/>
    <w:rsid w:val="0066605A"/>
    <w:rsid w:val="00666E86"/>
    <w:rsid w:val="00667DDF"/>
    <w:rsid w:val="00680C1C"/>
    <w:rsid w:val="0068109C"/>
    <w:rsid w:val="006818C5"/>
    <w:rsid w:val="00682A49"/>
    <w:rsid w:val="00684E5C"/>
    <w:rsid w:val="00687975"/>
    <w:rsid w:val="00696CA7"/>
    <w:rsid w:val="006975B2"/>
    <w:rsid w:val="006A1964"/>
    <w:rsid w:val="006A2DE2"/>
    <w:rsid w:val="006A2EE9"/>
    <w:rsid w:val="006A6655"/>
    <w:rsid w:val="006A736E"/>
    <w:rsid w:val="006B0120"/>
    <w:rsid w:val="006B2686"/>
    <w:rsid w:val="006B293D"/>
    <w:rsid w:val="006B3206"/>
    <w:rsid w:val="006C0C79"/>
    <w:rsid w:val="006D1A05"/>
    <w:rsid w:val="006D4FC8"/>
    <w:rsid w:val="006E198E"/>
    <w:rsid w:val="006E245B"/>
    <w:rsid w:val="006E2786"/>
    <w:rsid w:val="006E538C"/>
    <w:rsid w:val="006E7878"/>
    <w:rsid w:val="006E7C0F"/>
    <w:rsid w:val="006F1E22"/>
    <w:rsid w:val="006F348B"/>
    <w:rsid w:val="006F4A61"/>
    <w:rsid w:val="006F556E"/>
    <w:rsid w:val="006F653E"/>
    <w:rsid w:val="006F779C"/>
    <w:rsid w:val="00702C08"/>
    <w:rsid w:val="00703731"/>
    <w:rsid w:val="0071134C"/>
    <w:rsid w:val="0071205C"/>
    <w:rsid w:val="00714D53"/>
    <w:rsid w:val="0071561B"/>
    <w:rsid w:val="0072621A"/>
    <w:rsid w:val="00727907"/>
    <w:rsid w:val="007345F4"/>
    <w:rsid w:val="00735E77"/>
    <w:rsid w:val="0073694C"/>
    <w:rsid w:val="00736D93"/>
    <w:rsid w:val="00740336"/>
    <w:rsid w:val="0074039B"/>
    <w:rsid w:val="00743F34"/>
    <w:rsid w:val="0074520F"/>
    <w:rsid w:val="0074747A"/>
    <w:rsid w:val="0075018F"/>
    <w:rsid w:val="00753B0F"/>
    <w:rsid w:val="0076064E"/>
    <w:rsid w:val="00761EEF"/>
    <w:rsid w:val="00762D99"/>
    <w:rsid w:val="007642AC"/>
    <w:rsid w:val="00764A5E"/>
    <w:rsid w:val="0076622F"/>
    <w:rsid w:val="00766465"/>
    <w:rsid w:val="007724D6"/>
    <w:rsid w:val="0077288B"/>
    <w:rsid w:val="007743DF"/>
    <w:rsid w:val="00780CC8"/>
    <w:rsid w:val="00783F66"/>
    <w:rsid w:val="00784FA6"/>
    <w:rsid w:val="007862A3"/>
    <w:rsid w:val="00786412"/>
    <w:rsid w:val="00790551"/>
    <w:rsid w:val="00791167"/>
    <w:rsid w:val="00792027"/>
    <w:rsid w:val="0079420E"/>
    <w:rsid w:val="007957D9"/>
    <w:rsid w:val="00796FFF"/>
    <w:rsid w:val="007A115E"/>
    <w:rsid w:val="007A1F8F"/>
    <w:rsid w:val="007A1FC3"/>
    <w:rsid w:val="007A74D0"/>
    <w:rsid w:val="007B1C43"/>
    <w:rsid w:val="007B2C93"/>
    <w:rsid w:val="007B3831"/>
    <w:rsid w:val="007B4556"/>
    <w:rsid w:val="007B5768"/>
    <w:rsid w:val="007B6E90"/>
    <w:rsid w:val="007B7B1E"/>
    <w:rsid w:val="007C45CF"/>
    <w:rsid w:val="007C77BC"/>
    <w:rsid w:val="007D0047"/>
    <w:rsid w:val="007D07F7"/>
    <w:rsid w:val="007D225D"/>
    <w:rsid w:val="007D43F9"/>
    <w:rsid w:val="007E16AC"/>
    <w:rsid w:val="007F5E0D"/>
    <w:rsid w:val="007F6F0E"/>
    <w:rsid w:val="007F7C78"/>
    <w:rsid w:val="0080328E"/>
    <w:rsid w:val="00803E5C"/>
    <w:rsid w:val="0080558A"/>
    <w:rsid w:val="008061C2"/>
    <w:rsid w:val="008061FB"/>
    <w:rsid w:val="00806B01"/>
    <w:rsid w:val="008100A8"/>
    <w:rsid w:val="00811103"/>
    <w:rsid w:val="0081252A"/>
    <w:rsid w:val="0081600F"/>
    <w:rsid w:val="00820074"/>
    <w:rsid w:val="00820DA3"/>
    <w:rsid w:val="0082241D"/>
    <w:rsid w:val="00822E17"/>
    <w:rsid w:val="00822F01"/>
    <w:rsid w:val="00823C2C"/>
    <w:rsid w:val="00825E50"/>
    <w:rsid w:val="00825EBC"/>
    <w:rsid w:val="0082721D"/>
    <w:rsid w:val="008314D8"/>
    <w:rsid w:val="0083222F"/>
    <w:rsid w:val="00832CD9"/>
    <w:rsid w:val="00833698"/>
    <w:rsid w:val="00833D45"/>
    <w:rsid w:val="0083754E"/>
    <w:rsid w:val="00843D79"/>
    <w:rsid w:val="0084580A"/>
    <w:rsid w:val="008476DE"/>
    <w:rsid w:val="00852418"/>
    <w:rsid w:val="00854952"/>
    <w:rsid w:val="008565B9"/>
    <w:rsid w:val="00856EA9"/>
    <w:rsid w:val="008626F3"/>
    <w:rsid w:val="00863FDD"/>
    <w:rsid w:val="00865BDA"/>
    <w:rsid w:val="00866642"/>
    <w:rsid w:val="00870226"/>
    <w:rsid w:val="00870C9A"/>
    <w:rsid w:val="00871EA1"/>
    <w:rsid w:val="00873A85"/>
    <w:rsid w:val="00874541"/>
    <w:rsid w:val="008773B2"/>
    <w:rsid w:val="0087753D"/>
    <w:rsid w:val="00880C19"/>
    <w:rsid w:val="00882591"/>
    <w:rsid w:val="00885C5C"/>
    <w:rsid w:val="008863D9"/>
    <w:rsid w:val="00887F72"/>
    <w:rsid w:val="008902F6"/>
    <w:rsid w:val="00890CAD"/>
    <w:rsid w:val="008914DC"/>
    <w:rsid w:val="008929E5"/>
    <w:rsid w:val="00892A38"/>
    <w:rsid w:val="00892AB5"/>
    <w:rsid w:val="00894948"/>
    <w:rsid w:val="00896D77"/>
    <w:rsid w:val="00896FCB"/>
    <w:rsid w:val="0089756B"/>
    <w:rsid w:val="008A0D13"/>
    <w:rsid w:val="008A0F6F"/>
    <w:rsid w:val="008A134E"/>
    <w:rsid w:val="008A1B88"/>
    <w:rsid w:val="008A4AD2"/>
    <w:rsid w:val="008A4CA4"/>
    <w:rsid w:val="008A4E74"/>
    <w:rsid w:val="008A51E6"/>
    <w:rsid w:val="008A64E1"/>
    <w:rsid w:val="008B0C8A"/>
    <w:rsid w:val="008B27B6"/>
    <w:rsid w:val="008B2D6A"/>
    <w:rsid w:val="008B6EB4"/>
    <w:rsid w:val="008B7EBB"/>
    <w:rsid w:val="008C08C9"/>
    <w:rsid w:val="008C2C9C"/>
    <w:rsid w:val="008C3863"/>
    <w:rsid w:val="008D3219"/>
    <w:rsid w:val="008D5106"/>
    <w:rsid w:val="008D5152"/>
    <w:rsid w:val="008D5A99"/>
    <w:rsid w:val="008E019A"/>
    <w:rsid w:val="008E0581"/>
    <w:rsid w:val="008E19AE"/>
    <w:rsid w:val="008E28B0"/>
    <w:rsid w:val="008E2B05"/>
    <w:rsid w:val="008E2C12"/>
    <w:rsid w:val="008E2CB6"/>
    <w:rsid w:val="008E48C3"/>
    <w:rsid w:val="008E4B59"/>
    <w:rsid w:val="008F00EF"/>
    <w:rsid w:val="008F0C6B"/>
    <w:rsid w:val="008F3712"/>
    <w:rsid w:val="008F41AF"/>
    <w:rsid w:val="008F4C9D"/>
    <w:rsid w:val="008F5EC9"/>
    <w:rsid w:val="009007BC"/>
    <w:rsid w:val="009021C4"/>
    <w:rsid w:val="009035F9"/>
    <w:rsid w:val="0090435E"/>
    <w:rsid w:val="00904E62"/>
    <w:rsid w:val="00905181"/>
    <w:rsid w:val="0090573B"/>
    <w:rsid w:val="00911645"/>
    <w:rsid w:val="00912DAB"/>
    <w:rsid w:val="00912F1C"/>
    <w:rsid w:val="00913D83"/>
    <w:rsid w:val="00915B7C"/>
    <w:rsid w:val="0091647E"/>
    <w:rsid w:val="00916C4D"/>
    <w:rsid w:val="00921073"/>
    <w:rsid w:val="00921C75"/>
    <w:rsid w:val="00922049"/>
    <w:rsid w:val="00922C0D"/>
    <w:rsid w:val="00925C2C"/>
    <w:rsid w:val="00926157"/>
    <w:rsid w:val="009261CF"/>
    <w:rsid w:val="00930AC2"/>
    <w:rsid w:val="00931B4B"/>
    <w:rsid w:val="009325A9"/>
    <w:rsid w:val="009336C1"/>
    <w:rsid w:val="00935461"/>
    <w:rsid w:val="00943F55"/>
    <w:rsid w:val="009459E3"/>
    <w:rsid w:val="00946B4D"/>
    <w:rsid w:val="00950B9A"/>
    <w:rsid w:val="00955283"/>
    <w:rsid w:val="00956C47"/>
    <w:rsid w:val="00962316"/>
    <w:rsid w:val="009635D4"/>
    <w:rsid w:val="00963E34"/>
    <w:rsid w:val="00963EB6"/>
    <w:rsid w:val="009652C3"/>
    <w:rsid w:val="009671CA"/>
    <w:rsid w:val="00981D2A"/>
    <w:rsid w:val="0098230E"/>
    <w:rsid w:val="00983AB7"/>
    <w:rsid w:val="00983BC4"/>
    <w:rsid w:val="0098690B"/>
    <w:rsid w:val="0098724A"/>
    <w:rsid w:val="00990EA2"/>
    <w:rsid w:val="0099233E"/>
    <w:rsid w:val="00992624"/>
    <w:rsid w:val="0099303F"/>
    <w:rsid w:val="009954CC"/>
    <w:rsid w:val="0099577A"/>
    <w:rsid w:val="00995DDC"/>
    <w:rsid w:val="009A47F9"/>
    <w:rsid w:val="009B0D5C"/>
    <w:rsid w:val="009B3BA2"/>
    <w:rsid w:val="009B41EA"/>
    <w:rsid w:val="009B7032"/>
    <w:rsid w:val="009B7755"/>
    <w:rsid w:val="009C0352"/>
    <w:rsid w:val="009C1114"/>
    <w:rsid w:val="009C179B"/>
    <w:rsid w:val="009C1C14"/>
    <w:rsid w:val="009C290A"/>
    <w:rsid w:val="009C376C"/>
    <w:rsid w:val="009C4870"/>
    <w:rsid w:val="009C5F75"/>
    <w:rsid w:val="009D1A7B"/>
    <w:rsid w:val="009D6CA9"/>
    <w:rsid w:val="009E3482"/>
    <w:rsid w:val="009E54F3"/>
    <w:rsid w:val="009E6EA7"/>
    <w:rsid w:val="009E73A4"/>
    <w:rsid w:val="009F2848"/>
    <w:rsid w:val="009F36D0"/>
    <w:rsid w:val="009F69FF"/>
    <w:rsid w:val="00A00234"/>
    <w:rsid w:val="00A01727"/>
    <w:rsid w:val="00A061FB"/>
    <w:rsid w:val="00A12EFC"/>
    <w:rsid w:val="00A12F40"/>
    <w:rsid w:val="00A14304"/>
    <w:rsid w:val="00A150DB"/>
    <w:rsid w:val="00A15760"/>
    <w:rsid w:val="00A161F5"/>
    <w:rsid w:val="00A22373"/>
    <w:rsid w:val="00A24C39"/>
    <w:rsid w:val="00A27B93"/>
    <w:rsid w:val="00A3046A"/>
    <w:rsid w:val="00A32476"/>
    <w:rsid w:val="00A33573"/>
    <w:rsid w:val="00A40097"/>
    <w:rsid w:val="00A40774"/>
    <w:rsid w:val="00A411AA"/>
    <w:rsid w:val="00A44DD2"/>
    <w:rsid w:val="00A51A7A"/>
    <w:rsid w:val="00A51ACE"/>
    <w:rsid w:val="00A5447B"/>
    <w:rsid w:val="00A5489D"/>
    <w:rsid w:val="00A54FA0"/>
    <w:rsid w:val="00A56B90"/>
    <w:rsid w:val="00A629F8"/>
    <w:rsid w:val="00A62B92"/>
    <w:rsid w:val="00A73029"/>
    <w:rsid w:val="00A806C6"/>
    <w:rsid w:val="00A81727"/>
    <w:rsid w:val="00A829A0"/>
    <w:rsid w:val="00A84FDD"/>
    <w:rsid w:val="00A85512"/>
    <w:rsid w:val="00A85CB0"/>
    <w:rsid w:val="00A86B75"/>
    <w:rsid w:val="00A87883"/>
    <w:rsid w:val="00A90759"/>
    <w:rsid w:val="00A925DA"/>
    <w:rsid w:val="00A93547"/>
    <w:rsid w:val="00A940C3"/>
    <w:rsid w:val="00A947B4"/>
    <w:rsid w:val="00A94DC2"/>
    <w:rsid w:val="00A95835"/>
    <w:rsid w:val="00A96B21"/>
    <w:rsid w:val="00AA077E"/>
    <w:rsid w:val="00AA0D76"/>
    <w:rsid w:val="00AA16AB"/>
    <w:rsid w:val="00AA377D"/>
    <w:rsid w:val="00AA4E30"/>
    <w:rsid w:val="00AA6BC6"/>
    <w:rsid w:val="00AA7FD3"/>
    <w:rsid w:val="00AB50FF"/>
    <w:rsid w:val="00AB7038"/>
    <w:rsid w:val="00AB763A"/>
    <w:rsid w:val="00AB7B7A"/>
    <w:rsid w:val="00AB7BEC"/>
    <w:rsid w:val="00AC0F0D"/>
    <w:rsid w:val="00AC15C3"/>
    <w:rsid w:val="00AC1DF0"/>
    <w:rsid w:val="00AC2169"/>
    <w:rsid w:val="00AC2C54"/>
    <w:rsid w:val="00AC3536"/>
    <w:rsid w:val="00AC4D6F"/>
    <w:rsid w:val="00AC5E8A"/>
    <w:rsid w:val="00AC710C"/>
    <w:rsid w:val="00AD2E2A"/>
    <w:rsid w:val="00AD347E"/>
    <w:rsid w:val="00AD34F7"/>
    <w:rsid w:val="00AD64DE"/>
    <w:rsid w:val="00AD68C1"/>
    <w:rsid w:val="00AE1A95"/>
    <w:rsid w:val="00AE1D95"/>
    <w:rsid w:val="00AE4AC7"/>
    <w:rsid w:val="00AE51A1"/>
    <w:rsid w:val="00AE72B4"/>
    <w:rsid w:val="00AF09B7"/>
    <w:rsid w:val="00AF1794"/>
    <w:rsid w:val="00AF3D46"/>
    <w:rsid w:val="00AF43C8"/>
    <w:rsid w:val="00B01D4A"/>
    <w:rsid w:val="00B025E4"/>
    <w:rsid w:val="00B061D7"/>
    <w:rsid w:val="00B071EF"/>
    <w:rsid w:val="00B0751A"/>
    <w:rsid w:val="00B07FAF"/>
    <w:rsid w:val="00B119F3"/>
    <w:rsid w:val="00B13078"/>
    <w:rsid w:val="00B1495D"/>
    <w:rsid w:val="00B16C24"/>
    <w:rsid w:val="00B207EE"/>
    <w:rsid w:val="00B2092C"/>
    <w:rsid w:val="00B22AAC"/>
    <w:rsid w:val="00B2358E"/>
    <w:rsid w:val="00B23E09"/>
    <w:rsid w:val="00B317E5"/>
    <w:rsid w:val="00B32945"/>
    <w:rsid w:val="00B33608"/>
    <w:rsid w:val="00B345B2"/>
    <w:rsid w:val="00B35600"/>
    <w:rsid w:val="00B3649A"/>
    <w:rsid w:val="00B36671"/>
    <w:rsid w:val="00B36EA9"/>
    <w:rsid w:val="00B43352"/>
    <w:rsid w:val="00B45888"/>
    <w:rsid w:val="00B47BB1"/>
    <w:rsid w:val="00B54DC2"/>
    <w:rsid w:val="00B569A9"/>
    <w:rsid w:val="00B56FB2"/>
    <w:rsid w:val="00B579FD"/>
    <w:rsid w:val="00B6057A"/>
    <w:rsid w:val="00B63AAE"/>
    <w:rsid w:val="00B65FE2"/>
    <w:rsid w:val="00B66D44"/>
    <w:rsid w:val="00B67829"/>
    <w:rsid w:val="00B75190"/>
    <w:rsid w:val="00B80C14"/>
    <w:rsid w:val="00B816D5"/>
    <w:rsid w:val="00B86298"/>
    <w:rsid w:val="00B86AC5"/>
    <w:rsid w:val="00B86CF5"/>
    <w:rsid w:val="00B87D8E"/>
    <w:rsid w:val="00B87F04"/>
    <w:rsid w:val="00B9005D"/>
    <w:rsid w:val="00B915BC"/>
    <w:rsid w:val="00B94367"/>
    <w:rsid w:val="00B94C06"/>
    <w:rsid w:val="00B95FD5"/>
    <w:rsid w:val="00BA00B8"/>
    <w:rsid w:val="00BA27FA"/>
    <w:rsid w:val="00BA377C"/>
    <w:rsid w:val="00BA5B70"/>
    <w:rsid w:val="00BB1FA5"/>
    <w:rsid w:val="00BB2106"/>
    <w:rsid w:val="00BB2AFF"/>
    <w:rsid w:val="00BB39C3"/>
    <w:rsid w:val="00BB55FB"/>
    <w:rsid w:val="00BD03B1"/>
    <w:rsid w:val="00BD06A2"/>
    <w:rsid w:val="00BD20B6"/>
    <w:rsid w:val="00BD285A"/>
    <w:rsid w:val="00BE07A7"/>
    <w:rsid w:val="00BE4586"/>
    <w:rsid w:val="00BE6AB4"/>
    <w:rsid w:val="00BF223A"/>
    <w:rsid w:val="00BF252F"/>
    <w:rsid w:val="00BF4ED2"/>
    <w:rsid w:val="00C008FF"/>
    <w:rsid w:val="00C0446A"/>
    <w:rsid w:val="00C059FB"/>
    <w:rsid w:val="00C11557"/>
    <w:rsid w:val="00C123C5"/>
    <w:rsid w:val="00C17F65"/>
    <w:rsid w:val="00C2354A"/>
    <w:rsid w:val="00C24939"/>
    <w:rsid w:val="00C25CEF"/>
    <w:rsid w:val="00C27887"/>
    <w:rsid w:val="00C31445"/>
    <w:rsid w:val="00C320D4"/>
    <w:rsid w:val="00C32C82"/>
    <w:rsid w:val="00C335F4"/>
    <w:rsid w:val="00C341C9"/>
    <w:rsid w:val="00C357BD"/>
    <w:rsid w:val="00C41484"/>
    <w:rsid w:val="00C41F76"/>
    <w:rsid w:val="00C42402"/>
    <w:rsid w:val="00C43409"/>
    <w:rsid w:val="00C437CB"/>
    <w:rsid w:val="00C46807"/>
    <w:rsid w:val="00C47E14"/>
    <w:rsid w:val="00C52B88"/>
    <w:rsid w:val="00C534E6"/>
    <w:rsid w:val="00C54489"/>
    <w:rsid w:val="00C55D8B"/>
    <w:rsid w:val="00C56B26"/>
    <w:rsid w:val="00C56E41"/>
    <w:rsid w:val="00C609D2"/>
    <w:rsid w:val="00C61217"/>
    <w:rsid w:val="00C629AD"/>
    <w:rsid w:val="00C62FAD"/>
    <w:rsid w:val="00C643DB"/>
    <w:rsid w:val="00C652B3"/>
    <w:rsid w:val="00C653C5"/>
    <w:rsid w:val="00C67549"/>
    <w:rsid w:val="00C71AFB"/>
    <w:rsid w:val="00C72806"/>
    <w:rsid w:val="00C73848"/>
    <w:rsid w:val="00C75831"/>
    <w:rsid w:val="00C77CCE"/>
    <w:rsid w:val="00C86828"/>
    <w:rsid w:val="00C879F0"/>
    <w:rsid w:val="00C92560"/>
    <w:rsid w:val="00C92C7C"/>
    <w:rsid w:val="00C97AD4"/>
    <w:rsid w:val="00C97C97"/>
    <w:rsid w:val="00CA0FB7"/>
    <w:rsid w:val="00CA3323"/>
    <w:rsid w:val="00CA7C58"/>
    <w:rsid w:val="00CB0F94"/>
    <w:rsid w:val="00CB10A1"/>
    <w:rsid w:val="00CB3612"/>
    <w:rsid w:val="00CB44B5"/>
    <w:rsid w:val="00CB5408"/>
    <w:rsid w:val="00CB55C5"/>
    <w:rsid w:val="00CB7D7C"/>
    <w:rsid w:val="00CC164F"/>
    <w:rsid w:val="00CC1D61"/>
    <w:rsid w:val="00CC4030"/>
    <w:rsid w:val="00CC5CAF"/>
    <w:rsid w:val="00CC73C4"/>
    <w:rsid w:val="00CD0FD1"/>
    <w:rsid w:val="00CD15CE"/>
    <w:rsid w:val="00CD18C1"/>
    <w:rsid w:val="00CD2E99"/>
    <w:rsid w:val="00CD45A8"/>
    <w:rsid w:val="00CD5E3E"/>
    <w:rsid w:val="00CE2689"/>
    <w:rsid w:val="00CE3B3C"/>
    <w:rsid w:val="00CE51C5"/>
    <w:rsid w:val="00CE5411"/>
    <w:rsid w:val="00CE5950"/>
    <w:rsid w:val="00CE6FEF"/>
    <w:rsid w:val="00CF0168"/>
    <w:rsid w:val="00CF1DB6"/>
    <w:rsid w:val="00CF2DFC"/>
    <w:rsid w:val="00CF2F38"/>
    <w:rsid w:val="00CF3A85"/>
    <w:rsid w:val="00CF69DA"/>
    <w:rsid w:val="00CF70AB"/>
    <w:rsid w:val="00D0016A"/>
    <w:rsid w:val="00D03AC3"/>
    <w:rsid w:val="00D04306"/>
    <w:rsid w:val="00D06998"/>
    <w:rsid w:val="00D148CD"/>
    <w:rsid w:val="00D14EF8"/>
    <w:rsid w:val="00D205B2"/>
    <w:rsid w:val="00D237E9"/>
    <w:rsid w:val="00D25177"/>
    <w:rsid w:val="00D25CEF"/>
    <w:rsid w:val="00D26AB3"/>
    <w:rsid w:val="00D27BFC"/>
    <w:rsid w:val="00D3059B"/>
    <w:rsid w:val="00D3301F"/>
    <w:rsid w:val="00D3387A"/>
    <w:rsid w:val="00D35322"/>
    <w:rsid w:val="00D36BB0"/>
    <w:rsid w:val="00D4075A"/>
    <w:rsid w:val="00D40FE6"/>
    <w:rsid w:val="00D428E9"/>
    <w:rsid w:val="00D44ABE"/>
    <w:rsid w:val="00D45418"/>
    <w:rsid w:val="00D47F95"/>
    <w:rsid w:val="00D502FF"/>
    <w:rsid w:val="00D507AD"/>
    <w:rsid w:val="00D54FF4"/>
    <w:rsid w:val="00D551BE"/>
    <w:rsid w:val="00D56061"/>
    <w:rsid w:val="00D56B0C"/>
    <w:rsid w:val="00D60046"/>
    <w:rsid w:val="00D6027B"/>
    <w:rsid w:val="00D60BC4"/>
    <w:rsid w:val="00D613A3"/>
    <w:rsid w:val="00D61F06"/>
    <w:rsid w:val="00D64B19"/>
    <w:rsid w:val="00D70377"/>
    <w:rsid w:val="00D71FFB"/>
    <w:rsid w:val="00D73259"/>
    <w:rsid w:val="00D73A32"/>
    <w:rsid w:val="00D74B03"/>
    <w:rsid w:val="00D7657B"/>
    <w:rsid w:val="00D76B35"/>
    <w:rsid w:val="00D7702B"/>
    <w:rsid w:val="00D81832"/>
    <w:rsid w:val="00D83F54"/>
    <w:rsid w:val="00D86271"/>
    <w:rsid w:val="00D86504"/>
    <w:rsid w:val="00D952C3"/>
    <w:rsid w:val="00D96456"/>
    <w:rsid w:val="00D969AB"/>
    <w:rsid w:val="00D96ADA"/>
    <w:rsid w:val="00D96DB6"/>
    <w:rsid w:val="00D977D3"/>
    <w:rsid w:val="00DA1C90"/>
    <w:rsid w:val="00DA4F5E"/>
    <w:rsid w:val="00DA5000"/>
    <w:rsid w:val="00DB15C5"/>
    <w:rsid w:val="00DB2A73"/>
    <w:rsid w:val="00DB338D"/>
    <w:rsid w:val="00DC0AB7"/>
    <w:rsid w:val="00DC1398"/>
    <w:rsid w:val="00DC2396"/>
    <w:rsid w:val="00DC25A2"/>
    <w:rsid w:val="00DC3240"/>
    <w:rsid w:val="00DC4DAA"/>
    <w:rsid w:val="00DC5840"/>
    <w:rsid w:val="00DC6F7B"/>
    <w:rsid w:val="00DD04CE"/>
    <w:rsid w:val="00DD11C1"/>
    <w:rsid w:val="00DD1FEC"/>
    <w:rsid w:val="00DD2913"/>
    <w:rsid w:val="00DD557F"/>
    <w:rsid w:val="00DD7A16"/>
    <w:rsid w:val="00DE25EA"/>
    <w:rsid w:val="00DE30A6"/>
    <w:rsid w:val="00DE31CD"/>
    <w:rsid w:val="00DE393D"/>
    <w:rsid w:val="00DE7A42"/>
    <w:rsid w:val="00DF069B"/>
    <w:rsid w:val="00DF21EE"/>
    <w:rsid w:val="00DF2578"/>
    <w:rsid w:val="00DF354F"/>
    <w:rsid w:val="00E01760"/>
    <w:rsid w:val="00E03A3D"/>
    <w:rsid w:val="00E03CE5"/>
    <w:rsid w:val="00E0603F"/>
    <w:rsid w:val="00E065D0"/>
    <w:rsid w:val="00E06C75"/>
    <w:rsid w:val="00E12C15"/>
    <w:rsid w:val="00E12C42"/>
    <w:rsid w:val="00E152FB"/>
    <w:rsid w:val="00E1597C"/>
    <w:rsid w:val="00E15D29"/>
    <w:rsid w:val="00E16773"/>
    <w:rsid w:val="00E22AAF"/>
    <w:rsid w:val="00E237E4"/>
    <w:rsid w:val="00E241D5"/>
    <w:rsid w:val="00E24EC0"/>
    <w:rsid w:val="00E25A88"/>
    <w:rsid w:val="00E25EE6"/>
    <w:rsid w:val="00E26D72"/>
    <w:rsid w:val="00E30323"/>
    <w:rsid w:val="00E350F3"/>
    <w:rsid w:val="00E35C61"/>
    <w:rsid w:val="00E4044F"/>
    <w:rsid w:val="00E431F5"/>
    <w:rsid w:val="00E467AA"/>
    <w:rsid w:val="00E54D0B"/>
    <w:rsid w:val="00E55CA6"/>
    <w:rsid w:val="00E56034"/>
    <w:rsid w:val="00E56438"/>
    <w:rsid w:val="00E56730"/>
    <w:rsid w:val="00E573B2"/>
    <w:rsid w:val="00E608C2"/>
    <w:rsid w:val="00E60DB4"/>
    <w:rsid w:val="00E615C4"/>
    <w:rsid w:val="00E63ACD"/>
    <w:rsid w:val="00E66353"/>
    <w:rsid w:val="00E72356"/>
    <w:rsid w:val="00E746DD"/>
    <w:rsid w:val="00E810EE"/>
    <w:rsid w:val="00E82C52"/>
    <w:rsid w:val="00E847FB"/>
    <w:rsid w:val="00E86FE9"/>
    <w:rsid w:val="00E87687"/>
    <w:rsid w:val="00E91304"/>
    <w:rsid w:val="00E920CD"/>
    <w:rsid w:val="00E93E9A"/>
    <w:rsid w:val="00E971F1"/>
    <w:rsid w:val="00EA0E78"/>
    <w:rsid w:val="00EA31E8"/>
    <w:rsid w:val="00EA528C"/>
    <w:rsid w:val="00EA7CCB"/>
    <w:rsid w:val="00EB0B33"/>
    <w:rsid w:val="00EB4758"/>
    <w:rsid w:val="00EB6DB8"/>
    <w:rsid w:val="00EC1438"/>
    <w:rsid w:val="00EC282F"/>
    <w:rsid w:val="00EC3769"/>
    <w:rsid w:val="00EC427D"/>
    <w:rsid w:val="00EC4D2A"/>
    <w:rsid w:val="00EC5419"/>
    <w:rsid w:val="00EC6EE1"/>
    <w:rsid w:val="00EC7311"/>
    <w:rsid w:val="00ED1839"/>
    <w:rsid w:val="00ED25D3"/>
    <w:rsid w:val="00ED2A7B"/>
    <w:rsid w:val="00ED3849"/>
    <w:rsid w:val="00ED51D3"/>
    <w:rsid w:val="00ED58A0"/>
    <w:rsid w:val="00ED5C59"/>
    <w:rsid w:val="00EE0DB8"/>
    <w:rsid w:val="00EE62E1"/>
    <w:rsid w:val="00EF2D86"/>
    <w:rsid w:val="00EF7607"/>
    <w:rsid w:val="00EF7E4C"/>
    <w:rsid w:val="00F03E5F"/>
    <w:rsid w:val="00F046D5"/>
    <w:rsid w:val="00F10D17"/>
    <w:rsid w:val="00F138F9"/>
    <w:rsid w:val="00F1480B"/>
    <w:rsid w:val="00F1531E"/>
    <w:rsid w:val="00F17086"/>
    <w:rsid w:val="00F1737A"/>
    <w:rsid w:val="00F20F63"/>
    <w:rsid w:val="00F23253"/>
    <w:rsid w:val="00F25492"/>
    <w:rsid w:val="00F258FB"/>
    <w:rsid w:val="00F26833"/>
    <w:rsid w:val="00F271AF"/>
    <w:rsid w:val="00F272E0"/>
    <w:rsid w:val="00F27B58"/>
    <w:rsid w:val="00F30586"/>
    <w:rsid w:val="00F30B70"/>
    <w:rsid w:val="00F35CBC"/>
    <w:rsid w:val="00F37FFB"/>
    <w:rsid w:val="00F40BE8"/>
    <w:rsid w:val="00F41017"/>
    <w:rsid w:val="00F41409"/>
    <w:rsid w:val="00F4327C"/>
    <w:rsid w:val="00F44E4E"/>
    <w:rsid w:val="00F46152"/>
    <w:rsid w:val="00F461A8"/>
    <w:rsid w:val="00F52BC4"/>
    <w:rsid w:val="00F52C1D"/>
    <w:rsid w:val="00F55161"/>
    <w:rsid w:val="00F5556B"/>
    <w:rsid w:val="00F55742"/>
    <w:rsid w:val="00F55E8E"/>
    <w:rsid w:val="00F55F4E"/>
    <w:rsid w:val="00F56FCA"/>
    <w:rsid w:val="00F57C67"/>
    <w:rsid w:val="00F600FA"/>
    <w:rsid w:val="00F614B7"/>
    <w:rsid w:val="00F6195D"/>
    <w:rsid w:val="00F61C5B"/>
    <w:rsid w:val="00F6465C"/>
    <w:rsid w:val="00F64DA1"/>
    <w:rsid w:val="00F65C5F"/>
    <w:rsid w:val="00F65E43"/>
    <w:rsid w:val="00F667A7"/>
    <w:rsid w:val="00F70EC8"/>
    <w:rsid w:val="00F72A69"/>
    <w:rsid w:val="00F7364C"/>
    <w:rsid w:val="00F7497C"/>
    <w:rsid w:val="00F75312"/>
    <w:rsid w:val="00F75F90"/>
    <w:rsid w:val="00F7653E"/>
    <w:rsid w:val="00F768D3"/>
    <w:rsid w:val="00F86CF3"/>
    <w:rsid w:val="00F90909"/>
    <w:rsid w:val="00F90F0F"/>
    <w:rsid w:val="00F92C7D"/>
    <w:rsid w:val="00F92FDD"/>
    <w:rsid w:val="00F94C24"/>
    <w:rsid w:val="00F958BC"/>
    <w:rsid w:val="00F9718D"/>
    <w:rsid w:val="00FA1554"/>
    <w:rsid w:val="00FA18C9"/>
    <w:rsid w:val="00FA4084"/>
    <w:rsid w:val="00FA5E93"/>
    <w:rsid w:val="00FA6AF0"/>
    <w:rsid w:val="00FA77E2"/>
    <w:rsid w:val="00FB2D79"/>
    <w:rsid w:val="00FB3876"/>
    <w:rsid w:val="00FB4030"/>
    <w:rsid w:val="00FB7964"/>
    <w:rsid w:val="00FC077A"/>
    <w:rsid w:val="00FC2B0B"/>
    <w:rsid w:val="00FD050C"/>
    <w:rsid w:val="00FD165B"/>
    <w:rsid w:val="00FD1901"/>
    <w:rsid w:val="00FD1DCE"/>
    <w:rsid w:val="00FD2590"/>
    <w:rsid w:val="00FD3699"/>
    <w:rsid w:val="00FD3BE3"/>
    <w:rsid w:val="00FD3E15"/>
    <w:rsid w:val="00FD4E78"/>
    <w:rsid w:val="00FD65A7"/>
    <w:rsid w:val="00FD7311"/>
    <w:rsid w:val="00FF3766"/>
    <w:rsid w:val="00FF3E03"/>
    <w:rsid w:val="00FF4760"/>
    <w:rsid w:val="00FF57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ED8EA"/>
  <w15:chartTrackingRefBased/>
  <w15:docId w15:val="{3BCA1BFA-90CE-4AE3-9F10-FC9F27F1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66"/>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FF3766"/>
    <w:pPr>
      <w:keepNext/>
      <w:keepLines/>
      <w:numPr>
        <w:numId w:val="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F3766"/>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F3766"/>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F3766"/>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F3766"/>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FF3766"/>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F3766"/>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F3766"/>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F3766"/>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F3766"/>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F3766"/>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F376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F37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FF3766"/>
    <w:pPr>
      <w:jc w:val="left"/>
    </w:pPr>
    <w:rPr>
      <w:sz w:val="18"/>
      <w:szCs w:val="20"/>
    </w:rPr>
  </w:style>
  <w:style w:type="character" w:customStyle="1" w:styleId="FootnoteTextChar">
    <w:name w:val="Footnote Text Char"/>
    <w:basedOn w:val="DefaultParagraphFont"/>
    <w:link w:val="FootnoteText"/>
    <w:uiPriority w:val="99"/>
    <w:semiHidden/>
    <w:rsid w:val="00FF3766"/>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FF3766"/>
    <w:rPr>
      <w:vertAlign w:val="superscript"/>
    </w:rPr>
  </w:style>
  <w:style w:type="paragraph" w:customStyle="1" w:styleId="Footnote">
    <w:name w:val="Footnote"/>
    <w:basedOn w:val="FootnoteText"/>
    <w:qFormat/>
    <w:rsid w:val="00FF3766"/>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FF3766"/>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F376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F3766"/>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FF3766"/>
    <w:pPr>
      <w:tabs>
        <w:tab w:val="center" w:pos="4680"/>
        <w:tab w:val="right" w:pos="9360"/>
      </w:tabs>
    </w:pPr>
    <w:rPr>
      <w:sz w:val="20"/>
    </w:rPr>
  </w:style>
  <w:style w:type="character" w:customStyle="1" w:styleId="FooterChar">
    <w:name w:val="Footer Char"/>
    <w:basedOn w:val="DefaultParagraphFont"/>
    <w:link w:val="Footer"/>
    <w:uiPriority w:val="99"/>
    <w:rsid w:val="00FF3766"/>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F3766"/>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F376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F3766"/>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F3766"/>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F3766"/>
    <w:rPr>
      <w:sz w:val="16"/>
      <w:szCs w:val="16"/>
    </w:rPr>
  </w:style>
  <w:style w:type="paragraph" w:styleId="CommentText">
    <w:name w:val="annotation text"/>
    <w:basedOn w:val="Normal"/>
    <w:link w:val="CommentTextChar"/>
    <w:uiPriority w:val="99"/>
    <w:rsid w:val="00FF3766"/>
    <w:rPr>
      <w:sz w:val="20"/>
      <w:szCs w:val="20"/>
    </w:rPr>
  </w:style>
  <w:style w:type="character" w:customStyle="1" w:styleId="CommentTextChar">
    <w:name w:val="Comment Text Char"/>
    <w:basedOn w:val="DefaultParagraphFont"/>
    <w:link w:val="CommentText"/>
    <w:uiPriority w:val="99"/>
    <w:rsid w:val="00FF3766"/>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F3766"/>
    <w:rPr>
      <w:b/>
      <w:bCs/>
    </w:rPr>
  </w:style>
  <w:style w:type="character" w:customStyle="1" w:styleId="CommentSubjectChar">
    <w:name w:val="Comment Subject Char"/>
    <w:basedOn w:val="CommentTextChar"/>
    <w:link w:val="CommentSubject"/>
    <w:uiPriority w:val="99"/>
    <w:semiHidden/>
    <w:rsid w:val="00FF3766"/>
    <w:rPr>
      <w:rFonts w:ascii="Times New Roman" w:eastAsia="宋体" w:hAnsi="Times New Roman" w:cs="Times New Roman"/>
      <w:b/>
      <w:bCs/>
      <w:kern w:val="0"/>
      <w:sz w:val="20"/>
      <w:szCs w:val="20"/>
      <w:lang w:val="en-US"/>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FF3766"/>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styleId="Revision">
    <w:name w:val="Revision"/>
    <w:hidden/>
    <w:uiPriority w:val="99"/>
    <w:semiHidden/>
    <w:rsid w:val="00375A78"/>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7D43F9"/>
    <w:rPr>
      <w:color w:val="954F72" w:themeColor="followedHyperlink"/>
      <w:u w:val="single"/>
    </w:rPr>
  </w:style>
  <w:style w:type="paragraph" w:customStyle="1" w:styleId="AEDistrNormal">
    <w:name w:val="AE_DistrNormal"/>
    <w:basedOn w:val="Normal"/>
    <w:unhideWhenUsed/>
    <w:rsid w:val="00FF3766"/>
    <w:pPr>
      <w:jc w:val="left"/>
    </w:pPr>
    <w:rPr>
      <w:lang w:val="en-GB"/>
    </w:rPr>
  </w:style>
  <w:style w:type="paragraph" w:customStyle="1" w:styleId="AASmallLogo">
    <w:name w:val="AA_SmallLogo"/>
    <w:basedOn w:val="AEDistrNormal"/>
    <w:unhideWhenUsed/>
    <w:rsid w:val="00FF3766"/>
    <w:pPr>
      <w:spacing w:before="40"/>
    </w:pPr>
    <w:rPr>
      <w:sz w:val="4"/>
    </w:rPr>
  </w:style>
  <w:style w:type="paragraph" w:customStyle="1" w:styleId="ABSymbol">
    <w:name w:val="AB_Symbol"/>
    <w:basedOn w:val="Normal"/>
    <w:qFormat/>
    <w:rsid w:val="00FF3766"/>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F3766"/>
    <w:rPr>
      <w:lang w:val="en-GB"/>
    </w:rPr>
  </w:style>
  <w:style w:type="paragraph" w:customStyle="1" w:styleId="ACLargeLogo">
    <w:name w:val="AC_LargeLogo"/>
    <w:basedOn w:val="AFCorNotNormal"/>
    <w:next w:val="Normal"/>
    <w:unhideWhenUsed/>
    <w:rsid w:val="00FF3766"/>
    <w:pPr>
      <w:spacing w:before="120"/>
      <w:contextualSpacing/>
      <w:jc w:val="left"/>
    </w:pPr>
    <w:rPr>
      <w:sz w:val="8"/>
    </w:rPr>
  </w:style>
  <w:style w:type="paragraph" w:customStyle="1" w:styleId="AEDistrNormal6pt">
    <w:name w:val="AE_DistrNormal6pt"/>
    <w:basedOn w:val="AEDistrNormal"/>
    <w:next w:val="AFCorNotNormal"/>
    <w:unhideWhenUsed/>
    <w:qFormat/>
    <w:rsid w:val="00FF3766"/>
    <w:pPr>
      <w:spacing w:before="120"/>
    </w:pPr>
  </w:style>
  <w:style w:type="paragraph" w:customStyle="1" w:styleId="AENormal">
    <w:name w:val="AE_Normal"/>
    <w:basedOn w:val="Normal"/>
    <w:rsid w:val="00FF3766"/>
    <w:rPr>
      <w:lang w:val="en-GB"/>
    </w:rPr>
  </w:style>
  <w:style w:type="paragraph" w:customStyle="1" w:styleId="AFCorNot12Bold">
    <w:name w:val="AF_CorNot12Bold"/>
    <w:basedOn w:val="AFCorNotNormal"/>
    <w:next w:val="AFCorNotNormal"/>
    <w:unhideWhenUsed/>
    <w:qFormat/>
    <w:rsid w:val="00FF3766"/>
    <w:pPr>
      <w:jc w:val="left"/>
    </w:pPr>
    <w:rPr>
      <w:b/>
      <w:sz w:val="24"/>
    </w:rPr>
  </w:style>
  <w:style w:type="paragraph" w:customStyle="1" w:styleId="AFCorNotBold">
    <w:name w:val="AF_CorNotBold"/>
    <w:basedOn w:val="AFCorNotNormal"/>
    <w:next w:val="AFCorNotNormal"/>
    <w:unhideWhenUsed/>
    <w:qFormat/>
    <w:rsid w:val="00FF3766"/>
    <w:rPr>
      <w:b/>
    </w:rPr>
  </w:style>
  <w:style w:type="paragraph" w:customStyle="1" w:styleId="AISpacer">
    <w:name w:val="AI_Spacer"/>
    <w:next w:val="Normal"/>
    <w:unhideWhenUsed/>
    <w:qFormat/>
    <w:rsid w:val="00FF3766"/>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FF3766"/>
    <w:pPr>
      <w:keepNext/>
      <w:keepLines/>
      <w:spacing w:before="240" w:after="120"/>
      <w:jc w:val="left"/>
    </w:pPr>
    <w:rPr>
      <w:b/>
      <w:sz w:val="24"/>
    </w:rPr>
  </w:style>
  <w:style w:type="paragraph" w:customStyle="1" w:styleId="CBDNormal">
    <w:name w:val="CBD_Normal"/>
    <w:unhideWhenUsed/>
    <w:qFormat/>
    <w:rsid w:val="00FF3766"/>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FF3766"/>
    <w:pPr>
      <w:keepNext/>
      <w:keepLines/>
      <w:spacing w:after="240"/>
      <w:jc w:val="left"/>
    </w:pPr>
    <w:rPr>
      <w:b/>
      <w:sz w:val="28"/>
      <w:lang w:val="en-GB" w:bidi="ar-SY"/>
    </w:rPr>
  </w:style>
  <w:style w:type="paragraph" w:customStyle="1" w:styleId="CBDDesicionAnnex">
    <w:name w:val="CBD_DesicionAnnex"/>
    <w:basedOn w:val="CBDNormal"/>
    <w:next w:val="Normal"/>
    <w:qFormat/>
    <w:rsid w:val="00FF376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F3766"/>
    <w:pPr>
      <w:spacing w:after="120"/>
      <w:ind w:left="567"/>
    </w:pPr>
  </w:style>
  <w:style w:type="paragraph" w:customStyle="1" w:styleId="CBDFigureTitle">
    <w:name w:val="CBD_FigureTitle"/>
    <w:basedOn w:val="CBDNormal"/>
    <w:next w:val="Normal"/>
    <w:qFormat/>
    <w:rsid w:val="00FF3766"/>
    <w:pPr>
      <w:keepNext/>
      <w:keepLines/>
      <w:spacing w:before="120" w:after="60"/>
      <w:ind w:left="567"/>
      <w:jc w:val="left"/>
    </w:pPr>
    <w:rPr>
      <w:b/>
    </w:rPr>
  </w:style>
  <w:style w:type="paragraph" w:customStyle="1" w:styleId="CBDFooter">
    <w:name w:val="CBD_Footer"/>
    <w:basedOn w:val="CBDNormal"/>
    <w:qFormat/>
    <w:rsid w:val="00FF3766"/>
    <w:rPr>
      <w:sz w:val="20"/>
    </w:rPr>
  </w:style>
  <w:style w:type="paragraph" w:customStyle="1" w:styleId="CBDFootnoteText">
    <w:name w:val="CBD_Footnote_Text"/>
    <w:basedOn w:val="CBDNormal"/>
    <w:qFormat/>
    <w:rsid w:val="00FF3766"/>
    <w:pPr>
      <w:jc w:val="left"/>
    </w:pPr>
    <w:rPr>
      <w:sz w:val="18"/>
    </w:rPr>
  </w:style>
  <w:style w:type="paragraph" w:customStyle="1" w:styleId="CBDH1">
    <w:name w:val="CBD_H1"/>
    <w:basedOn w:val="CBDNormal"/>
    <w:qFormat/>
    <w:rsid w:val="00FF3766"/>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F3766"/>
    <w:pPr>
      <w:numPr>
        <w:numId w:val="35"/>
      </w:numPr>
      <w:tabs>
        <w:tab w:val="left" w:pos="3969"/>
      </w:tabs>
      <w:spacing w:after="120"/>
    </w:pPr>
    <w:rPr>
      <w:lang w:val="en-GB"/>
    </w:rPr>
  </w:style>
  <w:style w:type="paragraph" w:customStyle="1" w:styleId="CBDH2">
    <w:name w:val="CBD_H2"/>
    <w:basedOn w:val="CBDNormalNumber"/>
    <w:qFormat/>
    <w:rsid w:val="00FF3766"/>
    <w:pPr>
      <w:keepNext/>
      <w:keepLines/>
      <w:numPr>
        <w:numId w:val="0"/>
      </w:numPr>
      <w:spacing w:before="120"/>
      <w:ind w:left="567" w:hanging="567"/>
    </w:pPr>
    <w:rPr>
      <w:b/>
      <w:sz w:val="24"/>
    </w:rPr>
  </w:style>
  <w:style w:type="paragraph" w:customStyle="1" w:styleId="CBDH3">
    <w:name w:val="CBD_H3"/>
    <w:basedOn w:val="CBDNormal"/>
    <w:qFormat/>
    <w:rsid w:val="00FF3766"/>
    <w:pPr>
      <w:keepNext/>
      <w:keepLines/>
      <w:spacing w:before="120" w:after="120"/>
      <w:ind w:left="567" w:hanging="567"/>
      <w:jc w:val="left"/>
    </w:pPr>
    <w:rPr>
      <w:b/>
    </w:rPr>
  </w:style>
  <w:style w:type="paragraph" w:customStyle="1" w:styleId="CBDH4">
    <w:name w:val="CBD_H4"/>
    <w:basedOn w:val="CBDNormal"/>
    <w:rsid w:val="00FF3766"/>
    <w:pPr>
      <w:keepNext/>
      <w:keepLines/>
      <w:spacing w:before="120" w:after="120"/>
      <w:ind w:left="567" w:hanging="567"/>
      <w:jc w:val="left"/>
    </w:pPr>
    <w:rPr>
      <w:b/>
    </w:rPr>
  </w:style>
  <w:style w:type="paragraph" w:customStyle="1" w:styleId="CBDH5">
    <w:name w:val="CBD_H5"/>
    <w:basedOn w:val="CBDNormal"/>
    <w:qFormat/>
    <w:rsid w:val="00FF3766"/>
    <w:pPr>
      <w:keepNext/>
      <w:keepLines/>
      <w:spacing w:before="120" w:after="120"/>
      <w:ind w:left="567" w:hanging="567"/>
      <w:jc w:val="left"/>
    </w:pPr>
    <w:rPr>
      <w:i/>
    </w:rPr>
  </w:style>
  <w:style w:type="paragraph" w:customStyle="1" w:styleId="CBDHeader">
    <w:name w:val="CBD_Header"/>
    <w:basedOn w:val="CBDNormal"/>
    <w:next w:val="CBDFooter"/>
    <w:qFormat/>
    <w:rsid w:val="00FF376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F3766"/>
    <w:pPr>
      <w:numPr>
        <w:numId w:val="35"/>
      </w:numPr>
    </w:pPr>
  </w:style>
  <w:style w:type="numbering" w:customStyle="1" w:styleId="CBDHeadings">
    <w:name w:val="CBD_Headings"/>
    <w:basedOn w:val="ListCBD"/>
    <w:uiPriority w:val="99"/>
    <w:rsid w:val="00FF3766"/>
    <w:pPr>
      <w:numPr>
        <w:numId w:val="36"/>
      </w:numPr>
    </w:pPr>
  </w:style>
  <w:style w:type="paragraph" w:customStyle="1" w:styleId="CBDNormalNoNumber">
    <w:name w:val="CBD_Normal_NoNumber"/>
    <w:basedOn w:val="CBDNormal"/>
    <w:qFormat/>
    <w:rsid w:val="00FF3766"/>
    <w:pPr>
      <w:spacing w:after="120"/>
    </w:pPr>
  </w:style>
  <w:style w:type="paragraph" w:customStyle="1" w:styleId="CBDSubTitle">
    <w:name w:val="CBD_SubTitle"/>
    <w:basedOn w:val="CBDNormal"/>
    <w:qFormat/>
    <w:rsid w:val="00FF3766"/>
    <w:pPr>
      <w:keepNext/>
      <w:keepLines/>
      <w:spacing w:before="240" w:after="240"/>
      <w:ind w:left="567"/>
      <w:jc w:val="left"/>
    </w:pPr>
    <w:rPr>
      <w:b/>
      <w:lang w:val="en-GB"/>
    </w:rPr>
  </w:style>
  <w:style w:type="paragraph" w:customStyle="1" w:styleId="CBDTableNormal">
    <w:name w:val="CBD_TableNormal"/>
    <w:basedOn w:val="CBDNormal"/>
    <w:qFormat/>
    <w:rsid w:val="00FF3766"/>
    <w:pPr>
      <w:spacing w:before="40" w:after="80"/>
      <w:jc w:val="left"/>
    </w:pPr>
    <w:rPr>
      <w:sz w:val="20"/>
    </w:rPr>
  </w:style>
  <w:style w:type="paragraph" w:customStyle="1" w:styleId="CBDTableTitle">
    <w:name w:val="CBD_TableTitle"/>
    <w:basedOn w:val="CBDNormal"/>
    <w:qFormat/>
    <w:rsid w:val="00FF3766"/>
    <w:pPr>
      <w:keepNext/>
      <w:keepLines/>
      <w:spacing w:before="120" w:after="60"/>
      <w:ind w:left="567"/>
      <w:jc w:val="left"/>
    </w:pPr>
    <w:rPr>
      <w:b/>
    </w:rPr>
  </w:style>
  <w:style w:type="paragraph" w:customStyle="1" w:styleId="CBDTitle">
    <w:name w:val="CBD_Title"/>
    <w:basedOn w:val="CBDNormal"/>
    <w:next w:val="CBDSubTitle"/>
    <w:qFormat/>
    <w:rsid w:val="00FF3766"/>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F3766"/>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F3766"/>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F3766"/>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F3766"/>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FF3766"/>
    <w:pPr>
      <w:contextualSpacing/>
    </w:pPr>
  </w:style>
  <w:style w:type="paragraph" w:styleId="ListParagraph">
    <w:name w:val="List Paragraph"/>
    <w:basedOn w:val="Normal"/>
    <w:uiPriority w:val="34"/>
    <w:qFormat/>
    <w:rsid w:val="00FF3766"/>
    <w:pPr>
      <w:ind w:left="720"/>
      <w:contextualSpacing/>
    </w:pPr>
  </w:style>
  <w:style w:type="character" w:styleId="Mention">
    <w:name w:val="Mention"/>
    <w:basedOn w:val="DefaultParagraphFont"/>
    <w:uiPriority w:val="99"/>
    <w:unhideWhenUsed/>
    <w:rsid w:val="006975B2"/>
    <w:rPr>
      <w:color w:val="2B579A"/>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B1FA5"/>
    <w:pPr>
      <w:spacing w:after="160" w:line="240" w:lineRule="exact"/>
      <w:jc w:val="left"/>
    </w:pPr>
    <w:rPr>
      <w:rFonts w:asciiTheme="minorHAnsi" w:eastAsiaTheme="minorEastAsia"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Users\scbd\AppData\Local\Microsoft\Windows\INetCache\Content.Outlook\JZ8FFI53\www.cbd.int\notifications\2023-133" TargetMode="External"/><Relationship Id="rId7" Type="http://schemas.openxmlformats.org/officeDocument/2006/relationships/hyperlink" Target="https://s3.amazonaws.com/cbddocumentspublic-imagebucket-15w2zyxk3prl8/c272720b6bac8e7063c3282e02b77d00" TargetMode="External"/><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 Id="rId6" Type="http://schemas.openxmlformats.org/officeDocument/2006/relationships/hyperlink" Target="https://bch.cbd.int/onlineconferences/portal_art26/Activities2023-2024.shtml" TargetMode="External"/><Relationship Id="rId5" Type="http://schemas.openxmlformats.org/officeDocument/2006/relationships/hyperlink" Target="https://bch.cbd.int/onlineconferences/portal_art26/Activities2023-2024.shtml" TargetMode="External"/><Relationship Id="rId4" Type="http://schemas.openxmlformats.org/officeDocument/2006/relationships/hyperlink" Target="https://bch.cbd.int/onlineconferences/portal_art26/Activities2023-2024.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76513-82D4-4D88-A731-D32F850D47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6B246F8-F4E1-494B-95D6-EE3479A2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983</TotalTime>
  <Pages>9</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社会经济考虑因素</vt:lpstr>
    </vt:vector>
  </TitlesOfParts>
  <Company/>
  <LinksUpToDate>false</LinksUpToDate>
  <CharactersWithSpaces>8415</CharactersWithSpaces>
  <SharedDoc>false</SharedDoc>
  <HLinks>
    <vt:vector size="42" baseType="variant">
      <vt:variant>
        <vt:i4>524322</vt:i4>
      </vt:variant>
      <vt:variant>
        <vt:i4>15</vt:i4>
      </vt:variant>
      <vt:variant>
        <vt:i4>0</vt:i4>
      </vt:variant>
      <vt:variant>
        <vt:i4>5</vt:i4>
      </vt:variant>
      <vt:variant>
        <vt:lpwstr>https://bch.cbd.int/onlineconferences/portal_art26/Activities2023-2024.shtml</vt:lpwstr>
      </vt:variant>
      <vt:variant>
        <vt:lpwstr/>
      </vt:variant>
      <vt:variant>
        <vt:i4>327711</vt:i4>
      </vt:variant>
      <vt:variant>
        <vt:i4>9</vt:i4>
      </vt:variant>
      <vt:variant>
        <vt:i4>0</vt:i4>
      </vt:variant>
      <vt:variant>
        <vt:i4>5</vt:i4>
      </vt:variant>
      <vt:variant>
        <vt:lpwstr>C:\Users\scbd\AppData\Local\Microsoft\Windows\INetCache\Content.Outlook\JZ8FFI53\www.cbd.int\notifications\2023-133</vt:lpwstr>
      </vt:variant>
      <vt:variant>
        <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5767241</vt:i4>
      </vt:variant>
      <vt:variant>
        <vt:i4>0</vt:i4>
      </vt:variant>
      <vt:variant>
        <vt:i4>0</vt:i4>
      </vt:variant>
      <vt:variant>
        <vt:i4>5</vt:i4>
      </vt:variant>
      <vt:variant>
        <vt:lpwstr>http://www.cbd.int/notifications/2023-133</vt:lpwstr>
      </vt:variant>
      <vt:variant>
        <vt:lpwstr/>
      </vt:variant>
      <vt:variant>
        <vt:i4>2097239</vt:i4>
      </vt:variant>
      <vt:variant>
        <vt:i4>6</vt:i4>
      </vt:variant>
      <vt:variant>
        <vt:i4>0</vt:i4>
      </vt:variant>
      <vt:variant>
        <vt:i4>5</vt:i4>
      </vt:variant>
      <vt:variant>
        <vt:lpwstr>mailto:peter.deupmann@un.org</vt:lpwstr>
      </vt:variant>
      <vt:variant>
        <vt:lpwstr/>
      </vt:variant>
      <vt:variant>
        <vt:i4>2949207</vt:i4>
      </vt:variant>
      <vt:variant>
        <vt:i4>3</vt:i4>
      </vt:variant>
      <vt:variant>
        <vt:i4>0</vt:i4>
      </vt:variant>
      <vt:variant>
        <vt:i4>5</vt:i4>
      </vt:variant>
      <vt:variant>
        <vt:lpwstr>mailto:paola.scarone@un.org</vt:lpwstr>
      </vt:variant>
      <vt:variant>
        <vt:lpwstr/>
      </vt:variant>
      <vt:variant>
        <vt:i4>524322</vt:i4>
      </vt:variant>
      <vt:variant>
        <vt:i4>0</vt:i4>
      </vt:variant>
      <vt:variant>
        <vt:i4>0</vt:i4>
      </vt:variant>
      <vt:variant>
        <vt:i4>5</vt:i4>
      </vt:variant>
      <vt:variant>
        <vt:lpwstr>https://bch.cbd.int/onlineconferences/portal_art26/Activities2023-2024.shtml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社会经济考虑因素</dc:title>
  <dc:subject>CBD/CP/MOP/11/10</dc:subject>
  <dc:creator>scbd</dc:creator>
  <cp:keywords>Conference of the Parties to the Convention on Biological Diversity</cp:keywords>
  <dc:description/>
  <cp:lastModifiedBy>Steve Pei</cp:lastModifiedBy>
  <cp:revision>39</cp:revision>
  <cp:lastPrinted>2024-09-07T23:55:00Z</cp:lastPrinted>
  <dcterms:created xsi:type="dcterms:W3CDTF">2024-09-05T19:51:00Z</dcterms:created>
  <dcterms:modified xsi:type="dcterms:W3CDTF">2024-09-07T23:57:00Z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