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106" w:type="dxa"/>
        <w:tblLayout w:type="fixed"/>
        <w:tblLook w:val="0000" w:firstRow="0" w:lastRow="0" w:firstColumn="0" w:lastColumn="0" w:noHBand="0" w:noVBand="0"/>
      </w:tblPr>
      <w:tblGrid>
        <w:gridCol w:w="5238"/>
        <w:gridCol w:w="450"/>
        <w:gridCol w:w="4201"/>
      </w:tblGrid>
      <w:tr w:rsidR="00C554B6">
        <w:trPr>
          <w:trHeight w:val="1438"/>
        </w:trPr>
        <w:tc>
          <w:tcPr>
            <w:tcW w:w="5238" w:type="dxa"/>
            <w:tcBorders>
              <w:top w:val="nil"/>
              <w:left w:val="nil"/>
              <w:bottom w:val="nil"/>
              <w:right w:val="nil"/>
            </w:tcBorders>
          </w:tcPr>
          <w:p w:rsidR="00C554B6" w:rsidRDefault="00C554B6">
            <w:pPr>
              <w:spacing w:after="120"/>
              <w:ind w:right="1422"/>
              <w:rPr>
                <w:rFonts w:cs="Times New Roman"/>
                <w:snapToGrid w:val="0"/>
                <w:kern w:val="22"/>
                <w:lang w:val="es-ES"/>
              </w:rPr>
            </w:pPr>
            <w:r>
              <w:rPr>
                <w:rFonts w:ascii="Univers" w:hAnsi="Univers" w:cs="Univers"/>
                <w:b/>
                <w:bCs/>
                <w:snapToGrid w:val="0"/>
                <w:kern w:val="22"/>
                <w:sz w:val="32"/>
                <w:szCs w:val="32"/>
                <w:lang w:val="es-ES"/>
              </w:rPr>
              <w:t>CONVENIO SOBRE LA DIVERSIDAD BIOLÓGICA</w:t>
            </w:r>
          </w:p>
        </w:tc>
        <w:tc>
          <w:tcPr>
            <w:tcW w:w="450" w:type="dxa"/>
            <w:tcBorders>
              <w:top w:val="nil"/>
              <w:left w:val="nil"/>
              <w:bottom w:val="nil"/>
              <w:right w:val="nil"/>
            </w:tcBorders>
          </w:tcPr>
          <w:p w:rsidR="00C554B6" w:rsidRDefault="00C554B6">
            <w:pPr>
              <w:spacing w:after="120"/>
              <w:rPr>
                <w:rFonts w:cs="Times New Roman"/>
                <w:snapToGrid w:val="0"/>
                <w:kern w:val="22"/>
                <w:lang w:val="es-ES"/>
              </w:rPr>
            </w:pPr>
          </w:p>
        </w:tc>
        <w:tc>
          <w:tcPr>
            <w:tcW w:w="4201" w:type="dxa"/>
            <w:tcBorders>
              <w:top w:val="nil"/>
              <w:left w:val="nil"/>
              <w:bottom w:val="nil"/>
              <w:right w:val="nil"/>
            </w:tcBorders>
          </w:tcPr>
          <w:p w:rsidR="00C554B6" w:rsidRDefault="00C554B6">
            <w:pPr>
              <w:suppressLineNumbers/>
              <w:suppressAutoHyphens/>
              <w:kinsoku w:val="0"/>
              <w:overflowPunct w:val="0"/>
              <w:autoSpaceDE w:val="0"/>
              <w:autoSpaceDN w:val="0"/>
              <w:ind w:left="1298"/>
              <w:jc w:val="left"/>
              <w:rPr>
                <w:rFonts w:cs="Times New Roman"/>
                <w:snapToGrid w:val="0"/>
                <w:kern w:val="22"/>
                <w:lang w:val="es-ES"/>
              </w:rPr>
            </w:pPr>
            <w:r>
              <w:rPr>
                <w:rFonts w:cs="Times New Roman"/>
                <w:lang w:val="es-ES"/>
              </w:rPr>
              <w:t>CBD/SBI/3/CRP.1</w:t>
            </w:r>
          </w:p>
          <w:p w:rsidR="00C554B6" w:rsidRDefault="00C554B6">
            <w:pPr>
              <w:suppressLineNumbers/>
              <w:suppressAutoHyphens/>
              <w:kinsoku w:val="0"/>
              <w:overflowPunct w:val="0"/>
              <w:autoSpaceDE w:val="0"/>
              <w:autoSpaceDN w:val="0"/>
              <w:spacing w:after="120"/>
              <w:ind w:left="1298"/>
              <w:jc w:val="left"/>
              <w:rPr>
                <w:rFonts w:cs="Times New Roman"/>
                <w:snapToGrid w:val="0"/>
                <w:kern w:val="22"/>
                <w:lang w:val="es-ES"/>
              </w:rPr>
            </w:pPr>
            <w:r>
              <w:rPr>
                <w:rFonts w:cs="Times New Roman"/>
                <w:snapToGrid w:val="0"/>
                <w:kern w:val="22"/>
                <w:lang w:val="es-ES"/>
              </w:rPr>
              <w:t>16 de mayo de 2021</w:t>
            </w:r>
          </w:p>
          <w:p w:rsidR="00C554B6" w:rsidRDefault="00C554B6">
            <w:pPr>
              <w:suppressLineNumbers/>
              <w:suppressAutoHyphens/>
              <w:kinsoku w:val="0"/>
              <w:overflowPunct w:val="0"/>
              <w:autoSpaceDE w:val="0"/>
              <w:autoSpaceDN w:val="0"/>
              <w:spacing w:after="120"/>
              <w:ind w:left="1298"/>
              <w:jc w:val="left"/>
              <w:rPr>
                <w:rFonts w:cs="Times New Roman"/>
                <w:snapToGrid w:val="0"/>
                <w:kern w:val="22"/>
                <w:lang w:val="es-ES"/>
              </w:rPr>
            </w:pPr>
          </w:p>
          <w:p w:rsidR="00C554B6" w:rsidRDefault="00C554B6">
            <w:pPr>
              <w:suppressLineNumbers/>
              <w:suppressAutoHyphens/>
              <w:kinsoku w:val="0"/>
              <w:overflowPunct w:val="0"/>
              <w:autoSpaceDE w:val="0"/>
              <w:autoSpaceDN w:val="0"/>
              <w:spacing w:after="120"/>
              <w:ind w:left="1298"/>
              <w:jc w:val="left"/>
              <w:rPr>
                <w:rFonts w:cs="Times New Roman"/>
                <w:snapToGrid w:val="0"/>
                <w:kern w:val="22"/>
                <w:lang w:val="es-ES"/>
              </w:rPr>
            </w:pPr>
            <w:r>
              <w:rPr>
                <w:rFonts w:cs="Times New Roman"/>
                <w:snapToGrid w:val="0"/>
                <w:kern w:val="22"/>
                <w:lang w:val="es-ES"/>
              </w:rPr>
              <w:t>ESPAÑOL</w:t>
            </w:r>
          </w:p>
          <w:p w:rsidR="00C554B6" w:rsidRDefault="00C554B6">
            <w:pPr>
              <w:suppressLineNumbers/>
              <w:suppressAutoHyphens/>
              <w:kinsoku w:val="0"/>
              <w:overflowPunct w:val="0"/>
              <w:autoSpaceDE w:val="0"/>
              <w:autoSpaceDN w:val="0"/>
              <w:spacing w:after="120"/>
              <w:ind w:left="1298"/>
              <w:jc w:val="left"/>
              <w:rPr>
                <w:rFonts w:cs="Times New Roman"/>
                <w:snapToGrid w:val="0"/>
                <w:kern w:val="22"/>
                <w:lang w:val="es-ES"/>
              </w:rPr>
            </w:pPr>
            <w:r>
              <w:rPr>
                <w:rFonts w:cs="Times New Roman"/>
                <w:snapToGrid w:val="0"/>
                <w:kern w:val="22"/>
                <w:lang w:val="es-ES"/>
              </w:rPr>
              <w:t>ORIGINAL: INGLÉS</w:t>
            </w:r>
          </w:p>
        </w:tc>
      </w:tr>
    </w:tbl>
    <w:p w:rsidR="00C554B6" w:rsidRDefault="00C554B6">
      <w:pPr>
        <w:pStyle w:val="meetingname"/>
        <w:ind w:left="284" w:right="4398" w:hanging="284"/>
        <w:rPr>
          <w:snapToGrid w:val="0"/>
          <w:kern w:val="22"/>
          <w:lang w:val="es-ES"/>
        </w:rPr>
      </w:pPr>
      <w:r>
        <w:rPr>
          <w:lang w:val="es-ES"/>
        </w:rPr>
        <w:t>ÓRGANO SUBSIDIARIO SOBRE LA APLICACIÓN</w:t>
      </w:r>
    </w:p>
    <w:p w:rsidR="00C554B6" w:rsidRDefault="00C554B6">
      <w:pPr>
        <w:ind w:left="284" w:hanging="284"/>
        <w:jc w:val="left"/>
        <w:rPr>
          <w:rFonts w:cs="Times New Roman"/>
          <w:snapToGrid w:val="0"/>
          <w:kern w:val="22"/>
          <w:lang w:val="es-ES" w:eastAsia="nb-NO"/>
        </w:rPr>
      </w:pPr>
      <w:r>
        <w:rPr>
          <w:rFonts w:cs="Times New Roman"/>
          <w:snapToGrid w:val="0"/>
          <w:kern w:val="22"/>
          <w:lang w:val="es-ES" w:eastAsia="nb-NO"/>
        </w:rPr>
        <w:t>Tercera reunión</w:t>
      </w:r>
    </w:p>
    <w:p w:rsidR="00C554B6" w:rsidRDefault="00C554B6">
      <w:pPr>
        <w:ind w:left="284" w:hanging="284"/>
        <w:jc w:val="left"/>
        <w:rPr>
          <w:rFonts w:cs="Times New Roman"/>
          <w:snapToGrid w:val="0"/>
          <w:kern w:val="22"/>
          <w:lang w:val="es-ES" w:eastAsia="nb-NO"/>
        </w:rPr>
      </w:pPr>
      <w:r>
        <w:rPr>
          <w:rFonts w:cs="Times New Roman"/>
          <w:snapToGrid w:val="0"/>
          <w:kern w:val="22"/>
          <w:lang w:val="es-ES" w:eastAsia="nb-NO"/>
        </w:rPr>
        <w:t>En línea, 16 de mayo al 13 de junio de 2021</w:t>
      </w:r>
    </w:p>
    <w:p w:rsidR="00C554B6" w:rsidRDefault="00C554B6">
      <w:pPr>
        <w:rPr>
          <w:rFonts w:cs="Times New Roman"/>
          <w:snapToGrid w:val="0"/>
          <w:kern w:val="22"/>
          <w:lang w:val="es-ES"/>
        </w:rPr>
      </w:pPr>
      <w:r>
        <w:rPr>
          <w:rFonts w:cs="Times New Roman"/>
          <w:snapToGrid w:val="0"/>
          <w:kern w:val="22"/>
          <w:lang w:val="es-ES"/>
        </w:rPr>
        <w:t>Tema 4 del programa provisional</w:t>
      </w:r>
      <w:r>
        <w:rPr>
          <w:rStyle w:val="FootnoteReference"/>
          <w:snapToGrid w:val="0"/>
          <w:kern w:val="22"/>
          <w:lang w:val="es-ES"/>
        </w:rPr>
        <w:footnoteReference w:customMarkFollows="1" w:id="2"/>
        <w:t>*</w:t>
      </w:r>
    </w:p>
    <w:p w:rsidR="00C554B6" w:rsidRDefault="00C554B6">
      <w:pPr>
        <w:spacing w:before="240" w:after="120"/>
        <w:jc w:val="center"/>
        <w:rPr>
          <w:rFonts w:cs="Times New Roman"/>
          <w:b/>
          <w:bCs/>
          <w:caps/>
          <w:snapToGrid w:val="0"/>
          <w:kern w:val="22"/>
          <w:lang w:val="es-ES"/>
        </w:rPr>
      </w:pPr>
      <w:r>
        <w:rPr>
          <w:rFonts w:cs="Times New Roman"/>
          <w:b/>
          <w:bCs/>
          <w:caps/>
          <w:snapToGrid w:val="0"/>
          <w:kern w:val="22"/>
          <w:lang w:val="es-ES"/>
        </w:rPr>
        <w:t>EVALUACIÓN Y REVISIÓN DE LA EFICACIA DEL PROTOCOLO DE CARTAGENA SOBRE SEGURIDAD DE LA BIOTECNOLOGÍA</w:t>
      </w:r>
    </w:p>
    <w:p w:rsidR="00C554B6" w:rsidRDefault="00C554B6">
      <w:pPr>
        <w:pStyle w:val="Style1"/>
        <w:tabs>
          <w:tab w:val="clear" w:pos="720"/>
        </w:tabs>
        <w:rPr>
          <w:i w:val="0"/>
          <w:iCs w:val="0"/>
          <w:snapToGrid w:val="0"/>
          <w:kern w:val="22"/>
          <w:lang w:val="es-ES"/>
        </w:rPr>
      </w:pPr>
      <w:r>
        <w:rPr>
          <w:i w:val="0"/>
          <w:iCs w:val="0"/>
          <w:snapToGrid w:val="0"/>
          <w:kern w:val="22"/>
          <w:lang w:val="es-ES"/>
        </w:rPr>
        <w:t>Proyecto de recomendación presentado por la Presidencia</w:t>
      </w:r>
    </w:p>
    <w:p w:rsidR="00C554B6" w:rsidRDefault="00C554B6">
      <w:pPr>
        <w:pStyle w:val="Para1"/>
        <w:numPr>
          <w:ilvl w:val="0"/>
          <w:numId w:val="0"/>
        </w:numPr>
        <w:suppressLineNumbers/>
        <w:suppressAutoHyphens/>
        <w:kinsoku w:val="0"/>
        <w:overflowPunct w:val="0"/>
        <w:autoSpaceDE w:val="0"/>
        <w:autoSpaceDN w:val="0"/>
        <w:adjustRightInd w:val="0"/>
        <w:snapToGrid w:val="0"/>
        <w:ind w:firstLine="720"/>
        <w:rPr>
          <w:i/>
          <w:iCs/>
          <w:kern w:val="22"/>
          <w:lang w:val="es-ES"/>
        </w:rPr>
      </w:pPr>
      <w:r>
        <w:rPr>
          <w:i/>
          <w:iCs/>
          <w:kern w:val="22"/>
          <w:lang w:val="es-ES"/>
        </w:rPr>
        <w:t>El Órgano Subsidiario sobre la Aplicación,</w:t>
      </w:r>
    </w:p>
    <w:p w:rsidR="00C554B6" w:rsidRDefault="00C554B6">
      <w:pPr>
        <w:suppressLineNumbers/>
        <w:suppressAutoHyphens/>
        <w:kinsoku w:val="0"/>
        <w:overflowPunct w:val="0"/>
        <w:autoSpaceDE w:val="0"/>
        <w:autoSpaceDN w:val="0"/>
        <w:adjustRightInd w:val="0"/>
        <w:snapToGrid w:val="0"/>
        <w:spacing w:before="120" w:after="120"/>
        <w:ind w:firstLine="720"/>
        <w:rPr>
          <w:rFonts w:cs="Times New Roman"/>
          <w:snapToGrid w:val="0"/>
          <w:kern w:val="22"/>
          <w:lang w:val="es-ES"/>
        </w:rPr>
      </w:pPr>
      <w:r>
        <w:rPr>
          <w:rFonts w:cs="Times New Roman"/>
          <w:snapToGrid w:val="0"/>
          <w:kern w:val="22"/>
          <w:lang w:val="es-ES"/>
        </w:rPr>
        <w:t>1.</w:t>
      </w:r>
      <w:r>
        <w:rPr>
          <w:rFonts w:cs="Times New Roman"/>
          <w:snapToGrid w:val="0"/>
          <w:kern w:val="22"/>
          <w:lang w:val="es-ES"/>
        </w:rPr>
        <w:tab/>
      </w:r>
      <w:r>
        <w:rPr>
          <w:rFonts w:cs="Times New Roman"/>
          <w:i/>
          <w:iCs/>
          <w:lang w:val="es-ES"/>
        </w:rPr>
        <w:t>Toma nota</w:t>
      </w:r>
      <w:r>
        <w:rPr>
          <w:rFonts w:cs="Times New Roman"/>
          <w:lang w:val="es-ES"/>
        </w:rPr>
        <w:t xml:space="preserve"> del análisis de la información para la cuarta evaluación y revisión del Protocolo y la evaluación final del Plan Estratégico para el Protocolo de Cartagena sobre Seguridad de la Biotecnología</w:t>
      </w:r>
      <w:bookmarkStart w:id="0" w:name="_Ref72410623"/>
      <w:r>
        <w:rPr>
          <w:rStyle w:val="FootnoteReference"/>
          <w:snapToGrid w:val="0"/>
          <w:kern w:val="22"/>
          <w:lang w:val="es-ES"/>
        </w:rPr>
        <w:footnoteReference w:id="3"/>
      </w:r>
      <w:bookmarkEnd w:id="0"/>
      <w:r>
        <w:rPr>
          <w:rFonts w:cs="Times New Roman"/>
          <w:lang w:val="es-ES"/>
        </w:rPr>
        <w:t xml:space="preserve"> en el período 2011-2020, que ofrece una descripción de la situación y las tendencias de la aplicación del Protocolo y la implementación del Plan Estratégico para el Protocolo de Cartagena</w:t>
      </w:r>
      <w:r>
        <w:rPr>
          <w:rStyle w:val="FootnoteReference"/>
          <w:snapToGrid w:val="0"/>
          <w:kern w:val="22"/>
          <w:lang w:val="es-ES"/>
        </w:rPr>
        <w:footnoteReference w:id="4"/>
      </w:r>
      <w:r>
        <w:rPr>
          <w:rFonts w:cs="Times New Roman"/>
          <w:lang w:val="es-ES"/>
        </w:rPr>
        <w:t>;</w:t>
      </w:r>
    </w:p>
    <w:p w:rsidR="00C554B6" w:rsidRDefault="00C554B6">
      <w:pPr>
        <w:suppressLineNumbers/>
        <w:suppressAutoHyphens/>
        <w:kinsoku w:val="0"/>
        <w:overflowPunct w:val="0"/>
        <w:autoSpaceDE w:val="0"/>
        <w:autoSpaceDN w:val="0"/>
        <w:adjustRightInd w:val="0"/>
        <w:snapToGrid w:val="0"/>
        <w:spacing w:before="120" w:after="120"/>
        <w:ind w:firstLine="720"/>
        <w:rPr>
          <w:rFonts w:cs="Times New Roman"/>
          <w:lang w:val="es-ES"/>
        </w:rPr>
      </w:pPr>
      <w:r>
        <w:rPr>
          <w:rFonts w:cs="Times New Roman"/>
          <w:lang w:val="es-ES"/>
        </w:rPr>
        <w:t>2.</w:t>
      </w:r>
      <w:r>
        <w:rPr>
          <w:rFonts w:cs="Times New Roman"/>
          <w:i/>
          <w:iCs/>
          <w:lang w:val="es-ES"/>
        </w:rPr>
        <w:tab/>
        <w:t>Acoge con agrado</w:t>
      </w:r>
      <w:r>
        <w:rPr>
          <w:rFonts w:cs="Times New Roman"/>
          <w:lang w:val="es-ES"/>
        </w:rPr>
        <w:t xml:space="preserve"> las aportaciones que hicieron el Comité de Cumplimiento, en su 17ª reunión, y el Grupo de Enlace del Protocolo de Cartagena, en su 14ª reunión</w:t>
      </w:r>
      <w:bookmarkStart w:id="1" w:name="_Ref72410883"/>
      <w:r>
        <w:rPr>
          <w:rStyle w:val="FootnoteReference"/>
          <w:snapToGrid w:val="0"/>
          <w:kern w:val="22"/>
          <w:lang w:val="es-ES"/>
        </w:rPr>
        <w:footnoteReference w:id="5"/>
      </w:r>
      <w:bookmarkEnd w:id="1"/>
      <w:r>
        <w:rPr>
          <w:rFonts w:cs="Times New Roman"/>
          <w:lang w:val="es-ES"/>
        </w:rPr>
        <w:t xml:space="preserve"> a la cuarta evaluación y revisión del Protocolo de Cartagena y a la evaluación final del Plan Estratégico para el Protocolo de Cartagena sobre Seguridad de la Biotecnología en el período 2011-2020;</w:t>
      </w:r>
    </w:p>
    <w:p w:rsidR="00C554B6" w:rsidRDefault="00C554B6">
      <w:pPr>
        <w:suppressLineNumbers/>
        <w:suppressAutoHyphens/>
        <w:kinsoku w:val="0"/>
        <w:overflowPunct w:val="0"/>
        <w:autoSpaceDE w:val="0"/>
        <w:autoSpaceDN w:val="0"/>
        <w:adjustRightInd w:val="0"/>
        <w:snapToGrid w:val="0"/>
        <w:spacing w:before="120" w:after="120"/>
        <w:ind w:firstLine="720"/>
        <w:rPr>
          <w:rFonts w:cs="Times New Roman"/>
          <w:lang w:val="es-ES"/>
        </w:rPr>
      </w:pPr>
      <w:r>
        <w:rPr>
          <w:rFonts w:cs="Times New Roman"/>
          <w:lang w:val="es-ES"/>
        </w:rPr>
        <w:t>3.</w:t>
      </w:r>
      <w:r>
        <w:rPr>
          <w:rFonts w:cs="Times New Roman"/>
          <w:snapToGrid w:val="0"/>
          <w:kern w:val="22"/>
          <w:lang w:val="es-ES"/>
        </w:rPr>
        <w:tab/>
      </w:r>
      <w:r>
        <w:rPr>
          <w:rFonts w:cs="Times New Roman"/>
          <w:i/>
          <w:iCs/>
          <w:lang w:val="es-ES"/>
        </w:rPr>
        <w:t>Reconoce</w:t>
      </w:r>
      <w:r>
        <w:rPr>
          <w:rFonts w:cs="Times New Roman"/>
          <w:lang w:val="es-ES"/>
        </w:rPr>
        <w:t xml:space="preserve"> la labor realizada por el Comité de Cumplimiento para colaborar con las Partes que no hayan presentado sus cuartos informes nacionales hasta la fecha, y </w:t>
      </w:r>
      <w:r>
        <w:rPr>
          <w:rFonts w:cs="Times New Roman"/>
          <w:i/>
          <w:iCs/>
          <w:lang w:val="es-ES"/>
        </w:rPr>
        <w:t xml:space="preserve">alienta </w:t>
      </w:r>
      <w:r>
        <w:rPr>
          <w:rFonts w:cs="Times New Roman"/>
          <w:lang w:val="es-ES"/>
        </w:rPr>
        <w:t>al Comité a que siga realizando esfuerzos a este respecto;</w:t>
      </w:r>
    </w:p>
    <w:p w:rsidR="00C554B6" w:rsidRDefault="00C554B6">
      <w:pPr>
        <w:pStyle w:val="Para1"/>
        <w:numPr>
          <w:ilvl w:val="0"/>
          <w:numId w:val="0"/>
        </w:numPr>
        <w:suppressLineNumbers/>
        <w:tabs>
          <w:tab w:val="left" w:pos="720"/>
        </w:tabs>
        <w:suppressAutoHyphens/>
        <w:kinsoku w:val="0"/>
        <w:overflowPunct w:val="0"/>
        <w:autoSpaceDE w:val="0"/>
        <w:autoSpaceDN w:val="0"/>
        <w:adjustRightInd w:val="0"/>
        <w:snapToGrid w:val="0"/>
        <w:ind w:firstLine="720"/>
        <w:rPr>
          <w:lang w:val="es-ES"/>
        </w:rPr>
      </w:pPr>
      <w:r>
        <w:rPr>
          <w:lang w:val="es-ES"/>
        </w:rPr>
        <w:t>4</w:t>
      </w:r>
      <w:r>
        <w:rPr>
          <w:i/>
          <w:iCs/>
          <w:lang w:val="es-ES"/>
        </w:rPr>
        <w:t>.</w:t>
      </w:r>
      <w:r>
        <w:rPr>
          <w:i/>
          <w:iCs/>
          <w:lang w:val="es-ES"/>
        </w:rPr>
        <w:tab/>
        <w:t>Recomienda</w:t>
      </w:r>
      <w:r>
        <w:rPr>
          <w:lang w:val="es-ES"/>
        </w:rPr>
        <w:t xml:space="preserve"> que la Conferencia de las Partes que actúa como reunión de las Partes en el Protocolo de Cartagena sobre Seguridad de la Biotecnología tome una decisión del siguiente tenor en su décima reunión:</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i/>
          <w:iCs/>
          <w:snapToGrid w:val="0"/>
          <w:kern w:val="22"/>
          <w:lang w:val="es-ES"/>
        </w:rPr>
      </w:pPr>
      <w:r>
        <w:rPr>
          <w:rFonts w:cs="Times New Roman"/>
          <w:i/>
          <w:iCs/>
          <w:snapToGrid w:val="0"/>
          <w:kern w:val="22"/>
          <w:lang w:val="es-ES"/>
        </w:rPr>
        <w:t>La Conferencia de las Partes que actúa como reunión de las Partes en el Protocolo de Cartagena sobre Seguridad de la Biotecnología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1.</w:t>
      </w:r>
      <w:r>
        <w:rPr>
          <w:rFonts w:cs="Times New Roman"/>
          <w:snapToGrid w:val="0"/>
          <w:kern w:val="22"/>
          <w:lang w:val="es-ES"/>
        </w:rPr>
        <w:tab/>
      </w:r>
      <w:r>
        <w:rPr>
          <w:rFonts w:cs="Times New Roman"/>
          <w:i/>
          <w:iCs/>
          <w:snapToGrid w:val="0"/>
          <w:kern w:val="22"/>
          <w:lang w:val="es-ES"/>
        </w:rPr>
        <w:t>Reconoce</w:t>
      </w:r>
      <w:r>
        <w:rPr>
          <w:rFonts w:cs="Times New Roman"/>
          <w:snapToGrid w:val="0"/>
          <w:kern w:val="22"/>
          <w:lang w:val="es-ES"/>
        </w:rPr>
        <w:t xml:space="preserve"> </w:t>
      </w:r>
      <w:r>
        <w:rPr>
          <w:rFonts w:cs="Times New Roman"/>
          <w:lang w:val="es-ES"/>
        </w:rPr>
        <w:t xml:space="preserve">la utilidad del Plan Estratégico para el Protocolo de Cartagena sobre Seguridad de la Biotecnología en el período </w:t>
      </w:r>
      <w:r>
        <w:rPr>
          <w:rFonts w:cs="Times New Roman"/>
          <w:snapToGrid w:val="0"/>
          <w:kern w:val="22"/>
          <w:lang w:val="es-ES"/>
        </w:rPr>
        <w:t>2011-2020</w:t>
      </w:r>
      <w:r w:rsidR="00A12E6F">
        <w:fldChar w:fldCharType="begin"/>
      </w:r>
      <w:r w:rsidR="00A12E6F" w:rsidRPr="00A12E6F">
        <w:rPr>
          <w:lang w:val="fr-CA"/>
        </w:rPr>
        <w:instrText xml:space="preserve"> NOTEREF _Ref72410623 \h  \* MERGEFORMAT </w:instrText>
      </w:r>
      <w:r w:rsidR="00A12E6F">
        <w:fldChar w:fldCharType="separate"/>
      </w:r>
      <w:r w:rsidRPr="00A12E6F">
        <w:rPr>
          <w:lang w:val="fr-CA"/>
        </w:rPr>
        <w:t>1</w:t>
      </w:r>
      <w:r w:rsidR="00A12E6F">
        <w:fldChar w:fldCharType="end"/>
      </w:r>
      <w:r>
        <w:rPr>
          <w:rFonts w:cs="Times New Roman"/>
          <w:snapToGrid w:val="0"/>
          <w:kern w:val="22"/>
          <w:lang w:val="es-ES"/>
        </w:rPr>
        <w:t xml:space="preserve"> como </w:t>
      </w:r>
      <w:r>
        <w:rPr>
          <w:rFonts w:cs="Times New Roman"/>
          <w:lang w:val="es-ES"/>
        </w:rPr>
        <w:t>apoyo a la aplicación en el ámbito naciona</w:t>
      </w:r>
      <w:r>
        <w:rPr>
          <w:rFonts w:cs="Times New Roman"/>
          <w:snapToGrid w:val="0"/>
          <w:kern w:val="22"/>
          <w:lang w:val="es-ES"/>
        </w:rPr>
        <w:t>l;</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w:t>
      </w:r>
      <w:r>
        <w:rPr>
          <w:rFonts w:cs="Times New Roman"/>
          <w:snapToGrid w:val="0"/>
          <w:kern w:val="22"/>
          <w:lang w:val="es-ES"/>
        </w:rPr>
        <w:tab/>
      </w:r>
      <w:r>
        <w:rPr>
          <w:rFonts w:cs="Times New Roman"/>
          <w:i/>
          <w:iCs/>
          <w:snapToGrid w:val="0"/>
          <w:kern w:val="22"/>
          <w:lang w:val="es-ES"/>
        </w:rPr>
        <w:t xml:space="preserve">Reconoce también </w:t>
      </w:r>
      <w:r>
        <w:rPr>
          <w:rFonts w:cs="Times New Roman"/>
          <w:lang w:val="es-ES"/>
        </w:rPr>
        <w:t>que el marco mundial de la diversidad biológica posterior a 2020 debe contribuir a la aplicación y el cumplimiento del Protocolo de Cartagena sobre Seguridad de la Biotecnología, y reconoce la pertinencia del Protocolo, su plan de aplicación y su plan nacional de acción para la creación de capacidad a la hora de lograr los tres objetivos del Convenio sobre la Diversidad Biológica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w:t>
      </w:r>
      <w:r>
        <w:rPr>
          <w:rFonts w:cs="Times New Roman"/>
          <w:snapToGrid w:val="0"/>
          <w:kern w:val="22"/>
          <w:lang w:val="es-ES"/>
        </w:rPr>
        <w:tab/>
      </w:r>
      <w:r>
        <w:rPr>
          <w:rFonts w:cs="Times New Roman"/>
          <w:i/>
          <w:iCs/>
          <w:snapToGrid w:val="0"/>
          <w:kern w:val="22"/>
          <w:lang w:val="es-ES"/>
        </w:rPr>
        <w:t xml:space="preserve">Acoge con agrado </w:t>
      </w:r>
      <w:r>
        <w:rPr>
          <w:rFonts w:cs="Times New Roman"/>
          <w:snapToGrid w:val="0"/>
          <w:kern w:val="22"/>
          <w:lang w:val="es-ES"/>
        </w:rPr>
        <w:t xml:space="preserve">la </w:t>
      </w:r>
      <w:r>
        <w:rPr>
          <w:rFonts w:cs="Times New Roman"/>
          <w:lang w:val="es-ES"/>
        </w:rPr>
        <w:t xml:space="preserve">contribución del Grupo de Enlace del Protocolo de Cartagena y el Comité de Cumplimiento a la cuarta evaluación y revisión del Protocolo y a la evaluación final del Plan Estratégico para el Protocolo de Cartagena sobre Seguridad de la Biotecnología en el período </w:t>
      </w:r>
      <w:r>
        <w:rPr>
          <w:rFonts w:cs="Times New Roman"/>
          <w:snapToGrid w:val="0"/>
          <w:kern w:val="22"/>
          <w:lang w:val="es-ES"/>
        </w:rPr>
        <w:t>2011-2020</w:t>
      </w:r>
      <w:r w:rsidR="00A12E6F">
        <w:fldChar w:fldCharType="begin"/>
      </w:r>
      <w:r w:rsidR="00A12E6F" w:rsidRPr="00A12E6F">
        <w:rPr>
          <w:lang w:val="fr-CA"/>
        </w:rPr>
        <w:instrText xml:space="preserve"> NOTEREF _Ref72410883 \h  \* MERGEFORMAT </w:instrText>
      </w:r>
      <w:r w:rsidR="00A12E6F">
        <w:fldChar w:fldCharType="separate"/>
      </w:r>
      <w:r w:rsidRPr="00A12E6F">
        <w:rPr>
          <w:lang w:val="fr-CA"/>
        </w:rPr>
        <w:t>3</w:t>
      </w:r>
      <w:r w:rsidR="00A12E6F">
        <w:fldChar w:fldCharType="end"/>
      </w:r>
      <w:r>
        <w:rPr>
          <w:rFonts w:cs="Times New Roman"/>
          <w:snapToGrid w:val="0"/>
          <w:kern w:val="22"/>
          <w:lang w:val="es-ES"/>
        </w:rPr>
        <w:t xml:space="preserve">, </w:t>
      </w:r>
      <w:r>
        <w:rPr>
          <w:rFonts w:cs="Times New Roman"/>
          <w:lang w:val="es-ES"/>
        </w:rPr>
        <w:t xml:space="preserve">y les pide que continúen con aportaciones a la quinta evaluación y revisión </w:t>
      </w:r>
      <w:r>
        <w:rPr>
          <w:rFonts w:cs="Times New Roman"/>
          <w:lang w:val="es-ES"/>
        </w:rPr>
        <w:lastRenderedPageBreak/>
        <w:t>del</w:t>
      </w:r>
      <w:bookmarkStart w:id="2" w:name="_GoBack"/>
      <w:bookmarkEnd w:id="2"/>
      <w:r>
        <w:rPr>
          <w:rFonts w:cs="Times New Roman"/>
          <w:lang w:val="es-ES"/>
        </w:rPr>
        <w:t xml:space="preserve"> Protocolo y al proceso de evaluación del seguimiento del Plan Estratégico para el Protocolo de Cartagena, según proceda</w:t>
      </w:r>
      <w:r>
        <w:rPr>
          <w:rFonts w:cs="Times New Roman"/>
          <w:snapToGrid w:val="0"/>
          <w:kern w:val="22"/>
          <w:lang w:val="es-ES"/>
        </w:rPr>
        <w:t>;</w:t>
      </w:r>
    </w:p>
    <w:p w:rsidR="00C554B6" w:rsidRDefault="00C554B6">
      <w:pPr>
        <w:keepNext/>
        <w:suppressLineNumbers/>
        <w:tabs>
          <w:tab w:val="left" w:pos="426"/>
        </w:tabs>
        <w:suppressAutoHyphens/>
        <w:kinsoku w:val="0"/>
        <w:overflowPunct w:val="0"/>
        <w:autoSpaceDE w:val="0"/>
        <w:autoSpaceDN w:val="0"/>
        <w:adjustRightInd w:val="0"/>
        <w:snapToGrid w:val="0"/>
        <w:spacing w:before="120" w:after="120"/>
        <w:jc w:val="center"/>
        <w:rPr>
          <w:rFonts w:cs="Times New Roman"/>
          <w:b/>
          <w:bCs/>
          <w:snapToGrid w:val="0"/>
          <w:kern w:val="22"/>
          <w:lang w:val="es-ES"/>
        </w:rPr>
      </w:pPr>
      <w:r>
        <w:rPr>
          <w:rFonts w:cs="Times New Roman"/>
          <w:b/>
          <w:bCs/>
          <w:snapToGrid w:val="0"/>
          <w:kern w:val="22"/>
          <w:lang w:val="es-ES"/>
        </w:rPr>
        <w:t>A.</w:t>
      </w:r>
      <w:r>
        <w:rPr>
          <w:rFonts w:cs="Times New Roman"/>
          <w:b/>
          <w:bCs/>
          <w:snapToGrid w:val="0"/>
          <w:kern w:val="22"/>
          <w:lang w:val="es-ES"/>
        </w:rPr>
        <w:tab/>
        <w:t>Marcos nacionales de seguridad de la biotecnología</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w:t>
      </w:r>
      <w:r>
        <w:rPr>
          <w:rFonts w:cs="Times New Roman"/>
          <w:snapToGrid w:val="0"/>
          <w:kern w:val="22"/>
          <w:lang w:val="es-ES"/>
        </w:rPr>
        <w:tab/>
      </w:r>
      <w:r>
        <w:rPr>
          <w:rFonts w:cs="Times New Roman"/>
          <w:i/>
          <w:iCs/>
          <w:snapToGrid w:val="0"/>
          <w:kern w:val="22"/>
          <w:lang w:val="es-ES"/>
        </w:rPr>
        <w:t xml:space="preserve">Acoge con beneplácito </w:t>
      </w:r>
      <w:r>
        <w:rPr>
          <w:rFonts w:cs="Times New Roman"/>
          <w:snapToGrid w:val="0"/>
          <w:kern w:val="22"/>
          <w:lang w:val="es-ES"/>
        </w:rPr>
        <w:t xml:space="preserve">el </w:t>
      </w:r>
      <w:r>
        <w:rPr>
          <w:rFonts w:cs="Times New Roman"/>
          <w:lang w:val="es-ES"/>
        </w:rPr>
        <w:t>progreso realizado en el establecimiento de arreglos administrativos funcionales, observando que casi todas las Partes cuentan con personal permanente que se encarga de las funciones administrativas relacionadas con la seguridad de la biotecnología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5.</w:t>
      </w:r>
      <w:r>
        <w:rPr>
          <w:rFonts w:cs="Times New Roman"/>
          <w:snapToGrid w:val="0"/>
          <w:kern w:val="22"/>
          <w:lang w:val="es-ES"/>
        </w:rPr>
        <w:tab/>
      </w:r>
      <w:r>
        <w:rPr>
          <w:rFonts w:cs="Times New Roman"/>
          <w:i/>
          <w:iCs/>
          <w:snapToGrid w:val="0"/>
          <w:kern w:val="22"/>
          <w:lang w:val="es-ES"/>
        </w:rPr>
        <w:t>Insta</w:t>
      </w:r>
      <w:r>
        <w:rPr>
          <w:rFonts w:cs="Times New Roman"/>
          <w:snapToGrid w:val="0"/>
          <w:kern w:val="22"/>
          <w:lang w:val="es-ES"/>
        </w:rPr>
        <w:t xml:space="preserve"> </w:t>
      </w:r>
      <w:r>
        <w:rPr>
          <w:rFonts w:cs="Times New Roman"/>
          <w:lang w:val="es-ES"/>
        </w:rPr>
        <w:t>a las Partes a asignar los recursos que sean necesarios al funcionamiento de sus instituciones de seguridad de la biotecnología, dado que estas instituciones desempeñan una función crucial en la aplicación del Protocolo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6.</w:t>
      </w:r>
      <w:r>
        <w:rPr>
          <w:rFonts w:cs="Times New Roman"/>
          <w:snapToGrid w:val="0"/>
          <w:kern w:val="22"/>
          <w:lang w:val="es-ES"/>
        </w:rPr>
        <w:tab/>
      </w:r>
      <w:r>
        <w:rPr>
          <w:rFonts w:cs="Times New Roman"/>
          <w:i/>
          <w:iCs/>
          <w:snapToGrid w:val="0"/>
          <w:kern w:val="22"/>
          <w:lang w:val="es-ES"/>
        </w:rPr>
        <w:t>Insta también</w:t>
      </w:r>
      <w:r>
        <w:rPr>
          <w:rFonts w:cs="Times New Roman"/>
          <w:snapToGrid w:val="0"/>
          <w:kern w:val="22"/>
          <w:lang w:val="es-ES"/>
        </w:rPr>
        <w:t xml:space="preserve"> a las Partes a movilizar recursos de todas las fuentes nacionales e internacionales disponibles, incluidos la cooperación internacional y el sector privado, para seguir apoyando el funcionamiento de sus instituciones de seguridad de la biotecnología;</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7.</w:t>
      </w:r>
      <w:r>
        <w:rPr>
          <w:rFonts w:cs="Times New Roman"/>
          <w:snapToGrid w:val="0"/>
          <w:kern w:val="22"/>
          <w:lang w:val="es-ES"/>
        </w:rPr>
        <w:tab/>
      </w:r>
      <w:r>
        <w:rPr>
          <w:rFonts w:cs="Times New Roman"/>
          <w:i/>
          <w:iCs/>
          <w:snapToGrid w:val="0"/>
          <w:kern w:val="22"/>
          <w:lang w:val="es-ES"/>
        </w:rPr>
        <w:t xml:space="preserve">Observa </w:t>
      </w:r>
      <w:r>
        <w:rPr>
          <w:rFonts w:cs="Times New Roman"/>
          <w:snapToGrid w:val="0"/>
          <w:kern w:val="22"/>
          <w:lang w:val="es-ES"/>
        </w:rPr>
        <w:t>con gran preocupación</w:t>
      </w:r>
      <w:r>
        <w:rPr>
          <w:rFonts w:cs="Times New Roman"/>
          <w:lang w:val="es-ES"/>
        </w:rPr>
        <w:t xml:space="preserve"> que solo algo más de la mitad de las Partes ha introducido plenamente las medidas legislativas, administrativas y de otro tipo necesarias para cumplir sus obligaciones dimanantes del Protocolo y que ha habido escasos progresos en este sentido desde la evaluación de mitad de período del Plan Estratégico</w:t>
      </w:r>
      <w:r>
        <w:rPr>
          <w:rStyle w:val="FootnoteReference"/>
          <w:snapToGrid w:val="0"/>
          <w:kern w:val="22"/>
          <w:lang w:val="es-ES"/>
        </w:rPr>
        <w:footnoteReference w:id="6"/>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8.</w:t>
      </w:r>
      <w:r>
        <w:rPr>
          <w:rFonts w:cs="Times New Roman"/>
          <w:snapToGrid w:val="0"/>
          <w:kern w:val="22"/>
          <w:lang w:val="es-ES"/>
        </w:rPr>
        <w:tab/>
      </w:r>
      <w:r>
        <w:rPr>
          <w:rFonts w:cs="Times New Roman"/>
          <w:i/>
          <w:iCs/>
          <w:snapToGrid w:val="0"/>
          <w:kern w:val="22"/>
          <w:lang w:val="es-ES"/>
        </w:rPr>
        <w:t xml:space="preserve">Insta </w:t>
      </w:r>
      <w:r>
        <w:rPr>
          <w:rFonts w:cs="Times New Roman"/>
          <w:lang w:val="es-ES"/>
        </w:rPr>
        <w:t>a las Partes que aún no hayan introducido plenamente medidas legislativas, administrativas y de otro tipo para cumplir sus obligaciones dimanantes del Protocolo a que le den prioridad, en especial leyes de seguridad de la biotecnología, y reconoce que se necesita más apoyo en esta esfera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9.</w:t>
      </w:r>
      <w:r>
        <w:rPr>
          <w:rFonts w:cs="Times New Roman"/>
          <w:snapToGrid w:val="0"/>
          <w:kern w:val="22"/>
          <w:lang w:val="es-ES"/>
        </w:rPr>
        <w:tab/>
      </w:r>
      <w:r>
        <w:rPr>
          <w:rFonts w:cs="Times New Roman"/>
          <w:i/>
          <w:iCs/>
          <w:snapToGrid w:val="0"/>
          <w:kern w:val="22"/>
          <w:lang w:val="es-ES"/>
        </w:rPr>
        <w:t xml:space="preserve">Alienta </w:t>
      </w:r>
      <w:r>
        <w:rPr>
          <w:rFonts w:cs="Times New Roman"/>
          <w:snapToGrid w:val="0"/>
          <w:kern w:val="22"/>
          <w:lang w:val="es-ES"/>
        </w:rPr>
        <w:t>a las Partes a que tengan en cuenta enfoques basados en los pueblos indígenas y las comunidades locales, el género, las mujeres, los jóvenes y los derechos en sus marcos nacionales de seguridad de la biotecnología;</w:t>
      </w:r>
    </w:p>
    <w:p w:rsidR="00C554B6" w:rsidRDefault="00C554B6">
      <w:pPr>
        <w:keepNext/>
        <w:suppressLineNumbers/>
        <w:tabs>
          <w:tab w:val="left" w:pos="426"/>
        </w:tabs>
        <w:suppressAutoHyphens/>
        <w:kinsoku w:val="0"/>
        <w:overflowPunct w:val="0"/>
        <w:autoSpaceDE w:val="0"/>
        <w:autoSpaceDN w:val="0"/>
        <w:adjustRightInd w:val="0"/>
        <w:snapToGrid w:val="0"/>
        <w:spacing w:before="120" w:after="120"/>
        <w:jc w:val="center"/>
        <w:rPr>
          <w:rFonts w:cs="Times New Roman"/>
          <w:b/>
          <w:bCs/>
          <w:snapToGrid w:val="0"/>
          <w:kern w:val="22"/>
          <w:lang w:val="es-ES"/>
        </w:rPr>
      </w:pPr>
      <w:r>
        <w:rPr>
          <w:rFonts w:cs="Times New Roman"/>
          <w:b/>
          <w:bCs/>
          <w:snapToGrid w:val="0"/>
          <w:kern w:val="22"/>
          <w:lang w:val="es-ES"/>
        </w:rPr>
        <w:t>B.</w:t>
      </w:r>
      <w:r>
        <w:rPr>
          <w:rFonts w:cs="Times New Roman"/>
          <w:b/>
          <w:bCs/>
          <w:snapToGrid w:val="0"/>
          <w:kern w:val="22"/>
          <w:lang w:val="es-ES"/>
        </w:rPr>
        <w:tab/>
        <w:t>Coordinación y apoyo</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10.</w:t>
      </w:r>
      <w:r>
        <w:rPr>
          <w:rFonts w:cs="Times New Roman"/>
          <w:snapToGrid w:val="0"/>
          <w:kern w:val="22"/>
          <w:lang w:val="es-ES"/>
        </w:rPr>
        <w:tab/>
      </w:r>
      <w:r>
        <w:rPr>
          <w:rFonts w:cs="Times New Roman"/>
          <w:i/>
          <w:iCs/>
          <w:snapToGrid w:val="0"/>
          <w:kern w:val="22"/>
          <w:lang w:val="es-ES"/>
        </w:rPr>
        <w:t>Reconoce</w:t>
      </w:r>
      <w:r>
        <w:rPr>
          <w:rFonts w:cs="Times New Roman"/>
          <w:snapToGrid w:val="0"/>
          <w:kern w:val="22"/>
          <w:lang w:val="es-ES"/>
        </w:rPr>
        <w:t xml:space="preserve"> la importancia de la coordinación entre las autoridades pertinentes y a diversos niveles, y la de la integración de la seguridad de la biotecnología en todos los instrumentos sectoriales e intersectoriales pertinentes, incluidas las estrategias y planes de acción nacionales en materia de biodiversidad, para que avance la aplicación del Protocolo;</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11.</w:t>
      </w:r>
      <w:r>
        <w:rPr>
          <w:rFonts w:cs="Times New Roman"/>
          <w:snapToGrid w:val="0"/>
          <w:kern w:val="22"/>
          <w:lang w:val="es-ES"/>
        </w:rPr>
        <w:tab/>
      </w:r>
      <w:r>
        <w:rPr>
          <w:rFonts w:cs="Times New Roman"/>
          <w:i/>
          <w:iCs/>
          <w:snapToGrid w:val="0"/>
          <w:kern w:val="22"/>
          <w:lang w:val="es-ES"/>
        </w:rPr>
        <w:t xml:space="preserve">Acoge con beneplácito </w:t>
      </w:r>
      <w:r>
        <w:rPr>
          <w:rFonts w:cs="Times New Roman"/>
          <w:snapToGrid w:val="0"/>
          <w:kern w:val="22"/>
          <w:lang w:val="es-ES"/>
        </w:rPr>
        <w:t>el apoyo a la creación de capacidad prestado para promover el Plan Estratégico para el Protocolo de Cartagena, pero observa con preocupación que la satisfacción de las necesidades de creación de capacidad no ha progresado en la mayoría de las regiones;</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12.</w:t>
      </w:r>
      <w:r>
        <w:rPr>
          <w:rFonts w:cs="Times New Roman"/>
          <w:snapToGrid w:val="0"/>
          <w:kern w:val="22"/>
          <w:lang w:val="es-ES"/>
        </w:rPr>
        <w:tab/>
      </w:r>
      <w:r>
        <w:rPr>
          <w:rFonts w:cs="Times New Roman"/>
          <w:i/>
          <w:iCs/>
          <w:snapToGrid w:val="0"/>
          <w:kern w:val="22"/>
          <w:lang w:val="es-ES"/>
        </w:rPr>
        <w:t xml:space="preserve">Subraya </w:t>
      </w:r>
      <w:r>
        <w:rPr>
          <w:rFonts w:cs="Times New Roman"/>
          <w:snapToGrid w:val="0"/>
          <w:kern w:val="22"/>
          <w:lang w:val="es-ES"/>
        </w:rPr>
        <w:t xml:space="preserve">la necesidad </w:t>
      </w:r>
      <w:r>
        <w:rPr>
          <w:rFonts w:cs="Times New Roman"/>
          <w:lang w:val="es-ES"/>
        </w:rPr>
        <w:t>constante de desarrollar y fortalecer la capacidad de las Partes para aplicar el Protocolo, incluso a la luz del rápido desarrollo en curso de las biotecnologías, y reconoce la función facilitadora que puede desempeñar el plan de acción posterior a 2020 para la creación de capacidad con el fin de aplicar el Protocolo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i/>
          <w:iCs/>
          <w:snapToGrid w:val="0"/>
          <w:kern w:val="22"/>
          <w:lang w:val="es-ES"/>
        </w:rPr>
      </w:pPr>
      <w:r>
        <w:rPr>
          <w:rFonts w:cs="Times New Roman"/>
          <w:snapToGrid w:val="0"/>
          <w:kern w:val="22"/>
          <w:lang w:val="es-ES"/>
        </w:rPr>
        <w:t>13.</w:t>
      </w:r>
      <w:r>
        <w:rPr>
          <w:rFonts w:cs="Times New Roman"/>
          <w:i/>
          <w:iCs/>
          <w:snapToGrid w:val="0"/>
          <w:kern w:val="22"/>
          <w:lang w:val="es-ES"/>
        </w:rPr>
        <w:tab/>
        <w:t>Alienta</w:t>
      </w:r>
      <w:r>
        <w:rPr>
          <w:rFonts w:cs="Times New Roman"/>
          <w:snapToGrid w:val="0"/>
          <w:kern w:val="22"/>
          <w:lang w:val="es-ES"/>
        </w:rPr>
        <w:t xml:space="preserve"> a las Partes a cooperar en la creación de capacidad en materia de seguridad de la biotecnología, incluso a nivel regional;</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14.</w:t>
      </w:r>
      <w:r>
        <w:rPr>
          <w:rFonts w:cs="Times New Roman"/>
          <w:snapToGrid w:val="0"/>
          <w:kern w:val="22"/>
          <w:lang w:val="es-ES"/>
        </w:rPr>
        <w:tab/>
      </w:r>
      <w:r>
        <w:rPr>
          <w:rFonts w:cs="Times New Roman"/>
          <w:i/>
          <w:iCs/>
          <w:snapToGrid w:val="0"/>
          <w:kern w:val="22"/>
          <w:lang w:val="es-ES"/>
        </w:rPr>
        <w:t xml:space="preserve">Observa </w:t>
      </w:r>
      <w:r>
        <w:rPr>
          <w:rFonts w:cs="Times New Roman"/>
          <w:snapToGrid w:val="0"/>
          <w:kern w:val="22"/>
          <w:lang w:val="es-ES"/>
        </w:rPr>
        <w:t>con preocupación que menos Partes tenían acceso a recursos financieros adicionales aparte de sus presupuestos nacionales en comparación con la tercera evaluación y revisión y la evaluación de mitad de período del Plan Estratégico;</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lastRenderedPageBreak/>
        <w:t>15.</w:t>
      </w:r>
      <w:r>
        <w:rPr>
          <w:rFonts w:cs="Times New Roman"/>
          <w:snapToGrid w:val="0"/>
          <w:kern w:val="22"/>
          <w:lang w:val="es-ES"/>
        </w:rPr>
        <w:tab/>
      </w:r>
      <w:r>
        <w:rPr>
          <w:rFonts w:cs="Times New Roman"/>
          <w:i/>
          <w:iCs/>
          <w:snapToGrid w:val="0"/>
          <w:kern w:val="22"/>
          <w:lang w:val="es-ES"/>
        </w:rPr>
        <w:t>Recomienda</w:t>
      </w:r>
      <w:r>
        <w:rPr>
          <w:rFonts w:cs="Times New Roman"/>
          <w:snapToGrid w:val="0"/>
          <w:kern w:val="22"/>
          <w:lang w:val="es-ES"/>
        </w:rPr>
        <w:t xml:space="preserve"> que la </w:t>
      </w:r>
      <w:r>
        <w:rPr>
          <w:rFonts w:cs="Times New Roman"/>
          <w:lang w:val="es-ES"/>
        </w:rPr>
        <w:t>Conferencia de las Partes, al adoptar su orientación para el mecanismo financiero con respecto al apoyo a la aplicación del Protocolo de Cartagena sobre Seguridad de la Biotecnología, invite al Fondo para el Medio Ambiente Mundial a seguir prestando asistencia a las Partes que reúnan los requisitos necesarios para que lleven a cabo actividades en las siguientes esferas prioritarias teniendo en cuenta las necesidades de apoyo adicional identificadas en la presente decisión: elaboración e implementación de medidas legislativas, administrativas y de otro tipo para aplicar el Protocolo; evaluación del riesgo y gestión del riesgo; detección e identificación de organismos vivos modificados; concienciación, educación y participación del público; consideraciones socioeconómicas; responsabilidad y compensación</w:t>
      </w:r>
      <w:r>
        <w:rPr>
          <w:rFonts w:cs="Times New Roman"/>
          <w:snapToGrid w:val="0"/>
          <w:kern w:val="22"/>
          <w:lang w:val="es-ES"/>
        </w:rPr>
        <w:t>; presentación de informes nacionales y transferencia de tecnología;</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color w:val="0070C0"/>
          <w:kern w:val="22"/>
          <w:lang w:val="es-ES"/>
        </w:rPr>
      </w:pPr>
      <w:r>
        <w:rPr>
          <w:rFonts w:cs="Times New Roman"/>
          <w:snapToGrid w:val="0"/>
          <w:kern w:val="22"/>
          <w:lang w:val="es-ES"/>
        </w:rPr>
        <w:t>16.</w:t>
      </w:r>
      <w:r>
        <w:rPr>
          <w:rFonts w:cs="Times New Roman"/>
          <w:snapToGrid w:val="0"/>
          <w:kern w:val="22"/>
          <w:lang w:val="es-ES"/>
        </w:rPr>
        <w:tab/>
      </w:r>
      <w:r>
        <w:rPr>
          <w:rFonts w:cs="Times New Roman"/>
          <w:i/>
          <w:iCs/>
          <w:snapToGrid w:val="0"/>
          <w:kern w:val="22"/>
          <w:lang w:val="es-ES"/>
        </w:rPr>
        <w:t xml:space="preserve">Pide </w:t>
      </w:r>
      <w:r>
        <w:rPr>
          <w:rFonts w:cs="Times New Roman"/>
          <w:snapToGrid w:val="0"/>
          <w:kern w:val="22"/>
          <w:lang w:val="es-ES"/>
        </w:rPr>
        <w:t>al Fondo para el Medio Ambiente Mundial que cree una ventanilla de financiación para el Protocolo de Cartagena sobre Seguridad de la Biotecnología para apoyar a las Partes que reúnan los requisitos necesarios para la aplicación del Protocolo;</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17.</w:t>
      </w:r>
      <w:r>
        <w:rPr>
          <w:rFonts w:cs="Times New Roman"/>
          <w:snapToGrid w:val="0"/>
          <w:kern w:val="22"/>
          <w:lang w:val="es-ES"/>
        </w:rPr>
        <w:tab/>
      </w:r>
      <w:r>
        <w:rPr>
          <w:rFonts w:cs="Times New Roman"/>
          <w:i/>
          <w:iCs/>
          <w:snapToGrid w:val="0"/>
          <w:kern w:val="22"/>
          <w:lang w:val="es-ES"/>
        </w:rPr>
        <w:t xml:space="preserve">Insta </w:t>
      </w:r>
      <w:r>
        <w:rPr>
          <w:rFonts w:cs="Times New Roman"/>
          <w:snapToGrid w:val="0"/>
          <w:kern w:val="22"/>
          <w:lang w:val="es-ES"/>
        </w:rPr>
        <w:t>a las</w:t>
      </w:r>
      <w:r>
        <w:rPr>
          <w:rFonts w:cs="Times New Roman"/>
          <w:lang w:val="es-ES"/>
        </w:rPr>
        <w:t xml:space="preserve"> Partes e </w:t>
      </w:r>
      <w:r>
        <w:rPr>
          <w:rFonts w:cs="Times New Roman"/>
          <w:i/>
          <w:iCs/>
          <w:lang w:val="es-ES"/>
        </w:rPr>
        <w:t>invita</w:t>
      </w:r>
      <w:r>
        <w:rPr>
          <w:rFonts w:cs="Times New Roman"/>
          <w:lang w:val="es-ES"/>
        </w:rPr>
        <w:t xml:space="preserve"> a otros Gobiernos, donantes e iniciativas de creación de capacidad en materia de seguridad de la biotecnología, a que aporten recursos para apoyar los esfuerzos de las Partes por fortalecer su capacidad y mejorar la aplicación del Protocolo de Cartagena en las esferas prioritarias mencionadas en el párrafo </w:t>
      </w:r>
      <w:r>
        <w:rPr>
          <w:rFonts w:cs="Times New Roman"/>
          <w:snapToGrid w:val="0"/>
          <w:kern w:val="22"/>
          <w:lang w:val="es-ES"/>
        </w:rPr>
        <w:t>15 </w:t>
      </w:r>
      <w:r>
        <w:rPr>
          <w:rFonts w:cs="Times New Roman"/>
          <w:i/>
          <w:iCs/>
          <w:snapToGrid w:val="0"/>
          <w:kern w:val="22"/>
          <w:lang w:val="es-ES"/>
        </w:rPr>
        <w:t>supra</w:t>
      </w:r>
      <w:r>
        <w:rPr>
          <w:rFonts w:cs="Times New Roman"/>
          <w:snapToGrid w:val="0"/>
          <w:kern w:val="22"/>
          <w:lang w:val="es-ES"/>
        </w:rPr>
        <w:t>;</w:t>
      </w:r>
    </w:p>
    <w:p w:rsidR="00C554B6" w:rsidRDefault="00C554B6">
      <w:pPr>
        <w:keepNext/>
        <w:suppressLineNumbers/>
        <w:tabs>
          <w:tab w:val="left" w:pos="426"/>
        </w:tabs>
        <w:suppressAutoHyphens/>
        <w:kinsoku w:val="0"/>
        <w:overflowPunct w:val="0"/>
        <w:autoSpaceDE w:val="0"/>
        <w:autoSpaceDN w:val="0"/>
        <w:adjustRightInd w:val="0"/>
        <w:snapToGrid w:val="0"/>
        <w:spacing w:before="120" w:after="120"/>
        <w:jc w:val="center"/>
        <w:rPr>
          <w:rFonts w:cs="Times New Roman"/>
          <w:b/>
          <w:bCs/>
          <w:snapToGrid w:val="0"/>
          <w:kern w:val="22"/>
          <w:lang w:val="es-ES"/>
        </w:rPr>
      </w:pPr>
      <w:r>
        <w:rPr>
          <w:rFonts w:cs="Times New Roman"/>
          <w:b/>
          <w:bCs/>
          <w:snapToGrid w:val="0"/>
          <w:kern w:val="22"/>
          <w:lang w:val="es-ES"/>
        </w:rPr>
        <w:t>C.</w:t>
      </w:r>
      <w:r>
        <w:rPr>
          <w:rFonts w:cs="Times New Roman"/>
          <w:b/>
          <w:bCs/>
          <w:snapToGrid w:val="0"/>
          <w:kern w:val="22"/>
          <w:lang w:val="es-ES"/>
        </w:rPr>
        <w:tab/>
        <w:t xml:space="preserve">Evaluación </w:t>
      </w:r>
      <w:r>
        <w:rPr>
          <w:rFonts w:cs="Times New Roman"/>
          <w:b/>
          <w:bCs/>
          <w:lang w:val="es-ES"/>
        </w:rPr>
        <w:t>del riesgo y gestión del riesgo</w:t>
      </w:r>
      <w:r>
        <w:rPr>
          <w:rFonts w:cs="Times New Roman"/>
          <w:b/>
          <w:bCs/>
          <w:snapToGrid w:val="0"/>
          <w:kern w:val="22"/>
          <w:lang w:val="es-ES"/>
        </w:rPr>
        <w:t xml:space="preserve"> </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18.</w:t>
      </w:r>
      <w:r>
        <w:rPr>
          <w:rFonts w:cs="Times New Roman"/>
          <w:snapToGrid w:val="0"/>
          <w:kern w:val="22"/>
          <w:lang w:val="es-ES"/>
        </w:rPr>
        <w:tab/>
      </w:r>
      <w:r>
        <w:rPr>
          <w:rFonts w:cs="Times New Roman"/>
          <w:i/>
          <w:iCs/>
          <w:snapToGrid w:val="0"/>
          <w:kern w:val="22"/>
          <w:lang w:val="es-ES"/>
        </w:rPr>
        <w:t xml:space="preserve">Acoge </w:t>
      </w:r>
      <w:r>
        <w:rPr>
          <w:rFonts w:cs="Times New Roman"/>
          <w:i/>
          <w:iCs/>
          <w:lang w:val="es-ES"/>
        </w:rPr>
        <w:t>con satisfacción</w:t>
      </w:r>
      <w:r>
        <w:rPr>
          <w:rFonts w:cs="Times New Roman"/>
          <w:lang w:val="es-ES"/>
        </w:rPr>
        <w:t xml:space="preserve"> el progreso de las Partes en la realización de evaluaciones del riesgo de conformidad con el Protocolo y en la publicación de informes resumidos de sus evaluaciones del riesgo y de sus decisiones en el Centro de Intercambio de Información sobre Seguridad de la Biotecnología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19.</w:t>
      </w:r>
      <w:r>
        <w:rPr>
          <w:rFonts w:cs="Times New Roman"/>
          <w:snapToGrid w:val="0"/>
          <w:kern w:val="22"/>
          <w:lang w:val="es-ES"/>
        </w:rPr>
        <w:tab/>
      </w:r>
      <w:r>
        <w:rPr>
          <w:rFonts w:cs="Times New Roman"/>
          <w:i/>
          <w:iCs/>
          <w:snapToGrid w:val="0"/>
          <w:kern w:val="22"/>
          <w:lang w:val="es-ES"/>
        </w:rPr>
        <w:t>También acog</w:t>
      </w:r>
      <w:r>
        <w:rPr>
          <w:rFonts w:cs="Times New Roman"/>
          <w:i/>
          <w:iCs/>
          <w:lang w:val="es-ES"/>
        </w:rPr>
        <w:t>e con satisfacción</w:t>
      </w:r>
      <w:r>
        <w:rPr>
          <w:rFonts w:cs="Times New Roman"/>
          <w:lang w:val="es-ES"/>
        </w:rPr>
        <w:t xml:space="preserve"> el progreso de las Partes en la adopción de enfoques comunes de evaluación del riesgo, de conformidad con el anexo III del Protocolo de Cartagena, y de gestión del riesgo y en la adopción o utilización de documentos de orientación voluntaria con el fin de realizar evaluaciones del riesgo o de evaluar informes resumidos sobre evaluaciones del riesgo presentados por notificadore</w:t>
      </w:r>
      <w:r>
        <w:rPr>
          <w:rFonts w:cs="Times New Roman"/>
          <w:snapToGrid w:val="0"/>
          <w:kern w:val="22"/>
          <w:lang w:val="es-ES"/>
        </w:rPr>
        <w:t>s;</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20.</w:t>
      </w:r>
      <w:r>
        <w:rPr>
          <w:rFonts w:cs="Times New Roman"/>
          <w:snapToGrid w:val="0"/>
          <w:kern w:val="22"/>
          <w:lang w:val="es-ES"/>
        </w:rPr>
        <w:tab/>
      </w:r>
      <w:r>
        <w:rPr>
          <w:rFonts w:cs="Times New Roman"/>
          <w:i/>
          <w:iCs/>
          <w:snapToGrid w:val="0"/>
          <w:kern w:val="22"/>
          <w:lang w:val="es-ES"/>
        </w:rPr>
        <w:t xml:space="preserve">Reconoce </w:t>
      </w:r>
      <w:r>
        <w:rPr>
          <w:rFonts w:cs="Times New Roman"/>
          <w:snapToGrid w:val="0"/>
          <w:kern w:val="22"/>
          <w:lang w:val="es-ES"/>
        </w:rPr>
        <w:t>la</w:t>
      </w:r>
      <w:r>
        <w:rPr>
          <w:rFonts w:cs="Times New Roman"/>
          <w:lang w:val="es-ES"/>
        </w:rPr>
        <w:t xml:space="preserve"> necesidad de seguir prestando apoyo para la evaluación del riesgo y la gestión del riesgo, por ejemplo, fortaleciendo la capacidad de recursos humanos y facilitando el acceso a recursos financieros suficientes, a conocimientos científicos y a una infraestructura técnica adecuados</w:t>
      </w:r>
      <w:r>
        <w:rPr>
          <w:rFonts w:cs="Times New Roman"/>
          <w:snapToGrid w:val="0"/>
          <w:kern w:val="22"/>
          <w:lang w:val="es-ES"/>
        </w:rPr>
        <w:t>, teniendo también en cuenta los conocimientos, innovaciones, prácticas y tecnologías indígenas y locales pertinentes;</w:t>
      </w:r>
    </w:p>
    <w:p w:rsidR="00C554B6" w:rsidRDefault="00C554B6">
      <w:pPr>
        <w:keepNext/>
        <w:suppressLineNumbers/>
        <w:tabs>
          <w:tab w:val="left" w:pos="426"/>
        </w:tabs>
        <w:suppressAutoHyphens/>
        <w:kinsoku w:val="0"/>
        <w:overflowPunct w:val="0"/>
        <w:autoSpaceDE w:val="0"/>
        <w:autoSpaceDN w:val="0"/>
        <w:adjustRightInd w:val="0"/>
        <w:snapToGrid w:val="0"/>
        <w:spacing w:before="120" w:after="120"/>
        <w:jc w:val="center"/>
        <w:rPr>
          <w:rFonts w:cs="Times New Roman"/>
          <w:b/>
          <w:bCs/>
          <w:snapToGrid w:val="0"/>
          <w:kern w:val="22"/>
          <w:lang w:val="es-ES"/>
        </w:rPr>
      </w:pPr>
      <w:r>
        <w:rPr>
          <w:rFonts w:cs="Times New Roman"/>
          <w:b/>
          <w:bCs/>
          <w:snapToGrid w:val="0"/>
          <w:kern w:val="22"/>
          <w:lang w:val="es-ES"/>
        </w:rPr>
        <w:t>D.</w:t>
      </w:r>
      <w:r>
        <w:rPr>
          <w:rFonts w:cs="Times New Roman"/>
          <w:b/>
          <w:bCs/>
          <w:snapToGrid w:val="0"/>
          <w:kern w:val="22"/>
          <w:lang w:val="es-ES"/>
        </w:rPr>
        <w:tab/>
        <w:t xml:space="preserve">Organismos </w:t>
      </w:r>
      <w:r>
        <w:rPr>
          <w:rFonts w:cs="Times New Roman"/>
          <w:b/>
          <w:bCs/>
          <w:lang w:val="es-ES"/>
        </w:rPr>
        <w:t>vivos modificados o rasgos que puedan tener efectos adversos</w:t>
      </w:r>
      <w:r>
        <w:rPr>
          <w:rFonts w:cs="Times New Roman"/>
          <w:b/>
          <w:bCs/>
          <w:snapToGrid w:val="0"/>
          <w:kern w:val="22"/>
          <w:lang w:val="es-ES"/>
        </w:rPr>
        <w:t xml:space="preserve"> </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21.</w:t>
      </w:r>
      <w:r>
        <w:rPr>
          <w:rFonts w:cs="Times New Roman"/>
          <w:snapToGrid w:val="0"/>
          <w:kern w:val="22"/>
          <w:lang w:val="es-ES"/>
        </w:rPr>
        <w:tab/>
      </w:r>
      <w:r>
        <w:rPr>
          <w:rFonts w:cs="Times New Roman"/>
          <w:i/>
          <w:iCs/>
          <w:snapToGrid w:val="0"/>
          <w:kern w:val="22"/>
          <w:lang w:val="es-ES"/>
        </w:rPr>
        <w:t xml:space="preserve">Alaba </w:t>
      </w:r>
      <w:r>
        <w:rPr>
          <w:rFonts w:cs="Times New Roman"/>
          <w:snapToGrid w:val="0"/>
          <w:kern w:val="22"/>
          <w:lang w:val="es-ES"/>
        </w:rPr>
        <w:t xml:space="preserve">el </w:t>
      </w:r>
      <w:r>
        <w:rPr>
          <w:rFonts w:cs="Times New Roman"/>
          <w:lang w:val="es-ES"/>
        </w:rPr>
        <w:t>gran número de Partes que han adquirido la capacidad de identificar, evaluar y supervisar los organismos vivos modificados o rasgos que puedan tener efectos adversos en la conservación y la utilización sostenible de la diversidad biológica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22.</w:t>
      </w:r>
      <w:r>
        <w:rPr>
          <w:rFonts w:cs="Times New Roman"/>
          <w:snapToGrid w:val="0"/>
          <w:kern w:val="22"/>
          <w:lang w:val="es-ES"/>
        </w:rPr>
        <w:tab/>
      </w:r>
      <w:r>
        <w:rPr>
          <w:rFonts w:cs="Times New Roman"/>
          <w:i/>
          <w:iCs/>
          <w:snapToGrid w:val="0"/>
          <w:kern w:val="22"/>
          <w:lang w:val="es-ES"/>
        </w:rPr>
        <w:t>Reconoce</w:t>
      </w:r>
      <w:r>
        <w:rPr>
          <w:rFonts w:cs="Times New Roman"/>
          <w:snapToGrid w:val="0"/>
          <w:kern w:val="22"/>
          <w:lang w:val="es-ES"/>
        </w:rPr>
        <w:t xml:space="preserve">, </w:t>
      </w:r>
      <w:r>
        <w:rPr>
          <w:rFonts w:cs="Times New Roman"/>
          <w:lang w:val="es-ES"/>
        </w:rPr>
        <w:t>sin embargo, que se necesita más apoyo para fortalecer la capacidad de recursos humanos</w:t>
      </w:r>
      <w:r>
        <w:rPr>
          <w:rFonts w:cs="Times New Roman"/>
          <w:snapToGrid w:val="0"/>
          <w:kern w:val="22"/>
          <w:lang w:val="es-ES"/>
        </w:rPr>
        <w:t xml:space="preserve">, especialmente mediante una mayor cooperación internacional entre las Partes, para identificar organismos vivos modificados o rasgos específicos que puedan tener efectos adversos en la conservación y la utilización sostenible de la diversidad biológica, y para facilitar </w:t>
      </w:r>
      <w:r>
        <w:rPr>
          <w:rFonts w:cs="Times New Roman"/>
          <w:lang w:val="es-ES"/>
        </w:rPr>
        <w:t>el acceso a una infraestructura técnica adecuada para identificar, evaluar y supervisar los organismos vivos modificados,</w:t>
      </w:r>
      <w:r>
        <w:rPr>
          <w:rFonts w:cs="Times New Roman"/>
          <w:snapToGrid w:val="0"/>
          <w:kern w:val="22"/>
          <w:lang w:val="es-ES"/>
        </w:rPr>
        <w:t xml:space="preserve"> conforme a lo dispuesto en el artículo 16</w:t>
      </w:r>
      <w:r>
        <w:rPr>
          <w:rFonts w:cs="Times New Roman"/>
          <w:lang w:val="es-ES"/>
        </w:rPr>
        <w:t>;</w:t>
      </w:r>
    </w:p>
    <w:p w:rsidR="00C554B6" w:rsidRDefault="00C554B6">
      <w:pPr>
        <w:keepNext/>
        <w:suppressLineNumbers/>
        <w:tabs>
          <w:tab w:val="left" w:pos="426"/>
        </w:tabs>
        <w:suppressAutoHyphens/>
        <w:kinsoku w:val="0"/>
        <w:overflowPunct w:val="0"/>
        <w:autoSpaceDE w:val="0"/>
        <w:autoSpaceDN w:val="0"/>
        <w:adjustRightInd w:val="0"/>
        <w:snapToGrid w:val="0"/>
        <w:spacing w:before="120" w:after="120"/>
        <w:jc w:val="center"/>
        <w:rPr>
          <w:rFonts w:cs="Times New Roman"/>
          <w:b/>
          <w:bCs/>
          <w:snapToGrid w:val="0"/>
          <w:kern w:val="22"/>
          <w:lang w:val="es-ES"/>
        </w:rPr>
      </w:pPr>
      <w:r>
        <w:rPr>
          <w:rFonts w:cs="Times New Roman"/>
          <w:b/>
          <w:bCs/>
          <w:snapToGrid w:val="0"/>
          <w:kern w:val="22"/>
          <w:lang w:val="es-ES"/>
        </w:rPr>
        <w:t>E.</w:t>
      </w:r>
      <w:r>
        <w:rPr>
          <w:rFonts w:cs="Times New Roman"/>
          <w:b/>
          <w:bCs/>
          <w:snapToGrid w:val="0"/>
          <w:kern w:val="22"/>
          <w:lang w:val="es-ES"/>
        </w:rPr>
        <w:tab/>
        <w:t xml:space="preserve">Responsabilidad </w:t>
      </w:r>
      <w:r>
        <w:rPr>
          <w:rFonts w:cs="Times New Roman"/>
          <w:b/>
          <w:bCs/>
          <w:lang w:val="es-ES"/>
        </w:rPr>
        <w:t>y compensación</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23.</w:t>
      </w:r>
      <w:r>
        <w:rPr>
          <w:rFonts w:cs="Times New Roman"/>
          <w:snapToGrid w:val="0"/>
          <w:kern w:val="22"/>
          <w:lang w:val="es-ES"/>
        </w:rPr>
        <w:tab/>
      </w:r>
      <w:r>
        <w:rPr>
          <w:rFonts w:cs="Times New Roman"/>
          <w:i/>
          <w:iCs/>
          <w:snapToGrid w:val="0"/>
          <w:kern w:val="22"/>
          <w:lang w:val="es-ES"/>
        </w:rPr>
        <w:t xml:space="preserve">Observa </w:t>
      </w:r>
      <w:r>
        <w:rPr>
          <w:rFonts w:cs="Times New Roman"/>
          <w:i/>
          <w:iCs/>
          <w:lang w:val="es-ES"/>
        </w:rPr>
        <w:t>con pesar</w:t>
      </w:r>
      <w:r>
        <w:rPr>
          <w:rFonts w:cs="Times New Roman"/>
          <w:lang w:val="es-ES"/>
        </w:rPr>
        <w:t xml:space="preserve"> el limitado número de Partes en el Protocolo de Cartagena sobre Seguridad de la Biotecnología que ha ratificado el Protocolo de Nagoya-Kuala Lumpur sobre Responsabilidad y Compensación Suplementario al Protocolo de Cartagena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lastRenderedPageBreak/>
        <w:t>24.</w:t>
      </w:r>
      <w:r>
        <w:rPr>
          <w:rFonts w:cs="Times New Roman"/>
          <w:snapToGrid w:val="0"/>
          <w:kern w:val="22"/>
          <w:lang w:val="es-ES"/>
        </w:rPr>
        <w:tab/>
      </w:r>
      <w:r>
        <w:rPr>
          <w:rFonts w:cs="Times New Roman"/>
          <w:i/>
          <w:iCs/>
          <w:snapToGrid w:val="0"/>
          <w:kern w:val="22"/>
          <w:lang w:val="es-ES"/>
        </w:rPr>
        <w:t xml:space="preserve">Pide </w:t>
      </w:r>
      <w:r>
        <w:rPr>
          <w:rFonts w:cs="Times New Roman"/>
          <w:lang w:val="es-ES"/>
        </w:rPr>
        <w:t>a la Secretaria Ejecutiva que, con sujeción a la disponibilidad de recursos, emprenda actividades de concienciación para apoyar los esfuerzos de ratificación, e invita a otros asociados a que también emprendan actividades de concienciación sobre el Protocolo Suplementario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25.</w:t>
      </w:r>
      <w:r>
        <w:rPr>
          <w:rFonts w:cs="Times New Roman"/>
          <w:snapToGrid w:val="0"/>
          <w:kern w:val="22"/>
          <w:lang w:val="es-ES"/>
        </w:rPr>
        <w:tab/>
      </w:r>
      <w:r>
        <w:rPr>
          <w:rFonts w:cs="Times New Roman"/>
          <w:i/>
          <w:iCs/>
          <w:snapToGrid w:val="0"/>
          <w:kern w:val="22"/>
          <w:lang w:val="es-ES"/>
        </w:rPr>
        <w:t xml:space="preserve">Acoge </w:t>
      </w:r>
      <w:r>
        <w:rPr>
          <w:rFonts w:cs="Times New Roman"/>
          <w:i/>
          <w:iCs/>
          <w:lang w:val="es-ES"/>
        </w:rPr>
        <w:t>con satisfacción</w:t>
      </w:r>
      <w:r>
        <w:rPr>
          <w:rFonts w:cs="Times New Roman"/>
          <w:lang w:val="es-ES"/>
        </w:rPr>
        <w:t xml:space="preserve"> el progreso de las Partes en el Protocolo Suplementario en la introducción de medidas para aplicarlo, reconociendo al mismo tiempo que se necesita apoyo para las Partes en dicho Protocolo que tienen dificultades para hacerlo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jc w:val="center"/>
        <w:rPr>
          <w:rFonts w:cs="Times New Roman"/>
          <w:b/>
          <w:bCs/>
          <w:snapToGrid w:val="0"/>
          <w:kern w:val="22"/>
          <w:lang w:val="es-ES"/>
        </w:rPr>
      </w:pPr>
      <w:r>
        <w:rPr>
          <w:rFonts w:cs="Times New Roman"/>
          <w:b/>
          <w:bCs/>
          <w:snapToGrid w:val="0"/>
          <w:kern w:val="22"/>
          <w:lang w:val="es-ES"/>
        </w:rPr>
        <w:t xml:space="preserve">F. </w:t>
      </w:r>
      <w:r>
        <w:rPr>
          <w:rFonts w:cs="Times New Roman"/>
          <w:b/>
          <w:bCs/>
          <w:snapToGrid w:val="0"/>
          <w:kern w:val="22"/>
          <w:lang w:val="es-ES"/>
        </w:rPr>
        <w:tab/>
        <w:t xml:space="preserve">Manipulación, </w:t>
      </w:r>
      <w:r>
        <w:rPr>
          <w:rFonts w:cs="Times New Roman"/>
          <w:b/>
          <w:bCs/>
          <w:lang w:val="es-ES"/>
        </w:rPr>
        <w:t>transporte, envasado e identificación</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26.</w:t>
      </w:r>
      <w:r>
        <w:rPr>
          <w:rFonts w:cs="Times New Roman"/>
          <w:snapToGrid w:val="0"/>
          <w:kern w:val="22"/>
          <w:lang w:val="es-ES"/>
        </w:rPr>
        <w:tab/>
      </w:r>
      <w:r>
        <w:rPr>
          <w:rFonts w:cs="Times New Roman"/>
          <w:i/>
          <w:iCs/>
          <w:snapToGrid w:val="0"/>
          <w:kern w:val="22"/>
          <w:lang w:val="es-ES"/>
        </w:rPr>
        <w:t xml:space="preserve">Acoge </w:t>
      </w:r>
      <w:r>
        <w:rPr>
          <w:rFonts w:cs="Times New Roman"/>
          <w:i/>
          <w:iCs/>
          <w:lang w:val="es-ES"/>
        </w:rPr>
        <w:t xml:space="preserve">con agrado </w:t>
      </w:r>
      <w:r>
        <w:rPr>
          <w:rFonts w:cs="Times New Roman"/>
          <w:lang w:val="es-ES"/>
        </w:rPr>
        <w:t>el hecho de que casi todas las Partes hayan capacitado a personal de laboratorio para detectar organismos vivos modificados, reconociendo al mismo tiempo que alrededor de la mitad de estas Partes ha indicado que haría falta más capacitación</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27.</w:t>
      </w:r>
      <w:r>
        <w:rPr>
          <w:rFonts w:cs="Times New Roman"/>
          <w:snapToGrid w:val="0"/>
          <w:kern w:val="22"/>
          <w:lang w:val="es-ES"/>
        </w:rPr>
        <w:tab/>
      </w:r>
      <w:r>
        <w:rPr>
          <w:rFonts w:cs="Times New Roman"/>
          <w:i/>
          <w:iCs/>
          <w:snapToGrid w:val="0"/>
          <w:kern w:val="22"/>
          <w:lang w:val="es-ES"/>
        </w:rPr>
        <w:t xml:space="preserve">Observa </w:t>
      </w:r>
      <w:r>
        <w:rPr>
          <w:rFonts w:cs="Times New Roman"/>
          <w:lang w:val="es-ES"/>
        </w:rPr>
        <w:t xml:space="preserve">que la mayoría de las Partes informaron de que tenían acceso fiable a laboratorios, aunque </w:t>
      </w:r>
      <w:r>
        <w:rPr>
          <w:rFonts w:cs="Times New Roman"/>
          <w:i/>
          <w:iCs/>
          <w:lang w:val="es-ES"/>
        </w:rPr>
        <w:t>observa con preocupación</w:t>
      </w:r>
      <w:r>
        <w:rPr>
          <w:rFonts w:cs="Times New Roman"/>
          <w:lang w:val="es-ES"/>
        </w:rPr>
        <w:t xml:space="preserve"> que otras Partes siguen enfrentándose a dificultades y que se necesita apoyo en este sentido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jc w:val="center"/>
        <w:rPr>
          <w:rFonts w:cs="Times New Roman"/>
          <w:b/>
          <w:bCs/>
          <w:snapToGrid w:val="0"/>
          <w:kern w:val="22"/>
          <w:lang w:val="es-ES"/>
        </w:rPr>
      </w:pPr>
      <w:r>
        <w:rPr>
          <w:rFonts w:cs="Times New Roman"/>
          <w:b/>
          <w:bCs/>
          <w:snapToGrid w:val="0"/>
          <w:kern w:val="22"/>
          <w:lang w:val="es-ES"/>
        </w:rPr>
        <w:t>G.</w:t>
      </w:r>
      <w:r>
        <w:rPr>
          <w:rFonts w:cs="Times New Roman"/>
          <w:b/>
          <w:bCs/>
          <w:snapToGrid w:val="0"/>
          <w:kern w:val="22"/>
          <w:lang w:val="es-ES"/>
        </w:rPr>
        <w:tab/>
        <w:t>Consideraciones s</w:t>
      </w:r>
      <w:r>
        <w:rPr>
          <w:rFonts w:cs="Times New Roman"/>
          <w:b/>
          <w:bCs/>
          <w:lang w:val="es-ES"/>
        </w:rPr>
        <w:t>ocioeconómicas</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28.</w:t>
      </w:r>
      <w:r>
        <w:rPr>
          <w:rFonts w:cs="Times New Roman"/>
          <w:snapToGrid w:val="0"/>
          <w:kern w:val="22"/>
          <w:lang w:val="es-ES"/>
        </w:rPr>
        <w:tab/>
      </w:r>
      <w:r>
        <w:rPr>
          <w:rFonts w:cs="Times New Roman"/>
          <w:i/>
          <w:iCs/>
          <w:snapToGrid w:val="0"/>
          <w:kern w:val="22"/>
          <w:lang w:val="es-ES"/>
        </w:rPr>
        <w:t xml:space="preserve">Observa </w:t>
      </w:r>
      <w:r>
        <w:rPr>
          <w:rFonts w:cs="Times New Roman"/>
          <w:lang w:val="es-ES"/>
        </w:rPr>
        <w:t xml:space="preserve">que aproximadamente la mitad de las Partes tiene enfoques o requisitos específicos que facilitan que se tengan en cuenta consideraciones socioeconómicas al tomar decisiones sobre los organismos vivos modificados y </w:t>
      </w:r>
      <w:r>
        <w:rPr>
          <w:rFonts w:cs="Times New Roman"/>
          <w:i/>
          <w:iCs/>
          <w:snapToGrid w:val="0"/>
          <w:kern w:val="22"/>
          <w:lang w:val="es-ES"/>
        </w:rPr>
        <w:t xml:space="preserve">alienta </w:t>
      </w:r>
      <w:r>
        <w:rPr>
          <w:rFonts w:cs="Times New Roman"/>
          <w:snapToGrid w:val="0"/>
          <w:kern w:val="22"/>
          <w:lang w:val="es-ES"/>
        </w:rPr>
        <w:t>a las Partes que aún no lo hayan hecho, a que formulen dichos enfoques o requisitos, según proceda y de acuerdo con sus circunstancias y capacidades;</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29.</w:t>
      </w:r>
      <w:r>
        <w:rPr>
          <w:rFonts w:cs="Times New Roman"/>
          <w:snapToGrid w:val="0"/>
          <w:kern w:val="22"/>
          <w:lang w:val="es-ES"/>
        </w:rPr>
        <w:tab/>
      </w:r>
      <w:r>
        <w:rPr>
          <w:rFonts w:cs="Times New Roman"/>
          <w:i/>
          <w:iCs/>
          <w:snapToGrid w:val="0"/>
          <w:kern w:val="22"/>
          <w:lang w:val="es-ES"/>
        </w:rPr>
        <w:t xml:space="preserve">Observa </w:t>
      </w:r>
      <w:r>
        <w:rPr>
          <w:rFonts w:cs="Times New Roman"/>
          <w:snapToGrid w:val="0"/>
          <w:kern w:val="22"/>
          <w:lang w:val="es-ES"/>
        </w:rPr>
        <w:t xml:space="preserve">que se debería reunir y compartir más información sobre metodologías y enfoques, y </w:t>
      </w:r>
      <w:r>
        <w:rPr>
          <w:rFonts w:cs="Times New Roman"/>
          <w:i/>
          <w:iCs/>
          <w:snapToGrid w:val="0"/>
          <w:kern w:val="22"/>
          <w:lang w:val="es-ES"/>
        </w:rPr>
        <w:t xml:space="preserve">alienta </w:t>
      </w:r>
      <w:r>
        <w:rPr>
          <w:rFonts w:cs="Times New Roman"/>
          <w:snapToGrid w:val="0"/>
          <w:kern w:val="22"/>
          <w:lang w:val="es-ES"/>
        </w:rPr>
        <w:t xml:space="preserve">a las Partes </w:t>
      </w:r>
      <w:r>
        <w:rPr>
          <w:rFonts w:cs="Times New Roman"/>
          <w:lang w:val="es-ES"/>
        </w:rPr>
        <w:t>a intercambiar los resultados de sus investigaciones de consideraciones socioeconómicas y cualquier otra información al respecto</w:t>
      </w:r>
      <w:r>
        <w:rPr>
          <w:rFonts w:cs="Times New Roman"/>
          <w:snapToGrid w:val="0"/>
          <w:kern w:val="22"/>
          <w:lang w:val="es-ES"/>
        </w:rPr>
        <w:t xml:space="preserve"> para apoyar a las Partes que deseen hacerlo para tener en cuenta dichas consideraciones;</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30.</w:t>
      </w:r>
      <w:r>
        <w:rPr>
          <w:rFonts w:cs="Times New Roman"/>
          <w:snapToGrid w:val="0"/>
          <w:kern w:val="22"/>
          <w:lang w:val="es-ES"/>
        </w:rPr>
        <w:tab/>
      </w:r>
      <w:r>
        <w:rPr>
          <w:rFonts w:cs="Times New Roman"/>
          <w:i/>
          <w:iCs/>
          <w:snapToGrid w:val="0"/>
          <w:kern w:val="22"/>
          <w:lang w:val="es-ES"/>
        </w:rPr>
        <w:t xml:space="preserve">Alienta también </w:t>
      </w:r>
      <w:r>
        <w:rPr>
          <w:rFonts w:cs="Times New Roman"/>
          <w:snapToGrid w:val="0"/>
          <w:kern w:val="22"/>
          <w:lang w:val="es-ES"/>
        </w:rPr>
        <w:t>a las Partes a que tengan en cuenta a los pueblos indígenas y las comunidades locales, a las mujeres y las culturas cuando lleven a cabo investigaciones sobre consideraciones socioeconómicas;</w:t>
      </w:r>
    </w:p>
    <w:p w:rsidR="00C554B6" w:rsidRDefault="00C554B6">
      <w:pPr>
        <w:keepNext/>
        <w:suppressLineNumbers/>
        <w:suppressAutoHyphens/>
        <w:kinsoku w:val="0"/>
        <w:overflowPunct w:val="0"/>
        <w:autoSpaceDE w:val="0"/>
        <w:autoSpaceDN w:val="0"/>
        <w:adjustRightInd w:val="0"/>
        <w:snapToGrid w:val="0"/>
        <w:spacing w:before="120" w:after="120"/>
        <w:ind w:left="720" w:firstLine="567"/>
        <w:jc w:val="center"/>
        <w:rPr>
          <w:rFonts w:cs="Times New Roman"/>
          <w:b/>
          <w:bCs/>
          <w:snapToGrid w:val="0"/>
          <w:kern w:val="22"/>
          <w:lang w:val="es-ES"/>
        </w:rPr>
      </w:pPr>
      <w:r>
        <w:rPr>
          <w:rFonts w:cs="Times New Roman"/>
          <w:b/>
          <w:bCs/>
          <w:snapToGrid w:val="0"/>
          <w:kern w:val="22"/>
          <w:lang w:val="es-ES"/>
        </w:rPr>
        <w:t>H.</w:t>
      </w:r>
      <w:r>
        <w:rPr>
          <w:rFonts w:cs="Times New Roman"/>
          <w:b/>
          <w:bCs/>
          <w:snapToGrid w:val="0"/>
          <w:kern w:val="22"/>
          <w:lang w:val="es-ES"/>
        </w:rPr>
        <w:tab/>
        <w:t xml:space="preserve">Tránsito, </w:t>
      </w:r>
      <w:r>
        <w:rPr>
          <w:rFonts w:cs="Times New Roman"/>
          <w:b/>
          <w:bCs/>
          <w:lang w:val="es-ES"/>
        </w:rPr>
        <w:t>uso confinado, movimientos transfronterizos involuntarios y medidas de emergencia</w:t>
      </w:r>
      <w:r>
        <w:rPr>
          <w:rFonts w:cs="Times New Roman"/>
          <w:b/>
          <w:bCs/>
          <w:snapToGrid w:val="0"/>
          <w:kern w:val="22"/>
          <w:lang w:val="es-ES"/>
        </w:rPr>
        <w:t xml:space="preserve"> </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31.</w:t>
      </w:r>
      <w:r>
        <w:rPr>
          <w:rFonts w:cs="Times New Roman"/>
          <w:snapToGrid w:val="0"/>
          <w:kern w:val="22"/>
          <w:lang w:val="es-ES"/>
        </w:rPr>
        <w:tab/>
      </w:r>
      <w:r>
        <w:rPr>
          <w:rFonts w:cs="Times New Roman"/>
          <w:i/>
          <w:iCs/>
          <w:snapToGrid w:val="0"/>
          <w:kern w:val="22"/>
          <w:lang w:val="es-ES"/>
        </w:rPr>
        <w:t xml:space="preserve">Acoge </w:t>
      </w:r>
      <w:r>
        <w:rPr>
          <w:rFonts w:cs="Times New Roman"/>
          <w:i/>
          <w:iCs/>
          <w:lang w:val="es-ES"/>
        </w:rPr>
        <w:t xml:space="preserve">con agrado </w:t>
      </w:r>
      <w:r>
        <w:rPr>
          <w:rFonts w:cs="Times New Roman"/>
          <w:lang w:val="es-ES"/>
        </w:rPr>
        <w:t>el hecho de que aproximadamente tres cuartos de las Partes hayan tomado medidas para regular el uso confinado y el tránsito de organismos vivos modificados</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32.</w:t>
      </w:r>
      <w:r>
        <w:rPr>
          <w:rFonts w:cs="Times New Roman"/>
          <w:snapToGrid w:val="0"/>
          <w:kern w:val="22"/>
          <w:lang w:val="es-ES"/>
        </w:rPr>
        <w:tab/>
      </w:r>
      <w:r>
        <w:rPr>
          <w:rFonts w:cs="Times New Roman"/>
          <w:i/>
          <w:iCs/>
          <w:snapToGrid w:val="0"/>
          <w:kern w:val="22"/>
          <w:lang w:val="es-ES"/>
        </w:rPr>
        <w:t xml:space="preserve">También </w:t>
      </w:r>
      <w:r>
        <w:rPr>
          <w:rFonts w:cs="Times New Roman"/>
          <w:i/>
          <w:iCs/>
          <w:lang w:val="es-ES"/>
        </w:rPr>
        <w:t>acoge con agrado</w:t>
      </w:r>
      <w:r>
        <w:rPr>
          <w:rFonts w:cs="Times New Roman"/>
          <w:lang w:val="es-ES"/>
        </w:rPr>
        <w:t xml:space="preserve"> el hecho de que casi tres cuartos de las Partes tengan capacidad para tomar medidas apropiadas en caso de movimientos transfronterizos involuntarios de organismos vivos modificados</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33.</w:t>
      </w:r>
      <w:r>
        <w:rPr>
          <w:rFonts w:cs="Times New Roman"/>
          <w:snapToGrid w:val="0"/>
          <w:kern w:val="22"/>
          <w:lang w:val="es-ES"/>
        </w:rPr>
        <w:tab/>
      </w:r>
      <w:r>
        <w:rPr>
          <w:rFonts w:cs="Times New Roman"/>
          <w:i/>
          <w:iCs/>
          <w:snapToGrid w:val="0"/>
          <w:kern w:val="22"/>
          <w:lang w:val="es-ES"/>
        </w:rPr>
        <w:t>Alienta</w:t>
      </w:r>
      <w:r>
        <w:rPr>
          <w:rFonts w:cs="Times New Roman"/>
          <w:snapToGrid w:val="0"/>
          <w:kern w:val="22"/>
          <w:lang w:val="es-ES"/>
        </w:rPr>
        <w:t xml:space="preserve"> a las Partes que aún no lo hayan hecho a que adopten las medidas necesarias para regular el uso confinado y el tránsito de organismos vivos modificados y </w:t>
      </w:r>
      <w:r>
        <w:rPr>
          <w:rFonts w:cs="Times New Roman"/>
          <w:i/>
          <w:iCs/>
          <w:snapToGrid w:val="0"/>
          <w:kern w:val="22"/>
          <w:lang w:val="es-ES"/>
        </w:rPr>
        <w:t xml:space="preserve">reconoce </w:t>
      </w:r>
      <w:r>
        <w:rPr>
          <w:rFonts w:cs="Times New Roman"/>
          <w:snapToGrid w:val="0"/>
          <w:kern w:val="22"/>
          <w:lang w:val="es-ES"/>
        </w:rPr>
        <w:t>la importancia de apoyar a las Partes en la adopción de dichas medidas y el desarrollo de capacidades en ese sentido;</w:t>
      </w:r>
    </w:p>
    <w:p w:rsidR="00C554B6" w:rsidRDefault="00C554B6">
      <w:pPr>
        <w:keepNext/>
        <w:suppressLineNumbers/>
        <w:tabs>
          <w:tab w:val="left" w:pos="426"/>
        </w:tabs>
        <w:suppressAutoHyphens/>
        <w:kinsoku w:val="0"/>
        <w:overflowPunct w:val="0"/>
        <w:autoSpaceDE w:val="0"/>
        <w:autoSpaceDN w:val="0"/>
        <w:adjustRightInd w:val="0"/>
        <w:snapToGrid w:val="0"/>
        <w:spacing w:before="120" w:after="120"/>
        <w:jc w:val="center"/>
        <w:rPr>
          <w:rFonts w:cs="Times New Roman"/>
          <w:b/>
          <w:bCs/>
          <w:snapToGrid w:val="0"/>
          <w:kern w:val="22"/>
          <w:lang w:val="es-ES"/>
        </w:rPr>
      </w:pPr>
      <w:r>
        <w:rPr>
          <w:rFonts w:cs="Times New Roman"/>
          <w:b/>
          <w:bCs/>
          <w:snapToGrid w:val="0"/>
          <w:kern w:val="22"/>
          <w:lang w:val="es-ES"/>
        </w:rPr>
        <w:t>I.</w:t>
      </w:r>
      <w:r>
        <w:rPr>
          <w:rFonts w:cs="Times New Roman"/>
          <w:b/>
          <w:bCs/>
          <w:snapToGrid w:val="0"/>
          <w:kern w:val="22"/>
          <w:lang w:val="es-ES"/>
        </w:rPr>
        <w:tab/>
      </w:r>
      <w:r>
        <w:rPr>
          <w:rFonts w:cs="Times New Roman"/>
          <w:b/>
          <w:bCs/>
          <w:lang w:val="es-ES"/>
        </w:rPr>
        <w:t>Intercambio de información</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34.</w:t>
      </w:r>
      <w:r>
        <w:rPr>
          <w:rFonts w:cs="Times New Roman"/>
          <w:snapToGrid w:val="0"/>
          <w:kern w:val="22"/>
          <w:lang w:val="es-ES"/>
        </w:rPr>
        <w:tab/>
      </w:r>
      <w:r>
        <w:rPr>
          <w:rFonts w:cs="Times New Roman"/>
          <w:i/>
          <w:iCs/>
          <w:snapToGrid w:val="0"/>
          <w:kern w:val="22"/>
          <w:lang w:val="es-ES"/>
        </w:rPr>
        <w:t xml:space="preserve">Toma </w:t>
      </w:r>
      <w:r>
        <w:rPr>
          <w:rFonts w:cs="Times New Roman"/>
          <w:i/>
          <w:iCs/>
          <w:lang w:val="es-ES"/>
        </w:rPr>
        <w:t>nota</w:t>
      </w:r>
      <w:r>
        <w:rPr>
          <w:rFonts w:cs="Times New Roman"/>
          <w:lang w:val="es-ES"/>
        </w:rPr>
        <w:t xml:space="preserve"> de las tendencias positivas del intercambio de información en el Centro de Intercambio de Información sobre Seguridad de la Biotecnología, por ejemplo, en relación con el número de registros nacionales y registros de referencia publicados y el número de visitantes</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35.</w:t>
      </w:r>
      <w:r>
        <w:rPr>
          <w:rFonts w:cs="Times New Roman"/>
          <w:snapToGrid w:val="0"/>
          <w:kern w:val="22"/>
          <w:lang w:val="es-ES"/>
        </w:rPr>
        <w:tab/>
      </w:r>
      <w:r>
        <w:rPr>
          <w:rFonts w:cs="Times New Roman"/>
          <w:i/>
          <w:iCs/>
          <w:snapToGrid w:val="0"/>
          <w:kern w:val="22"/>
          <w:lang w:val="es-ES"/>
        </w:rPr>
        <w:t xml:space="preserve">Pide </w:t>
      </w:r>
      <w:r>
        <w:rPr>
          <w:rFonts w:cs="Times New Roman"/>
          <w:lang w:val="es-ES"/>
        </w:rPr>
        <w:t>a las Partes que se aseguren de mantener los registros al día y alienta</w:t>
      </w:r>
      <w:r>
        <w:rPr>
          <w:rFonts w:cs="Times New Roman"/>
          <w:i/>
          <w:iCs/>
          <w:lang w:val="es-ES"/>
        </w:rPr>
        <w:t xml:space="preserve"> </w:t>
      </w:r>
      <w:r>
        <w:rPr>
          <w:rFonts w:cs="Times New Roman"/>
          <w:lang w:val="es-ES"/>
        </w:rPr>
        <w:t>a otros usuarios a hacer lo mismo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36.</w:t>
      </w:r>
      <w:r>
        <w:rPr>
          <w:rFonts w:cs="Times New Roman"/>
          <w:snapToGrid w:val="0"/>
          <w:kern w:val="22"/>
          <w:lang w:val="es-ES"/>
        </w:rPr>
        <w:tab/>
      </w:r>
      <w:r>
        <w:rPr>
          <w:rFonts w:cs="Times New Roman"/>
          <w:i/>
          <w:iCs/>
          <w:snapToGrid w:val="0"/>
          <w:kern w:val="22"/>
          <w:lang w:val="es-ES"/>
        </w:rPr>
        <w:t xml:space="preserve">Acoge </w:t>
      </w:r>
      <w:r>
        <w:rPr>
          <w:rFonts w:cs="Times New Roman"/>
          <w:i/>
          <w:iCs/>
          <w:lang w:val="es-ES"/>
        </w:rPr>
        <w:t>con agrado</w:t>
      </w:r>
      <w:r>
        <w:rPr>
          <w:rFonts w:cs="Times New Roman"/>
          <w:lang w:val="es-ES"/>
        </w:rPr>
        <w:t xml:space="preserve"> el hecho de que casi todas las Partes hayan designado su punto focal nacional para el Protocolo de Cartagena y su punto focal para el Centro de Intercambio de Información sobre Seguridad de la Biotecnología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37.</w:t>
      </w:r>
      <w:r>
        <w:rPr>
          <w:rFonts w:cs="Times New Roman"/>
          <w:snapToGrid w:val="0"/>
          <w:kern w:val="22"/>
          <w:lang w:val="es-ES"/>
        </w:rPr>
        <w:tab/>
      </w:r>
      <w:r>
        <w:rPr>
          <w:rFonts w:cs="Times New Roman"/>
          <w:i/>
          <w:iCs/>
          <w:snapToGrid w:val="0"/>
          <w:kern w:val="22"/>
          <w:lang w:val="es-ES"/>
        </w:rPr>
        <w:t xml:space="preserve">Toma </w:t>
      </w:r>
      <w:r>
        <w:rPr>
          <w:rFonts w:cs="Times New Roman"/>
          <w:i/>
          <w:iCs/>
          <w:lang w:val="es-ES"/>
        </w:rPr>
        <w:t>nota</w:t>
      </w:r>
      <w:r>
        <w:rPr>
          <w:rFonts w:cs="Times New Roman"/>
          <w:lang w:val="es-ES"/>
        </w:rPr>
        <w:t xml:space="preserve"> del progreso de las Partes en la designación de su punto de contacto para recibir notificaciones según lo dispuesto en el artículo 17 (movimientos transfronterizos involuntarios y medidas de emergencia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38.</w:t>
      </w:r>
      <w:r>
        <w:rPr>
          <w:rFonts w:cs="Times New Roman"/>
          <w:snapToGrid w:val="0"/>
          <w:kern w:val="22"/>
          <w:lang w:val="es-ES"/>
        </w:rPr>
        <w:tab/>
      </w:r>
      <w:r>
        <w:rPr>
          <w:rFonts w:cs="Times New Roman"/>
          <w:i/>
          <w:iCs/>
          <w:snapToGrid w:val="0"/>
          <w:kern w:val="22"/>
          <w:lang w:val="es-ES"/>
        </w:rPr>
        <w:t xml:space="preserve">Insta </w:t>
      </w:r>
      <w:r>
        <w:rPr>
          <w:rFonts w:cs="Times New Roman"/>
          <w:lang w:val="es-ES"/>
        </w:rPr>
        <w:t>a las Partes que aún no lo hayan hecho totalmente a que hagan llegar toda la información obligatoria al Centro de Intercambio de Información sobre Seguridad de la Biotecnología y a que mantengan sus registros al día, centrándose especialmente en la información relacionada con: a) leyes, reglamentos y directrices nacionales; b) resúmenes de evaluaciones del riesgo; c) decisiones finales sobre la importación o liberación de organismos vivos modificados; d) puntos focales nacionales, puntos nacionales de contacto y autoridades nacionales competentes; e) información sobre los acuerdos o arreglos bilaterales, regionales o multilaterales que hayan concertado, y f) información relativa a movimientos transfronterizos ilícitos de organismos vivos modificados</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 xml:space="preserve">39. </w:t>
      </w:r>
      <w:r>
        <w:rPr>
          <w:rFonts w:cs="Times New Roman"/>
          <w:snapToGrid w:val="0"/>
          <w:kern w:val="22"/>
          <w:lang w:val="es-ES"/>
        </w:rPr>
        <w:tab/>
      </w:r>
      <w:r>
        <w:rPr>
          <w:rFonts w:cs="Times New Roman"/>
          <w:i/>
          <w:iCs/>
          <w:snapToGrid w:val="0"/>
          <w:kern w:val="22"/>
          <w:lang w:val="es-ES"/>
        </w:rPr>
        <w:t xml:space="preserve">Pide </w:t>
      </w:r>
      <w:r>
        <w:rPr>
          <w:rFonts w:cs="Times New Roman"/>
          <w:snapToGrid w:val="0"/>
          <w:kern w:val="22"/>
          <w:lang w:val="es-ES"/>
        </w:rPr>
        <w:t xml:space="preserve">a la Secretaria Ejecutiva que vele por que se preste un apoyo adecuado al </w:t>
      </w:r>
      <w:r>
        <w:rPr>
          <w:rFonts w:cs="Times New Roman"/>
          <w:lang w:val="es-ES"/>
        </w:rPr>
        <w:t>Centro de Intercambio de Información sobre Seguridad de la Biotecnología para permitir que el mecanismo funcione al máximo de su capacidad y potencial</w:t>
      </w:r>
      <w:r>
        <w:rPr>
          <w:rFonts w:cs="Times New Roman"/>
          <w:snapToGrid w:val="0"/>
          <w:kern w:val="22"/>
          <w:lang w:val="es-ES"/>
        </w:rPr>
        <w:t>;</w:t>
      </w:r>
    </w:p>
    <w:p w:rsidR="00C554B6" w:rsidRDefault="00C554B6">
      <w:pPr>
        <w:keepNext/>
        <w:suppressLineNumbers/>
        <w:tabs>
          <w:tab w:val="left" w:pos="426"/>
        </w:tabs>
        <w:suppressAutoHyphens/>
        <w:kinsoku w:val="0"/>
        <w:overflowPunct w:val="0"/>
        <w:autoSpaceDE w:val="0"/>
        <w:autoSpaceDN w:val="0"/>
        <w:adjustRightInd w:val="0"/>
        <w:snapToGrid w:val="0"/>
        <w:spacing w:before="120" w:after="120"/>
        <w:jc w:val="center"/>
        <w:rPr>
          <w:rFonts w:cs="Times New Roman"/>
          <w:b/>
          <w:bCs/>
          <w:snapToGrid w:val="0"/>
          <w:kern w:val="22"/>
          <w:lang w:val="es-ES"/>
        </w:rPr>
      </w:pPr>
      <w:r>
        <w:rPr>
          <w:rFonts w:cs="Times New Roman"/>
          <w:b/>
          <w:bCs/>
          <w:snapToGrid w:val="0"/>
          <w:kern w:val="22"/>
          <w:lang w:val="es-ES"/>
        </w:rPr>
        <w:t>J.</w:t>
      </w:r>
      <w:r>
        <w:rPr>
          <w:rFonts w:cs="Times New Roman"/>
          <w:b/>
          <w:bCs/>
          <w:snapToGrid w:val="0"/>
          <w:kern w:val="22"/>
          <w:lang w:val="es-ES"/>
        </w:rPr>
        <w:tab/>
        <w:t xml:space="preserve">Cumplimiento y </w:t>
      </w:r>
      <w:r>
        <w:rPr>
          <w:rFonts w:cs="Times New Roman"/>
          <w:b/>
          <w:bCs/>
          <w:lang w:val="es-ES"/>
        </w:rPr>
        <w:t>revisión</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40.</w:t>
      </w:r>
      <w:r>
        <w:rPr>
          <w:rFonts w:cs="Times New Roman"/>
          <w:snapToGrid w:val="0"/>
          <w:kern w:val="22"/>
          <w:lang w:val="es-ES"/>
        </w:rPr>
        <w:tab/>
      </w:r>
      <w:r>
        <w:rPr>
          <w:rFonts w:cs="Times New Roman"/>
          <w:i/>
          <w:iCs/>
          <w:snapToGrid w:val="0"/>
          <w:kern w:val="22"/>
          <w:lang w:val="es-ES"/>
        </w:rPr>
        <w:t xml:space="preserve">Observa </w:t>
      </w:r>
      <w:r>
        <w:rPr>
          <w:rFonts w:cs="Times New Roman"/>
          <w:lang w:val="es-ES"/>
        </w:rPr>
        <w:t>considerables diferencias entre los progresos de las Partes en el cumplimiento de obligaciones fundamentales contraídas en virtud del Protocolo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41.</w:t>
      </w:r>
      <w:r>
        <w:rPr>
          <w:rFonts w:cs="Times New Roman"/>
          <w:snapToGrid w:val="0"/>
          <w:kern w:val="22"/>
          <w:lang w:val="es-ES"/>
        </w:rPr>
        <w:tab/>
      </w:r>
      <w:r>
        <w:rPr>
          <w:rFonts w:cs="Times New Roman"/>
          <w:i/>
          <w:iCs/>
          <w:snapToGrid w:val="0"/>
          <w:kern w:val="22"/>
          <w:lang w:val="es-ES"/>
        </w:rPr>
        <w:t xml:space="preserve">Acoge </w:t>
      </w:r>
      <w:r>
        <w:rPr>
          <w:rFonts w:cs="Times New Roman"/>
          <w:i/>
          <w:iCs/>
          <w:lang w:val="es-ES"/>
        </w:rPr>
        <w:t>con satisfacción</w:t>
      </w:r>
      <w:r>
        <w:rPr>
          <w:rFonts w:cs="Times New Roman"/>
          <w:lang w:val="es-ES"/>
        </w:rPr>
        <w:t xml:space="preserve"> el progreso de las Partes en el cumplimiento de las obligaciones que han contraído en virtud del Protocolo, entre ellas las relativas a: a) publicar cierta información en el Centro de Intercambio de Información sobre Seguridad de la Biotecnología y b) designar puntos focales nacionales y autoridades nacionales competentes</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42.</w:t>
      </w:r>
      <w:r>
        <w:rPr>
          <w:rFonts w:cs="Times New Roman"/>
          <w:snapToGrid w:val="0"/>
          <w:kern w:val="22"/>
          <w:lang w:val="es-ES"/>
        </w:rPr>
        <w:tab/>
      </w:r>
      <w:r>
        <w:rPr>
          <w:rFonts w:cs="Times New Roman"/>
          <w:i/>
          <w:iCs/>
          <w:snapToGrid w:val="0"/>
          <w:kern w:val="22"/>
          <w:lang w:val="es-ES"/>
        </w:rPr>
        <w:t xml:space="preserve">Observa </w:t>
      </w:r>
      <w:r>
        <w:rPr>
          <w:rFonts w:cs="Times New Roman"/>
          <w:lang w:val="es-ES"/>
        </w:rPr>
        <w:t>con preocupación que un gran número de Partes no está cumpliendo plenamente obligaciones fundamentales dimanantes del Protocolo, entre ellas: a) la obligación de tomar las medidas legislativas, administrativas y de otro tipo que sean necesarias para aplicar el Protocolo y b) la obligación de presentar un informe nacional de manera oportuna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43.</w:t>
      </w:r>
      <w:r>
        <w:rPr>
          <w:rFonts w:cs="Times New Roman"/>
          <w:snapToGrid w:val="0"/>
          <w:kern w:val="22"/>
          <w:lang w:val="es-ES"/>
        </w:rPr>
        <w:tab/>
      </w:r>
      <w:r>
        <w:rPr>
          <w:rFonts w:cs="Times New Roman"/>
          <w:i/>
          <w:iCs/>
          <w:snapToGrid w:val="0"/>
          <w:kern w:val="22"/>
          <w:lang w:val="es-ES"/>
        </w:rPr>
        <w:t xml:space="preserve">Reconoce </w:t>
      </w:r>
      <w:r>
        <w:rPr>
          <w:rFonts w:cs="Times New Roman"/>
          <w:lang w:val="es-ES"/>
        </w:rPr>
        <w:t>que las Partes necesitan disponer de sistemas para supervisar la aplicación del Protocolo y hacer que se cumpla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44.</w:t>
      </w:r>
      <w:r>
        <w:rPr>
          <w:rFonts w:cs="Times New Roman"/>
          <w:snapToGrid w:val="0"/>
          <w:kern w:val="22"/>
          <w:lang w:val="es-ES"/>
        </w:rPr>
        <w:tab/>
      </w:r>
      <w:r>
        <w:rPr>
          <w:rFonts w:cs="Times New Roman"/>
          <w:i/>
          <w:iCs/>
          <w:snapToGrid w:val="0"/>
          <w:kern w:val="22"/>
          <w:lang w:val="es-ES"/>
        </w:rPr>
        <w:t xml:space="preserve">Acoge </w:t>
      </w:r>
      <w:r>
        <w:rPr>
          <w:rFonts w:cs="Times New Roman"/>
          <w:i/>
          <w:iCs/>
          <w:lang w:val="es-ES"/>
        </w:rPr>
        <w:t>con satisfacción</w:t>
      </w:r>
      <w:r>
        <w:rPr>
          <w:rFonts w:cs="Times New Roman"/>
          <w:lang w:val="es-ES"/>
        </w:rPr>
        <w:t xml:space="preserve"> la función de apoyo del Comité de Cumplimiento, realizada de conformidad con la decisión</w:t>
      </w:r>
      <w:r>
        <w:rPr>
          <w:rFonts w:cs="Times New Roman"/>
          <w:snapToGrid w:val="0"/>
          <w:kern w:val="22"/>
          <w:lang w:val="es-ES"/>
        </w:rPr>
        <w:t xml:space="preserve"> BS-V/1, como </w:t>
      </w:r>
      <w:r>
        <w:rPr>
          <w:rFonts w:cs="Times New Roman"/>
          <w:lang w:val="es-ES"/>
        </w:rPr>
        <w:t>contribución a los progresos que han comunicado las Partes en cuanto al cumplimiento de sus obligaciones dimanantes del Protocolo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45.</w:t>
      </w:r>
      <w:r>
        <w:rPr>
          <w:rFonts w:cs="Times New Roman"/>
          <w:snapToGrid w:val="0"/>
          <w:kern w:val="22"/>
          <w:lang w:val="es-ES"/>
        </w:rPr>
        <w:tab/>
      </w:r>
      <w:r>
        <w:rPr>
          <w:rFonts w:cs="Times New Roman"/>
          <w:i/>
          <w:iCs/>
          <w:snapToGrid w:val="0"/>
          <w:kern w:val="22"/>
          <w:lang w:val="es-ES"/>
        </w:rPr>
        <w:t xml:space="preserve">Pide </w:t>
      </w:r>
      <w:r>
        <w:rPr>
          <w:rFonts w:cs="Times New Roman"/>
          <w:lang w:val="es-ES"/>
        </w:rPr>
        <w:t xml:space="preserve">a la Secretaria Ejecutiva que, según proceda y siguiendo la orientación proporcionada por el Comité de Cumplimiento, continúe llevando un seguimiento de la situación con las Partes que aún no han cumplido plenamente sus obligaciones dimanantes del Protocolo, y </w:t>
      </w:r>
      <w:r>
        <w:rPr>
          <w:rFonts w:cs="Times New Roman"/>
          <w:i/>
          <w:iCs/>
          <w:lang w:val="es-ES"/>
        </w:rPr>
        <w:t>pide</w:t>
      </w:r>
      <w:r>
        <w:rPr>
          <w:rFonts w:cs="Times New Roman"/>
          <w:lang w:val="es-ES"/>
        </w:rPr>
        <w:t xml:space="preserve"> a las Partes que colaboren plenamente en este sentido</w:t>
      </w:r>
      <w:r>
        <w:rPr>
          <w:rFonts w:cs="Times New Roman"/>
          <w:snapToGrid w:val="0"/>
          <w:kern w:val="22"/>
          <w:lang w:val="es-ES"/>
        </w:rPr>
        <w:t>;</w:t>
      </w:r>
    </w:p>
    <w:p w:rsidR="00C554B6" w:rsidRDefault="00C554B6">
      <w:pPr>
        <w:keepNext/>
        <w:suppressLineNumbers/>
        <w:tabs>
          <w:tab w:val="left" w:pos="1134"/>
        </w:tabs>
        <w:suppressAutoHyphens/>
        <w:kinsoku w:val="0"/>
        <w:overflowPunct w:val="0"/>
        <w:autoSpaceDE w:val="0"/>
        <w:autoSpaceDN w:val="0"/>
        <w:adjustRightInd w:val="0"/>
        <w:snapToGrid w:val="0"/>
        <w:spacing w:before="120" w:after="120"/>
        <w:ind w:left="720"/>
        <w:jc w:val="center"/>
        <w:rPr>
          <w:rFonts w:cs="Times New Roman"/>
          <w:b/>
          <w:bCs/>
          <w:snapToGrid w:val="0"/>
          <w:kern w:val="22"/>
          <w:lang w:val="es-ES"/>
        </w:rPr>
      </w:pPr>
      <w:r>
        <w:rPr>
          <w:rFonts w:cs="Times New Roman"/>
          <w:b/>
          <w:bCs/>
          <w:snapToGrid w:val="0"/>
          <w:kern w:val="22"/>
          <w:lang w:val="es-ES"/>
        </w:rPr>
        <w:t>K.</w:t>
      </w:r>
      <w:r>
        <w:rPr>
          <w:rFonts w:cs="Times New Roman"/>
          <w:b/>
          <w:bCs/>
          <w:snapToGrid w:val="0"/>
          <w:kern w:val="22"/>
          <w:lang w:val="es-ES"/>
        </w:rPr>
        <w:tab/>
        <w:t xml:space="preserve">Concienciación </w:t>
      </w:r>
      <w:r>
        <w:rPr>
          <w:rFonts w:cs="Times New Roman"/>
          <w:b/>
          <w:bCs/>
          <w:lang w:val="es-ES"/>
        </w:rPr>
        <w:t>y participación del público y educación y capacitación en seguridad de la biotecnología</w:t>
      </w:r>
      <w:r>
        <w:rPr>
          <w:rFonts w:cs="Times New Roman"/>
          <w:b/>
          <w:bCs/>
          <w:snapToGrid w:val="0"/>
          <w:kern w:val="22"/>
          <w:lang w:val="es-ES"/>
        </w:rPr>
        <w:t xml:space="preserve"> </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46.</w:t>
      </w:r>
      <w:r>
        <w:rPr>
          <w:rFonts w:cs="Times New Roman"/>
          <w:snapToGrid w:val="0"/>
          <w:kern w:val="22"/>
          <w:lang w:val="es-ES"/>
        </w:rPr>
        <w:tab/>
      </w:r>
      <w:r>
        <w:rPr>
          <w:rFonts w:cs="Times New Roman"/>
          <w:i/>
          <w:iCs/>
          <w:snapToGrid w:val="0"/>
          <w:kern w:val="22"/>
          <w:lang w:val="es-ES"/>
        </w:rPr>
        <w:t xml:space="preserve">Destaca </w:t>
      </w:r>
      <w:r>
        <w:rPr>
          <w:rFonts w:cs="Times New Roman"/>
          <w:lang w:val="es-ES"/>
        </w:rPr>
        <w:t>la importancia de la concienciación, la educación y la participación del público para la aplicación del Protocolo, reconociendo que se necesita más apoyo en esta esfera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47.</w:t>
      </w:r>
      <w:r>
        <w:rPr>
          <w:rFonts w:cs="Times New Roman"/>
          <w:snapToGrid w:val="0"/>
          <w:kern w:val="22"/>
          <w:lang w:val="es-ES"/>
        </w:rPr>
        <w:tab/>
      </w:r>
      <w:r>
        <w:rPr>
          <w:rFonts w:cs="Times New Roman"/>
          <w:i/>
          <w:iCs/>
          <w:snapToGrid w:val="0"/>
          <w:kern w:val="22"/>
          <w:lang w:val="es-ES"/>
        </w:rPr>
        <w:t xml:space="preserve">Toma </w:t>
      </w:r>
      <w:r>
        <w:rPr>
          <w:rFonts w:cs="Times New Roman"/>
          <w:i/>
          <w:iCs/>
          <w:lang w:val="es-ES"/>
        </w:rPr>
        <w:t>nota</w:t>
      </w:r>
      <w:r>
        <w:rPr>
          <w:rFonts w:cs="Times New Roman"/>
          <w:lang w:val="es-ES"/>
        </w:rPr>
        <w:t xml:space="preserve"> del progreso realizado en la creación de mecanismos para la participación del público en la adopción de decisiones respecto a los organismos vivos modificados y en el número de Partes que tienen instituciones académicas que ofrecen programas de educación y capacitación en seguridad de la biotecnología</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48.</w:t>
      </w:r>
      <w:r>
        <w:rPr>
          <w:rFonts w:cs="Times New Roman"/>
          <w:snapToGrid w:val="0"/>
          <w:kern w:val="22"/>
          <w:lang w:val="es-ES"/>
        </w:rPr>
        <w:tab/>
      </w:r>
      <w:r>
        <w:rPr>
          <w:rFonts w:cs="Times New Roman"/>
          <w:i/>
          <w:iCs/>
          <w:snapToGrid w:val="0"/>
          <w:kern w:val="22"/>
          <w:lang w:val="es-ES"/>
        </w:rPr>
        <w:t xml:space="preserve">Alienta </w:t>
      </w:r>
      <w:r>
        <w:rPr>
          <w:rFonts w:cs="Times New Roman"/>
          <w:lang w:val="es-ES"/>
        </w:rPr>
        <w:t xml:space="preserve">a las Partes e </w:t>
      </w:r>
      <w:r>
        <w:rPr>
          <w:rFonts w:cs="Times New Roman"/>
          <w:i/>
          <w:iCs/>
          <w:lang w:val="es-ES"/>
        </w:rPr>
        <w:t>invita</w:t>
      </w:r>
      <w:r>
        <w:rPr>
          <w:rFonts w:cs="Times New Roman"/>
          <w:lang w:val="es-ES"/>
        </w:rPr>
        <w:t xml:space="preserve"> a otros usuarios a que compartan materiales pertinentes sobre concienciación, educación y participación del público a través del Centro de Intercambio de Información sobre Seguridad de la Biotecnología</w:t>
      </w:r>
      <w:r>
        <w:rPr>
          <w:rFonts w:cs="Times New Roman"/>
          <w:snapToGrid w:val="0"/>
          <w:kern w:val="22"/>
          <w:lang w:val="es-ES"/>
        </w:rPr>
        <w:t>;</w:t>
      </w:r>
    </w:p>
    <w:p w:rsidR="00C554B6" w:rsidRDefault="00C554B6">
      <w:pPr>
        <w:keepNext/>
        <w:suppressLineNumbers/>
        <w:tabs>
          <w:tab w:val="left" w:pos="1134"/>
        </w:tabs>
        <w:suppressAutoHyphens/>
        <w:kinsoku w:val="0"/>
        <w:overflowPunct w:val="0"/>
        <w:autoSpaceDE w:val="0"/>
        <w:autoSpaceDN w:val="0"/>
        <w:adjustRightInd w:val="0"/>
        <w:snapToGrid w:val="0"/>
        <w:spacing w:before="120" w:after="120"/>
        <w:ind w:left="720"/>
        <w:jc w:val="center"/>
        <w:rPr>
          <w:rFonts w:cs="Times New Roman"/>
          <w:b/>
          <w:bCs/>
          <w:snapToGrid w:val="0"/>
          <w:kern w:val="22"/>
          <w:lang w:val="es-ES"/>
        </w:rPr>
      </w:pPr>
      <w:r>
        <w:rPr>
          <w:rFonts w:cs="Times New Roman"/>
          <w:b/>
          <w:bCs/>
          <w:snapToGrid w:val="0"/>
          <w:kern w:val="22"/>
          <w:lang w:val="es-ES"/>
        </w:rPr>
        <w:t>L.</w:t>
      </w:r>
      <w:r>
        <w:rPr>
          <w:rFonts w:cs="Times New Roman"/>
          <w:b/>
          <w:bCs/>
          <w:snapToGrid w:val="0"/>
          <w:kern w:val="22"/>
          <w:lang w:val="es-ES"/>
        </w:rPr>
        <w:tab/>
        <w:t xml:space="preserve">Divulgación y </w:t>
      </w:r>
      <w:r>
        <w:rPr>
          <w:rFonts w:cs="Times New Roman"/>
          <w:b/>
          <w:bCs/>
          <w:lang w:val="es-ES"/>
        </w:rPr>
        <w:t>cooperación</w:t>
      </w:r>
      <w:r>
        <w:rPr>
          <w:rFonts w:cs="Times New Roman"/>
          <w:b/>
          <w:bCs/>
          <w:snapToGrid w:val="0"/>
          <w:kern w:val="22"/>
          <w:lang w:val="es-ES"/>
        </w:rPr>
        <w:t xml:space="preserve"> </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49.</w:t>
      </w:r>
      <w:r>
        <w:rPr>
          <w:rFonts w:cs="Times New Roman"/>
          <w:snapToGrid w:val="0"/>
          <w:kern w:val="22"/>
          <w:lang w:val="es-ES"/>
        </w:rPr>
        <w:tab/>
      </w:r>
      <w:r>
        <w:rPr>
          <w:rFonts w:cs="Times New Roman"/>
          <w:i/>
          <w:iCs/>
          <w:snapToGrid w:val="0"/>
          <w:kern w:val="22"/>
          <w:lang w:val="es-ES"/>
        </w:rPr>
        <w:t xml:space="preserve">Destaca </w:t>
      </w:r>
      <w:r>
        <w:rPr>
          <w:rFonts w:cs="Times New Roman"/>
          <w:lang w:val="es-ES"/>
        </w:rPr>
        <w:t>la importancia de la cooperación entre las Partes además de la cooperación entre organizaciones intergubernamentales para apoyar la aplicación del Protocolo</w:t>
      </w:r>
      <w:r>
        <w:rPr>
          <w:rFonts w:cs="Times New Roman"/>
          <w:snapToGrid w:val="0"/>
          <w:kern w:val="22"/>
          <w:lang w:val="es-ES"/>
        </w:rPr>
        <w:t>;</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snapToGrid w:val="0"/>
          <w:kern w:val="22"/>
          <w:lang w:val="es-ES"/>
        </w:rPr>
      </w:pPr>
      <w:r>
        <w:rPr>
          <w:rFonts w:cs="Times New Roman"/>
          <w:snapToGrid w:val="0"/>
          <w:kern w:val="22"/>
          <w:lang w:val="es-ES"/>
        </w:rPr>
        <w:t>50.</w:t>
      </w:r>
      <w:r>
        <w:rPr>
          <w:rFonts w:cs="Times New Roman"/>
          <w:snapToGrid w:val="0"/>
          <w:kern w:val="22"/>
          <w:lang w:val="es-ES"/>
        </w:rPr>
        <w:tab/>
      </w:r>
      <w:r>
        <w:rPr>
          <w:rFonts w:cs="Times New Roman"/>
          <w:i/>
          <w:iCs/>
          <w:snapToGrid w:val="0"/>
          <w:kern w:val="22"/>
          <w:lang w:val="es-ES"/>
        </w:rPr>
        <w:t xml:space="preserve">Destaca asimismo </w:t>
      </w:r>
      <w:r>
        <w:rPr>
          <w:rFonts w:cs="Times New Roman"/>
          <w:snapToGrid w:val="0"/>
          <w:kern w:val="22"/>
          <w:lang w:val="es-ES"/>
        </w:rPr>
        <w:t>la importancia de la divulgación y cooperación con los pueblos indígenas y las comunidades locales, así como con las mujeres, los jóvenes y otros interesados pertinentes, para la aplicación eficaz del Protocolo;</w:t>
      </w:r>
    </w:p>
    <w:p w:rsidR="00C554B6" w:rsidRDefault="00C554B6">
      <w:pPr>
        <w:suppressLineNumbers/>
        <w:suppressAutoHyphens/>
        <w:kinsoku w:val="0"/>
        <w:overflowPunct w:val="0"/>
        <w:autoSpaceDE w:val="0"/>
        <w:autoSpaceDN w:val="0"/>
        <w:adjustRightInd w:val="0"/>
        <w:snapToGrid w:val="0"/>
        <w:spacing w:before="120" w:after="120"/>
        <w:ind w:left="720" w:firstLine="720"/>
        <w:rPr>
          <w:rFonts w:cs="Times New Roman"/>
          <w:i/>
          <w:iCs/>
          <w:lang w:val="es-ES"/>
        </w:rPr>
      </w:pPr>
      <w:r>
        <w:rPr>
          <w:rFonts w:cs="Times New Roman"/>
          <w:lang w:val="es-ES"/>
        </w:rPr>
        <w:t>51.</w:t>
      </w:r>
      <w:r>
        <w:rPr>
          <w:rFonts w:cs="Times New Roman"/>
          <w:lang w:val="es-ES"/>
        </w:rPr>
        <w:tab/>
      </w:r>
      <w:r>
        <w:rPr>
          <w:rFonts w:cs="Times New Roman"/>
          <w:i/>
          <w:iCs/>
          <w:snapToGrid w:val="0"/>
          <w:kern w:val="22"/>
          <w:lang w:val="es-ES"/>
        </w:rPr>
        <w:t xml:space="preserve">Alienta </w:t>
      </w:r>
      <w:r>
        <w:rPr>
          <w:rFonts w:cs="Times New Roman"/>
          <w:snapToGrid w:val="0"/>
          <w:kern w:val="22"/>
          <w:lang w:val="es-ES"/>
        </w:rPr>
        <w:t>a las Partes a que presten apoyo, especialmente a los países en desarrollo, para la participación efectiva en actividades de investigación biotecnológica y de seguridad de la biotecnología, de conformidad con el artículo 22 del Protocolo y el artículo 19 del Convenio.</w:t>
      </w:r>
    </w:p>
    <w:p w:rsidR="00C554B6" w:rsidRDefault="00C554B6">
      <w:pPr>
        <w:pStyle w:val="Para1"/>
        <w:numPr>
          <w:ilvl w:val="0"/>
          <w:numId w:val="0"/>
        </w:numPr>
        <w:suppressLineNumbers/>
        <w:suppressAutoHyphens/>
        <w:kinsoku w:val="0"/>
        <w:overflowPunct w:val="0"/>
        <w:autoSpaceDE w:val="0"/>
        <w:autoSpaceDN w:val="0"/>
        <w:adjustRightInd w:val="0"/>
        <w:snapToGrid w:val="0"/>
        <w:jc w:val="center"/>
        <w:rPr>
          <w:kern w:val="22"/>
          <w:lang w:val="es-ES"/>
        </w:rPr>
      </w:pPr>
      <w:r>
        <w:rPr>
          <w:kern w:val="22"/>
          <w:lang w:val="es-ES"/>
        </w:rPr>
        <w:t>__________</w:t>
      </w:r>
    </w:p>
    <w:sectPr w:rsidR="00C554B6" w:rsidSect="00C554B6">
      <w:headerReference w:type="even" r:id="rId7"/>
      <w:headerReference w:type="default" r:id="rId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4B6" w:rsidRDefault="00C554B6">
      <w:pPr>
        <w:rPr>
          <w:rFonts w:cs="Times New Roman"/>
        </w:rPr>
      </w:pPr>
      <w:r>
        <w:rPr>
          <w:rFonts w:cs="Times New Roman"/>
        </w:rPr>
        <w:separator/>
      </w:r>
    </w:p>
  </w:endnote>
  <w:endnote w:type="continuationSeparator" w:id="0">
    <w:p w:rsidR="00C554B6" w:rsidRDefault="00C554B6">
      <w:pPr>
        <w:rPr>
          <w:rFonts w:cs="Times New Roman"/>
        </w:rPr>
      </w:pPr>
      <w:r>
        <w:rPr>
          <w:rFonts w:cs="Times New Roman"/>
        </w:rPr>
        <w:continuationSeparator/>
      </w:r>
    </w:p>
  </w:endnote>
  <w:endnote w:type="continuationNotice" w:id="1">
    <w:p w:rsidR="00C554B6" w:rsidRDefault="00C554B6">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4B6" w:rsidRDefault="00C554B6">
      <w:pPr>
        <w:rPr>
          <w:rFonts w:cs="Times New Roman"/>
        </w:rPr>
      </w:pPr>
      <w:r>
        <w:rPr>
          <w:rFonts w:cs="Times New Roman"/>
        </w:rPr>
        <w:separator/>
      </w:r>
    </w:p>
  </w:footnote>
  <w:footnote w:type="continuationSeparator" w:id="0">
    <w:p w:rsidR="00C554B6" w:rsidRDefault="00C554B6">
      <w:pPr>
        <w:rPr>
          <w:rFonts w:cs="Times New Roman"/>
        </w:rPr>
      </w:pPr>
      <w:r>
        <w:rPr>
          <w:rFonts w:cs="Times New Roman"/>
        </w:rPr>
        <w:continuationSeparator/>
      </w:r>
    </w:p>
  </w:footnote>
  <w:footnote w:type="continuationNotice" w:id="1">
    <w:p w:rsidR="00C554B6" w:rsidRDefault="00C554B6">
      <w:pPr>
        <w:rPr>
          <w:rFonts w:cs="Times New Roman"/>
        </w:rPr>
      </w:pPr>
    </w:p>
  </w:footnote>
  <w:footnote w:id="2">
    <w:p w:rsidR="00C554B6" w:rsidRDefault="00C554B6">
      <w:pPr>
        <w:pStyle w:val="FootnoteText"/>
        <w:suppressLineNumbers/>
        <w:suppressAutoHyphens/>
        <w:kinsoku w:val="0"/>
        <w:overflowPunct w:val="0"/>
        <w:autoSpaceDE w:val="0"/>
        <w:autoSpaceDN w:val="0"/>
        <w:ind w:firstLine="0"/>
        <w:jc w:val="left"/>
      </w:pPr>
      <w:r>
        <w:rPr>
          <w:rStyle w:val="FootnoteReference"/>
          <w:kern w:val="18"/>
          <w:sz w:val="18"/>
          <w:szCs w:val="18"/>
          <w:lang w:val="es-ES"/>
        </w:rPr>
        <w:t>*</w:t>
      </w:r>
      <w:r>
        <w:rPr>
          <w:kern w:val="18"/>
          <w:lang w:val="es-ES"/>
        </w:rPr>
        <w:t xml:space="preserve"> CBD/SBI/3/1.</w:t>
      </w:r>
    </w:p>
  </w:footnote>
  <w:footnote w:id="3">
    <w:p w:rsidR="00C554B6" w:rsidRDefault="00C554B6">
      <w:pPr>
        <w:pStyle w:val="FootnoteText"/>
        <w:suppressLineNumbers/>
        <w:suppressAutoHyphens/>
        <w:kinsoku w:val="0"/>
        <w:overflowPunct w:val="0"/>
        <w:autoSpaceDE w:val="0"/>
        <w:autoSpaceDN w:val="0"/>
        <w:ind w:firstLine="0"/>
        <w:jc w:val="left"/>
      </w:pPr>
      <w:r>
        <w:rPr>
          <w:rStyle w:val="FootnoteReference"/>
          <w:kern w:val="18"/>
          <w:sz w:val="18"/>
          <w:szCs w:val="18"/>
        </w:rPr>
        <w:footnoteRef/>
      </w:r>
      <w:r>
        <w:rPr>
          <w:kern w:val="18"/>
          <w:lang w:val="es-ES"/>
        </w:rPr>
        <w:t xml:space="preserve"> Decisión BS-V/16, anexo I.</w:t>
      </w:r>
    </w:p>
  </w:footnote>
  <w:footnote w:id="4">
    <w:p w:rsidR="00C554B6" w:rsidRPr="00A12E6F" w:rsidRDefault="00C554B6">
      <w:pPr>
        <w:pStyle w:val="FootnoteText"/>
        <w:suppressLineNumbers/>
        <w:suppressAutoHyphens/>
        <w:kinsoku w:val="0"/>
        <w:overflowPunct w:val="0"/>
        <w:autoSpaceDE w:val="0"/>
        <w:autoSpaceDN w:val="0"/>
        <w:ind w:firstLine="0"/>
        <w:jc w:val="left"/>
        <w:rPr>
          <w:lang w:val="fr-CA"/>
        </w:rPr>
      </w:pPr>
      <w:r>
        <w:rPr>
          <w:rStyle w:val="FootnoteReference"/>
          <w:kern w:val="18"/>
          <w:sz w:val="18"/>
          <w:szCs w:val="18"/>
        </w:rPr>
        <w:footnoteRef/>
      </w:r>
      <w:r>
        <w:rPr>
          <w:kern w:val="18"/>
          <w:lang w:val="es-ES"/>
        </w:rPr>
        <w:t>CBD/SBI/3/3/Add.1.</w:t>
      </w:r>
    </w:p>
  </w:footnote>
  <w:footnote w:id="5">
    <w:p w:rsidR="00C554B6" w:rsidRPr="00A12E6F" w:rsidRDefault="00C554B6">
      <w:pPr>
        <w:pStyle w:val="FootnoteText"/>
        <w:suppressLineNumbers/>
        <w:suppressAutoHyphens/>
        <w:kinsoku w:val="0"/>
        <w:overflowPunct w:val="0"/>
        <w:autoSpaceDE w:val="0"/>
        <w:autoSpaceDN w:val="0"/>
        <w:ind w:firstLine="0"/>
        <w:jc w:val="left"/>
        <w:rPr>
          <w:lang w:val="fr-CA"/>
        </w:rPr>
      </w:pPr>
      <w:r>
        <w:rPr>
          <w:rStyle w:val="FootnoteReference"/>
          <w:kern w:val="18"/>
          <w:sz w:val="18"/>
          <w:szCs w:val="18"/>
        </w:rPr>
        <w:footnoteRef/>
      </w:r>
      <w:r>
        <w:rPr>
          <w:kern w:val="18"/>
          <w:lang w:val="es-ES"/>
        </w:rPr>
        <w:t>CBD/SBI/3/3, anexos I y II, respectivamente.</w:t>
      </w:r>
    </w:p>
  </w:footnote>
  <w:footnote w:id="6">
    <w:p w:rsidR="00C554B6" w:rsidRPr="00A12E6F" w:rsidRDefault="00C554B6">
      <w:pPr>
        <w:pStyle w:val="FootnoteText"/>
        <w:suppressLineNumbers/>
        <w:suppressAutoHyphens/>
        <w:kinsoku w:val="0"/>
        <w:overflowPunct w:val="0"/>
        <w:autoSpaceDE w:val="0"/>
        <w:autoSpaceDN w:val="0"/>
        <w:ind w:firstLine="0"/>
        <w:jc w:val="left"/>
        <w:rPr>
          <w:lang w:val="fr-CA"/>
        </w:rPr>
      </w:pPr>
      <w:r>
        <w:rPr>
          <w:rStyle w:val="FootnoteReference"/>
          <w:kern w:val="18"/>
          <w:sz w:val="18"/>
          <w:szCs w:val="18"/>
        </w:rPr>
        <w:footnoteRef/>
      </w:r>
      <w:r w:rsidRPr="00A12E6F">
        <w:rPr>
          <w:kern w:val="18"/>
          <w:lang w:val="fr-CA"/>
        </w:rPr>
        <w:t xml:space="preserve"> Véase la decisión VIII/15.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4B6" w:rsidRDefault="00C554B6">
    <w:pPr>
      <w:pStyle w:val="Header"/>
      <w:suppressLineNumbers/>
      <w:tabs>
        <w:tab w:val="clear" w:pos="4320"/>
        <w:tab w:val="clear" w:pos="8640"/>
      </w:tabs>
      <w:suppressAutoHyphens/>
      <w:kinsoku w:val="0"/>
      <w:overflowPunct w:val="0"/>
      <w:autoSpaceDE w:val="0"/>
      <w:autoSpaceDN w:val="0"/>
      <w:jc w:val="left"/>
      <w:rPr>
        <w:kern w:val="22"/>
      </w:rPr>
    </w:pPr>
    <w:r>
      <w:rPr>
        <w:lang w:val="fr-FR"/>
      </w:rPr>
      <w:t>CBD/SBI/3/CRP.</w:t>
    </w:r>
    <w:r>
      <w:rPr>
        <w:kern w:val="22"/>
      </w:rPr>
      <w:t>1</w:t>
    </w:r>
  </w:p>
  <w:p w:rsidR="00C554B6" w:rsidRDefault="00C554B6">
    <w:pPr>
      <w:pStyle w:val="Header"/>
      <w:suppressLineNumbers/>
      <w:tabs>
        <w:tab w:val="clear" w:pos="4320"/>
        <w:tab w:val="clear" w:pos="8640"/>
      </w:tabs>
      <w:suppressAutoHyphens/>
      <w:kinsoku w:val="0"/>
      <w:overflowPunct w:val="0"/>
      <w:autoSpaceDE w:val="0"/>
      <w:autoSpaceDN w:val="0"/>
      <w:jc w:val="left"/>
      <w:rPr>
        <w:kern w:val="22"/>
      </w:rPr>
    </w:pPr>
    <w:proofErr w:type="spellStart"/>
    <w:r>
      <w:rPr>
        <w:kern w:val="22"/>
      </w:rPr>
      <w:t>Página</w:t>
    </w:r>
    <w:proofErr w:type="spellEnd"/>
    <w:r>
      <w:rPr>
        <w:kern w:val="22"/>
      </w:rPr>
      <w:t xml:space="preserve"> </w:t>
    </w:r>
    <w:r>
      <w:rPr>
        <w:kern w:val="22"/>
      </w:rPr>
      <w:fldChar w:fldCharType="begin"/>
    </w:r>
    <w:r>
      <w:rPr>
        <w:kern w:val="22"/>
      </w:rPr>
      <w:instrText xml:space="preserve"> PAGE   \* MERGEFORMAT </w:instrText>
    </w:r>
    <w:r>
      <w:rPr>
        <w:kern w:val="22"/>
      </w:rPr>
      <w:fldChar w:fldCharType="separate"/>
    </w:r>
    <w:r>
      <w:rPr>
        <w:noProof/>
        <w:kern w:val="22"/>
      </w:rPr>
      <w:t>2</w:t>
    </w:r>
    <w:r>
      <w:rPr>
        <w:kern w:val="22"/>
      </w:rPr>
      <w:fldChar w:fldCharType="end"/>
    </w:r>
  </w:p>
  <w:p w:rsidR="00C554B6" w:rsidRDefault="00C554B6">
    <w:pPr>
      <w:pStyle w:val="Header"/>
      <w:suppressLineNumbers/>
      <w:tabs>
        <w:tab w:val="clear" w:pos="4320"/>
        <w:tab w:val="clear" w:pos="8640"/>
      </w:tabs>
      <w:suppressAutoHyphens/>
      <w:kinsoku w:val="0"/>
      <w:overflowPunct w:val="0"/>
      <w:autoSpaceDE w:val="0"/>
      <w:autoSpaceDN w:val="0"/>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4B6" w:rsidRDefault="00C554B6">
    <w:pPr>
      <w:pStyle w:val="Header"/>
      <w:suppressLineNumbers/>
      <w:tabs>
        <w:tab w:val="clear" w:pos="4320"/>
        <w:tab w:val="clear" w:pos="8640"/>
      </w:tabs>
      <w:suppressAutoHyphens/>
      <w:kinsoku w:val="0"/>
      <w:overflowPunct w:val="0"/>
      <w:autoSpaceDE w:val="0"/>
      <w:autoSpaceDN w:val="0"/>
      <w:jc w:val="right"/>
      <w:rPr>
        <w:kern w:val="22"/>
      </w:rPr>
    </w:pPr>
    <w:r>
      <w:rPr>
        <w:lang w:val="fr-FR"/>
      </w:rPr>
      <w:t>CBD/SBI/3/CRP.1</w:t>
    </w:r>
  </w:p>
  <w:p w:rsidR="00C554B6" w:rsidRDefault="00C554B6">
    <w:pPr>
      <w:pStyle w:val="Header"/>
      <w:suppressLineNumbers/>
      <w:tabs>
        <w:tab w:val="clear" w:pos="4320"/>
        <w:tab w:val="clear" w:pos="8640"/>
      </w:tabs>
      <w:suppressAutoHyphens/>
      <w:kinsoku w:val="0"/>
      <w:overflowPunct w:val="0"/>
      <w:autoSpaceDE w:val="0"/>
      <w:autoSpaceDN w:val="0"/>
      <w:jc w:val="right"/>
      <w:rPr>
        <w:kern w:val="22"/>
      </w:rPr>
    </w:pPr>
    <w:proofErr w:type="spellStart"/>
    <w:r>
      <w:rPr>
        <w:kern w:val="22"/>
      </w:rPr>
      <w:t>Página</w:t>
    </w:r>
    <w:proofErr w:type="spellEnd"/>
    <w:r>
      <w:rPr>
        <w:kern w:val="22"/>
      </w:rPr>
      <w:t xml:space="preserve"> </w:t>
    </w:r>
    <w:r>
      <w:rPr>
        <w:kern w:val="22"/>
      </w:rPr>
      <w:fldChar w:fldCharType="begin"/>
    </w:r>
    <w:r>
      <w:rPr>
        <w:kern w:val="22"/>
      </w:rPr>
      <w:instrText xml:space="preserve"> PAGE   \* MERGEFORMAT </w:instrText>
    </w:r>
    <w:r>
      <w:rPr>
        <w:kern w:val="22"/>
      </w:rPr>
      <w:fldChar w:fldCharType="separate"/>
    </w:r>
    <w:r>
      <w:rPr>
        <w:noProof/>
        <w:kern w:val="22"/>
      </w:rPr>
      <w:t>5</w:t>
    </w:r>
    <w:r>
      <w:rPr>
        <w:kern w:val="22"/>
      </w:rPr>
      <w:fldChar w:fldCharType="end"/>
    </w:r>
  </w:p>
  <w:p w:rsidR="00C554B6" w:rsidRDefault="00C554B6">
    <w:pPr>
      <w:pStyle w:val="Header"/>
      <w:suppressLineNumbers/>
      <w:tabs>
        <w:tab w:val="clear" w:pos="4320"/>
        <w:tab w:val="clear" w:pos="8640"/>
      </w:tabs>
      <w:suppressAutoHyphens/>
      <w:kinsoku w:val="0"/>
      <w:overflowPunct w:val="0"/>
      <w:autoSpaceDE w:val="0"/>
      <w:autoSpaceDN w:val="0"/>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pPr>
      <w:rPr>
        <w:rFonts w:ascii="Times New Roman" w:hAnsi="Times New Roman" w:cs="Times New Roman" w:hint="default"/>
      </w:rPr>
    </w:lvl>
    <w:lvl w:ilvl="1" w:tplc="561613B4">
      <w:start w:val="1"/>
      <w:numFmt w:val="low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2F0336B8"/>
    <w:multiLevelType w:val="multilevel"/>
    <w:tmpl w:val="99BA12E0"/>
    <w:lvl w:ilvl="0">
      <w:start w:val="1"/>
      <w:numFmt w:val="upperRoman"/>
      <w:lvlText w:val="%1."/>
      <w:lvlJc w:val="left"/>
      <w:pPr>
        <w:tabs>
          <w:tab w:val="num" w:pos="720"/>
        </w:tabs>
      </w:pPr>
      <w:rPr>
        <w:rFonts w:ascii="Times New Roman" w:hAnsi="Times New Roman" w:cs="Times New Roman" w:hint="default"/>
      </w:rPr>
    </w:lvl>
    <w:lvl w:ilvl="1">
      <w:start w:val="1"/>
      <w:numFmt w:val="upperLetter"/>
      <w:lvlText w:val="%2."/>
      <w:lvlJc w:val="left"/>
      <w:pPr>
        <w:tabs>
          <w:tab w:val="num" w:pos="360"/>
        </w:tabs>
      </w:pPr>
      <w:rPr>
        <w:rFonts w:ascii="Times New Roman" w:hAnsi="Times New Roman" w:cs="Times New Roman" w:hint="default"/>
      </w:rPr>
    </w:lvl>
    <w:lvl w:ilvl="2">
      <w:start w:val="1"/>
      <w:numFmt w:val="decimal"/>
      <w:lvlText w:val="%3."/>
      <w:lvlJc w:val="left"/>
      <w:pPr>
        <w:tabs>
          <w:tab w:val="num" w:pos="360"/>
        </w:tabs>
      </w:pPr>
      <w:rPr>
        <w:rFonts w:ascii="Times New Roman" w:hAnsi="Times New Roman" w:cs="Times New Roman" w:hint="default"/>
      </w:rPr>
    </w:lvl>
    <w:lvl w:ilvl="3">
      <w:start w:val="1"/>
      <w:numFmt w:val="decimal"/>
      <w:lvlText w:val="1.%4"/>
      <w:lvlJc w:val="left"/>
      <w:pPr>
        <w:tabs>
          <w:tab w:val="num" w:pos="360"/>
        </w:tabs>
      </w:pPr>
      <w:rPr>
        <w:rFonts w:ascii="Times New Roman" w:hAnsi="Times New Roman" w:cs="Times New Roman" w:hint="default"/>
      </w:rPr>
    </w:lvl>
    <w:lvl w:ilvl="4">
      <w:start w:val="1"/>
      <w:numFmt w:val="lowerRoman"/>
      <w:pStyle w:val="Heading5"/>
      <w:lvlText w:val="(%5)"/>
      <w:lvlJc w:val="left"/>
      <w:pPr>
        <w:tabs>
          <w:tab w:val="num" w:pos="720"/>
        </w:tabs>
      </w:pPr>
      <w:rPr>
        <w:rFonts w:ascii="Times New Roman" w:hAnsi="Times New Roman" w:cs="Times New Roman" w:hint="default"/>
      </w:rPr>
    </w:lvl>
    <w:lvl w:ilvl="5">
      <w:start w:val="1"/>
      <w:numFmt w:val="lowerLetter"/>
      <w:lvlText w:val="(%6)"/>
      <w:lvlJc w:val="left"/>
      <w:pPr>
        <w:tabs>
          <w:tab w:val="num" w:pos="1080"/>
        </w:tabs>
        <w:ind w:left="72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360"/>
        </w:tabs>
        <w:ind w:left="-72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5" w15:restartNumberingAfterBreak="0">
    <w:nsid w:val="48E4287B"/>
    <w:multiLevelType w:val="multilevel"/>
    <w:tmpl w:val="2E6A1D38"/>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1440"/>
        </w:tabs>
        <w:ind w:firstLine="720"/>
      </w:pPr>
      <w:rPr>
        <w:rFonts w:ascii="Times New Roman" w:hAnsi="Times New Roman" w:cs="Times New Roman"/>
      </w:rPr>
    </w:lvl>
    <w:lvl w:ilvl="2">
      <w:start w:val="1"/>
      <w:numFmt w:val="lowerRoman"/>
      <w:lvlText w:val="(%3)"/>
      <w:lvlJc w:val="right"/>
      <w:pPr>
        <w:tabs>
          <w:tab w:val="num" w:pos="1440"/>
        </w:tabs>
        <w:ind w:left="1440" w:hanging="360"/>
      </w:pPr>
      <w:rPr>
        <w:rFonts w:ascii="Times New Roman" w:hAnsi="Times New Roman" w:cs="Times New Roman"/>
      </w:r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6" w15:restartNumberingAfterBreak="0">
    <w:nsid w:val="4C92546C"/>
    <w:multiLevelType w:val="multilevel"/>
    <w:tmpl w:val="BB66E546"/>
    <w:lvl w:ilvl="0">
      <w:start w:val="1"/>
      <w:numFmt w:val="decimal"/>
      <w:lvlText w:val="%1."/>
      <w:lvlJc w:val="left"/>
      <w:pPr>
        <w:tabs>
          <w:tab w:val="num" w:pos="644"/>
        </w:tabs>
        <w:ind w:left="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1570"/>
        </w:tabs>
        <w:ind w:left="490" w:firstLine="720"/>
      </w:pPr>
      <w:rPr>
        <w:rFonts w:ascii="Times New Roman" w:hAnsi="Times New Roman" w:cs="Times New Roman" w:hint="default"/>
        <w:b w:val="0"/>
        <w:bCs w:val="0"/>
        <w:i w:val="0"/>
        <w:iCs w:val="0"/>
      </w:rPr>
    </w:lvl>
    <w:lvl w:ilvl="2">
      <w:start w:val="1"/>
      <w:numFmt w:val="decimal"/>
      <w:lvlText w:val="%3."/>
      <w:lvlJc w:val="left"/>
      <w:pPr>
        <w:tabs>
          <w:tab w:val="num" w:pos="2591"/>
        </w:tabs>
        <w:ind w:left="2591" w:hanging="431"/>
      </w:pPr>
      <w:rPr>
        <w:rFonts w:ascii="Times New Roman" w:hAnsi="Times New Roman" w:cs="Times New Roman" w:hint="default"/>
        <w:b w:val="0"/>
        <w:bCs w:val="0"/>
        <w:i w:val="0"/>
        <w:iCs w:val="0"/>
      </w:rPr>
    </w:lvl>
    <w:lvl w:ilvl="3">
      <w:start w:val="1"/>
      <w:numFmt w:val="bullet"/>
      <w:lvlText w:val=""/>
      <w:lvlJc w:val="left"/>
      <w:pPr>
        <w:tabs>
          <w:tab w:val="num" w:pos="2880"/>
        </w:tabs>
        <w:ind w:left="2880" w:hanging="720"/>
      </w:pPr>
      <w:rPr>
        <w:rFonts w:ascii="Symbol" w:hAnsi="Symbol" w:cs="Symbol" w:hint="default"/>
        <w:color w:val="auto"/>
        <w:sz w:val="28"/>
        <w:szCs w:val="28"/>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EE23244"/>
    <w:multiLevelType w:val="multilevel"/>
    <w:tmpl w:val="BB66E546"/>
    <w:lvl w:ilvl="0">
      <w:start w:val="1"/>
      <w:numFmt w:val="decimal"/>
      <w:lvlText w:val="%1."/>
      <w:lvlJc w:val="left"/>
      <w:pPr>
        <w:tabs>
          <w:tab w:val="num" w:pos="644"/>
        </w:tabs>
        <w:ind w:left="284"/>
      </w:pPr>
      <w:rPr>
        <w:rFonts w:ascii="Times New Roman" w:hAnsi="Times New Roman" w:cs="Times New Roman" w:hint="default"/>
        <w:b w:val="0"/>
        <w:bCs w:val="0"/>
        <w:i w:val="0"/>
        <w:iCs w:val="0"/>
        <w:sz w:val="22"/>
        <w:szCs w:val="22"/>
      </w:rPr>
    </w:lvl>
    <w:lvl w:ilvl="1">
      <w:start w:val="1"/>
      <w:numFmt w:val="lowerLetter"/>
      <w:lvlText w:val="(%2)"/>
      <w:lvlJc w:val="left"/>
      <w:pPr>
        <w:tabs>
          <w:tab w:val="num" w:pos="1570"/>
        </w:tabs>
        <w:ind w:left="490" w:firstLine="720"/>
      </w:pPr>
      <w:rPr>
        <w:rFonts w:ascii="Times New Roman" w:hAnsi="Times New Roman" w:cs="Times New Roman" w:hint="default"/>
        <w:b w:val="0"/>
        <w:bCs w:val="0"/>
        <w:i w:val="0"/>
        <w:iCs w:val="0"/>
      </w:rPr>
    </w:lvl>
    <w:lvl w:ilvl="2">
      <w:start w:val="1"/>
      <w:numFmt w:val="decimal"/>
      <w:lvlText w:val="%3."/>
      <w:lvlJc w:val="left"/>
      <w:pPr>
        <w:tabs>
          <w:tab w:val="num" w:pos="2591"/>
        </w:tabs>
        <w:ind w:left="2591" w:hanging="431"/>
      </w:pPr>
      <w:rPr>
        <w:rFonts w:ascii="Times New Roman" w:hAnsi="Times New Roman" w:cs="Times New Roman" w:hint="default"/>
        <w:b w:val="0"/>
        <w:bCs w:val="0"/>
        <w:i w:val="0"/>
        <w:iCs w:val="0"/>
      </w:rPr>
    </w:lvl>
    <w:lvl w:ilvl="3">
      <w:start w:val="1"/>
      <w:numFmt w:val="bullet"/>
      <w:lvlText w:val=""/>
      <w:lvlJc w:val="left"/>
      <w:pPr>
        <w:tabs>
          <w:tab w:val="num" w:pos="2880"/>
        </w:tabs>
        <w:ind w:left="2880" w:hanging="720"/>
      </w:pPr>
      <w:rPr>
        <w:rFonts w:ascii="Symbol" w:hAnsi="Symbol" w:cs="Symbol" w:hint="default"/>
        <w:color w:val="auto"/>
        <w:sz w:val="28"/>
        <w:szCs w:val="28"/>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3"/>
  </w:num>
  <w:num w:numId="2">
    <w:abstractNumId w:val="7"/>
  </w:num>
  <w:num w:numId="3">
    <w:abstractNumId w:val="4"/>
  </w:num>
  <w:num w:numId="4">
    <w:abstractNumId w:val="7"/>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2"/>
  </w:num>
  <w:num w:numId="18">
    <w:abstractNumId w:val="13"/>
  </w:num>
  <w:num w:numId="1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evenAndOddHeaders/>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54B6"/>
    <w:rsid w:val="00A12E6F"/>
    <w:rsid w:val="00C554B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EFB16F-1ABC-4D71-BAB8-EFA340D8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bCs/>
      <w:caps/>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rPr>
  </w:style>
  <w:style w:type="paragraph" w:styleId="Heading3">
    <w:name w:val="heading 3"/>
    <w:basedOn w:val="Normal"/>
    <w:next w:val="Normal"/>
    <w:link w:val="Heading3Char"/>
    <w:uiPriority w:val="99"/>
    <w:qFormat/>
    <w:pPr>
      <w:keepNext/>
      <w:tabs>
        <w:tab w:val="left" w:pos="567"/>
      </w:tabs>
      <w:spacing w:before="120" w:after="120"/>
      <w:jc w:val="center"/>
      <w:outlineLvl w:val="2"/>
    </w:pPr>
    <w:rPr>
      <w:i/>
      <w:iCs/>
    </w:rPr>
  </w:style>
  <w:style w:type="paragraph" w:styleId="Heading4">
    <w:name w:val="heading 4"/>
    <w:basedOn w:val="Normal"/>
    <w:link w:val="Heading4Char"/>
    <w:uiPriority w:val="99"/>
    <w:qFormat/>
    <w:pPr>
      <w:keepNext/>
      <w:spacing w:before="120" w:after="120"/>
      <w:outlineLvl w:val="3"/>
    </w:pPr>
    <w:rPr>
      <w:rFonts w:ascii="Times New Roman Bold" w:hAnsi="Times New Roman Bold" w:cs="Times New Roman Bold"/>
      <w:b/>
      <w:bCs/>
      <w:i/>
      <w:iCs/>
    </w:rPr>
  </w:style>
  <w:style w:type="paragraph" w:styleId="Heading5">
    <w:name w:val="heading 5"/>
    <w:basedOn w:val="Normal"/>
    <w:next w:val="Normal"/>
    <w:link w:val="Heading5Char"/>
    <w:uiPriority w:val="99"/>
    <w:qFormat/>
    <w:pPr>
      <w:keepNext/>
      <w:numPr>
        <w:ilvl w:val="4"/>
        <w:numId w:val="1"/>
      </w:numPr>
      <w:spacing w:before="120" w:after="120"/>
      <w:jc w:val="left"/>
      <w:outlineLvl w:val="4"/>
    </w:pPr>
    <w:rPr>
      <w:i/>
      <w:iCs/>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cs="Univers"/>
      <w:b/>
      <w:bCs/>
      <w:sz w:val="28"/>
      <w:szCs w:val="28"/>
    </w:rPr>
  </w:style>
  <w:style w:type="paragraph" w:styleId="Heading8">
    <w:name w:val="heading 8"/>
    <w:basedOn w:val="Normal"/>
    <w:next w:val="Normal"/>
    <w:link w:val="Heading8Char"/>
    <w:uiPriority w:val="99"/>
    <w:qFormat/>
    <w:pPr>
      <w:keepNext/>
      <w:jc w:val="right"/>
      <w:outlineLvl w:val="7"/>
    </w:pPr>
    <w:rPr>
      <w:rFonts w:ascii="Univers" w:hAnsi="Univers" w:cs="Univers"/>
      <w:b/>
      <w:bCs/>
      <w:sz w:val="32"/>
      <w:szCs w:val="32"/>
    </w:rPr>
  </w:style>
  <w:style w:type="paragraph" w:styleId="Heading9">
    <w:name w:val="heading 9"/>
    <w:basedOn w:val="Normal"/>
    <w:next w:val="Normal"/>
    <w:link w:val="Heading9Char"/>
    <w:uiPriority w:val="99"/>
    <w:qFormat/>
    <w:pPr>
      <w:keepNext/>
      <w:spacing w:before="100" w:beforeAutospacing="1" w:after="120"/>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caps/>
      <w:sz w:val="22"/>
      <w:szCs w:val="22"/>
      <w:lang w:val="en-GB"/>
    </w:rPr>
  </w:style>
  <w:style w:type="character" w:customStyle="1" w:styleId="Heading2Char">
    <w:name w:val="Heading 2 Char"/>
    <w:basedOn w:val="DefaultParagraphFont"/>
    <w:link w:val="Heading2"/>
    <w:uiPriority w:val="99"/>
    <w:rPr>
      <w:rFonts w:ascii="Times New Roman" w:hAnsi="Times New Roman" w:cs="Times New Roman"/>
      <w:b/>
      <w:bCs/>
      <w:sz w:val="22"/>
      <w:szCs w:val="22"/>
      <w:lang w:val="en-GB"/>
    </w:rPr>
  </w:style>
  <w:style w:type="character" w:customStyle="1" w:styleId="Heading3Char">
    <w:name w:val="Heading 3 Char"/>
    <w:basedOn w:val="DefaultParagraphFont"/>
    <w:link w:val="Heading3"/>
    <w:uiPriority w:val="99"/>
    <w:rPr>
      <w:rFonts w:ascii="Times New Roman" w:hAnsi="Times New Roman" w:cs="Times New Roman"/>
      <w:i/>
      <w:iCs/>
      <w:sz w:val="22"/>
      <w:szCs w:val="22"/>
      <w:lang w:val="en-GB"/>
    </w:rPr>
  </w:style>
  <w:style w:type="character" w:customStyle="1" w:styleId="Heading4Char">
    <w:name w:val="Heading 4 Char"/>
    <w:basedOn w:val="DefaultParagraphFont"/>
    <w:link w:val="Heading4"/>
    <w:uiPriority w:val="99"/>
    <w:rPr>
      <w:rFonts w:ascii="Times New Roman Bold" w:hAnsi="Times New Roman Bold" w:cs="Times New Roman Bold"/>
      <w:b/>
      <w:bCs/>
      <w:i/>
      <w:iCs/>
      <w:sz w:val="22"/>
      <w:szCs w:val="22"/>
      <w:lang w:val="en-GB"/>
    </w:rPr>
  </w:style>
  <w:style w:type="character" w:customStyle="1" w:styleId="Heading5Char">
    <w:name w:val="Heading 5 Char"/>
    <w:basedOn w:val="DefaultParagraphFont"/>
    <w:link w:val="Heading5"/>
    <w:uiPriority w:val="99"/>
    <w:rPr>
      <w:rFonts w:ascii="Times New Roman" w:hAnsi="Times New Roman" w:cs="Times New Roman"/>
      <w:i/>
      <w:iCs/>
      <w:sz w:val="26"/>
      <w:szCs w:val="26"/>
      <w:lang w:val="en-CA"/>
    </w:rPr>
  </w:style>
  <w:style w:type="character" w:customStyle="1" w:styleId="Heading6Char">
    <w:name w:val="Heading 6 Char"/>
    <w:basedOn w:val="DefaultParagraphFont"/>
    <w:link w:val="Heading6"/>
    <w:uiPriority w:val="99"/>
    <w:rPr>
      <w:rFonts w:ascii="Times New Roman" w:hAnsi="Times New Roman" w:cs="Times New Roman"/>
      <w:sz w:val="22"/>
      <w:szCs w:val="22"/>
      <w:u w:val="single"/>
      <w:lang w:val="en-GB"/>
    </w:rPr>
  </w:style>
  <w:style w:type="character" w:customStyle="1" w:styleId="Heading7Char">
    <w:name w:val="Heading 7 Char"/>
    <w:basedOn w:val="DefaultParagraphFont"/>
    <w:link w:val="Heading7"/>
    <w:uiPriority w:val="99"/>
    <w:rPr>
      <w:rFonts w:ascii="Univers" w:hAnsi="Univers" w:cs="Univers"/>
      <w:b/>
      <w:bCs/>
      <w:sz w:val="28"/>
      <w:szCs w:val="28"/>
      <w:lang w:val="en-GB"/>
    </w:rPr>
  </w:style>
  <w:style w:type="character" w:customStyle="1" w:styleId="Heading8Char">
    <w:name w:val="Heading 8 Char"/>
    <w:basedOn w:val="DefaultParagraphFont"/>
    <w:link w:val="Heading8"/>
    <w:uiPriority w:val="99"/>
    <w:rPr>
      <w:rFonts w:ascii="Univers" w:hAnsi="Univers" w:cs="Univers"/>
      <w:b/>
      <w:bCs/>
      <w:sz w:val="32"/>
      <w:szCs w:val="32"/>
      <w:lang w:val="en-GB"/>
    </w:rPr>
  </w:style>
  <w:style w:type="character" w:customStyle="1" w:styleId="Heading9Char">
    <w:name w:val="Heading 9 Char"/>
    <w:basedOn w:val="DefaultParagraphFont"/>
    <w:link w:val="Heading9"/>
    <w:uiPriority w:val="99"/>
    <w:rPr>
      <w:rFonts w:ascii="Times New Roman" w:hAnsi="Times New Roman" w:cs="Times New Roman"/>
      <w:i/>
      <w:iCs/>
      <w:sz w:val="22"/>
      <w:szCs w:val="22"/>
      <w:lang w:val="en-GB"/>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val="en-US"/>
    </w:rPr>
  </w:style>
  <w:style w:type="character" w:styleId="PlaceholderText">
    <w:name w:val="Placeholder Text"/>
    <w:basedOn w:val="DefaultParagraphFont"/>
    <w:uiPriority w:val="99"/>
    <w:rPr>
      <w:rFonts w:ascii="Times New Roman" w:hAnsi="Times New Roman" w:cs="Times New Roman"/>
      <w:color w:val="808080"/>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2"/>
      <w:szCs w:val="22"/>
      <w:lang w:val="en-GB"/>
    </w:rPr>
  </w:style>
  <w:style w:type="paragraph" w:styleId="Footer">
    <w:name w:val="footer"/>
    <w:basedOn w:val="Normal"/>
    <w:link w:val="FooterChar"/>
    <w:uiPriority w:val="99"/>
    <w:pPr>
      <w:tabs>
        <w:tab w:val="center" w:pos="4320"/>
        <w:tab w:val="right" w:pos="8640"/>
      </w:tabs>
      <w:ind w:firstLine="720"/>
      <w:jc w:val="righ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2"/>
      <w:szCs w:val="22"/>
      <w:lang w:val="en-GB"/>
    </w:rPr>
  </w:style>
  <w:style w:type="paragraph" w:customStyle="1" w:styleId="meetingname">
    <w:name w:val="meeting name"/>
    <w:basedOn w:val="Normal"/>
    <w:uiPriority w:val="99"/>
    <w:pPr>
      <w:ind w:left="142" w:right="4218" w:hanging="142"/>
    </w:pPr>
    <w:rPr>
      <w:rFonts w:cs="Times New Roman"/>
      <w:caps/>
    </w:rPr>
  </w:style>
  <w:style w:type="paragraph" w:styleId="Title">
    <w:name w:val="Title"/>
    <w:basedOn w:val="Normal"/>
    <w:next w:val="Normal"/>
    <w:link w:val="TitleChar"/>
    <w:uiPriority w:val="99"/>
    <w:qFormat/>
    <w:pPr>
      <w:pBdr>
        <w:bottom w:val="single" w:sz="8" w:space="4" w:color="auto"/>
      </w:pBdr>
      <w:spacing w:after="300"/>
    </w:pPr>
    <w:rPr>
      <w:rFonts w:ascii="Calibri" w:eastAsia="MS Gothic" w:hAnsi="Calibri" w:cs="Calibri"/>
      <w:spacing w:val="5"/>
      <w:kern w:val="28"/>
      <w:sz w:val="52"/>
      <w:szCs w:val="52"/>
    </w:rPr>
  </w:style>
  <w:style w:type="character" w:customStyle="1" w:styleId="TitleChar">
    <w:name w:val="Title Char"/>
    <w:basedOn w:val="DefaultParagraphFont"/>
    <w:link w:val="Title"/>
    <w:uiPriority w:val="99"/>
    <w:rPr>
      <w:rFonts w:ascii="Calibri" w:eastAsia="MS Gothic" w:hAnsi="Calibri" w:cs="Calibri"/>
      <w:color w:val="auto"/>
      <w:spacing w:val="5"/>
      <w:kern w:val="28"/>
      <w:sz w:val="52"/>
      <w:szCs w:val="52"/>
      <w:lang w:val="en-US"/>
    </w:rPr>
  </w:style>
  <w:style w:type="paragraph" w:styleId="Subtitle">
    <w:name w:val="Subtitle"/>
    <w:basedOn w:val="Normal"/>
    <w:next w:val="Normal"/>
    <w:link w:val="SubtitleChar"/>
    <w:uiPriority w:val="99"/>
    <w:qFormat/>
    <w:pPr>
      <w:numPr>
        <w:ilvl w:val="1"/>
      </w:numPr>
    </w:pPr>
    <w:rPr>
      <w:rFonts w:ascii="Calibri" w:eastAsia="MS Gothic" w:hAnsi="Calibri" w:cs="Calibri"/>
      <w:i/>
      <w:iCs/>
      <w:spacing w:val="15"/>
      <w:sz w:val="24"/>
      <w:szCs w:val="24"/>
    </w:rPr>
  </w:style>
  <w:style w:type="character" w:customStyle="1" w:styleId="SubtitleChar">
    <w:name w:val="Subtitle Char"/>
    <w:basedOn w:val="DefaultParagraphFont"/>
    <w:link w:val="Subtitle"/>
    <w:uiPriority w:val="99"/>
    <w:rPr>
      <w:rFonts w:ascii="Calibri" w:eastAsia="MS Gothic" w:hAnsi="Calibri" w:cs="Calibri"/>
      <w:i/>
      <w:iCs/>
      <w:color w:val="auto"/>
      <w:spacing w:val="15"/>
      <w:lang w:val="en-US"/>
    </w:rPr>
  </w:style>
  <w:style w:type="paragraph" w:styleId="BodyText">
    <w:name w:val="Body Text"/>
    <w:basedOn w:val="Normal"/>
    <w:link w:val="BodyTextChar"/>
    <w:uiPriority w:val="99"/>
    <w:pPr>
      <w:spacing w:before="120" w:after="120"/>
      <w:ind w:firstLine="720"/>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2"/>
      <w:szCs w:val="22"/>
      <w:lang w:val="en-GB"/>
    </w:rPr>
  </w:style>
  <w:style w:type="paragraph" w:styleId="BodyTextIndent">
    <w:name w:val="Body Text Indent"/>
    <w:basedOn w:val="Normal"/>
    <w:link w:val="BodyTextIndentChar"/>
    <w:uiPriority w:val="99"/>
    <w:pPr>
      <w:spacing w:before="120" w:after="120"/>
      <w:ind w:left="1440" w:hanging="720"/>
      <w:jc w:val="left"/>
    </w:pPr>
    <w:rPr>
      <w:rFonts w:cs="Times New Roman"/>
    </w:rPr>
  </w:style>
  <w:style w:type="character" w:customStyle="1" w:styleId="BodyTextIndentChar">
    <w:name w:val="Body Text Indent Char"/>
    <w:basedOn w:val="DefaultParagraphFont"/>
    <w:link w:val="BodyTextIndent"/>
    <w:uiPriority w:val="99"/>
    <w:rPr>
      <w:rFonts w:ascii="Times New Roman" w:hAnsi="Times New Roman" w:cs="Times New Roman"/>
      <w:sz w:val="22"/>
      <w:szCs w:val="22"/>
      <w:lang w:val="en-GB"/>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after="120" w:line="240" w:lineRule="exact"/>
    </w:pPr>
    <w:rPr>
      <w:rFonts w:cs="Times New Roman"/>
    </w:rPr>
  </w:style>
  <w:style w:type="character" w:customStyle="1" w:styleId="CommentTextChar">
    <w:name w:val="Comment Text Char"/>
    <w:basedOn w:val="DefaultParagraphFont"/>
    <w:link w:val="CommentText"/>
    <w:uiPriority w:val="99"/>
    <w:rPr>
      <w:rFonts w:ascii="Times New Roman" w:hAnsi="Times New Roman" w:cs="Times New Roman"/>
      <w:sz w:val="22"/>
      <w:szCs w:val="22"/>
      <w:lang w:val="en-GB"/>
    </w:rPr>
  </w:style>
  <w:style w:type="paragraph" w:customStyle="1" w:styleId="Cornernotation">
    <w:name w:val="Corner notation"/>
    <w:basedOn w:val="Normal"/>
    <w:uiPriority w:val="99"/>
    <w:pPr>
      <w:ind w:left="170" w:right="3119" w:hanging="170"/>
      <w:jc w:val="left"/>
    </w:pPr>
    <w:rPr>
      <w:rFonts w:cs="Times New Roman"/>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EndnoteText">
    <w:name w:val="endnote text"/>
    <w:basedOn w:val="Normal"/>
    <w:link w:val="EndnoteTextChar"/>
    <w:uiPriority w:val="99"/>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link w:val="EndnoteText"/>
    <w:uiPriority w:val="99"/>
    <w:rPr>
      <w:rFonts w:ascii="Courier New" w:hAnsi="Courier New" w:cs="Courier New"/>
      <w:sz w:val="22"/>
      <w:szCs w:val="22"/>
      <w:lang w:val="en-GB"/>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FootnoteReference">
    <w:name w:val="footnote reference"/>
    <w:basedOn w:val="DefaultParagraphFont"/>
    <w:uiPriority w:val="99"/>
    <w:rPr>
      <w:rFonts w:ascii="Times New Roman" w:hAnsi="Times New Roman" w:cs="Times New Roman"/>
      <w:sz w:val="22"/>
      <w:szCs w:val="22"/>
      <w:u w:val="none"/>
      <w:vertAlign w:val="superscript"/>
    </w:rPr>
  </w:style>
  <w:style w:type="paragraph" w:styleId="FootnoteText">
    <w:name w:val="footnote text"/>
    <w:basedOn w:val="Normal"/>
    <w:link w:val="FootnoteTextChar"/>
    <w:uiPriority w:val="99"/>
    <w:pPr>
      <w:keepLines/>
      <w:spacing w:after="60"/>
      <w:ind w:firstLine="720"/>
    </w:pPr>
    <w:rPr>
      <w:rFonts w:cs="Times New Roman"/>
      <w:sz w:val="18"/>
      <w:szCs w:val="18"/>
    </w:rPr>
  </w:style>
  <w:style w:type="character" w:customStyle="1" w:styleId="FootnoteTextChar">
    <w:name w:val="Footnote Text Char"/>
    <w:basedOn w:val="DefaultParagraphFont"/>
    <w:link w:val="FootnoteText"/>
    <w:uiPriority w:val="99"/>
    <w:rPr>
      <w:rFonts w:ascii="Times New Roman" w:hAnsi="Times New Roman" w:cs="Times New Roman"/>
      <w:sz w:val="18"/>
      <w:szCs w:val="18"/>
      <w:lang w:val="en-GB"/>
    </w:rPr>
  </w:style>
  <w:style w:type="paragraph" w:customStyle="1" w:styleId="HEADING">
    <w:name w:val="HEADING"/>
    <w:basedOn w:val="Normal"/>
    <w:uiPriority w:val="99"/>
    <w:pPr>
      <w:keepNext/>
      <w:spacing w:before="240" w:after="120"/>
      <w:jc w:val="center"/>
    </w:pPr>
    <w:rPr>
      <w:rFonts w:cs="Times New Roman"/>
      <w:b/>
      <w:bCs/>
      <w:caps/>
    </w:rPr>
  </w:style>
  <w:style w:type="paragraph" w:customStyle="1" w:styleId="HEADINGNOTFORTOC">
    <w:name w:val="HEADING (NOT FOR TOC)"/>
    <w:basedOn w:val="Heading1"/>
    <w:next w:val="Heading2"/>
    <w:uiPriority w:val="99"/>
    <w:rPr>
      <w:rFonts w:cs="Times New Roman"/>
    </w:rPr>
  </w:style>
  <w:style w:type="paragraph" w:customStyle="1" w:styleId="Heading1longmultiline">
    <w:name w:val="Heading 1 (long multiline)"/>
    <w:basedOn w:val="Heading1"/>
    <w:uiPriority w:val="99"/>
    <w:pPr>
      <w:ind w:left="1843" w:hanging="1134"/>
      <w:jc w:val="left"/>
    </w:pPr>
    <w:rPr>
      <w:rFonts w:cs="Times New Roman"/>
    </w:rPr>
  </w:style>
  <w:style w:type="paragraph" w:customStyle="1" w:styleId="Heading1multiline">
    <w:name w:val="Heading 1 (multiline)"/>
    <w:basedOn w:val="Heading1"/>
    <w:uiPriority w:val="99"/>
    <w:pPr>
      <w:ind w:left="1843" w:right="996" w:hanging="567"/>
      <w:jc w:val="left"/>
    </w:pPr>
    <w:rPr>
      <w:rFonts w:cs="Times New Roman"/>
    </w:rPr>
  </w:style>
  <w:style w:type="paragraph" w:customStyle="1" w:styleId="Heading2multiline">
    <w:name w:val="Heading 2 (multiline)"/>
    <w:basedOn w:val="Heading1"/>
    <w:next w:val="Normal"/>
    <w:uiPriority w:val="99"/>
    <w:pPr>
      <w:spacing w:before="120"/>
      <w:ind w:left="1843" w:right="998" w:hanging="567"/>
      <w:jc w:val="left"/>
    </w:pPr>
    <w:rPr>
      <w:rFonts w:cs="Times New Roman"/>
      <w:i/>
      <w:iCs/>
      <w:caps w:val="0"/>
    </w:rPr>
  </w:style>
  <w:style w:type="paragraph" w:customStyle="1" w:styleId="Heading2longmultiline">
    <w:name w:val="Heading 2 (long multiline)"/>
    <w:basedOn w:val="Heading2multiline"/>
    <w:uiPriority w:val="99"/>
    <w:pPr>
      <w:ind w:left="2127" w:hanging="1276"/>
    </w:pPr>
  </w:style>
  <w:style w:type="paragraph" w:customStyle="1" w:styleId="heading2notforTOC">
    <w:name w:val="heading 2 not for TOC"/>
    <w:basedOn w:val="Heading3"/>
    <w:uiPriority w:val="99"/>
    <w:rPr>
      <w:rFonts w:cs="Times New Roman"/>
    </w:rPr>
  </w:style>
  <w:style w:type="paragraph" w:customStyle="1" w:styleId="Heading3multiline">
    <w:name w:val="Heading 3 (multiline)"/>
    <w:basedOn w:val="Heading3"/>
    <w:next w:val="Normal"/>
    <w:uiPriority w:val="99"/>
    <w:pPr>
      <w:ind w:left="1418" w:hanging="425"/>
      <w:jc w:val="left"/>
    </w:pPr>
    <w:rPr>
      <w:rFonts w:cs="Times New Roman"/>
    </w:rPr>
  </w:style>
  <w:style w:type="paragraph" w:customStyle="1" w:styleId="Heading4indent">
    <w:name w:val="Heading 4 indent"/>
    <w:basedOn w:val="Heading4"/>
    <w:uiPriority w:val="99"/>
    <w:pPr>
      <w:ind w:left="720"/>
      <w:outlineLvl w:val="9"/>
    </w:pPr>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sz w:val="22"/>
      <w:szCs w:val="22"/>
    </w:rPr>
  </w:style>
  <w:style w:type="paragraph" w:customStyle="1" w:styleId="Para1">
    <w:name w:val="Para1"/>
    <w:basedOn w:val="Normal"/>
    <w:uiPriority w:val="99"/>
    <w:pPr>
      <w:numPr>
        <w:numId w:val="4"/>
      </w:numPr>
      <w:tabs>
        <w:tab w:val="clear" w:pos="360"/>
      </w:tabs>
      <w:spacing w:before="120" w:after="120"/>
    </w:pPr>
    <w:rPr>
      <w:rFonts w:cs="Times New Roman"/>
      <w:lang w:eastAsia="es-ES"/>
    </w:rPr>
  </w:style>
  <w:style w:type="paragraph" w:customStyle="1" w:styleId="Para2">
    <w:name w:val="Para2"/>
    <w:basedOn w:val="Para1"/>
    <w:uiPriority w:val="99"/>
    <w:pPr>
      <w:numPr>
        <w:numId w:val="0"/>
      </w:numPr>
      <w:autoSpaceDE w:val="0"/>
      <w:autoSpaceDN w:val="0"/>
    </w:pPr>
  </w:style>
  <w:style w:type="paragraph" w:customStyle="1" w:styleId="Para3">
    <w:name w:val="Para3"/>
    <w:basedOn w:val="Normal"/>
    <w:uiPriority w:val="99"/>
    <w:pPr>
      <w:numPr>
        <w:ilvl w:val="3"/>
        <w:numId w:val="5"/>
      </w:numPr>
      <w:tabs>
        <w:tab w:val="left" w:pos="1980"/>
      </w:tabs>
      <w:spacing w:before="80" w:after="80"/>
    </w:pPr>
    <w:rPr>
      <w:rFonts w:cs="Times New Roman"/>
    </w:rPr>
  </w:style>
  <w:style w:type="paragraph" w:customStyle="1" w:styleId="para4">
    <w:name w:val="para4"/>
    <w:basedOn w:val="Normal"/>
    <w:uiPriority w:val="99"/>
    <w:pPr>
      <w:overflowPunct w:val="0"/>
      <w:autoSpaceDE w:val="0"/>
      <w:autoSpaceDN w:val="0"/>
      <w:adjustRightInd w:val="0"/>
      <w:spacing w:after="120" w:line="240" w:lineRule="atLeast"/>
      <w:textAlignment w:val="baseline"/>
    </w:pPr>
    <w:rPr>
      <w:rFonts w:ascii="Courier" w:hAnsi="Courier" w:cs="Courier"/>
      <w:color w:val="000000"/>
      <w:sz w:val="20"/>
      <w:szCs w:val="20"/>
    </w:rPr>
  </w:style>
  <w:style w:type="paragraph" w:customStyle="1" w:styleId="Para-decision">
    <w:name w:val="Para-decision"/>
    <w:basedOn w:val="Normal"/>
    <w:uiPriority w:val="9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cs="Times New Roman"/>
      <w:color w:val="000000"/>
    </w:rPr>
  </w:style>
  <w:style w:type="paragraph" w:customStyle="1" w:styleId="Quotationtextindented">
    <w:name w:val="Quotation text (indented)"/>
    <w:basedOn w:val="Normal"/>
    <w:uiPriority w:val="99"/>
    <w:pPr>
      <w:spacing w:before="120" w:after="120"/>
      <w:ind w:left="720" w:right="720"/>
    </w:pPr>
    <w:rPr>
      <w:rFonts w:cs="Times New Roman"/>
    </w:rPr>
  </w:style>
  <w:style w:type="paragraph" w:customStyle="1" w:styleId="recommendationheader">
    <w:name w:val="recommendation header"/>
    <w:basedOn w:val="Heading2"/>
    <w:uiPriority w:val="99"/>
    <w:rPr>
      <w:rFonts w:cs="Times New Roman"/>
    </w:rPr>
  </w:style>
  <w:style w:type="paragraph" w:customStyle="1" w:styleId="recommendationheaderlong">
    <w:name w:val="recommendation header long"/>
    <w:basedOn w:val="Heading2longmultiline"/>
    <w:uiPriority w:val="99"/>
  </w:style>
  <w:style w:type="paragraph" w:customStyle="1" w:styleId="reference">
    <w:name w:val="reference"/>
    <w:basedOn w:val="Heading9"/>
    <w:uiPriority w:val="99"/>
    <w:rPr>
      <w:i w:val="0"/>
      <w:iCs w:val="0"/>
      <w:sz w:val="18"/>
      <w:szCs w:val="18"/>
    </w:rPr>
  </w:style>
  <w:style w:type="character" w:customStyle="1" w:styleId="StyleFootnoteReferenceNounderline">
    <w:name w:val="Style Footnote Reference + No underline"/>
    <w:uiPriority w:val="99"/>
    <w:rPr>
      <w:sz w:val="18"/>
      <w:szCs w:val="18"/>
      <w:u w:val="none"/>
      <w:vertAlign w:val="baseline"/>
    </w:rPr>
  </w:style>
  <w:style w:type="paragraph" w:customStyle="1" w:styleId="tabletitle">
    <w:name w:val="table title"/>
    <w:basedOn w:val="Heading2"/>
    <w:uiPriority w:val="99"/>
    <w:pPr>
      <w:jc w:val="left"/>
      <w:outlineLvl w:val="9"/>
    </w:pPr>
    <w:rPr>
      <w:rFonts w:cs="Times New Roman"/>
      <w:i/>
      <w:iCs/>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TOC1">
    <w:name w:val="toc 1"/>
    <w:basedOn w:val="Normal"/>
    <w:next w:val="Normal"/>
    <w:autoRedefine/>
    <w:uiPriority w:val="99"/>
    <w:pPr>
      <w:ind w:left="720" w:hanging="720"/>
    </w:pPr>
    <w:rPr>
      <w:rFonts w:cs="Times New Roman"/>
      <w:caps/>
    </w:rPr>
  </w:style>
  <w:style w:type="paragraph" w:styleId="TOC2">
    <w:name w:val="toc 2"/>
    <w:basedOn w:val="Normal"/>
    <w:next w:val="Normal"/>
    <w:autoRedefine/>
    <w:uiPriority w:val="99"/>
    <w:pPr>
      <w:tabs>
        <w:tab w:val="right" w:leader="dot" w:pos="9356"/>
      </w:tabs>
      <w:ind w:left="1440" w:hanging="720"/>
    </w:pPr>
    <w:rPr>
      <w:rFonts w:cs="Times New Roman"/>
      <w:noProof/>
    </w:rPr>
  </w:style>
  <w:style w:type="paragraph" w:styleId="TOC3">
    <w:name w:val="toc 3"/>
    <w:basedOn w:val="Normal"/>
    <w:next w:val="Normal"/>
    <w:autoRedefine/>
    <w:uiPriority w:val="99"/>
    <w:pPr>
      <w:ind w:left="2160" w:hanging="720"/>
    </w:pPr>
    <w:rPr>
      <w:rFonts w:cs="Times New Roman"/>
    </w:rPr>
  </w:style>
  <w:style w:type="paragraph" w:styleId="TOC4">
    <w:name w:val="toc 4"/>
    <w:basedOn w:val="Normal"/>
    <w:next w:val="Normal"/>
    <w:autoRedefine/>
    <w:uiPriority w:val="99"/>
    <w:pPr>
      <w:spacing w:before="120" w:after="120"/>
      <w:ind w:left="660"/>
      <w:jc w:val="left"/>
    </w:pPr>
    <w:rPr>
      <w:rFonts w:cs="Times New Roman"/>
    </w:rPr>
  </w:style>
  <w:style w:type="paragraph" w:styleId="TOC5">
    <w:name w:val="toc 5"/>
    <w:basedOn w:val="Normal"/>
    <w:next w:val="Normal"/>
    <w:autoRedefine/>
    <w:uiPriority w:val="99"/>
    <w:pPr>
      <w:spacing w:before="120" w:after="120"/>
      <w:ind w:left="880"/>
      <w:jc w:val="left"/>
    </w:pPr>
    <w:rPr>
      <w:rFonts w:cs="Times New Roman"/>
    </w:rPr>
  </w:style>
  <w:style w:type="paragraph" w:styleId="TOC6">
    <w:name w:val="toc 6"/>
    <w:basedOn w:val="Normal"/>
    <w:next w:val="Normal"/>
    <w:autoRedefine/>
    <w:uiPriority w:val="99"/>
    <w:pPr>
      <w:spacing w:before="120" w:after="120"/>
      <w:ind w:left="1100"/>
      <w:jc w:val="left"/>
    </w:pPr>
    <w:rPr>
      <w:rFonts w:cs="Times New Roman"/>
    </w:rPr>
  </w:style>
  <w:style w:type="paragraph" w:styleId="TOC7">
    <w:name w:val="toc 7"/>
    <w:basedOn w:val="Normal"/>
    <w:next w:val="Normal"/>
    <w:autoRedefine/>
    <w:uiPriority w:val="99"/>
    <w:pPr>
      <w:spacing w:before="120" w:after="120"/>
      <w:ind w:left="1320"/>
      <w:jc w:val="left"/>
    </w:pPr>
    <w:rPr>
      <w:rFonts w:cs="Times New Roman"/>
    </w:rPr>
  </w:style>
  <w:style w:type="paragraph" w:styleId="TOC8">
    <w:name w:val="toc 8"/>
    <w:basedOn w:val="Normal"/>
    <w:next w:val="Normal"/>
    <w:autoRedefine/>
    <w:uiPriority w:val="99"/>
    <w:pPr>
      <w:spacing w:before="120" w:after="120"/>
      <w:ind w:left="1540"/>
      <w:jc w:val="left"/>
    </w:pPr>
    <w:rPr>
      <w:rFonts w:cs="Times New Roman"/>
    </w:rPr>
  </w:style>
  <w:style w:type="paragraph" w:styleId="TOC9">
    <w:name w:val="toc 9"/>
    <w:basedOn w:val="Normal"/>
    <w:next w:val="Normal"/>
    <w:autoRedefine/>
    <w:uiPriority w:val="99"/>
    <w:pPr>
      <w:spacing w:before="120" w:after="120"/>
      <w:ind w:left="1760"/>
      <w:jc w:val="left"/>
    </w:pPr>
    <w:rPr>
      <w:rFonts w:cs="Times New Roman"/>
    </w:rPr>
  </w:style>
  <w:style w:type="character" w:styleId="Hyperlink">
    <w:name w:val="Hyperlink"/>
    <w:basedOn w:val="DefaultParagraphFont"/>
    <w:uiPriority w:val="99"/>
    <w:rPr>
      <w:rFonts w:ascii="Times New Roman" w:hAnsi="Times New Roman" w:cs="Times New Roman"/>
      <w:color w:val="0000FF"/>
      <w:sz w:val="18"/>
      <w:szCs w:val="18"/>
      <w:u w:val="single"/>
    </w:rPr>
  </w:style>
  <w:style w:type="character" w:customStyle="1" w:styleId="Para1Char">
    <w:name w:val="Para1 Char"/>
    <w:uiPriority w:val="99"/>
    <w:rPr>
      <w:rFonts w:ascii="Times New Roman" w:hAnsi="Times New Roman" w:cs="Times New Roman"/>
      <w:snapToGrid w:val="0"/>
      <w:sz w:val="18"/>
      <w:szCs w:val="18"/>
      <w:lang w:val="en-GB"/>
    </w:rPr>
  </w:style>
  <w:style w:type="paragraph" w:customStyle="1" w:styleId="CBD-Doc-Type">
    <w:name w:val="CBD-Doc-Type"/>
    <w:basedOn w:val="Normal"/>
    <w:uiPriority w:val="99"/>
    <w:pPr>
      <w:keepLines/>
      <w:spacing w:before="240" w:after="120"/>
    </w:pPr>
    <w:rPr>
      <w:rFonts w:ascii="Angsana New" w:hAnsi="Angsana New" w:cs="Angsana New"/>
      <w:b/>
      <w:bCs/>
      <w:i/>
      <w:iCs/>
      <w:sz w:val="24"/>
      <w:szCs w:val="24"/>
    </w:rPr>
  </w:style>
  <w:style w:type="paragraph" w:customStyle="1" w:styleId="CBD-Doc">
    <w:name w:val="CBD-Doc"/>
    <w:basedOn w:val="Normal"/>
    <w:uiPriority w:val="99"/>
    <w:pPr>
      <w:keepLines/>
      <w:numPr>
        <w:numId w:val="9"/>
      </w:numPr>
      <w:spacing w:after="120"/>
    </w:pPr>
    <w:rPr>
      <w:rFonts w:ascii="Angsana New" w:hAnsi="Angsana New" w:cs="Angsana New"/>
    </w:rPr>
  </w:style>
  <w:style w:type="paragraph" w:styleId="ListParagraph">
    <w:name w:val="List Paragraph"/>
    <w:basedOn w:val="Normal"/>
    <w:uiPriority w:val="99"/>
    <w:qFormat/>
    <w:pPr>
      <w:ind w:left="720"/>
    </w:pPr>
    <w:rPr>
      <w:rFonts w:cs="Times New Roman"/>
    </w:rPr>
  </w:style>
  <w:style w:type="paragraph" w:styleId="Caption">
    <w:name w:val="caption"/>
    <w:basedOn w:val="Normal"/>
    <w:next w:val="Normal"/>
    <w:uiPriority w:val="99"/>
    <w:qFormat/>
    <w:pPr>
      <w:keepNext/>
      <w:keepLines/>
      <w:spacing w:after="200"/>
    </w:pPr>
    <w:rPr>
      <w:rFonts w:cs="Times New Roman"/>
      <w:b/>
      <w:bCs/>
    </w:rPr>
  </w:style>
  <w:style w:type="paragraph" w:customStyle="1" w:styleId="Style1">
    <w:name w:val="Style1"/>
    <w:basedOn w:val="Heading2"/>
    <w:uiPriority w:val="99"/>
    <w:rPr>
      <w:rFonts w:cs="Times New Roman"/>
      <w:i/>
      <w:iCs/>
    </w:rPr>
  </w:style>
  <w:style w:type="paragraph" w:styleId="CommentSubject">
    <w:name w:val="annotation subject"/>
    <w:basedOn w:val="CommentText"/>
    <w:next w:val="CommentText"/>
    <w:link w:val="CommentSubjectChar"/>
    <w:uiPriority w:val="99"/>
    <w:pPr>
      <w:spacing w:after="0" w:line="240" w:lineRule="auto"/>
    </w:pPr>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styleId="Revision">
    <w:name w:val="Revision"/>
    <w:hidden/>
    <w:uiPriority w:val="99"/>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2647</Words>
  <Characters>15091</Characters>
  <Application>Microsoft Office Word</Application>
  <DocSecurity>0</DocSecurity>
  <Lines>125</Lines>
  <Paragraphs>35</Paragraphs>
  <ScaleCrop>false</ScaleCrop>
  <Company>SCBD</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Cartagena Protocol on Biosafety</dc:title>
  <dc:subject>CBD/SBI/3/CRP.1</dc:subject>
  <dc:creator>SCBD</dc:creator>
  <cp:keywords>Subsidiary Body on Implementation, Convention on BIological Diversity</cp:keywords>
  <dc:description/>
  <cp:lastModifiedBy>Xue He Yan</cp:lastModifiedBy>
  <cp:revision>7</cp:revision>
  <cp:lastPrinted>2020-01-21T16:56:00Z</cp:lastPrinted>
  <dcterms:created xsi:type="dcterms:W3CDTF">2021-05-21T07:23:00Z</dcterms:created>
  <dcterms:modified xsi:type="dcterms:W3CDTF">2021-05-21T13:39:00Z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