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C500D" w14:paraId="0DF13B92" w14:textId="77777777" w:rsidTr="478F8050">
        <w:trPr>
          <w:trHeight w:val="850"/>
        </w:trPr>
        <w:tc>
          <w:tcPr>
            <w:tcW w:w="975" w:type="dxa"/>
            <w:vAlign w:val="bottom"/>
          </w:tcPr>
          <w:p w14:paraId="275FF137" w14:textId="3A0687F5" w:rsidR="008A1499" w:rsidRPr="009C500D" w:rsidRDefault="11C3890B" w:rsidP="008A1499">
            <w:pPr>
              <w:pStyle w:val="AASmallLogo"/>
            </w:pPr>
            <w:r w:rsidRPr="009C500D">
              <w:rPr>
                <w:noProof/>
              </w:rPr>
              <w:drawing>
                <wp:inline distT="0" distB="0" distL="0" distR="0" wp14:anchorId="54F6E387" wp14:editId="6DF28CE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9C500D">
              <w:t xml:space="preserve"> </w:t>
            </w:r>
          </w:p>
          <w:p w14:paraId="26B5A20D" w14:textId="77777777" w:rsidR="008A1499" w:rsidRPr="009C500D" w:rsidRDefault="008A1499" w:rsidP="008A1499">
            <w:pPr>
              <w:pStyle w:val="AASmallLogo"/>
            </w:pPr>
          </w:p>
        </w:tc>
        <w:tc>
          <w:tcPr>
            <w:tcW w:w="1434" w:type="dxa"/>
            <w:noWrap/>
            <w:vAlign w:val="bottom"/>
          </w:tcPr>
          <w:p w14:paraId="211682C0" w14:textId="23560D02" w:rsidR="008A1499" w:rsidRPr="009C500D" w:rsidRDefault="00BA45D2" w:rsidP="008A1499">
            <w:pPr>
              <w:pStyle w:val="AASmallLogo"/>
            </w:pPr>
            <w:r w:rsidRPr="00732369">
              <w:rPr>
                <w:noProof/>
                <w:lang w:eastAsia="fr-FR"/>
              </w:rPr>
              <w:drawing>
                <wp:inline distT="0" distB="0" distL="0" distR="0" wp14:anchorId="373DBF92" wp14:editId="56EB2692">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rsidR="008A1499" w:rsidRPr="009C500D">
              <w:t xml:space="preserve"> </w:t>
            </w:r>
          </w:p>
          <w:p w14:paraId="77A2B1CD" w14:textId="77777777" w:rsidR="008A1499" w:rsidRPr="009C500D" w:rsidRDefault="008A1499" w:rsidP="008A1499">
            <w:pPr>
              <w:pStyle w:val="AASmallLogo"/>
            </w:pPr>
          </w:p>
        </w:tc>
        <w:tc>
          <w:tcPr>
            <w:tcW w:w="8073" w:type="dxa"/>
            <w:vAlign w:val="bottom"/>
          </w:tcPr>
          <w:p w14:paraId="378BEC33" w14:textId="0E373B72" w:rsidR="008A1499" w:rsidRPr="009C500D" w:rsidRDefault="008A1499" w:rsidP="00BA1CEB">
            <w:pPr>
              <w:pStyle w:val="ABSymbol"/>
            </w:pPr>
            <w:r>
              <w:rPr>
                <w:sz w:val="40"/>
                <w:szCs w:val="40"/>
              </w:rPr>
              <w:t>CBD</w:t>
            </w:r>
            <w:r>
              <w:t>/SBI/7/5</w:t>
            </w:r>
          </w:p>
        </w:tc>
      </w:tr>
    </w:tbl>
    <w:p w14:paraId="7A86F7BF" w14:textId="77777777" w:rsidR="008A1499" w:rsidRPr="009C500D"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C500D" w14:paraId="36E82908" w14:textId="77777777" w:rsidTr="008A1499">
        <w:trPr>
          <w:trHeight w:val="1814"/>
        </w:trPr>
        <w:tc>
          <w:tcPr>
            <w:tcW w:w="7370" w:type="dxa"/>
          </w:tcPr>
          <w:p w14:paraId="26DB64EE" w14:textId="3DCE22F3" w:rsidR="008A1499" w:rsidRPr="009C500D" w:rsidRDefault="00BA45D2" w:rsidP="008A1499">
            <w:pPr>
              <w:pStyle w:val="ACLargeLogo"/>
            </w:pPr>
            <w:r w:rsidRPr="00732369">
              <w:rPr>
                <w:bCs/>
                <w:noProof/>
                <w:lang w:eastAsia="fr-FR"/>
              </w:rPr>
              <w:drawing>
                <wp:inline distT="0" distB="0" distL="0" distR="0" wp14:anchorId="281F9D12" wp14:editId="5FD983D8">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9C500D">
              <w:t xml:space="preserve"> </w:t>
            </w:r>
          </w:p>
          <w:p w14:paraId="49BBD2C1" w14:textId="77777777" w:rsidR="008A1499" w:rsidRPr="009C500D" w:rsidRDefault="008A1499" w:rsidP="008A1499">
            <w:pPr>
              <w:pStyle w:val="ACLargeLogo"/>
            </w:pPr>
          </w:p>
        </w:tc>
        <w:tc>
          <w:tcPr>
            <w:tcW w:w="3112" w:type="dxa"/>
          </w:tcPr>
          <w:p w14:paraId="45911D37" w14:textId="77777777" w:rsidR="008A1499" w:rsidRPr="009C500D" w:rsidRDefault="008A1499" w:rsidP="008A1499">
            <w:pPr>
              <w:pStyle w:val="AEDistrNormal"/>
            </w:pPr>
            <w:proofErr w:type="spellStart"/>
            <w:r>
              <w:t>Distr</w:t>
            </w:r>
            <w:proofErr w:type="spellEnd"/>
            <w:r>
              <w:t xml:space="preserve">. : générale </w:t>
            </w:r>
          </w:p>
          <w:p w14:paraId="6B1A9E6B" w14:textId="56A39437" w:rsidR="008A1499" w:rsidRPr="009C500D" w:rsidRDefault="009A74E6" w:rsidP="008A1499">
            <w:pPr>
              <w:pStyle w:val="AEDistrNormal"/>
            </w:pPr>
            <w:r>
              <w:t>17 juin 2026</w:t>
            </w:r>
          </w:p>
          <w:p w14:paraId="773C6E19" w14:textId="4DB5CDA3" w:rsidR="008A1499" w:rsidRPr="009C500D" w:rsidRDefault="009A74E6" w:rsidP="008A1499">
            <w:pPr>
              <w:pStyle w:val="AEDistrNormal6pt"/>
            </w:pPr>
            <w:r>
              <w:t>Français</w:t>
            </w:r>
            <w:r>
              <w:br/>
              <w:t>Original : anglais</w:t>
            </w:r>
          </w:p>
          <w:p w14:paraId="64589F67" w14:textId="77777777" w:rsidR="008A1499" w:rsidRPr="009C500D" w:rsidRDefault="008A1499" w:rsidP="008A1499">
            <w:pPr>
              <w:pStyle w:val="AEDistrNormal6pt"/>
            </w:pPr>
          </w:p>
        </w:tc>
      </w:tr>
    </w:tbl>
    <w:p w14:paraId="037ADFFE" w14:textId="77777777" w:rsidR="008A1499" w:rsidRPr="009C500D" w:rsidRDefault="008A1499" w:rsidP="008A1499">
      <w:pPr>
        <w:pStyle w:val="AISpacer"/>
      </w:pPr>
    </w:p>
    <w:tbl>
      <w:tblPr>
        <w:tblW w:w="11334" w:type="dxa"/>
        <w:tblInd w:w="-283" w:type="dxa"/>
        <w:tblLayout w:type="fixed"/>
        <w:tblCellMar>
          <w:left w:w="283" w:type="dxa"/>
        </w:tblCellMar>
        <w:tblLook w:val="0000" w:firstRow="0" w:lastRow="0" w:firstColumn="0" w:lastColumn="0" w:noHBand="0" w:noVBand="0"/>
      </w:tblPr>
      <w:tblGrid>
        <w:gridCol w:w="6946"/>
        <w:gridCol w:w="4388"/>
      </w:tblGrid>
      <w:tr w:rsidR="008A1499" w:rsidRPr="009C500D" w14:paraId="0C9CDC4D" w14:textId="77777777" w:rsidTr="008C7F90">
        <w:trPr>
          <w:trHeight w:val="57"/>
        </w:trPr>
        <w:tc>
          <w:tcPr>
            <w:tcW w:w="6946" w:type="dxa"/>
          </w:tcPr>
          <w:p w14:paraId="1BEFBCB6" w14:textId="77777777" w:rsidR="008A1499" w:rsidRPr="009C500D" w:rsidRDefault="00C4348A" w:rsidP="008A1499">
            <w:pPr>
              <w:pStyle w:val="AFCorN12Bold"/>
            </w:pPr>
            <w:r>
              <w:t xml:space="preserve">Organe subsidiaire chargé de l’application </w:t>
            </w:r>
          </w:p>
          <w:p w14:paraId="572756C0" w14:textId="77777777" w:rsidR="008A1499" w:rsidRPr="009C500D" w:rsidRDefault="00FB6391" w:rsidP="008A1499">
            <w:pPr>
              <w:pStyle w:val="AFCorNBold"/>
            </w:pPr>
            <w:r>
              <w:t xml:space="preserve">Septième réunion </w:t>
            </w:r>
          </w:p>
          <w:p w14:paraId="1B37EC47" w14:textId="77777777" w:rsidR="008A1499" w:rsidRPr="00237874" w:rsidRDefault="00FB6391" w:rsidP="008A1499">
            <w:pPr>
              <w:pStyle w:val="AFCorNNormal"/>
            </w:pPr>
            <w:r>
              <w:rPr>
                <w:snapToGrid w:val="0"/>
                <w:kern w:val="22"/>
              </w:rPr>
              <w:t>Nairobi, 4 - 12 août 2026</w:t>
            </w:r>
          </w:p>
          <w:p w14:paraId="4B70222E" w14:textId="7193FF4B" w:rsidR="008A1499" w:rsidRPr="00237874" w:rsidRDefault="008A1499" w:rsidP="008A1499">
            <w:pPr>
              <w:pStyle w:val="AFCorNNormal"/>
            </w:pPr>
            <w:r>
              <w:t>Point 5 de l'ordre du jour provisoire</w:t>
            </w:r>
            <w:r>
              <w:rPr>
                <w:rStyle w:val="FootnoteReference"/>
              </w:rPr>
              <w:t>*</w:t>
            </w:r>
            <w:r>
              <w:t xml:space="preserve"> </w:t>
            </w:r>
          </w:p>
          <w:p w14:paraId="27DC1601" w14:textId="4853EEA4" w:rsidR="008A1499" w:rsidRPr="009C500D" w:rsidRDefault="00613402" w:rsidP="00BA1CEB">
            <w:pPr>
              <w:pStyle w:val="AFCorNBold"/>
              <w:spacing w:after="120"/>
            </w:pPr>
            <w:r>
              <w:footnoteReference w:customMarkFollows="1" w:id="1"/>
              <w:t>Information de séquençage numérique sur les ressources génétiques</w:t>
            </w:r>
          </w:p>
        </w:tc>
        <w:tc>
          <w:tcPr>
            <w:tcW w:w="4388" w:type="dxa"/>
          </w:tcPr>
          <w:p w14:paraId="4144EF4B" w14:textId="77777777" w:rsidR="008A1499" w:rsidRPr="009C500D" w:rsidRDefault="008A1499" w:rsidP="008A1499">
            <w:pPr>
              <w:pStyle w:val="CBDNormal"/>
              <w:jc w:val="left"/>
            </w:pPr>
          </w:p>
        </w:tc>
      </w:tr>
    </w:tbl>
    <w:p w14:paraId="78BC3775" w14:textId="7D19CD91" w:rsidR="00C9161D" w:rsidRPr="00237874" w:rsidRDefault="00000000" w:rsidP="00A111D1">
      <w:pPr>
        <w:pStyle w:val="CBDTitle"/>
        <w:rPr>
          <w:caps/>
        </w:rPr>
      </w:pPr>
      <w:sdt>
        <w:sdtPr>
          <w:alias w:val="Title"/>
          <w:tag w:val=""/>
          <w:id w:val="772832786"/>
          <w:placeholder>
            <w:docPart w:val="7EC6EA53AD5944E288ECDFBD85FC5E02"/>
          </w:placeholder>
          <w:dataBinding w:prefixMappings="xmlns:ns0='http://purl.org/dc/elements/1.1/' xmlns:ns1='http://schemas.openxmlformats.org/package/2006/metadata/core-properties' " w:xpath="/ns1:coreProperties[1]/ns0:title[1]" w:storeItemID="{6C3C8BC8-F283-45AE-878A-BAB7291924A1}"/>
          <w:text/>
        </w:sdtPr>
        <w:sdtContent>
          <w:r w:rsidR="009001C7">
            <w:t>Information de séquençage numérique sur les ressources génétiques</w:t>
          </w:r>
        </w:sdtContent>
      </w:sdt>
      <w:r>
        <w:rPr>
          <w:rStyle w:val="FootnoteReference"/>
        </w:rPr>
        <w:t>**</w:t>
      </w:r>
      <w:r>
        <w:rPr>
          <w:caps/>
        </w:rPr>
        <w:t xml:space="preserve"> </w:t>
      </w:r>
    </w:p>
    <w:p w14:paraId="67A87A43" w14:textId="1C60A79C" w:rsidR="00F6586C" w:rsidRPr="00237874" w:rsidRDefault="0030169D" w:rsidP="00A111D1">
      <w:pPr>
        <w:pStyle w:val="CBDSubTitle"/>
      </w:pPr>
      <w:r>
        <w:footnoteReference w:customMarkFollows="1" w:id="2"/>
        <w:t xml:space="preserve">Note du secrétariat agissant en qualité de secrétariat provisoire du mécanisme multilatéral, y compris </w:t>
      </w:r>
      <w:r w:rsidR="008C7F90">
        <w:t>du</w:t>
      </w:r>
      <w:r>
        <w:t xml:space="preserve"> Fonds de Cali</w:t>
      </w:r>
      <w:r>
        <w:rPr>
          <w:rStyle w:val="FootnoteReference"/>
        </w:rPr>
        <w:t>***</w:t>
      </w:r>
      <w:r>
        <w:t xml:space="preserve"> </w:t>
      </w:r>
    </w:p>
    <w:p w14:paraId="456758CC" w14:textId="68FA5C81" w:rsidR="00C9161D" w:rsidRPr="00237874" w:rsidRDefault="00DC3925" w:rsidP="004C408B">
      <w:pPr>
        <w:pStyle w:val="CBDH1"/>
      </w:pPr>
      <w:r>
        <w:footnoteReference w:customMarkFollows="1" w:id="3"/>
        <w:t>I.</w:t>
      </w:r>
      <w:r>
        <w:tab/>
        <w:t>Contexte</w:t>
      </w:r>
    </w:p>
    <w:p w14:paraId="727A6D49" w14:textId="184845FA" w:rsidR="00176F66" w:rsidRPr="00237874" w:rsidRDefault="00176F66" w:rsidP="00676BA4">
      <w:pPr>
        <w:pStyle w:val="CBDNormalNumber"/>
      </w:pPr>
      <w:r>
        <w:t>À sa seizième réunion, la Conférence des Parties a adopté par la décision </w:t>
      </w:r>
      <w:hyperlink r:id="rId15" w:history="1">
        <w:r>
          <w:rPr>
            <w:rStyle w:val="Hyperlink"/>
          </w:rPr>
          <w:t>16/2</w:t>
        </w:r>
      </w:hyperlink>
      <w:r>
        <w:t xml:space="preserve">, les modalités de mise en œuvre du mécanisme multilatéral pour le partage juste et équitable des avantages découlant de l’utilisation de l'information de séquençage numérique sur les ressources génétiques, y compris le Fonds de Cali, qui figurent dans l’annexe à la décision, et a décidé que ce fonds mondial serait dénommé « Fonds de Cali pour le partage juste et équitable des avantages découlant </w:t>
      </w:r>
      <w:r w:rsidR="008C7F90">
        <w:br/>
      </w:r>
      <w:r>
        <w:t xml:space="preserve">de l’utilisation de l'information de séquençage numérique sur les ressources génétiques » (paragraphes 1 et 2). </w:t>
      </w:r>
    </w:p>
    <w:p w14:paraId="39314572" w14:textId="4E985802" w:rsidR="00FD6E41" w:rsidRPr="009C500D" w:rsidRDefault="00FD6E41" w:rsidP="00FD6E41">
      <w:pPr>
        <w:pStyle w:val="CBDNormalNumber"/>
      </w:pPr>
      <w:r>
        <w:t>Aux paragraphes 3 et 4 de la même décision, la Conférence des Parties a décidé d'entreprendre des travaux supplémentaires, à savoir :</w:t>
      </w:r>
    </w:p>
    <w:p w14:paraId="3300A810" w14:textId="3BC8D3D4" w:rsidR="00FD6E41" w:rsidRPr="009C500D" w:rsidRDefault="00D93325" w:rsidP="002A012E">
      <w:pPr>
        <w:pStyle w:val="CBDNormalNumber"/>
        <w:numPr>
          <w:ilvl w:val="1"/>
          <w:numId w:val="7"/>
        </w:numPr>
      </w:pPr>
      <w:r>
        <w:t>Examiner plus avant les modalités du mécanisme multilatéral, y compris d'éventuelles modalités supplémentaires qui tiendraient compte des produits et services ;</w:t>
      </w:r>
    </w:p>
    <w:p w14:paraId="14758929" w14:textId="793A0D1E" w:rsidR="00FD6E41" w:rsidRPr="009C500D" w:rsidRDefault="00D93325" w:rsidP="002A012E">
      <w:pPr>
        <w:pStyle w:val="CBDNormalNumber"/>
        <w:numPr>
          <w:ilvl w:val="1"/>
          <w:numId w:val="7"/>
        </w:numPr>
      </w:pPr>
      <w:r>
        <w:t>Étudier de nouveaux outils et modèles potentiels, tels que des bases de données, permettant la mise à disposition publique de l'information de séquençage numérique sur les ressources génétiques ainsi que son accessibilité à toutes les Parties, dans le respect des principes de transparence et de responsabilité.</w:t>
      </w:r>
    </w:p>
    <w:p w14:paraId="52961C61" w14:textId="5A8E3CAC" w:rsidR="00F10649" w:rsidRPr="00237874" w:rsidRDefault="005F0600" w:rsidP="005F0600">
      <w:pPr>
        <w:pStyle w:val="CBDNormalNumber"/>
      </w:pPr>
      <w:r>
        <w:t xml:space="preserve">La Conférence des Parties a confié à l'Organe subsidiaire chargé de l'application le soin de formuler des recommandations sur ces thèmes, sur la base des travaux préparatoires que le secrétariat devrait mener. L'Organe subsidiaire chargé de l'application a également pour tâche d'examiner une méthodologie visant à évaluer l'efficacité du mécanisme multilatéral, y compris le Fonds de Cali, telle qu'élaborée par le comité directeur, en vue de son adoption par la Conférence des Parties à sa dix-septième réunion. Les mandats détaillés et les principaux résultats des travaux menés sont </w:t>
      </w:r>
      <w:proofErr w:type="gramStart"/>
      <w:r>
        <w:lastRenderedPageBreak/>
        <w:t>présentés</w:t>
      </w:r>
      <w:proofErr w:type="gramEnd"/>
      <w:r>
        <w:t xml:space="preserve"> à la section III, et des éléments d'un projet de recommandation aux fins d'examen par l'Organe subsidiaire chargé de l'application figurent à la section IV.</w:t>
      </w:r>
    </w:p>
    <w:p w14:paraId="197AE464" w14:textId="16A35DC1" w:rsidR="005F0600" w:rsidRPr="009107F2" w:rsidRDefault="00F10649" w:rsidP="002A012E">
      <w:pPr>
        <w:pStyle w:val="CBDNormalNumber"/>
      </w:pPr>
      <w:r>
        <w:t xml:space="preserve">Par ailleurs, la décision </w:t>
      </w:r>
      <w:hyperlink r:id="rId16" w:history="1">
        <w:r>
          <w:rPr>
            <w:rStyle w:val="Hyperlink"/>
          </w:rPr>
          <w:t>16/2</w:t>
        </w:r>
      </w:hyperlink>
      <w:r>
        <w:t xml:space="preserve"> a également confié au secrétariat un certain nombre d'autres tâches qui seront examinées directement par la Conférence des Parties à sa dix-septième réunion. Les mandats détaillés et les rapports de situation établis dans le cadre de l'exécution de ces tâches sont présentés à la section II ci-dessous.</w:t>
      </w:r>
    </w:p>
    <w:p w14:paraId="47300829" w14:textId="4ECCC6F8" w:rsidR="009E42DE" w:rsidRPr="009107F2" w:rsidRDefault="008359DF" w:rsidP="006A7243">
      <w:pPr>
        <w:pStyle w:val="CBDNormalNumber"/>
      </w:pPr>
      <w:r>
        <w:t xml:space="preserve">Le secrétariat agissant en qualité de secrétariat provisoire du mécanisme multilatéral, y compris le Fonds de Cali, tient à exprimer sa reconnaissance pour le généreux soutien financier apporté par les Gouvernements de la Norvège, de l'Allemagne et de l'Union européenne, dans l'exécution de ce mandat. </w:t>
      </w:r>
    </w:p>
    <w:p w14:paraId="740E2ABB" w14:textId="3D57C183" w:rsidR="00A0062B" w:rsidRPr="009C500D" w:rsidRDefault="00DC3925" w:rsidP="004C408B">
      <w:pPr>
        <w:pStyle w:val="CBDH1"/>
      </w:pPr>
      <w:r>
        <w:t>II.</w:t>
      </w:r>
      <w:r>
        <w:tab/>
        <w:t>Rapport de situation sur les tâches à examiner directement par la Conférence des Parties</w:t>
      </w:r>
    </w:p>
    <w:p w14:paraId="57181924" w14:textId="183DC3C5" w:rsidR="004205EA" w:rsidRPr="00806876" w:rsidRDefault="00AB5A35" w:rsidP="004205EA">
      <w:pPr>
        <w:pStyle w:val="CBDNormalNumber"/>
      </w:pPr>
      <w:r>
        <w:t xml:space="preserve">La présente section comprend un rapport de situation sur les tâches devant être examinées directement par la Conférence des Parties à sa dix-septième réunion. Les résultats complets des différentes tâches seront </w:t>
      </w:r>
      <w:r w:rsidR="005C2F76">
        <w:t>mis</w:t>
      </w:r>
      <w:r>
        <w:t xml:space="preserve"> à </w:t>
      </w:r>
      <w:r w:rsidR="005C2F76">
        <w:t xml:space="preserve">la </w:t>
      </w:r>
      <w:r>
        <w:t xml:space="preserve">disposition de la Conférence des Parties dans les documents d'information. Le secrétariat préparera une note contenant des synthèses des travaux décrits ci-dessous et des éléments d'un projet de décision aux fins d'examen par la Conférence des Parties. </w:t>
      </w:r>
    </w:p>
    <w:p w14:paraId="40C5A1E3" w14:textId="0665B994" w:rsidR="001379C9" w:rsidRPr="009107F2" w:rsidRDefault="005146A6" w:rsidP="004C408B">
      <w:pPr>
        <w:pStyle w:val="CBDH2"/>
        <w:jc w:val="left"/>
      </w:pPr>
      <w:r>
        <w:t>A.</w:t>
      </w:r>
      <w:r>
        <w:tab/>
        <w:t>Études sur les taux de contribution au Fonds de Cali et sur les normes nationales et internationales applicables aux petites, moyennes et grandes entités</w:t>
      </w:r>
    </w:p>
    <w:p w14:paraId="3AFB9885" w14:textId="7B73F833" w:rsidR="00B1491D" w:rsidRPr="009107F2" w:rsidRDefault="002E4F3B" w:rsidP="00FF2C3F">
      <w:pPr>
        <w:pStyle w:val="CBDNormalNumber"/>
      </w:pPr>
      <w:r>
        <w:t xml:space="preserve">Dans la décision </w:t>
      </w:r>
      <w:hyperlink r:id="rId17" w:history="1">
        <w:r>
          <w:rPr>
            <w:rStyle w:val="Hyperlink"/>
          </w:rPr>
          <w:t>16/2</w:t>
        </w:r>
      </w:hyperlink>
      <w:r>
        <w:t>, la Conférence des Parties a demandé, dans la limite des ressources disponibles :</w:t>
      </w:r>
    </w:p>
    <w:p w14:paraId="329DC2A6" w14:textId="6DC08651" w:rsidR="00B93DF3" w:rsidRPr="009107F2" w:rsidRDefault="00D93325" w:rsidP="002A012E">
      <w:pPr>
        <w:pStyle w:val="CBDNormalNumber"/>
        <w:numPr>
          <w:ilvl w:val="1"/>
          <w:numId w:val="7"/>
        </w:numPr>
      </w:pPr>
      <w:r>
        <w:t>Une étude sur les normes nationales et internationales en matière d'identification de petites, moyennes et grandes entités visées au paragraphe 3 des modalités du Fonds de Cali, qui prévoient des contributions au Fonds de Cali en fonction de la taille des entités (</w:t>
      </w:r>
      <w:proofErr w:type="gramStart"/>
      <w:r>
        <w:t>alinéa  6</w:t>
      </w:r>
      <w:proofErr w:type="gramEnd"/>
      <w:r>
        <w:t> d)) ;</w:t>
      </w:r>
    </w:p>
    <w:p w14:paraId="4607F477" w14:textId="0DEDB2C3" w:rsidR="00D17367" w:rsidRPr="009107F2" w:rsidRDefault="00F6107E" w:rsidP="002A012E">
      <w:pPr>
        <w:pStyle w:val="CBDNormalNumber"/>
        <w:numPr>
          <w:ilvl w:val="1"/>
          <w:numId w:val="7"/>
        </w:numPr>
      </w:pPr>
      <w:r>
        <w:t>Une étude sur les taux de contribution, y compris sur les incidences en matière de génération de recettes et la compétitivité économique (</w:t>
      </w:r>
      <w:proofErr w:type="gramStart"/>
      <w:r>
        <w:t>alinéa  6</w:t>
      </w:r>
      <w:proofErr w:type="gramEnd"/>
      <w:r>
        <w:t> e)).</w:t>
      </w:r>
    </w:p>
    <w:p w14:paraId="3F1B8ABF" w14:textId="5AC0723E" w:rsidR="00FC7284" w:rsidRPr="009107F2" w:rsidRDefault="001379C9" w:rsidP="002A012E">
      <w:pPr>
        <w:pStyle w:val="CBDNormalNumber"/>
      </w:pPr>
      <w:r>
        <w:t>Compte tenu des ressources limitées et des liens entre ces deux sujets, les deux études ont été combinées. La notification n° </w:t>
      </w:r>
      <w:hyperlink r:id="rId18" w:history="1">
        <w:r>
          <w:rPr>
            <w:rStyle w:val="Hyperlink"/>
          </w:rPr>
          <w:t>2024-116</w:t>
        </w:r>
      </w:hyperlink>
      <w:r>
        <w:t xml:space="preserve"> a invité les Parties, les autres gouvernements, les peuples autochtones et les communautés locales, ainsi que les organisations compétentes à communiquer des informations et des points de vue sur les normes nationales, régionales ou internationales sur les seuils déterminant les petites, moyennes et grandes entités. Les communications sont disponibles sur la page dédiée aux notifications et ont été prises en compte lors de l'élaboration de l'étude.</w:t>
      </w:r>
    </w:p>
    <w:p w14:paraId="453E81F0" w14:textId="238420A0" w:rsidR="007070E5" w:rsidRPr="009C500D" w:rsidRDefault="00147B5E" w:rsidP="00F85452">
      <w:pPr>
        <w:pStyle w:val="CBDNormalNumber"/>
      </w:pPr>
      <w:r>
        <w:t>Par la notification n° </w:t>
      </w:r>
      <w:hyperlink r:id="rId19" w:history="1">
        <w:r>
          <w:rPr>
            <w:rStyle w:val="Hyperlink"/>
          </w:rPr>
          <w:t>2026-050</w:t>
        </w:r>
      </w:hyperlink>
      <w:r>
        <w:t xml:space="preserve">, les Parties, les autres gouvernements, les peuples autochtones et les communautés locales, ainsi que les organisations compétentes ont été invités à examiner le projet d'étude et à présenter leurs commentaires d'ici au 6 juillet 2026. </w:t>
      </w:r>
    </w:p>
    <w:p w14:paraId="6E5480B0" w14:textId="304D16E6" w:rsidR="006B3B3D" w:rsidRPr="009C500D" w:rsidRDefault="007070E5" w:rsidP="00F85452">
      <w:pPr>
        <w:pStyle w:val="CBDNormalNumber"/>
      </w:pPr>
      <w:r>
        <w:t xml:space="preserve">L'étude complète sera mise à disposition de la Conférence des Parties dans un document d'information. La synthèse de l'étude sera présentée sous forme d'addendum, aux fins d'examen par la Conférence des Parties. </w:t>
      </w:r>
    </w:p>
    <w:p w14:paraId="78E04D4A" w14:textId="73A6A05C" w:rsidR="001379C9" w:rsidRPr="009C500D" w:rsidRDefault="005146A6" w:rsidP="004C408B">
      <w:pPr>
        <w:pStyle w:val="CBDH2"/>
      </w:pPr>
      <w:r>
        <w:t>B.</w:t>
      </w:r>
      <w:r>
        <w:tab/>
        <w:t>Groupe spécial d'experts techniques sur la méthode d'allocation</w:t>
      </w:r>
    </w:p>
    <w:p w14:paraId="02C22638" w14:textId="4CD42C50" w:rsidR="00B56A68" w:rsidRPr="009107F2" w:rsidRDefault="007F3668" w:rsidP="00B56A68">
      <w:pPr>
        <w:pStyle w:val="CBDNormalNumber"/>
      </w:pPr>
      <w:r>
        <w:t xml:space="preserve">La décision </w:t>
      </w:r>
      <w:hyperlink r:id="rId20" w:history="1">
        <w:r>
          <w:rPr>
            <w:rStyle w:val="Hyperlink"/>
          </w:rPr>
          <w:t>16/34</w:t>
        </w:r>
      </w:hyperlink>
      <w:r>
        <w:t xml:space="preserve"> a mis en place un groupe spécial d'experts techniques sur la méthode d'allocation et a présenté son mandat à l'annexe III des modalités jointes à la décision. Conformément au paragraphe 10 des modalités, le Groupe spécial d'experts techniques a été chargé d'élaborer, sur la base des critères définis dans l'annexe II, une méthode d'allocation pour le décaissement des ressources du Fonds de Cali, aux fins d'examen par la Conférence des Parties. Le Groupe a également </w:t>
      </w:r>
      <w:r>
        <w:lastRenderedPageBreak/>
        <w:t>été chargé de fournir des avis et orientations techniques sur les questions en suspens et non résolues liées au décaissement des ressources.</w:t>
      </w:r>
    </w:p>
    <w:p w14:paraId="60BF5395" w14:textId="22874D9D" w:rsidR="00D72D62" w:rsidRPr="009107F2" w:rsidRDefault="00B73AF1" w:rsidP="001536C0">
      <w:pPr>
        <w:pStyle w:val="CBDNormalNumber"/>
      </w:pPr>
      <w:r>
        <w:t xml:space="preserve">Le Groupe a été mis en place en conséquence (voir notifications n°  </w:t>
      </w:r>
      <w:hyperlink r:id="rId21" w:history="1">
        <w:r>
          <w:rPr>
            <w:rStyle w:val="Hyperlink"/>
          </w:rPr>
          <w:t>2024-113</w:t>
        </w:r>
      </w:hyperlink>
      <w:r>
        <w:t xml:space="preserve">, </w:t>
      </w:r>
      <w:hyperlink r:id="rId22" w:history="1">
        <w:r>
          <w:rPr>
            <w:rStyle w:val="Hyperlink"/>
          </w:rPr>
          <w:t>2025-028</w:t>
        </w:r>
      </w:hyperlink>
      <w:r>
        <w:t xml:space="preserve"> et </w:t>
      </w:r>
      <w:hyperlink r:id="rId23" w:history="1">
        <w:r>
          <w:rPr>
            <w:rStyle w:val="Hyperlink"/>
          </w:rPr>
          <w:t>2025-073</w:t>
        </w:r>
      </w:hyperlink>
      <w:r>
        <w:t>) et à la date du rapport s'était réuni deux fois, du 27 au 29 janvier (en ligne) et du 12 au 14 mai 2026 (en présentiel).</w:t>
      </w:r>
      <w:r>
        <w:rPr>
          <w:rStyle w:val="FootnoteReference"/>
        </w:rPr>
        <w:footnoteReference w:id="4"/>
      </w:r>
    </w:p>
    <w:p w14:paraId="36A676A8" w14:textId="3BB95501" w:rsidR="00E22B21" w:rsidRPr="009C500D" w:rsidRDefault="00D72D62" w:rsidP="000E4F59">
      <w:pPr>
        <w:pStyle w:val="CBDNormalNumber"/>
      </w:pPr>
      <w:r>
        <w:t xml:space="preserve">Le rapport complet du Groupe spécial d'experts techniques sera mis à la disposition de la Conférence des Parties à sa dix-septième réunion dans un document d'information. Ce rapport devrait présenter la méthode recommandée, comprenant les principes méthodologiques, la formule d'allocation et une proposition concernant les travaux futurs. La méthodologie devrait être annexée à la note du secrétariat visée au paragraphe 6 du présent document. </w:t>
      </w:r>
    </w:p>
    <w:p w14:paraId="50020931" w14:textId="58A59BA5" w:rsidR="001379C9" w:rsidRPr="009C500D" w:rsidRDefault="005146A6" w:rsidP="004C408B">
      <w:pPr>
        <w:pStyle w:val="CBDH2"/>
        <w:jc w:val="left"/>
      </w:pPr>
      <w:r>
        <w:t>C.</w:t>
      </w:r>
      <w:r>
        <w:tab/>
        <w:t xml:space="preserve">Rapport du comité directeur du mécanisme multilatéral, </w:t>
      </w:r>
      <w:r>
        <w:br/>
        <w:t xml:space="preserve">y compris </w:t>
      </w:r>
      <w:r w:rsidR="00EE2225">
        <w:t>du</w:t>
      </w:r>
      <w:r>
        <w:t xml:space="preserve"> Fonds de Cali</w:t>
      </w:r>
    </w:p>
    <w:p w14:paraId="2FF70827" w14:textId="0FF04F1F" w:rsidR="00582B46" w:rsidRPr="009107F2" w:rsidRDefault="00987D54" w:rsidP="005F0B4A">
      <w:pPr>
        <w:pStyle w:val="CBDNormalNumber"/>
      </w:pPr>
      <w:r>
        <w:t xml:space="preserve">Le paragraphe 28 des modalités du mécanisme multilatéral, y compris le Fonds de Cali, a mis en place un comité directeur, dont la composition et le mandat sont présentés dans l'annexe IV des </w:t>
      </w:r>
      <w:r w:rsidR="00EE2225">
        <w:t>modalités</w:t>
      </w:r>
      <w:r>
        <w:t>. Conformément à l'alinéa 1c) de son mandat, le comité directeur sera chargé de rendre compte à la Conférence des Parties et de la conseiller.</w:t>
      </w:r>
    </w:p>
    <w:p w14:paraId="5F10E4D7" w14:textId="526CE56E" w:rsidR="00FD655A" w:rsidRPr="009107F2" w:rsidRDefault="001F5E77" w:rsidP="005F0B4A">
      <w:pPr>
        <w:pStyle w:val="CBDNormalNumber"/>
      </w:pPr>
      <w:r>
        <w:t>Le comité directeur a été mis en place en conséquence (voir notifications n° </w:t>
      </w:r>
      <w:hyperlink r:id="rId24" w:history="1">
        <w:r>
          <w:rPr>
            <w:rStyle w:val="Hyperlink"/>
          </w:rPr>
          <w:t>2024-113</w:t>
        </w:r>
      </w:hyperlink>
      <w:r>
        <w:t xml:space="preserve">, </w:t>
      </w:r>
      <w:hyperlink r:id="rId25" w:history="1">
        <w:r>
          <w:rPr>
            <w:rStyle w:val="Hyperlink"/>
          </w:rPr>
          <w:t>2025-013</w:t>
        </w:r>
      </w:hyperlink>
      <w:r>
        <w:t xml:space="preserve">, </w:t>
      </w:r>
      <w:hyperlink r:id="rId26" w:history="1">
        <w:r>
          <w:rPr>
            <w:rStyle w:val="Hyperlink"/>
          </w:rPr>
          <w:t>2025-043</w:t>
        </w:r>
      </w:hyperlink>
      <w:r>
        <w:t xml:space="preserve"> et </w:t>
      </w:r>
      <w:hyperlink r:id="rId27" w:history="1">
        <w:r>
          <w:rPr>
            <w:rStyle w:val="Hyperlink"/>
          </w:rPr>
          <w:t>2025-091</w:t>
        </w:r>
      </w:hyperlink>
      <w:r>
        <w:t xml:space="preserve">) et à la date du rapport s'était réuni trois fois (en ligne du 16 au 18 juin 2025 ; en présentiel à Bonn, en Allemagne, du 3 au 6 septembre 2025 ; et au Cap, en Afrique du Sud, du 7 au 9 avril 2026). La documentation correspondante est disponible à l'adresse </w:t>
      </w:r>
      <w:hyperlink r:id="rId28" w:history="1">
        <w:r w:rsidR="00EE2225">
          <w:rPr>
            <w:rStyle w:val="Hyperlink"/>
          </w:rPr>
          <w:t>page des conférences</w:t>
        </w:r>
      </w:hyperlink>
      <w:r>
        <w:t>.</w:t>
      </w:r>
      <w:r>
        <w:rPr>
          <w:rStyle w:val="FootnoteReference"/>
        </w:rPr>
        <w:footnoteReference w:id="5"/>
      </w:r>
      <w:r>
        <w:t xml:space="preserve"> </w:t>
      </w:r>
    </w:p>
    <w:p w14:paraId="659EB53A" w14:textId="18EA42E6" w:rsidR="00687592" w:rsidRPr="009107F2" w:rsidRDefault="00A02DAB" w:rsidP="001E281F">
      <w:pPr>
        <w:pStyle w:val="CBDNormalNumber"/>
      </w:pPr>
      <w:r>
        <w:t xml:space="preserve">Conformément à l'alinéa 1 d) de son mandat, le comité directeur a élaboré une méthode d'examen de l'efficacité du mécanisme multilatéral, y compris du Fonds de Cali, qui sera examinée par l’Organe subsidiaire chargé de l'application (voir section III. C). </w:t>
      </w:r>
    </w:p>
    <w:p w14:paraId="257F485E" w14:textId="6D3151E1" w:rsidR="00FD655A" w:rsidRPr="009107F2" w:rsidRDefault="000E081A" w:rsidP="001E281F">
      <w:pPr>
        <w:pStyle w:val="CBDNormalNumber"/>
      </w:pPr>
      <w:r>
        <w:t xml:space="preserve">Le rapport complet du comité directeur sera mis à disposition dans un document d'information. </w:t>
      </w:r>
    </w:p>
    <w:p w14:paraId="15454087" w14:textId="56BB1721" w:rsidR="003D666F" w:rsidRPr="009107F2" w:rsidRDefault="005146A6" w:rsidP="004C408B">
      <w:pPr>
        <w:pStyle w:val="CBDH1"/>
      </w:pPr>
      <w:r>
        <w:t>II</w:t>
      </w:r>
      <w:r w:rsidR="00635DFE">
        <w:t>I</w:t>
      </w:r>
      <w:r>
        <w:t>.</w:t>
      </w:r>
      <w:r>
        <w:tab/>
        <w:t>Tâches incombant à l'Organe subsidiaire chargé de l'application</w:t>
      </w:r>
    </w:p>
    <w:p w14:paraId="68556A6D" w14:textId="3BAD9BEA" w:rsidR="00D936A3" w:rsidRPr="009107F2" w:rsidRDefault="00D771F5" w:rsidP="004C408B">
      <w:pPr>
        <w:pStyle w:val="CBDH2"/>
      </w:pPr>
      <w:r>
        <w:t>A.</w:t>
      </w:r>
      <w:r>
        <w:tab/>
        <w:t>Autres modalités envisageables pour le mécanisme multilatéral</w:t>
      </w:r>
    </w:p>
    <w:p w14:paraId="10C5B567" w14:textId="4A29F3CE" w:rsidR="008D1261" w:rsidRPr="009107F2" w:rsidRDefault="008D1261" w:rsidP="00F616F9">
      <w:pPr>
        <w:pStyle w:val="CBDNormalNumber"/>
      </w:pPr>
      <w:r>
        <w:t xml:space="preserve">Au paragraphe 3 de la décision </w:t>
      </w:r>
      <w:hyperlink r:id="rId29" w:history="1">
        <w:r>
          <w:rPr>
            <w:rStyle w:val="Hyperlink"/>
          </w:rPr>
          <w:t>16/2</w:t>
        </w:r>
      </w:hyperlink>
      <w:r>
        <w:t xml:space="preserve">, la Conférence des Parties a décidé d'examiner plus avant les </w:t>
      </w:r>
      <w:r w:rsidR="00EE2225">
        <w:t>modalités</w:t>
      </w:r>
      <w:r>
        <w:t xml:space="preserve"> du mécanisme multilatéral, y compris dans le cadre du paragraphe 7 de la décision </w:t>
      </w:r>
      <w:hyperlink r:id="rId30" w:history="1">
        <w:r>
          <w:rPr>
            <w:rStyle w:val="Hyperlink"/>
          </w:rPr>
          <w:t>15/9</w:t>
        </w:r>
      </w:hyperlink>
      <w:r>
        <w:t xml:space="preserve"> et de l'annexe à la présente décision, d'éventuelles modalités supplémentaires qui prendraient en compte les produits et les services. Au paragraphe 5 de la même décision, la Conférence des Parties a invité les Parties, les autres gouvernements, les peuples autochtones et les communautés locales, ainsi que les organisations compétentes à soumettre leurs avis sur cette question. À l'alinéa 6 a), elle a également prié la Secrétaire exécutive de faire la synthèse des avis communiqués et de soumettre la synthèse à l'Organe subsidiaire chargé de l'application pour examen. </w:t>
      </w:r>
    </w:p>
    <w:p w14:paraId="24CA50C3" w14:textId="0FC3B337" w:rsidR="00D16CE8" w:rsidRPr="009107F2" w:rsidRDefault="00994F34" w:rsidP="00D43CB2">
      <w:pPr>
        <w:pStyle w:val="CBDNormalNumber"/>
      </w:pPr>
      <w:r>
        <w:t>Par la notification n° </w:t>
      </w:r>
      <w:hyperlink r:id="rId31" w:history="1">
        <w:r>
          <w:rPr>
            <w:rStyle w:val="Hyperlink"/>
          </w:rPr>
          <w:t>2024-114</w:t>
        </w:r>
      </w:hyperlink>
      <w:r>
        <w:t xml:space="preserve">, les Parties, les autres gouvernements, les peuples autochtones et les communautés locales, ainsi que les organisations compétentes ont été invités à communiquer leurs points de vue sur cette question. Le secrétariat a reçu 34 contributions de la part de 13 Parties ; elles sont mises à disposition sur la page de notification. Cette section présente une synthèse concise des points de vue communiqués. Une synthèse plus détaillée des points de vue communiqués est fournie dans le document d'information </w:t>
      </w:r>
      <w:hyperlink r:id="rId32" w:history="1">
        <w:r>
          <w:rPr>
            <w:rStyle w:val="Hyperlink"/>
          </w:rPr>
          <w:t>CBD/SBI/7/5/INF/9</w:t>
        </w:r>
      </w:hyperlink>
      <w:r>
        <w:t xml:space="preserve">. </w:t>
      </w:r>
    </w:p>
    <w:p w14:paraId="6A08FEFF" w14:textId="74FB416F" w:rsidR="007855FE" w:rsidRPr="009107F2" w:rsidRDefault="003F720F" w:rsidP="007855FE">
      <w:pPr>
        <w:pStyle w:val="CBDNormalNumber"/>
      </w:pPr>
      <w:r>
        <w:t xml:space="preserve">Les contributions ont cherché à déterminer si la nouvelle modalité viendrait remplacer ou compléter l’approche sectorielle actuelle, en s’attachant à définir ce qu’il faut entendre par un produit </w:t>
      </w:r>
      <w:r>
        <w:lastRenderedPageBreak/>
        <w:t>ou un service « utilisant » l'information de séquençage numérique sur les ressources génétiques. Deux interprétations principales se dégagent quant à ce que pourrait impliquer une modalité axée sur les produits :</w:t>
      </w:r>
    </w:p>
    <w:p w14:paraId="7BDD2677" w14:textId="30458609" w:rsidR="004B148A" w:rsidRPr="009C500D" w:rsidRDefault="7C13466D" w:rsidP="002A012E">
      <w:pPr>
        <w:pStyle w:val="CBDNormalNumber"/>
        <w:numPr>
          <w:ilvl w:val="1"/>
          <w:numId w:val="7"/>
        </w:numPr>
      </w:pPr>
      <w:r>
        <w:t>Une nouvelle modalité, venant s'ajouter aux modalités actuelles du mécanisme multilatéral, afin de prendre en compte le partage des avantages liés à un produit ou à un service développé à partir de l'information de séquençage numérique sur les ressources génétiques provenant d'un seul pays. Dans le cadre de cette approche, le partage des avantages s'effectuerait directement au profit du pays d'origine, conformément à la législation nationale applicable. Dans une contribution, une Partie a considéré cela comme une modalité supplémentaire potentielle ;</w:t>
      </w:r>
    </w:p>
    <w:p w14:paraId="7B1345F3" w14:textId="0628B4F1" w:rsidR="00E66278" w:rsidRPr="009107F2" w:rsidRDefault="00E75187" w:rsidP="004B148A">
      <w:pPr>
        <w:pStyle w:val="CBDNormalNumber"/>
        <w:numPr>
          <w:ilvl w:val="1"/>
          <w:numId w:val="7"/>
        </w:numPr>
      </w:pPr>
      <w:r>
        <w:t>Une nouvelle modalité permettant aux entités de verser un pourcentage des recettes nettes ou des bénéfices nets calculés uniquement à partir des recettes ou des bénéfices tirés des produits développés à l’aide de l'information de séquençage numérique sur les ressources génétiques, que ce soit directement ou indirectement. Plusieurs contributions ont considéré cela comme une modalité supplémentaire potentielle. Cela pourrait soit remplacer, soit compléter la modalité actuelle, qui consiste à calculer le taux de contribution sur le chiffre d'affaires ou le bénéfice d'une entité concernée, conformément à la liste indicative des secteurs figurant à l'annexe I de la décision.</w:t>
      </w:r>
    </w:p>
    <w:p w14:paraId="2E6CDCF3" w14:textId="104F7EAA" w:rsidR="000542D0" w:rsidRPr="009107F2" w:rsidRDefault="007855FE" w:rsidP="00E66278">
      <w:pPr>
        <w:pStyle w:val="CBDNormalNumber"/>
      </w:pPr>
      <w:r>
        <w:t xml:space="preserve">Toutefois, plusieurs contributions ont souligné qu’une nouvelle modalité de ce type nécessiterait la mise en place d’un système de suivi et de traçabilité de l'information de séquençage numérique sur les ressources génétiques. Ils soulignent que cela serait contraire au paragraphe 5 de la décision </w:t>
      </w:r>
      <w:hyperlink r:id="rId33" w:history="1">
        <w:r>
          <w:rPr>
            <w:rStyle w:val="Hyperlink"/>
          </w:rPr>
          <w:t>15/9</w:t>
        </w:r>
      </w:hyperlink>
      <w:r>
        <w:t>, qui « reconnaît qu'il n'est pas possible » de procéder au suivi et à la traçabilité. Par conséquent, une nouvelle modalité de ce type serait probablement complexe sur le plan technologique et coûteuse.</w:t>
      </w:r>
    </w:p>
    <w:p w14:paraId="7831A1ED" w14:textId="224BBF65" w:rsidR="009676E1" w:rsidRPr="009107F2" w:rsidRDefault="00AB341E" w:rsidP="00052864">
      <w:pPr>
        <w:pStyle w:val="CBDNormalNumber"/>
        <w:rPr>
          <w:iCs/>
        </w:rPr>
      </w:pPr>
      <w:r>
        <w:t xml:space="preserve">Plusieurs contributions ont examiné d'autres modalités supplémentaires possibles ainsi que d'autres aspects plus généraux liés au mécanisme multilatéral. Parmi ceux-ci figuraient : </w:t>
      </w:r>
    </w:p>
    <w:p w14:paraId="5F0861DC" w14:textId="4EFA4887" w:rsidR="009676E1" w:rsidRPr="009107F2" w:rsidRDefault="00C62FDF" w:rsidP="00875F84">
      <w:pPr>
        <w:pStyle w:val="CBDNormalNumber"/>
        <w:numPr>
          <w:ilvl w:val="1"/>
          <w:numId w:val="7"/>
        </w:numPr>
        <w:rPr>
          <w:iCs/>
        </w:rPr>
      </w:pPr>
      <w:r>
        <w:t>Le remplacement des taux de cotisation indicatifs actuels. Toutefois, certaines contributions ont reconnu la nécessité d’attendre les conclusions de l’étude consacrée à cette question, dont les résultats seront examinés par la Conférence des Parties à sa dix-septième réunion (voir la section II A ci-dessus) ;</w:t>
      </w:r>
    </w:p>
    <w:p w14:paraId="4EF8321A" w14:textId="59A8DD6A" w:rsidR="009676E1" w:rsidRPr="009107F2" w:rsidRDefault="00C62FDF" w:rsidP="009676E1">
      <w:pPr>
        <w:pStyle w:val="CBDNormalNumber"/>
        <w:numPr>
          <w:ilvl w:val="1"/>
          <w:numId w:val="7"/>
        </w:numPr>
        <w:rPr>
          <w:iCs/>
        </w:rPr>
      </w:pPr>
      <w:r>
        <w:t>Des explications complémentaires sur le partage des avantages non monétaires et le rôle potentiel du Centre d'échange de la Convention ou du Centre d'échange sur l'accès et le partage des avantages ;</w:t>
      </w:r>
    </w:p>
    <w:p w14:paraId="6DEA8D6E" w14:textId="485DC133" w:rsidR="007E2BD0" w:rsidRPr="009107F2" w:rsidRDefault="00C62FDF" w:rsidP="004C408B">
      <w:pPr>
        <w:pStyle w:val="CBDNormalNumber"/>
        <w:numPr>
          <w:ilvl w:val="1"/>
          <w:numId w:val="7"/>
        </w:numPr>
      </w:pPr>
      <w:r>
        <w:t>Les définitions de certains termes, notamment « information de séquençage numérique sur les ressources génétiques », « utilisation de l'information de séquençage numérique sur les ressources génétiques » ou « profiter directement ou indirectement de l'utilisation de l'information de séquençage numérique sur les ressources génétiques » ;</w:t>
      </w:r>
    </w:p>
    <w:p w14:paraId="5F45DFB6" w14:textId="768D0E94" w:rsidR="006741AA" w:rsidRPr="009C500D" w:rsidRDefault="00A8757A" w:rsidP="009676E1">
      <w:pPr>
        <w:pStyle w:val="CBDNormalNumber"/>
        <w:numPr>
          <w:ilvl w:val="1"/>
          <w:numId w:val="7"/>
        </w:numPr>
        <w:rPr>
          <w:iCs/>
        </w:rPr>
      </w:pPr>
      <w:r>
        <w:t>Des modalités supplémentaires relatives aux attestations de contribution au Fonds de</w:t>
      </w:r>
      <w:r w:rsidR="00EE2225">
        <w:t> </w:t>
      </w:r>
      <w:r>
        <w:t>Cali ;</w:t>
      </w:r>
    </w:p>
    <w:p w14:paraId="30E85648" w14:textId="24D8F3F4" w:rsidR="00052864" w:rsidRPr="009C500D" w:rsidRDefault="00E03CE3" w:rsidP="00B3653F">
      <w:pPr>
        <w:pStyle w:val="CBDNormalNumber"/>
        <w:numPr>
          <w:ilvl w:val="1"/>
          <w:numId w:val="7"/>
        </w:numPr>
        <w:rPr>
          <w:iCs/>
        </w:rPr>
      </w:pPr>
      <w:r>
        <w:t xml:space="preserve">Les dispositions relatives aux bases de données. </w:t>
      </w:r>
    </w:p>
    <w:p w14:paraId="5FBFF4BF" w14:textId="07459533" w:rsidR="000D2133" w:rsidRPr="009C500D" w:rsidRDefault="00753800" w:rsidP="00052864">
      <w:pPr>
        <w:pStyle w:val="CBDNormalNumber"/>
        <w:rPr>
          <w:iCs/>
        </w:rPr>
      </w:pPr>
      <w:r>
        <w:t>Enfin, plusieurs contributions ont souligné qu’aucune nouvelle modalité ne devrait être adoptée avant le premier examen du mécanisme multilatéral, prévu en 2028.</w:t>
      </w:r>
    </w:p>
    <w:p w14:paraId="730AD988" w14:textId="37E09E40" w:rsidR="00D35D02" w:rsidRPr="009C500D" w:rsidRDefault="00A0239F" w:rsidP="00A0239F">
      <w:pPr>
        <w:pStyle w:val="CBDNormalNumber"/>
        <w:rPr>
          <w:iCs/>
        </w:rPr>
      </w:pPr>
      <w:r>
        <w:rPr>
          <w:iCs/>
        </w:rPr>
        <w:t>En conséquence, lors de l'élaboration de ses recommandations sur ce sujet, l'Organe subsidiaire chargé de l'application pourrait souhaiter examiner les options suivantes :</w:t>
      </w:r>
    </w:p>
    <w:p w14:paraId="4BB4C434" w14:textId="48D9C6B4" w:rsidR="00A0239F" w:rsidRPr="00017185" w:rsidRDefault="00A0239F" w:rsidP="002A012E">
      <w:pPr>
        <w:pStyle w:val="CBDNormalNumber"/>
        <w:numPr>
          <w:ilvl w:val="1"/>
          <w:numId w:val="7"/>
        </w:numPr>
        <w:rPr>
          <w:iCs/>
        </w:rPr>
      </w:pPr>
      <w:r>
        <w:rPr>
          <w:iCs/>
        </w:rPr>
        <w:t xml:space="preserve">Options 1a et 1b : la Conférence des Parties devrait décider d'introduire une modalité supplémentaire, venant compléter l'approche sectorielle actuelle, afin de prendre en compte les produits et les services. Il pourrait s’agir soit d’une modalité permettant aux entités de calculer leurs contributions au Fonds de Cali uniquement sur la base des produits ou services de leur portefeuille développés directement ou indirectement à l’aide de l'information de séquençage numérique sur les </w:t>
      </w:r>
      <w:r>
        <w:rPr>
          <w:iCs/>
        </w:rPr>
        <w:lastRenderedPageBreak/>
        <w:t>ressources génétiques ; soit d’introduire une modalité de partage des avantages par le biais d’une législation nationale dans le cas où un produit utilise, directement ou indirectement, une information de séquençage numérique sur les ressources génétiques provenant d’un seul pays ; soit les deux ;</w:t>
      </w:r>
    </w:p>
    <w:p w14:paraId="70D7E4B7" w14:textId="5AF42DFA" w:rsidR="00A0239F" w:rsidRPr="00017185" w:rsidRDefault="00A0239F" w:rsidP="002A012E">
      <w:pPr>
        <w:pStyle w:val="CBDNormalNumber"/>
        <w:numPr>
          <w:ilvl w:val="1"/>
          <w:numId w:val="7"/>
        </w:numPr>
        <w:rPr>
          <w:iCs/>
        </w:rPr>
      </w:pPr>
      <w:r>
        <w:rPr>
          <w:iCs/>
        </w:rPr>
        <w:t>Option 2 : la Conférence des Parties devrait décider d'examiner d'éventuelles modalités supplémentaires à la lumière des conclusions et des suggestions issues du premier examen de l'efficacité du mécanisme multilatéral à sa dix-huitième réunion ;</w:t>
      </w:r>
    </w:p>
    <w:p w14:paraId="256E3AEA" w14:textId="4EEE4D6E" w:rsidR="00A0239F" w:rsidRPr="009107F2" w:rsidRDefault="00A0239F" w:rsidP="002A012E">
      <w:pPr>
        <w:pStyle w:val="CBDNormalNumber"/>
        <w:numPr>
          <w:ilvl w:val="1"/>
          <w:numId w:val="7"/>
        </w:numPr>
        <w:rPr>
          <w:iCs/>
        </w:rPr>
      </w:pPr>
      <w:r>
        <w:rPr>
          <w:iCs/>
        </w:rPr>
        <w:t>Option 3 : la Conférence des Parties devrait décider que la mise en place d'une modalité permettant de prendre en compte les produits et les services n'est pas envisageable sur le plan pratique dans le cadre du mécanisme multilatéral.</w:t>
      </w:r>
    </w:p>
    <w:p w14:paraId="65BF099E" w14:textId="22AAEC46" w:rsidR="00BF24FB" w:rsidRPr="009107F2" w:rsidRDefault="00923EEB" w:rsidP="00F71E71">
      <w:pPr>
        <w:pStyle w:val="CBDNormalNumber"/>
      </w:pPr>
      <w:r>
        <w:t xml:space="preserve">Les autres points de vue concernant d'éventuelles modalités supplémentaires sont directement liés à d'autres axes de travail relevant du point consacré à l'information de séquençage numérique sur les ressources génétiques. Le rôle du renforcement des capacités et celui du Centre d'échange de la Convention, ou du Centre d'échange sur l’accès et le partage des avantages, sont examinés dans le cadre des travaux portant sur de nouveaux outils et modèles potentiels, tels que des bases de données, visant à rendre publique et accessible l'information de séquençage numérique sur les ressources génétiques, d'une manière transparente et responsable. Le certificat du Fonds de Cali et la définition de certains termes figuraient à l'ordre du jour de plusieurs réunions du comité directeur, et l'avis de ce dernier à ce sujet devrait être inclus dans son rapport, comme indiqué à la section II C. </w:t>
      </w:r>
    </w:p>
    <w:p w14:paraId="65B0C9DD" w14:textId="61983700" w:rsidR="003613C1" w:rsidRPr="009C500D" w:rsidRDefault="00D771F5" w:rsidP="004C408B">
      <w:pPr>
        <w:pStyle w:val="CBDH2"/>
        <w:jc w:val="left"/>
      </w:pPr>
      <w:r>
        <w:t>B.</w:t>
      </w:r>
      <w:r>
        <w:tab/>
        <w:t>Outils et modèles visant à rendre l'information de séquençage numérique sur les ressources génétiques transparente et responsable</w:t>
      </w:r>
    </w:p>
    <w:p w14:paraId="68D97C8F" w14:textId="09DD500B" w:rsidR="00AB3A31" w:rsidRPr="009107F2" w:rsidRDefault="007C7DC1" w:rsidP="00AB3A31">
      <w:pPr>
        <w:pStyle w:val="CBDNormalNumber"/>
        <w:rPr>
          <w:iCs/>
        </w:rPr>
      </w:pPr>
      <w:r>
        <w:t xml:space="preserve">Au paragraphe 4 de la décision </w:t>
      </w:r>
      <w:hyperlink r:id="rId34" w:history="1">
        <w:r>
          <w:rPr>
            <w:rStyle w:val="Hyperlink"/>
          </w:rPr>
          <w:t>16/2</w:t>
        </w:r>
      </w:hyperlink>
      <w:r>
        <w:t>, la Conférence des Parties a décidé d'étudier de nouveaux outils et modèles potentiels, tels que des bases de données, permettant la mise à disposition publique de l'information de séquençage numérique sur les ressources génétiques ainsi que son accessibilité à toutes les Parties, d'une manière transparente et responsable. Au paragraphe 5, elle a invité les Parties, les autres gouvernements, les peuples autochtones et les communautés locales, ainsi que les organisations compétentes à communiquer leurs points de vue sur cette question. À l'alinéa 6 a), elle a prié le secrétariat de synthétiser les points de vue communiqués et de soumettre cette synthèse à l'Organe subsidiaire chargé de l'application pour examen, et, à l'alinéa 6 b), elle a prié le secrétariat de commander une étude qui examinerait les options permettant la mise à disposition publique de l'information de séquençage numérique sur les ressources génétiques ainsi que son accessibilité d'une manière transparente et responsable.</w:t>
      </w:r>
    </w:p>
    <w:p w14:paraId="2FE0CC7D" w14:textId="0C074E94" w:rsidR="00D936A3" w:rsidRPr="009107F2" w:rsidRDefault="00527301" w:rsidP="002A012E">
      <w:pPr>
        <w:pStyle w:val="CBDNormalNumber"/>
        <w:rPr>
          <w:iCs/>
        </w:rPr>
      </w:pPr>
      <w:r>
        <w:t>Dans la notification n° </w:t>
      </w:r>
      <w:hyperlink r:id="rId35" w:history="1">
        <w:r>
          <w:rPr>
            <w:rStyle w:val="Hyperlink"/>
          </w:rPr>
          <w:t>2024-115</w:t>
        </w:r>
      </w:hyperlink>
      <w:r>
        <w:t xml:space="preserve">, les Parties, les autres gouvernements, les peuples autochtones et les communautés locales, ainsi que les organisations compétentes ont été invités à communiquer leurs points de vue sur cette question. Le secrétariat a reçu 18 contributions de la part de neuf Parties ; elles sont mises à disposition sur la page de notification. Cette section présente une synthèse concise des points de vue communiqués. Une synthèse plus détaillée des points de vue communiqués est fournie dans le document d'information. </w:t>
      </w:r>
    </w:p>
    <w:p w14:paraId="568DD9C1" w14:textId="1C753DC0" w:rsidR="00FA116A" w:rsidRPr="009107F2" w:rsidRDefault="00D771F5" w:rsidP="004C408B">
      <w:pPr>
        <w:pStyle w:val="CBDH3"/>
      </w:pPr>
      <w:r>
        <w:t>1.</w:t>
      </w:r>
      <w:r>
        <w:tab/>
        <w:t xml:space="preserve">Synthèse des points de vue sur de nouveaux outils et modèles potentiels, tels que des bases de données, permettant la mise à disposition publique de l'information de séquençage numérique sur les ressources génétiques ainsi que son accessibilité, </w:t>
      </w:r>
      <w:r>
        <w:br/>
        <w:t>d'une manière transparente et responsable</w:t>
      </w:r>
    </w:p>
    <w:p w14:paraId="3A6D1E80" w14:textId="13B48C1B" w:rsidR="00520A38" w:rsidRPr="009107F2" w:rsidRDefault="009E6F43" w:rsidP="00520A38">
      <w:pPr>
        <w:pStyle w:val="CBDNormalNumber"/>
      </w:pPr>
      <w:r>
        <w:t xml:space="preserve">Quelques contributions se sont prononcées en faveur de la mise en place d'une base de données hébergée par la Convention sur la diversité biologique, afin d'améliorer le respect des cadres relatifs à l'accès et au partage des avantages, la transparence dans l'utilisation des données et le partage équitable des avantages. La majorité des contributions s'est toutefois opposée à la création d'une telle base de données ou a émis de sérieuses réserves à ce sujet, soulignant son coût élevé et sa complexité technique, le </w:t>
      </w:r>
      <w:proofErr w:type="gramStart"/>
      <w:r>
        <w:t>risque potentiel</w:t>
      </w:r>
      <w:proofErr w:type="gramEnd"/>
      <w:r>
        <w:t xml:space="preserve"> d'aggraver encore davantage la fragmentation des données, ainsi que l'absence de mesures incitatives susceptibles d'encourager son adoption par la communauté scientifique.</w:t>
      </w:r>
    </w:p>
    <w:p w14:paraId="7740D851" w14:textId="595EDE44" w:rsidR="00AC1BF2" w:rsidRPr="009107F2" w:rsidRDefault="00520A38" w:rsidP="00520A38">
      <w:pPr>
        <w:pStyle w:val="CBDNormalNumber"/>
      </w:pPr>
      <w:r>
        <w:lastRenderedPageBreak/>
        <w:t xml:space="preserve">L'amélioration des bases de données existantes a été considérée comme un moyen plus efficace de renforcer la transparence et la responsabilité, notamment grâce à l'amélioration des métadonnées relatives à l'origine géographique des ressources génétiques dont proviennent les séquences, aux connaissances traditionnelles associées, aux étiquettes </w:t>
      </w:r>
      <w:proofErr w:type="spellStart"/>
      <w:r>
        <w:t>bioculturelles</w:t>
      </w:r>
      <w:proofErr w:type="spellEnd"/>
      <w:r>
        <w:t xml:space="preserve"> et aux déclarations de conformité juridique concernant les données et la ressource génétique dont elles proviennent. La normalisation des champs pertinents des bases de données a également été encouragée, ce qui a permis d'améliorer l'interopérabilité entre les bases de données existantes.</w:t>
      </w:r>
    </w:p>
    <w:p w14:paraId="20DACEE2" w14:textId="7CEF33E6" w:rsidR="00680410" w:rsidRPr="009107F2" w:rsidRDefault="00680410" w:rsidP="00520A38">
      <w:pPr>
        <w:pStyle w:val="CBDNormalNumber"/>
      </w:pPr>
      <w:r>
        <w:t>Quelques contributions ont souligné le rôle des bases de données nationales dans l'imposition de conditions d'accès nationales et la gestion de la souveraineté des données, éventuellement accompagnées d'un système de suivi et de traçabilité.</w:t>
      </w:r>
    </w:p>
    <w:p w14:paraId="0B8267FB" w14:textId="74298BF9" w:rsidR="00D51F80" w:rsidRPr="009107F2" w:rsidRDefault="001C2368" w:rsidP="001C2368">
      <w:pPr>
        <w:pStyle w:val="CBDNormalNumber"/>
      </w:pPr>
      <w:r>
        <w:t>Quelques contributions ont évoqué le Centre d'échange de la Convention, ou le Centre d'échange sur l'accès et le partage des avantages, comme instrument susceptible de renforcer la transparence et la responsabilité en matière de gouvernance des données et de conformité. De nombreuses contributions ont toutefois mentionné le rôle du centre d'échange en tant que facilitateur pour la diffusion d'informations sur les obligations et les attentes en matière de partage des avantages, ainsi que pour la coordination du partage des avantages non monétaires.</w:t>
      </w:r>
    </w:p>
    <w:p w14:paraId="5E9C1363" w14:textId="78EBD474" w:rsidR="00990BDD" w:rsidRPr="009107F2" w:rsidRDefault="00990BDD" w:rsidP="002A012E">
      <w:pPr>
        <w:pStyle w:val="CBDNormalNumber"/>
      </w:pPr>
      <w:r>
        <w:t>Plusieurs contributions ont souligné le rôle potentiel de l'intelligence artificielle en tant que catalyseur tant pour la conformité que pour la formation en matière de bases de données. Toutefois, une contribution a souligné que le recours croissant à l'intelligence artificielle risquait d'aggraver le déficit de capacités et les inégalités, à moins qu'il ne s'accompagne d'un renforcement adéquat des capacités.</w:t>
      </w:r>
    </w:p>
    <w:p w14:paraId="53240070" w14:textId="0A424FDE" w:rsidR="00421500" w:rsidRPr="009C500D" w:rsidRDefault="000F0A3F" w:rsidP="002A012E">
      <w:pPr>
        <w:pStyle w:val="CBDNormalNumber"/>
      </w:pPr>
      <w:r>
        <w:t xml:space="preserve">Enfin, la majorité des contributeurs ont fait valoir que le renforcement des capacités constituait la solution essentielle pour accroître l'équité et réduire l'écart actuel en matière d'équité et de capacités dans l'utilisation et la mise à profit de l'information de séquençage numérique sur les ressources génétiques. </w:t>
      </w:r>
    </w:p>
    <w:p w14:paraId="303C21C5" w14:textId="1B7E5119" w:rsidR="00111197" w:rsidRPr="009107F2" w:rsidRDefault="00111197" w:rsidP="00111197">
      <w:pPr>
        <w:pStyle w:val="CBDNormalNumber"/>
      </w:pPr>
      <w:r>
        <w:t xml:space="preserve">Plusieurs contributions ont soulevé des questions transversales, telles que les risques que peuvent présenter les différents outils proposés pour les données ouvertes, la souveraineté des peuples autochtones et des communautés locales sur leurs données et les connaissances traditionnelles qui y sont associées, ainsi que les avantages et les inconvénients du suivi et de la traçabilité des données dans les bases de données. </w:t>
      </w:r>
    </w:p>
    <w:p w14:paraId="673CA4B2" w14:textId="21CC2288" w:rsidR="007448BF" w:rsidRPr="009107F2" w:rsidRDefault="00D771F5" w:rsidP="004C408B">
      <w:pPr>
        <w:pStyle w:val="CBDH3"/>
      </w:pPr>
      <w:r>
        <w:t>2.</w:t>
      </w:r>
      <w:r>
        <w:tab/>
        <w:t>Éléments clés de l'étude destinée à l'examen d'options permettant la mise à disposition publique de l'information de séquençage numérique sur les ressources génétiques et son accessibilité, d'une manière transparente et responsable</w:t>
      </w:r>
    </w:p>
    <w:p w14:paraId="563C4841" w14:textId="01D65B1A" w:rsidR="00B51AA0" w:rsidRPr="009107F2" w:rsidRDefault="00B51AA0" w:rsidP="002D029E">
      <w:pPr>
        <w:pStyle w:val="CBDNormalNumber"/>
      </w:pPr>
      <w:r>
        <w:t>L'étude destinée à l'examen d'options permettant la mise à disposition publique de l'information de séquençage numérique sur les ressources génétiques et son accessibilité, d'une manière transparente et responsable, a confirmé un grand nombre des points de vue communiqués. Elle fournit des descriptions plus détaillées de divers outils, ainsi qu'une évaluation de leur efficacité et de leur faisabilité. Elle a recensé quatre lacunes principales concernant la mise à disposition publique de l'information de séquençage numérique sur les ressources génétiques ainsi que l'accessibilité à celle-ci, d'une manière transparente et responsable. Il s'agit des lacunes suivantes :</w:t>
      </w:r>
    </w:p>
    <w:p w14:paraId="7CD4B225" w14:textId="2CFEB684" w:rsidR="00546A00" w:rsidRPr="009107F2" w:rsidRDefault="00510FD4" w:rsidP="002A012E">
      <w:pPr>
        <w:pStyle w:val="CBDNormalNumber"/>
        <w:numPr>
          <w:ilvl w:val="1"/>
          <w:numId w:val="7"/>
        </w:numPr>
      </w:pPr>
      <w:r>
        <w:t>Des lacunes dans les connaissances relatives à l'accès et à l'utilisation des données, qui se traduisent par un manque de confiance ;</w:t>
      </w:r>
    </w:p>
    <w:p w14:paraId="0AFEE07B" w14:textId="42ACA8A4" w:rsidR="00546A00" w:rsidRPr="009107F2" w:rsidRDefault="00510FD4" w:rsidP="002A012E">
      <w:pPr>
        <w:pStyle w:val="CBDNormalNumber"/>
        <w:numPr>
          <w:ilvl w:val="1"/>
          <w:numId w:val="7"/>
        </w:numPr>
      </w:pPr>
      <w:r>
        <w:t>Des lacunes dans les informations relatives aux obligations de conformité et aux attentes à l'égard des fournisseurs et des utilisateurs de données ;</w:t>
      </w:r>
    </w:p>
    <w:p w14:paraId="02C3C6DF" w14:textId="3697C3E9" w:rsidR="00546A00" w:rsidRPr="009107F2" w:rsidRDefault="00510FD4" w:rsidP="002A012E">
      <w:pPr>
        <w:pStyle w:val="CBDNormalNumber"/>
        <w:numPr>
          <w:ilvl w:val="1"/>
          <w:numId w:val="7"/>
        </w:numPr>
      </w:pPr>
      <w:r>
        <w:t>Des lacunes en matière d'éducation et de communication, associées à une centralisation du pouvoir de décision concernant les bases de données du Nord global et à une méconnaissance de la complexité de l'utilisation de ces données par les décideurs ;</w:t>
      </w:r>
    </w:p>
    <w:p w14:paraId="0E8D6729" w14:textId="77439B68" w:rsidR="00C24681" w:rsidRPr="009107F2" w:rsidRDefault="00D76864" w:rsidP="002A012E">
      <w:pPr>
        <w:pStyle w:val="CBDNormalNumber"/>
        <w:numPr>
          <w:ilvl w:val="1"/>
          <w:numId w:val="7"/>
        </w:numPr>
      </w:pPr>
      <w:r>
        <w:lastRenderedPageBreak/>
        <w:t>Des lacunes dans l'alignement des bases de données sur les principes et les lignes directrices en constante évolution relatifs à la gestion responsable de l'information de séquençage numérique sur les ressources génétiques et les connaissances traditionnelles associées aux peuples autochtones et aux communautés locales.</w:t>
      </w:r>
    </w:p>
    <w:p w14:paraId="1DF03631" w14:textId="180F80D4" w:rsidR="00002D9F" w:rsidRPr="009107F2" w:rsidRDefault="008E1A39" w:rsidP="00FB37A2">
      <w:pPr>
        <w:pStyle w:val="CBDNormalNumber"/>
        <w:rPr>
          <w:iCs/>
        </w:rPr>
      </w:pPr>
      <w:r>
        <w:t xml:space="preserve">L'étude a évalué les solutions proposées pour combler ces lacunes compte tenu de leur complexité juridique et technique, de la charge financière qu'elles impliquent et de l'adhésion nécessaire de la part du réseau actuel de bases de données. Les propositions pertinentes visant à s'aligner sur les principes CARE (avantage collectif, autorité de contrôle, responsabilité et éthique), FAIR (facilité de repérage, accessibilité, interopérabilité et réutilisation des ressources numériques) et TRUST (transparence, responsabilité, orientation vers les utilisateurs, durabilité et technologie) en matière de gouvernance des données ont également été évaluées. </w:t>
      </w:r>
    </w:p>
    <w:p w14:paraId="0DDB8626" w14:textId="76051CCC" w:rsidR="00F3643A" w:rsidRPr="009107F2" w:rsidRDefault="000A3C1B" w:rsidP="002D029E">
      <w:pPr>
        <w:pStyle w:val="CBDNormalNumber"/>
        <w:rPr>
          <w:iCs/>
        </w:rPr>
      </w:pPr>
      <w:r>
        <w:rPr>
          <w:iCs/>
        </w:rPr>
        <w:t>Selon cette étude, les trois propositions prévoyant la création de nouvelles bases de données ont été jugées comme présentant soit le niveau de difficulté le plus élevé, soit un niveau de difficulté élevé, tandis que celles visant à apporter des modifications aux bases de données existantes ont été systématiquement classées dans la catégorie des projets présentant un niveau de difficulté moyen à faible.</w:t>
      </w:r>
    </w:p>
    <w:p w14:paraId="0151C013" w14:textId="2343FB1B" w:rsidR="00B46A15" w:rsidRPr="009107F2" w:rsidRDefault="00562908" w:rsidP="002D029E">
      <w:pPr>
        <w:pStyle w:val="CBDNormalNumber"/>
        <w:rPr>
          <w:iCs/>
        </w:rPr>
      </w:pPr>
      <w:r>
        <w:t>Huit solutions visant à renforcer la transparence, la responsabilité et l'accessibilité de l'information de séquençage numérique ont été jugées les plus réalisables.</w:t>
      </w:r>
      <w:r>
        <w:rPr>
          <w:szCs w:val="20"/>
        </w:rPr>
        <w:t xml:space="preserve"> </w:t>
      </w:r>
      <w:r>
        <w:t xml:space="preserve">Les quatre premières concernent les peuples autochtones et les communautés locales ainsi que les connaissances traditionnelles ; parmi celles-ci, deux nécessitent que le gestionnaire de la base de données soit disposé à y apporter des modifications. Elles se présentent comme suit : </w:t>
      </w:r>
    </w:p>
    <w:p w14:paraId="45ABE4FB" w14:textId="78BE5B2A" w:rsidR="00B46A15" w:rsidRPr="009107F2" w:rsidRDefault="009033BA" w:rsidP="00B46A15">
      <w:pPr>
        <w:pStyle w:val="CBDNormalNumber"/>
        <w:numPr>
          <w:ilvl w:val="1"/>
          <w:numId w:val="7"/>
        </w:numPr>
      </w:pPr>
      <w:r>
        <w:t>Des outils pédagogiques pourraient être élaborés et mis à la disposition de tous les utilisateurs des bases de données publiques hébergeant des informations de séquençage numérique sur les ressources génétiques, dans le but de les sensibiliser à la gestion des données relatives aux peuples autochtones et aux communautés locales. Ces outils pourraient porter sur des thèmes plus généraux, tels que des informations pertinentes concernant la Convention sur la diversité biologique et son troisième objectif, le mécanisme multilatéral, la gouvernance des données et la diffusion de bonnes pratiques ;</w:t>
      </w:r>
    </w:p>
    <w:p w14:paraId="65F01D4F" w14:textId="39BC4615" w:rsidR="0027665F" w:rsidRPr="009C500D" w:rsidRDefault="004C447A" w:rsidP="00593123">
      <w:pPr>
        <w:pStyle w:val="CBDNormalNumber"/>
        <w:numPr>
          <w:ilvl w:val="1"/>
          <w:numId w:val="7"/>
        </w:numPr>
      </w:pPr>
      <w:r>
        <w:t xml:space="preserve">L'amélioration des exigences relatives aux métadonnées indicatives pourrait inclure des normes concernant la mention des étiquettes et avis Local </w:t>
      </w:r>
      <w:proofErr w:type="spellStart"/>
      <w:r>
        <w:t>Contexts</w:t>
      </w:r>
      <w:proofErr w:type="spellEnd"/>
      <w:r>
        <w:t>, des coordonnées géospatiales, ainsi que des informations sur la provenance et les droits ;</w:t>
      </w:r>
    </w:p>
    <w:p w14:paraId="13E07E7E" w14:textId="1125E957" w:rsidR="0027665F" w:rsidRPr="004322F5" w:rsidRDefault="0027665F" w:rsidP="00593123">
      <w:pPr>
        <w:pStyle w:val="CBDNormalNumber"/>
        <w:numPr>
          <w:ilvl w:val="1"/>
          <w:numId w:val="7"/>
        </w:numPr>
      </w:pPr>
      <w:r>
        <w:t>Un suivi itératif des progrès réalisés par les bases de données dans la mise en œuvre des principes CARE pourrait être mis en place ;</w:t>
      </w:r>
    </w:p>
    <w:p w14:paraId="151C4D42" w14:textId="06D955CB" w:rsidR="001B2C7F" w:rsidRPr="004322F5" w:rsidRDefault="002632EC" w:rsidP="00593123">
      <w:pPr>
        <w:pStyle w:val="CBDNormalNumber"/>
        <w:numPr>
          <w:ilvl w:val="1"/>
          <w:numId w:val="7"/>
        </w:numPr>
      </w:pPr>
      <w:r>
        <w:t xml:space="preserve">Des mesures pourraient être prises pour garantir que les peuples autochtones et les communautés locales soient représentés au sein d’un groupe consultatif d’experts ou d’un groupe de travail sur l'information de séquençage numérique dans le cadre de la gouvernance des ressources génétiques. Une suggestion connexe prévoit également que des Parties, des universitaires, des gestionnaires de bases de données, des représentants du secteur privé et d'autres parties prenantes élabore les meilleures pratiques en matière de gouvernance de l'information de séquençage numérique pour ce groupe de travail ; </w:t>
      </w:r>
    </w:p>
    <w:p w14:paraId="12B8CDEA" w14:textId="625FD6A9" w:rsidR="0074629A" w:rsidRPr="009C500D" w:rsidRDefault="00B30DDF" w:rsidP="00340203">
      <w:pPr>
        <w:pStyle w:val="CBDNormalNumber"/>
        <w:numPr>
          <w:ilvl w:val="1"/>
          <w:numId w:val="24"/>
        </w:numPr>
      </w:pPr>
      <w:r>
        <w:t>En ce qui concerne les outils pédagogiques a), le Centre d'échange de la Convention et le Centre d'échange sur l'accès et le partage des avantages pourraient être utilisés pour la diffusion d'informations ;</w:t>
      </w:r>
    </w:p>
    <w:p w14:paraId="7A20051E" w14:textId="797CEC00" w:rsidR="00B46A15" w:rsidRPr="009C500D" w:rsidRDefault="00045769" w:rsidP="008450CC">
      <w:pPr>
        <w:pStyle w:val="CBDNormalNumber"/>
        <w:numPr>
          <w:ilvl w:val="1"/>
          <w:numId w:val="7"/>
        </w:numPr>
      </w:pPr>
      <w:r>
        <w:t>L'analyse des statistiques du site Web pourrait être réalisée en surveillant les accès à la base de données, à un niveau global (géographique, propriété intellectuelle). Cela ne permettrait pas d'obtenir des informations au niveau individuel ou sectoriel, mais fournirait des informations générales, bien qu'utiles ;</w:t>
      </w:r>
    </w:p>
    <w:p w14:paraId="6CFEDC73" w14:textId="167FA3B6" w:rsidR="001719F4" w:rsidRPr="009C500D" w:rsidRDefault="00627141" w:rsidP="008450CC">
      <w:pPr>
        <w:pStyle w:val="CBDNormalNumber"/>
        <w:numPr>
          <w:ilvl w:val="1"/>
          <w:numId w:val="7"/>
        </w:numPr>
      </w:pPr>
      <w:r>
        <w:lastRenderedPageBreak/>
        <w:t>Le suivi des publications à l'aide de l'intelligence artificielle, avec l'adhésion des éditeurs universitaires, pourrait servir à informer les Parties sur plusieurs aspects de l'utilisation des données par les chercheurs universitaires ;</w:t>
      </w:r>
    </w:p>
    <w:p w14:paraId="054667AF" w14:textId="39B83A8F" w:rsidR="009F4FE9" w:rsidRPr="009C500D" w:rsidRDefault="00624EC5" w:rsidP="008450CC">
      <w:pPr>
        <w:pStyle w:val="CBDNormalNumber"/>
        <w:numPr>
          <w:ilvl w:val="1"/>
          <w:numId w:val="7"/>
        </w:numPr>
      </w:pPr>
      <w:r>
        <w:t xml:space="preserve">De même, les outils d’intelligence artificielle pourraient également servir à suivre les informations de séquençage numérique sur les ressources génétiques et les connaissances traditionnelles associées dans les demandes de brevet, ce qui permettrait d’informer les Parties sur l’utilisation de ces données par les secteurs commerciaux qui recourent aux brevets. </w:t>
      </w:r>
    </w:p>
    <w:p w14:paraId="73A59923" w14:textId="43CB04D5" w:rsidR="00585630" w:rsidRPr="004322F5" w:rsidRDefault="00624EC5" w:rsidP="00585630">
      <w:pPr>
        <w:pStyle w:val="CBDNormalNumber"/>
      </w:pPr>
      <w:r>
        <w:t xml:space="preserve">Ces huit outils, dont les champs d'application ou les méthodes proposées se recoupent parfois, pourraient permettre de combler les lacunes identifiées en matière de disponibilité et d'accessibilité de l'information de séquençage numérique sur les ressources génétiques, ainsi qu'en matière de transparence et de responsabilité des bases de données correspondantes. Ils peuvent être classés en trois grandes catégories de mesures : </w:t>
      </w:r>
    </w:p>
    <w:p w14:paraId="550FD374" w14:textId="4F34BC8C" w:rsidR="00154413" w:rsidRPr="004C408B" w:rsidRDefault="00154413" w:rsidP="009C0472">
      <w:pPr>
        <w:pStyle w:val="CBDNormalNumber"/>
        <w:numPr>
          <w:ilvl w:val="1"/>
          <w:numId w:val="26"/>
        </w:numPr>
      </w:pPr>
      <w:r>
        <w:rPr>
          <w:i/>
          <w:iCs/>
        </w:rPr>
        <w:t>Outils pédagogiques :</w:t>
      </w:r>
      <w:r>
        <w:t xml:space="preserve"> création de supports pédagogiques destinés aux institutions scientifiques et établissements de recherche, ainsi qu’aux autres parties prenantes concernées, couvrant des thèmes tels que la gestion des données relatives aux peuples autochtones et aux communautés locales ainsi qu’aux connaissances traditionnelles, la gouvernance des données et les lignes directrices relatives aux publications scientifiques issues de recherches utilisant l'information de séquençage numérique sur les ressources génétiques ;</w:t>
      </w:r>
    </w:p>
    <w:p w14:paraId="5B2FE3BA" w14:textId="5520AD70" w:rsidR="00154413" w:rsidRPr="004C408B" w:rsidRDefault="00154413" w:rsidP="009C0472">
      <w:pPr>
        <w:pStyle w:val="CBDNormalNumber"/>
        <w:numPr>
          <w:ilvl w:val="1"/>
          <w:numId w:val="26"/>
        </w:numPr>
      </w:pPr>
      <w:r>
        <w:rPr>
          <w:i/>
          <w:iCs/>
        </w:rPr>
        <w:t>Outils d'appui aux bases de données :</w:t>
      </w:r>
      <w:r>
        <w:t xml:space="preserve"> élaborer des métadonnées normalisées favorisant une meilleure accessibilité, transparence et responsabilité dans les bases de données, et mettre en place un processus de suivi progressif des principes CARE relatifs à la gouvernance des données autochtones, à titre indicatif ;</w:t>
      </w:r>
    </w:p>
    <w:p w14:paraId="3C75A081" w14:textId="480D207B" w:rsidR="00154413" w:rsidRPr="004322F5" w:rsidRDefault="00154413" w:rsidP="00F71E71">
      <w:pPr>
        <w:pStyle w:val="CBDNormalNumber"/>
        <w:numPr>
          <w:ilvl w:val="1"/>
          <w:numId w:val="26"/>
        </w:numPr>
      </w:pPr>
      <w:r>
        <w:rPr>
          <w:i/>
          <w:iCs/>
        </w:rPr>
        <w:t>Utilisation des outils existants </w:t>
      </w:r>
      <w:r>
        <w:t>: recours au Centre d'échange et au Centre d'échange sur l'accès et le partage des avantages afin d'héberger et de diffuser des informations et des outils pédagogiques relatifs au mécanisme de la Convention.</w:t>
      </w:r>
    </w:p>
    <w:p w14:paraId="3D2AF779" w14:textId="38F39F61" w:rsidR="003D3FAA" w:rsidRPr="004322F5" w:rsidRDefault="00F005D6" w:rsidP="004B03CB">
      <w:pPr>
        <w:pStyle w:val="CBDNormalNumber"/>
        <w:rPr>
          <w:b/>
          <w:bCs/>
        </w:rPr>
      </w:pPr>
      <w:r>
        <w:t xml:space="preserve">L'étude complète et la synthèse des points de vue communiqués sur ce sujet sont mises à disposition dans des documents d'information. Une synthèse de l'étude est présentée sous forme d'annexe au présent document, aux fins d'examen par l'Organe subsidiaire. Les éléments visant à faire avancer les travaux sur ces outils figurent parmi les éléments d'un projet de recommandation présenté dans la section IV ci-dessous. </w:t>
      </w:r>
    </w:p>
    <w:p w14:paraId="582903F4" w14:textId="2F77D640" w:rsidR="00D936A3" w:rsidRPr="004322F5" w:rsidRDefault="00151DE7" w:rsidP="004C408B">
      <w:pPr>
        <w:pStyle w:val="CBDH2"/>
      </w:pPr>
      <w:r>
        <w:t>C</w:t>
      </w:r>
      <w:r w:rsidR="00D771F5">
        <w:t>.</w:t>
      </w:r>
      <w:r w:rsidR="00D771F5">
        <w:tab/>
        <w:t>Méthode d'examen du mécanisme multilatéral, y compris de son Fonds de Cali</w:t>
      </w:r>
    </w:p>
    <w:p w14:paraId="7AE21415" w14:textId="2DD4F004" w:rsidR="003251BD" w:rsidRPr="004322F5" w:rsidRDefault="0080567F" w:rsidP="00EB70FD">
      <w:pPr>
        <w:pStyle w:val="CBDNormalNumber"/>
      </w:pPr>
      <w:r>
        <w:t xml:space="preserve">Conformément au paragraphe 29 des modalités relatives au mécanisme multilatéral, y compris le Fonds de Cali, l'efficacité de ce mécanisme, y compris le Fonds de Cali, fera l'objet d'un examen par la Conférence des Parties à sa dix-huitième réunion. Cet examen doit être mené conformément aux principes énoncés dans la décision 15/9, en tenant compte des facteurs énumérés à l'annexe VI des modalités, ainsi que d'une méthode d'examen qui sera adoptée par la Conférence des Parties à sa dix-septième réunion. Comme exposé ci-dessus, le comité directeur a élaboré un projet de méthodologie pour examen par l'Organe subsidiaire chargé de l'application et adoption éventuelle par la Conférence des Parties à sa dix-septième réunion. </w:t>
      </w:r>
    </w:p>
    <w:p w14:paraId="2E375D32" w14:textId="5D2ACB40" w:rsidR="00AA0B6C" w:rsidRPr="004322F5" w:rsidRDefault="008F01CE" w:rsidP="00EB70FD">
      <w:pPr>
        <w:pStyle w:val="CBDNormalNumber"/>
      </w:pPr>
      <w:r>
        <w:t>Le comité directeur a prié le secrétariat provisoire d'élaborer un projet d'éléments constitutifs d'une telle méthodologie afin qu'il puisse l'examiner. Cet examen a été conçu dans le but d'analyser le mécanisme multilatéral et le Fonds de Cali dans leur ensemble, tout en tenant compte du fait que ces deux entités, y compris le Fonds de Cali, en sont encore aux premières étapes de leur mise en œuvre. À ce titre, il est proposé que ce premier examen porte sur les éléments pouvant faire l'objet d'une évaluation à la dix-huitième réunion de la Conférence des Parties.</w:t>
      </w:r>
    </w:p>
    <w:p w14:paraId="7080651A" w14:textId="1DB806D6" w:rsidR="004B667A" w:rsidRPr="004322F5" w:rsidRDefault="00A928EF" w:rsidP="00831298">
      <w:pPr>
        <w:pStyle w:val="CBDNormalNumber"/>
      </w:pPr>
      <w:r>
        <w:t xml:space="preserve">L'annexe VI de la décision </w:t>
      </w:r>
      <w:hyperlink r:id="rId36" w:history="1">
        <w:r>
          <w:rPr>
            <w:rStyle w:val="Hyperlink"/>
          </w:rPr>
          <w:t>16/2</w:t>
        </w:r>
      </w:hyperlink>
      <w:r>
        <w:t xml:space="preserve"> présente 18 facteurs à prendre en compte lors de l'examen. Ceux-ci ont été regroupés en six « piliers » articulés autour des modalités du mécanisme multilatéral et des principes directeurs déjà énoncés aux paragraphes 9 et 10 de la décision 15/9. Par ailleurs, un </w:t>
      </w:r>
      <w:r>
        <w:lastRenderedPageBreak/>
        <w:t>septième pilier (G1) a été ajouté, qui porte sur la gouvernance du mécanisme et sa mise en place en vue de sa pleine opérationnalisation (voir ci-dessous et à l'annexe I).</w:t>
      </w:r>
    </w:p>
    <w:p w14:paraId="6768185A" w14:textId="213633A9" w:rsidR="00CD7C2A" w:rsidRPr="004C408B" w:rsidRDefault="00CD7C2A" w:rsidP="00CD7C2A">
      <w:pPr>
        <w:pStyle w:val="CBDNormalNumber"/>
      </w:pPr>
      <w:r>
        <w:t xml:space="preserve">Deux types de facteurs sont au cœur de cette méthodologie : les conditions propices et les hypothèses d'évaluation´. Il existe cinq conditions propices (EC1 à EC5) qui sont considérées comme indispensables au bon fonctionnement du mécanisme multilatéral, y compris le Fonds de Cali. En outre, quatre hypothèses de conception ont été définies et fournissent le cadre dans lequel s'inscrira l'examen ; l'examen du mécanisme et du Fonds de Cali s'effectuera dans les limites de ces hypothèses de conception. Elles sont toutes présentées dans la note du secrétariat sous la cote CBD/SBI/7/5/Add.2. </w:t>
      </w:r>
    </w:p>
    <w:p w14:paraId="4299A6BD" w14:textId="7AA0CA4E" w:rsidR="00FB355B" w:rsidRPr="004C408B" w:rsidRDefault="00FB355B" w:rsidP="00CD7C2A">
      <w:pPr>
        <w:pStyle w:val="CBDNormalNumber"/>
      </w:pPr>
      <w:r>
        <w:t xml:space="preserve">La méthode d'examen évalue le mécanisme multilatéral à travers les six piliers d'évaluation (P1 à P6) et l'évaluation de la gouvernance (G1) P1 porte sur la mobilisation et la répartition des ressources ; P2 traite des niveaux de contribution, de la conception des seuils de déclenchement, de l’efficacité et des coûts administratifs ; P3 est consacré aux avantages non monétaires, y compris le libre accès à l'information de séquençage numérique sur les ressources génétiques ; P4 </w:t>
      </w:r>
      <w:proofErr w:type="spellStart"/>
      <w:r>
        <w:t>concene</w:t>
      </w:r>
      <w:proofErr w:type="spellEnd"/>
      <w:r>
        <w:t xml:space="preserve"> la contribution du mécanisme au Cadre mondial de la biodiversité de Kunming-Montréal et sur la sécurité juridique pour les contributeurs ; P5 a trait à la cohérence avec les cadres nationaux d’accès et de partage des avantages ainsi qu’avec d’autres instruments internationaux ; et P6 aborde les droits, les obligations en matière de libre accès et les impacts de la recherche concernant les peuples autochtones et les communautés locales. G1 évalue la gouvernance du mécanisme au regard de six indicateurs : le caractère inclusif du processus décisionnel, la transparence, la qualité des réponses apportées par la direction, la cohérence institutionnelle, l'intégrité fiduciaire et les progrès réalisés dans la mise en place du dispositif de gouvernance.</w:t>
      </w:r>
    </w:p>
    <w:p w14:paraId="0C106C3E" w14:textId="057E0A73" w:rsidR="00AD5BE2" w:rsidRPr="004322F5" w:rsidRDefault="00906AA8" w:rsidP="00AD5BE2">
      <w:pPr>
        <w:pStyle w:val="CBDNormalNumber"/>
      </w:pPr>
      <w:r>
        <w:t>Plusieurs éléments peuvent s'appuyer sur les données issues du Rapport mondial du Cadre mondial de la biodiversité de Kunming-Montréal ou d'autres sources facilement accessibles, tandis que d'autres nécessitent de collecter des informations auprès des Parties, d'autres gouvernements, des peuples autochtones et des communautés locales, des représentants des femmes et des jeunes, ainsi que des parties prenantes concernées et d'autres organisations.</w:t>
      </w:r>
    </w:p>
    <w:p w14:paraId="2504AB2E" w14:textId="6334F28E" w:rsidR="003251BD" w:rsidRPr="009C500D" w:rsidRDefault="008C6C5D" w:rsidP="00EB70FD">
      <w:pPr>
        <w:pStyle w:val="CBDNormalNumber"/>
      </w:pPr>
      <w:r>
        <w:t>Le projet de méthode d'examen élaboré par le comité directeur sera mis à disposition sous forme d'annexe à la présente note</w:t>
      </w:r>
      <w:r>
        <w:rPr>
          <w:rStyle w:val="FootnoteReference"/>
        </w:rPr>
        <w:footnoteReference w:id="6"/>
      </w:r>
      <w:r>
        <w:t>, aux fins d'examen par l'Organe subsidiaire et de son adoption éventuelle par la Conférence des Parties à sa dix-septième réunion. Un libellé en ce sens est inclus dans les éléments d'un projet de recommandation présenté à la section IV ci-dessous.</w:t>
      </w:r>
    </w:p>
    <w:p w14:paraId="41986791" w14:textId="0F0CE948" w:rsidR="00447F4A" w:rsidRPr="009C500D" w:rsidRDefault="00D771F5" w:rsidP="004C408B">
      <w:pPr>
        <w:pStyle w:val="CBDH1"/>
      </w:pPr>
      <w:r>
        <w:t>I</w:t>
      </w:r>
      <w:r w:rsidR="00635DFE">
        <w:t>V</w:t>
      </w:r>
      <w:r>
        <w:t>.</w:t>
      </w:r>
      <w:r>
        <w:tab/>
        <w:t>Éléments d'un projet de recommandation</w:t>
      </w:r>
    </w:p>
    <w:p w14:paraId="6385D3CF" w14:textId="638A31F8" w:rsidR="006941AE" w:rsidRPr="009C500D" w:rsidRDefault="00BC3CFD" w:rsidP="004C408B">
      <w:pPr>
        <w:pStyle w:val="CBDNormalNumber"/>
        <w:keepNext/>
      </w:pPr>
      <w:r>
        <w:t>Compte tenu de ce qui précède, l'Organe subsidiaire chargé de l'application pourrait souhaiter adopter une recommandation dont le libellé serait le suivant :</w:t>
      </w:r>
    </w:p>
    <w:p w14:paraId="4B1AE3E0" w14:textId="6E7E52D1" w:rsidR="00A0062B" w:rsidRPr="004C408B" w:rsidRDefault="006941AE" w:rsidP="004C408B">
      <w:pPr>
        <w:pStyle w:val="CBDNormalNoNumber"/>
        <w:keepNext/>
        <w:ind w:firstLine="567"/>
        <w:rPr>
          <w:i/>
          <w:iCs/>
        </w:rPr>
      </w:pPr>
      <w:r>
        <w:rPr>
          <w:i/>
          <w:iCs/>
        </w:rPr>
        <w:t xml:space="preserve">L’Organe subsidiaire chargé de l’application </w:t>
      </w:r>
    </w:p>
    <w:p w14:paraId="1F50DD7D" w14:textId="7435C02E" w:rsidR="00233EAC" w:rsidRPr="009C500D" w:rsidRDefault="00233EAC" w:rsidP="004C408B">
      <w:pPr>
        <w:pStyle w:val="CBDNormalNoNumber"/>
        <w:keepNext/>
        <w:ind w:firstLine="567"/>
      </w:pPr>
      <w:r>
        <w:rPr>
          <w:i/>
          <w:iCs/>
        </w:rPr>
        <w:t>Recommande</w:t>
      </w:r>
      <w:r>
        <w:t xml:space="preserve"> que la Conférence des Parties, à sa dix-septième réunion, adopte des éléments d'une décision</w:t>
      </w:r>
      <w:r>
        <w:rPr>
          <w:rStyle w:val="FootnoteReference"/>
        </w:rPr>
        <w:footnoteReference w:id="7"/>
      </w:r>
      <w:r>
        <w:t xml:space="preserve"> dont le libellé serait le suivant : </w:t>
      </w:r>
    </w:p>
    <w:p w14:paraId="693487B5" w14:textId="16B08D86" w:rsidR="00233EAC" w:rsidRPr="004C408B" w:rsidRDefault="00233EAC" w:rsidP="004C408B">
      <w:pPr>
        <w:pStyle w:val="CBDNormalNoNumber"/>
        <w:keepNext/>
        <w:tabs>
          <w:tab w:val="clear" w:pos="567"/>
        </w:tabs>
        <w:ind w:left="1134" w:firstLine="567"/>
        <w:rPr>
          <w:i/>
          <w:iCs/>
        </w:rPr>
      </w:pPr>
      <w:r>
        <w:rPr>
          <w:i/>
          <w:iCs/>
        </w:rPr>
        <w:t xml:space="preserve">La Conférence des Parties </w:t>
      </w:r>
    </w:p>
    <w:p w14:paraId="0D40CBC0" w14:textId="54971BB2" w:rsidR="000D0BC2" w:rsidRPr="009C500D" w:rsidRDefault="00792325" w:rsidP="004C408B">
      <w:pPr>
        <w:pStyle w:val="CBDNormalNoNumber"/>
        <w:tabs>
          <w:tab w:val="clear" w:pos="567"/>
        </w:tabs>
        <w:ind w:left="1134" w:firstLine="567"/>
      </w:pPr>
      <w:r>
        <w:t>1.</w:t>
      </w:r>
      <w:r>
        <w:tab/>
      </w:r>
      <w:r>
        <w:rPr>
          <w:i/>
          <w:iCs/>
        </w:rPr>
        <w:t>Décide</w:t>
      </w:r>
      <w:r>
        <w:t xml:space="preserve">, afin de compléter l’approche sectorielle actuelle, d’inclure une modalité supplémentaire pour la mise en œuvre du mécanisme multilatéral de partage juste et équitable des avantages découlant de l’utilisation de l'information de séquençage numérique sur les ressources génétiques, y compris le Fonds de Cali, afin de permettre aux entités de calculer leurs contributions au Fonds de Cali exclusivement sur la base des produits ou services de leur </w:t>
      </w:r>
      <w:r>
        <w:lastRenderedPageBreak/>
        <w:t>portefeuille développés directement ou indirectement à l’aide de l'information de séquençage numérique sur les ressources génétiques ;</w:t>
      </w:r>
    </w:p>
    <w:p w14:paraId="05D8C779" w14:textId="1C0CF116" w:rsidR="00E51563" w:rsidRPr="00CB26E0" w:rsidRDefault="00792325" w:rsidP="004C408B">
      <w:pPr>
        <w:pStyle w:val="CBDNormalNoNumber"/>
        <w:tabs>
          <w:tab w:val="clear" w:pos="567"/>
        </w:tabs>
        <w:ind w:left="1134" w:firstLine="567"/>
      </w:pPr>
      <w:r>
        <w:t>1. bis)</w:t>
      </w:r>
      <w:r>
        <w:tab/>
      </w:r>
      <w:r>
        <w:rPr>
          <w:i/>
          <w:iCs/>
        </w:rPr>
        <w:t>Décide également</w:t>
      </w:r>
      <w:r>
        <w:t>, afin de compléter l’approche sectorielle actuelle, d’inclure une modalité supplémentaire pour la mise en œuvre du mécanisme multilatéral, y compris le Fonds de Cali, afin que les avantages soient partagés conformément à la législation nationale lorsqu’un produit contient, directement ou indirectement, une information de séquençage numérique sur les ressources génétiques provenant d’un seul pays ;</w:t>
      </w:r>
    </w:p>
    <w:p w14:paraId="68692B38" w14:textId="4E34F822" w:rsidR="00E51563" w:rsidRPr="00CB26E0" w:rsidRDefault="006B1B4C" w:rsidP="004C408B">
      <w:pPr>
        <w:pStyle w:val="CBDNormalNoNumber"/>
        <w:tabs>
          <w:tab w:val="clear" w:pos="567"/>
        </w:tabs>
        <w:ind w:left="1134" w:firstLine="567"/>
      </w:pPr>
      <w:r>
        <w:t>1. alt.1)</w:t>
      </w:r>
      <w:r>
        <w:rPr>
          <w:i/>
          <w:iCs/>
        </w:rPr>
        <w:tab/>
        <w:t>Décide</w:t>
      </w:r>
      <w:r>
        <w:t xml:space="preserve"> d’examiner toute modalité supplémentaire susceptible de permettre la mise en œuvre du mécanisme multilatéral pour le partage juste et équitable des avantages découlant de l’utilisation de l'information de séquençage numérique sur les ressources génétiques, y compris le Fonds de Cali, à la lumière des conclusions et recommandations issues du premier examen de l’efficacité du mécanisme, y compris le Fonds de Cali, qui sera mené à sa dix-huitième réunion ;</w:t>
      </w:r>
    </w:p>
    <w:p w14:paraId="6E6B3B61" w14:textId="346A1545" w:rsidR="00C33812" w:rsidRPr="001C0346" w:rsidRDefault="006B1B4C" w:rsidP="00B13ACB">
      <w:pPr>
        <w:pStyle w:val="CBDNormalNoNumber"/>
        <w:tabs>
          <w:tab w:val="clear" w:pos="567"/>
        </w:tabs>
        <w:ind w:left="1134" w:firstLine="567"/>
      </w:pPr>
      <w:r>
        <w:t>1. alt.2)</w:t>
      </w:r>
      <w:r>
        <w:rPr>
          <w:i/>
          <w:iCs/>
        </w:rPr>
        <w:tab/>
        <w:t>Décide</w:t>
      </w:r>
      <w:r>
        <w:t xml:space="preserve"> qu’une modalité visant à prendre en compte les produits et les services n’est pas envisageable pour le mécanisme multilatéral pour le partage juste et équitable des avantages découlant de l’utilisation de l'information de séquençage numérique sur les ressources génétiques, y compris le Fonds de Cali ;</w:t>
      </w:r>
    </w:p>
    <w:p w14:paraId="265303B6" w14:textId="2C43B2DC" w:rsidR="000F5EE1" w:rsidRPr="00635DFE" w:rsidRDefault="00123FAA">
      <w:pPr>
        <w:pStyle w:val="CBDNormalNoNumber"/>
        <w:tabs>
          <w:tab w:val="clear" w:pos="567"/>
        </w:tabs>
        <w:ind w:left="1134" w:firstLine="567"/>
        <w:rPr>
          <w:lang w:val="fr-FR"/>
        </w:rPr>
      </w:pPr>
      <w:r>
        <w:t>2.</w:t>
      </w:r>
      <w:r>
        <w:tab/>
      </w:r>
      <w:r>
        <w:rPr>
          <w:i/>
          <w:iCs/>
        </w:rPr>
        <w:t>Prie</w:t>
      </w:r>
      <w:r>
        <w:t xml:space="preserve"> la Secrétaire exécutive, en sa qualité de coprésidente du comité directeur du mécanisme multilatéral, y compris le Fonds de Cali, et ce jusqu’à ce que ce dernier ait atteint un niveau de capitalisation lui permettant de subvenir aux besoins de son propre secrétariat, de mener des actions de collecte de fonds à l'appui des activités du comité, notamment en convoquant une réunion de celui-ci pour examiner et convenir des modalités de mise en œuvre de toute nouvelle modalité applicable au Fonds de Cali, et des questions connexes, et exhorte les Parties à apporter un soutien financier à cet égard ;</w:t>
      </w:r>
    </w:p>
    <w:p w14:paraId="78E6F755" w14:textId="3C317A7D" w:rsidR="00027B76" w:rsidRPr="00635DFE" w:rsidRDefault="00B27316" w:rsidP="004C408B">
      <w:pPr>
        <w:pStyle w:val="CBDNormalNoNumber"/>
        <w:tabs>
          <w:tab w:val="clear" w:pos="567"/>
        </w:tabs>
        <w:ind w:left="1134" w:firstLine="567"/>
        <w:rPr>
          <w:lang w:val="fr-FR"/>
        </w:rPr>
      </w:pPr>
      <w:r>
        <w:t>3.</w:t>
      </w:r>
      <w:r>
        <w:tab/>
      </w:r>
      <w:r>
        <w:rPr>
          <w:i/>
          <w:iCs/>
        </w:rPr>
        <w:t>Invite</w:t>
      </w:r>
      <w:r>
        <w:t xml:space="preserve"> les Parties et d’autres acteurs à organiser des activités participatives visant à encourager l’engagement du secteur privé et ses contributions au Fonds de Cali ;</w:t>
      </w:r>
    </w:p>
    <w:p w14:paraId="4FAB6533" w14:textId="32F255EA" w:rsidR="00027B76" w:rsidRPr="00635DFE" w:rsidRDefault="0084258E" w:rsidP="004C408B">
      <w:pPr>
        <w:pStyle w:val="CBDNormalNoNumber"/>
        <w:tabs>
          <w:tab w:val="clear" w:pos="567"/>
        </w:tabs>
        <w:ind w:left="1134" w:firstLine="567"/>
        <w:rPr>
          <w:lang w:val="fr-FR"/>
        </w:rPr>
      </w:pPr>
      <w:r>
        <w:t>4.</w:t>
      </w:r>
      <w:r>
        <w:tab/>
      </w:r>
      <w:r>
        <w:rPr>
          <w:i/>
          <w:iCs/>
        </w:rPr>
        <w:t>Encourage vivement</w:t>
      </w:r>
      <w:r>
        <w:t xml:space="preserve"> les États non-Parties et les organisations compétentes à soutenir les travaux du comité directeur du mécanisme multilatéral, y compris le Fonds de Cali, ainsi que ceux du secrétariat de la Convention sur la diversité biologique</w:t>
      </w:r>
      <w:r>
        <w:rPr>
          <w:rStyle w:val="FootnoteReference"/>
        </w:rPr>
        <w:footnoteReference w:id="8"/>
      </w:r>
      <w:r>
        <w:t>, agissant en qualité de secrétariat provisoire du mécanisme, par le biais d’un soutien financier et d’activités informelles, telles que des ateliers consacrés à la mise en œuvre du mécanisme, y compris le Fonds de Cali, et aux questions connexes ;</w:t>
      </w:r>
    </w:p>
    <w:p w14:paraId="720C3521" w14:textId="590AFD8C" w:rsidR="00EF6C8A" w:rsidRPr="009C500D" w:rsidRDefault="0084258E" w:rsidP="004C408B">
      <w:pPr>
        <w:pStyle w:val="CBDNormalNoNumber"/>
        <w:tabs>
          <w:tab w:val="clear" w:pos="567"/>
        </w:tabs>
        <w:ind w:left="1134" w:firstLine="567"/>
      </w:pPr>
      <w:r>
        <w:t>5.</w:t>
      </w:r>
      <w:r>
        <w:tab/>
      </w:r>
      <w:r>
        <w:rPr>
          <w:i/>
          <w:iCs/>
        </w:rPr>
        <w:t>Invite</w:t>
      </w:r>
      <w:r>
        <w:t>, avec pour objectif de rendre publique et accessible l'information de séquençage numérique sur les ressources génétiques, dans le respect des principes de transparence et de responsabilité :</w:t>
      </w:r>
    </w:p>
    <w:p w14:paraId="26A1F96F" w14:textId="2EC746B6" w:rsidR="00637C6B" w:rsidRPr="00F336EA" w:rsidRDefault="004A2796" w:rsidP="004C408B">
      <w:pPr>
        <w:pStyle w:val="CBDNormalNoNumber"/>
        <w:tabs>
          <w:tab w:val="clear" w:pos="567"/>
        </w:tabs>
        <w:ind w:left="1134" w:firstLine="567"/>
      </w:pPr>
      <w:r>
        <w:t>a)</w:t>
      </w:r>
      <w:r>
        <w:tab/>
        <w:t>Les peuples autochtones et les communautés locales, avec le soutien des Parties et, selon qu'il convient, des organisations et initiatives concernées, à élaborer des supports pédagogiques destinés aux gestionnaires de bases de données, aux institutions scientifiques et établissements de recherche, au secrétariat et aux autres parties prenantes concernées, le cas échéant, sur la gestion et la gouvernance des données relatives aux peuples autochtones et aux communautés locales ainsi qu’à leurs connaissances traditionnelles, en fournissant des orientations pour les publications scientifiques portant sur des recherches utilisant l'information de séquençage numérique sur les ressources génétiques ;</w:t>
      </w:r>
    </w:p>
    <w:p w14:paraId="57BBBFB5" w14:textId="04F0A313" w:rsidR="00EF6C8A" w:rsidRPr="009C500D" w:rsidRDefault="004A2796" w:rsidP="004C408B">
      <w:pPr>
        <w:pStyle w:val="CBDNormalNoNumber"/>
        <w:tabs>
          <w:tab w:val="clear" w:pos="567"/>
        </w:tabs>
        <w:ind w:left="1134" w:firstLine="567"/>
      </w:pPr>
      <w:r>
        <w:t>b)</w:t>
      </w:r>
      <w:r>
        <w:tab/>
        <w:t xml:space="preserve">Les gestionnaires et utilisateurs de bases de données à élaborer et mettre en œuvre : i) des métadonnées normalisées favorisant une meilleure accessibilité, transparence et responsabilité au sein des bases de données ; et ii) un processus permettant de contrôler de </w:t>
      </w:r>
      <w:r>
        <w:lastRenderedPageBreak/>
        <w:t>manière progressive la conformité aux principes CARE (avantage collectif, autorité de contrôle, responsabilité et éthique) en matière de gouvernance des données autochtones ;</w:t>
      </w:r>
    </w:p>
    <w:p w14:paraId="285780ED" w14:textId="6C34009D" w:rsidR="004D5B40" w:rsidRPr="009C500D" w:rsidRDefault="0084258E" w:rsidP="004C408B">
      <w:pPr>
        <w:pStyle w:val="CBDNormalNoNumber"/>
        <w:tabs>
          <w:tab w:val="clear" w:pos="567"/>
        </w:tabs>
        <w:ind w:left="1134" w:firstLine="567"/>
      </w:pPr>
      <w:r>
        <w:t>6.</w:t>
      </w:r>
      <w:r>
        <w:rPr>
          <w:i/>
          <w:iCs/>
        </w:rPr>
        <w:tab/>
        <w:t xml:space="preserve">Invite </w:t>
      </w:r>
      <w:r>
        <w:t xml:space="preserve">les Parties et les organisations compétentes à apporter un soutien en matière de renforcement des capacités et un soutien financier aux travaux décrits à l'alinéa 5 a) ci-dessus ; </w:t>
      </w:r>
    </w:p>
    <w:p w14:paraId="1FD3608A" w14:textId="750AC310" w:rsidR="0034736B" w:rsidRPr="009C500D" w:rsidRDefault="0084258E" w:rsidP="004C408B">
      <w:pPr>
        <w:pStyle w:val="CBDNormalNoNumber"/>
        <w:tabs>
          <w:tab w:val="clear" w:pos="567"/>
        </w:tabs>
        <w:ind w:left="1134" w:firstLine="567"/>
      </w:pPr>
      <w:r>
        <w:t>7.</w:t>
      </w:r>
      <w:r>
        <w:rPr>
          <w:i/>
          <w:iCs/>
        </w:rPr>
        <w:tab/>
        <w:t>Invite</w:t>
      </w:r>
      <w:r>
        <w:t xml:space="preserve"> les différents acteurs mentionnés au paragraphe 5 ci-dessus à informer le secrétariat des travaux pertinents menés et de leurs résultats ;</w:t>
      </w:r>
    </w:p>
    <w:p w14:paraId="74CE446A" w14:textId="0CCEF8A8" w:rsidR="005A55E2" w:rsidRPr="009C500D" w:rsidRDefault="0084258E" w:rsidP="004C408B">
      <w:pPr>
        <w:pStyle w:val="CBDNormalNoNumber"/>
        <w:keepNext/>
        <w:tabs>
          <w:tab w:val="clear" w:pos="567"/>
        </w:tabs>
        <w:ind w:left="1134" w:firstLine="567"/>
      </w:pPr>
      <w:r>
        <w:t>8.</w:t>
      </w:r>
      <w:r>
        <w:rPr>
          <w:i/>
          <w:iCs/>
        </w:rPr>
        <w:tab/>
        <w:t>Prie</w:t>
      </w:r>
      <w:r>
        <w:t xml:space="preserve"> la Secrétaire exécutive, dans la limite des ressources disponibles :</w:t>
      </w:r>
    </w:p>
    <w:p w14:paraId="6143A32F" w14:textId="591482CF" w:rsidR="00C056CE" w:rsidRPr="009C500D" w:rsidRDefault="0084525C" w:rsidP="004C408B">
      <w:pPr>
        <w:pStyle w:val="CBDNormalNoNumber"/>
        <w:tabs>
          <w:tab w:val="clear" w:pos="567"/>
        </w:tabs>
        <w:ind w:left="1134" w:firstLine="567"/>
      </w:pPr>
      <w:r>
        <w:t>a)</w:t>
      </w:r>
      <w:r>
        <w:tab/>
        <w:t>De demander et recueillir les informations mentionnées au paragraphe 7 ci-dessus, et de les mettre à disposition par l'intermédiaire du Centre d'échange de la Convention ou du Centre d'échange sur l'accès et le partage des avantages ;</w:t>
      </w:r>
    </w:p>
    <w:p w14:paraId="449BB050" w14:textId="03FCC292" w:rsidR="00321742" w:rsidRPr="000D68C2" w:rsidRDefault="0084525C" w:rsidP="004C408B">
      <w:pPr>
        <w:pStyle w:val="CBDNormalNoNumber"/>
        <w:tabs>
          <w:tab w:val="clear" w:pos="567"/>
        </w:tabs>
        <w:ind w:left="1134" w:firstLine="567"/>
      </w:pPr>
      <w:r>
        <w:t>b)</w:t>
      </w:r>
      <w:r>
        <w:tab/>
        <w:t>D'élaborer des supports pédagogiques sur la Convention, notamment sur les obligations et les attentes en matière d’accès et de partage des avantages, à l’intention des gestionnaires de bases de données, des institutions scientifiques et des établissements de recherche ainsi que d’autres parties prenantes, selon le cas ;</w:t>
      </w:r>
    </w:p>
    <w:p w14:paraId="24A409AC" w14:textId="587C809A" w:rsidR="00740CD6" w:rsidRPr="000D68C2" w:rsidRDefault="0084258E" w:rsidP="004C408B">
      <w:pPr>
        <w:pStyle w:val="CBDNormalNoNumber"/>
        <w:tabs>
          <w:tab w:val="clear" w:pos="567"/>
        </w:tabs>
        <w:ind w:left="1134" w:firstLine="567"/>
      </w:pPr>
      <w:r>
        <w:t>9.</w:t>
      </w:r>
      <w:r>
        <w:rPr>
          <w:i/>
          <w:iCs/>
        </w:rPr>
        <w:tab/>
        <w:t>Réaffirme</w:t>
      </w:r>
      <w:r>
        <w:t xml:space="preserve"> sa décision de procéder, à sa dix-huitième réunion, au premier examen de l'efficacité du mécanisme multilatéral, y compris le Fonds de Cali ;</w:t>
      </w:r>
    </w:p>
    <w:p w14:paraId="4413C029" w14:textId="30F70612" w:rsidR="00740CD6" w:rsidRPr="000D68C2" w:rsidRDefault="0084258E" w:rsidP="004C408B">
      <w:pPr>
        <w:pStyle w:val="CBDNormalNoNumber"/>
        <w:tabs>
          <w:tab w:val="clear" w:pos="567"/>
        </w:tabs>
        <w:ind w:left="1134" w:firstLine="567"/>
      </w:pPr>
      <w:r>
        <w:t>10.</w:t>
      </w:r>
      <w:r>
        <w:rPr>
          <w:i/>
          <w:iCs/>
        </w:rPr>
        <w:tab/>
        <w:t>Adopte</w:t>
      </w:r>
      <w:r>
        <w:t xml:space="preserve"> la méthode d'examen présentée à l'annexe du document CBD/SBI/7/5/Add.2 ; </w:t>
      </w:r>
    </w:p>
    <w:p w14:paraId="2B5E736A" w14:textId="69891729" w:rsidR="00332B42" w:rsidRPr="00F336EA" w:rsidRDefault="00123FAA" w:rsidP="004C408B">
      <w:pPr>
        <w:pStyle w:val="CBDNormalNoNumber"/>
        <w:tabs>
          <w:tab w:val="clear" w:pos="567"/>
        </w:tabs>
        <w:ind w:left="1134" w:firstLine="567"/>
      </w:pPr>
      <w:r>
        <w:t>11.</w:t>
      </w:r>
      <w:r>
        <w:rPr>
          <w:i/>
          <w:iCs/>
        </w:rPr>
        <w:tab/>
        <w:t xml:space="preserve">Prie </w:t>
      </w:r>
      <w:r>
        <w:t>la Secrétaire exécutive, en consultation avec le comité directeur, conformément à la méthode d'examen et dans la limite des ressources disponibles :</w:t>
      </w:r>
    </w:p>
    <w:p w14:paraId="1D71DDDD" w14:textId="6BB60981" w:rsidR="003D7E55" w:rsidRPr="009C500D" w:rsidRDefault="00C6598A" w:rsidP="004C408B">
      <w:pPr>
        <w:pStyle w:val="CBDNormalNoNumber"/>
        <w:tabs>
          <w:tab w:val="clear" w:pos="567"/>
        </w:tabs>
        <w:ind w:left="1134" w:firstLine="567"/>
      </w:pPr>
      <w:r>
        <w:t>a)</w:t>
      </w:r>
      <w:r>
        <w:tab/>
        <w:t>D'élaborer et de diffuser un questionnaire visant à recueillir des données et des informations pertinentes auprès des Parties, d’autres gouvernements, des peuples autochtones et des communautés locales, des organisations de femmes et de jeunes, ainsi que d’autres parties prenantes et organisations compétentes, afin d’éclairer le premier examen de l’efficacité du mécanisme multilatéral, et invite les acteurs concernés à répondre à ce questionnaire ;</w:t>
      </w:r>
    </w:p>
    <w:p w14:paraId="7A15A56F" w14:textId="3A8991BA" w:rsidR="00740CD6" w:rsidRPr="009C500D" w:rsidRDefault="00C6598A" w:rsidP="004C408B">
      <w:pPr>
        <w:pStyle w:val="CBDNormalNoNumber"/>
        <w:tabs>
          <w:tab w:val="clear" w:pos="567"/>
        </w:tabs>
        <w:ind w:left="1134" w:firstLine="567"/>
      </w:pPr>
      <w:r>
        <w:t>b)</w:t>
      </w:r>
      <w:r>
        <w:tab/>
        <w:t>De commander un rapport d'examen qui comprendra une analyse des données et informations recueillies conformément à l'alinéa 11 a) ci-dessus, des informations extraites du rapport mondial sur les progrès collectifs réalisés dans la mise en œuvre du Cadre mondial de la biodiversité de Kunming-Montréal</w:t>
      </w:r>
      <w:r>
        <w:rPr>
          <w:rStyle w:val="FootnoteReference"/>
        </w:rPr>
        <w:footnoteReference w:id="9"/>
      </w:r>
      <w:r>
        <w:t>ainsi que d’autres sources facilement accessibles, le cas échéant, et des recommandations visant à améliorer l’efficacité du mécanisme multilatéral, y compris le Fonds de Cali</w:t>
      </w:r>
    </w:p>
    <w:p w14:paraId="2B789540" w14:textId="04337549" w:rsidR="00740CD6" w:rsidRPr="009C500D" w:rsidRDefault="00C6598A" w:rsidP="004C408B">
      <w:pPr>
        <w:pStyle w:val="CBDNormalNoNumber"/>
        <w:tabs>
          <w:tab w:val="clear" w:pos="567"/>
        </w:tabs>
        <w:ind w:left="1134" w:firstLine="567"/>
      </w:pPr>
      <w:r>
        <w:t>c)</w:t>
      </w:r>
      <w:r>
        <w:tab/>
        <w:t>De soumettre le rapport d'examen au comité directeur afin de lui donner l'occasion de faire part de ses observations sur ce rapport, ainsi que de toute recommandation qu'il pourrait formuler, à l'Organe subsidiaire chargé de l'application ;</w:t>
      </w:r>
    </w:p>
    <w:p w14:paraId="6138FC90" w14:textId="3169D983" w:rsidR="00B116DA" w:rsidRPr="00635DFE" w:rsidRDefault="00C6598A">
      <w:pPr>
        <w:pStyle w:val="CBDNormalNoNumber"/>
        <w:tabs>
          <w:tab w:val="clear" w:pos="567"/>
        </w:tabs>
        <w:ind w:left="1134" w:firstLine="567"/>
        <w:rPr>
          <w:lang w:val="fr-FR"/>
        </w:rPr>
      </w:pPr>
      <w:r>
        <w:t>d)</w:t>
      </w:r>
      <w:r>
        <w:tab/>
        <w:t>De soumettre le rapport d'examen ainsi que les avis et recommandations du comité directeur à l'Organe subsidiaire chargé de l'application, afin qu'il les examine lors d'une réunion se tenant avant la dix-huitième réunion de la Conférence des Parties ;</w:t>
      </w:r>
    </w:p>
    <w:p w14:paraId="73058FDF" w14:textId="05B0182B" w:rsidR="009C0472" w:rsidRPr="009C500D" w:rsidRDefault="00D96D8B" w:rsidP="002C1A32">
      <w:pPr>
        <w:pStyle w:val="CBDNormalNoNumber"/>
        <w:tabs>
          <w:tab w:val="clear" w:pos="567"/>
        </w:tabs>
        <w:ind w:left="1134" w:firstLine="567"/>
        <w:rPr>
          <w:b/>
          <w:sz w:val="24"/>
        </w:rPr>
      </w:pPr>
      <w:r>
        <w:t>12.</w:t>
      </w:r>
      <w:r>
        <w:tab/>
      </w:r>
      <w:r>
        <w:rPr>
          <w:i/>
          <w:iCs/>
        </w:rPr>
        <w:t>Demande</w:t>
      </w:r>
      <w:r>
        <w:t xml:space="preserve"> que, lors d’une réunion qui se tiendra avant la dix-huitième réunion de la Conférence des Parties, l’Organe subsidiaire chargé de l'application examine les avis et recommandations du comité directeur concernant le rapport d’examen, le cas échéant, et, s’il y a lieu, présente une recommandation aux fins d'examen par la Conférence des Parties à sa dix-huitième réunion.</w:t>
      </w:r>
      <w:r w:rsidR="002C1A32">
        <w:t xml:space="preserve"> </w:t>
      </w:r>
      <w:r w:rsidR="009C0472" w:rsidRPr="009C500D">
        <w:br w:type="page"/>
      </w:r>
    </w:p>
    <w:p w14:paraId="2E71E1AA" w14:textId="041EE8F8" w:rsidR="00A0062B" w:rsidRPr="009C500D" w:rsidRDefault="003C2948" w:rsidP="00A0062B">
      <w:pPr>
        <w:pStyle w:val="CBDTitle"/>
        <w:rPr>
          <w:lang w:bidi="ar-SY"/>
        </w:rPr>
      </w:pPr>
      <w:r>
        <w:lastRenderedPageBreak/>
        <w:t xml:space="preserve">Annexe </w:t>
      </w:r>
      <w:r>
        <w:br/>
        <w:t>Estimation des besoins en ressources extrabudgétaires</w:t>
      </w:r>
    </w:p>
    <w:p w14:paraId="61EAF373" w14:textId="6C7A6D67" w:rsidR="00A0062B" w:rsidRPr="009C500D" w:rsidRDefault="00A0062B" w:rsidP="00A0062B">
      <w:pPr>
        <w:pStyle w:val="CBDNormalNoNumber"/>
        <w:rPr>
          <w:lang w:bidi="ar-SY"/>
        </w:rPr>
      </w:pPr>
      <w:r>
        <w:t>Le tableau ci-dessous présente l'estimation des besoins en ressources extrabudgétaires pour financer les activités demandées au secrétariat, telles que décrites dans le projet de décision, à l'appui de son examen.</w:t>
      </w:r>
      <w:bookmarkStart w:id="0" w:name="_Hlk216086750"/>
      <w:r>
        <w:t xml:space="preserve"> La présente annexe ne fait pas partie du projet de décision soumis à l'examen de l'Organe subsidiaire.</w:t>
      </w:r>
    </w:p>
    <w:p w14:paraId="0D8A6191" w14:textId="77777777" w:rsidR="00A0062B" w:rsidRPr="009C500D" w:rsidRDefault="00A0062B" w:rsidP="00A0062B">
      <w:pPr>
        <w:pStyle w:val="CBDTableTitle"/>
        <w:tabs>
          <w:tab w:val="clear" w:pos="567"/>
        </w:tabs>
        <w:ind w:left="0"/>
      </w:pPr>
      <w:r>
        <w:t>Besoins en ressources extrabudgétaires</w:t>
      </w:r>
    </w:p>
    <w:bookmarkEnd w:id="0"/>
    <w:p w14:paraId="67147E94" w14:textId="78214281" w:rsidR="003A06A3" w:rsidRPr="009C500D" w:rsidRDefault="003A06A3" w:rsidP="003A06A3">
      <w:pPr>
        <w:spacing w:before="120" w:after="120"/>
        <w:rPr>
          <w:iCs/>
        </w:rPr>
      </w:pPr>
      <w:r>
        <w:rPr>
          <w:iCs/>
          <w:sz w:val="18"/>
          <w:szCs w:val="18"/>
        </w:rPr>
        <w:t>(</w:t>
      </w:r>
      <w:r w:rsidR="00205689">
        <w:rPr>
          <w:iCs/>
          <w:sz w:val="18"/>
          <w:szCs w:val="18"/>
        </w:rPr>
        <w:t>Dollars</w:t>
      </w:r>
      <w:r>
        <w:rPr>
          <w:iCs/>
          <w:sz w:val="18"/>
          <w:szCs w:val="18"/>
        </w:rPr>
        <w:t xml:space="preserve"> É.-U.)</w:t>
      </w:r>
    </w:p>
    <w:tbl>
      <w:tblPr>
        <w:tblW w:w="9923" w:type="dxa"/>
        <w:tblLayout w:type="fixed"/>
        <w:tblCellMar>
          <w:left w:w="0" w:type="dxa"/>
          <w:right w:w="0" w:type="dxa"/>
        </w:tblCellMar>
        <w:tblLook w:val="04A0" w:firstRow="1" w:lastRow="0" w:firstColumn="1" w:lastColumn="0" w:noHBand="0" w:noVBand="1"/>
      </w:tblPr>
      <w:tblGrid>
        <w:gridCol w:w="432"/>
        <w:gridCol w:w="3398"/>
        <w:gridCol w:w="1010"/>
        <w:gridCol w:w="887"/>
        <w:gridCol w:w="935"/>
        <w:gridCol w:w="899"/>
        <w:gridCol w:w="1350"/>
        <w:gridCol w:w="1012"/>
      </w:tblGrid>
      <w:tr w:rsidR="003A06A3" w:rsidRPr="009C500D" w14:paraId="1DF73D2B" w14:textId="77777777" w:rsidTr="004C408B">
        <w:trPr>
          <w:trHeight w:val="290"/>
        </w:trPr>
        <w:tc>
          <w:tcPr>
            <w:tcW w:w="218" w:type="pct"/>
            <w:tcBorders>
              <w:top w:val="single" w:sz="4" w:space="0" w:color="auto"/>
              <w:bottom w:val="single" w:sz="4" w:space="0" w:color="auto"/>
            </w:tcBorders>
            <w:vAlign w:val="bottom"/>
          </w:tcPr>
          <w:p w14:paraId="1848D088" w14:textId="77777777" w:rsidR="003A06A3" w:rsidRPr="004C408B" w:rsidRDefault="003A06A3" w:rsidP="00504407">
            <w:pPr>
              <w:jc w:val="left"/>
              <w:rPr>
                <w:sz w:val="20"/>
                <w:szCs w:val="20"/>
              </w:rPr>
            </w:pPr>
            <w:r>
              <w:rPr>
                <w:i/>
                <w:iCs/>
                <w:sz w:val="20"/>
                <w:szCs w:val="20"/>
              </w:rPr>
              <w:t>PD</w:t>
            </w:r>
          </w:p>
        </w:tc>
        <w:tc>
          <w:tcPr>
            <w:tcW w:w="1712" w:type="pct"/>
            <w:tcBorders>
              <w:top w:val="single" w:sz="4" w:space="0" w:color="auto"/>
              <w:bottom w:val="single" w:sz="4" w:space="0" w:color="auto"/>
            </w:tcBorders>
            <w:noWrap/>
            <w:tcMar>
              <w:top w:w="0" w:type="dxa"/>
              <w:left w:w="108" w:type="dxa"/>
              <w:bottom w:w="0" w:type="dxa"/>
              <w:right w:w="108" w:type="dxa"/>
            </w:tcMar>
            <w:vAlign w:val="bottom"/>
          </w:tcPr>
          <w:p w14:paraId="3C749FF0" w14:textId="77777777" w:rsidR="003A06A3" w:rsidRPr="004C408B" w:rsidRDefault="003A06A3" w:rsidP="00504407">
            <w:pPr>
              <w:jc w:val="left"/>
              <w:rPr>
                <w:sz w:val="20"/>
                <w:szCs w:val="20"/>
              </w:rPr>
            </w:pPr>
            <w:r>
              <w:rPr>
                <w:i/>
                <w:iCs/>
                <w:sz w:val="20"/>
                <w:szCs w:val="20"/>
              </w:rPr>
              <w:t>Activité</w:t>
            </w:r>
          </w:p>
        </w:tc>
        <w:tc>
          <w:tcPr>
            <w:tcW w:w="509" w:type="pct"/>
            <w:tcBorders>
              <w:top w:val="single" w:sz="4" w:space="0" w:color="auto"/>
              <w:bottom w:val="single" w:sz="4" w:space="0" w:color="auto"/>
            </w:tcBorders>
            <w:noWrap/>
            <w:tcMar>
              <w:top w:w="0" w:type="dxa"/>
              <w:left w:w="108" w:type="dxa"/>
              <w:bottom w:w="0" w:type="dxa"/>
              <w:right w:w="108" w:type="dxa"/>
            </w:tcMar>
            <w:vAlign w:val="bottom"/>
          </w:tcPr>
          <w:p w14:paraId="61288C4F" w14:textId="77777777" w:rsidR="003A06A3" w:rsidRPr="004C408B" w:rsidRDefault="003A06A3" w:rsidP="00504407">
            <w:pPr>
              <w:jc w:val="center"/>
              <w:rPr>
                <w:sz w:val="20"/>
                <w:szCs w:val="20"/>
              </w:rPr>
            </w:pPr>
            <w:r>
              <w:rPr>
                <w:i/>
                <w:iCs/>
                <w:sz w:val="20"/>
                <w:szCs w:val="20"/>
              </w:rPr>
              <w:t xml:space="preserve">Frais de </w:t>
            </w:r>
            <w:proofErr w:type="spellStart"/>
            <w:r>
              <w:rPr>
                <w:i/>
                <w:iCs/>
                <w:sz w:val="20"/>
                <w:szCs w:val="20"/>
              </w:rPr>
              <w:t>réunion</w:t>
            </w:r>
            <w:r>
              <w:rPr>
                <w:i/>
                <w:iCs/>
                <w:sz w:val="20"/>
                <w:szCs w:val="20"/>
                <w:vertAlign w:val="superscript"/>
              </w:rPr>
              <w:t>a</w:t>
            </w:r>
            <w:proofErr w:type="spellEnd"/>
          </w:p>
        </w:tc>
        <w:tc>
          <w:tcPr>
            <w:tcW w:w="447" w:type="pct"/>
            <w:tcBorders>
              <w:top w:val="single" w:sz="4" w:space="0" w:color="auto"/>
              <w:bottom w:val="single" w:sz="4" w:space="0" w:color="auto"/>
            </w:tcBorders>
            <w:noWrap/>
            <w:tcMar>
              <w:top w:w="0" w:type="dxa"/>
              <w:left w:w="108" w:type="dxa"/>
              <w:bottom w:w="0" w:type="dxa"/>
              <w:right w:w="108" w:type="dxa"/>
            </w:tcMar>
            <w:vAlign w:val="bottom"/>
          </w:tcPr>
          <w:p w14:paraId="6B9B8F88" w14:textId="5DA6DC8F" w:rsidR="003A06A3" w:rsidRPr="004C408B" w:rsidRDefault="003A06A3" w:rsidP="00504407">
            <w:pPr>
              <w:jc w:val="center"/>
              <w:rPr>
                <w:sz w:val="20"/>
                <w:szCs w:val="20"/>
              </w:rPr>
            </w:pPr>
            <w:r>
              <w:rPr>
                <w:i/>
                <w:iCs/>
                <w:sz w:val="20"/>
                <w:szCs w:val="20"/>
              </w:rPr>
              <w:t xml:space="preserve">Voyage du </w:t>
            </w:r>
            <w:proofErr w:type="spellStart"/>
            <w:r w:rsidRPr="00840CE8">
              <w:rPr>
                <w:i/>
                <w:iCs/>
                <w:sz w:val="20"/>
                <w:szCs w:val="20"/>
              </w:rPr>
              <w:t>person</w:t>
            </w:r>
            <w:r w:rsidR="00840CE8">
              <w:rPr>
                <w:i/>
                <w:iCs/>
                <w:sz w:val="20"/>
                <w:szCs w:val="20"/>
              </w:rPr>
              <w:t>-</w:t>
            </w:r>
            <w:r w:rsidRPr="00840CE8">
              <w:rPr>
                <w:i/>
                <w:iCs/>
                <w:sz w:val="20"/>
                <w:szCs w:val="20"/>
              </w:rPr>
              <w:t>nel</w:t>
            </w:r>
            <w:proofErr w:type="spellEnd"/>
          </w:p>
        </w:tc>
        <w:tc>
          <w:tcPr>
            <w:tcW w:w="471" w:type="pct"/>
            <w:tcBorders>
              <w:top w:val="single" w:sz="4" w:space="0" w:color="auto"/>
              <w:bottom w:val="single" w:sz="4" w:space="0" w:color="auto"/>
            </w:tcBorders>
            <w:noWrap/>
            <w:tcMar>
              <w:top w:w="0" w:type="dxa"/>
              <w:left w:w="108" w:type="dxa"/>
              <w:bottom w:w="0" w:type="dxa"/>
              <w:right w:w="108" w:type="dxa"/>
            </w:tcMar>
            <w:vAlign w:val="bottom"/>
          </w:tcPr>
          <w:p w14:paraId="49DE56A2" w14:textId="443813DE" w:rsidR="003A06A3" w:rsidRPr="004C408B" w:rsidRDefault="003A06A3" w:rsidP="00504407">
            <w:pPr>
              <w:jc w:val="center"/>
              <w:rPr>
                <w:sz w:val="20"/>
                <w:szCs w:val="20"/>
              </w:rPr>
            </w:pPr>
            <w:proofErr w:type="spellStart"/>
            <w:r>
              <w:rPr>
                <w:i/>
                <w:iCs/>
                <w:sz w:val="20"/>
                <w:szCs w:val="20"/>
              </w:rPr>
              <w:t>Dépen</w:t>
            </w:r>
            <w:r w:rsidR="00205689">
              <w:rPr>
                <w:i/>
                <w:iCs/>
                <w:sz w:val="20"/>
                <w:szCs w:val="20"/>
              </w:rPr>
              <w:t>-</w:t>
            </w:r>
            <w:r>
              <w:rPr>
                <w:i/>
                <w:iCs/>
                <w:sz w:val="20"/>
                <w:szCs w:val="20"/>
              </w:rPr>
              <w:t>ses</w:t>
            </w:r>
            <w:proofErr w:type="spellEnd"/>
            <w:r>
              <w:rPr>
                <w:i/>
                <w:iCs/>
                <w:sz w:val="20"/>
                <w:szCs w:val="20"/>
              </w:rPr>
              <w:t xml:space="preserve"> de </w:t>
            </w:r>
            <w:proofErr w:type="spellStart"/>
            <w:r>
              <w:rPr>
                <w:i/>
                <w:iCs/>
                <w:sz w:val="20"/>
                <w:szCs w:val="20"/>
              </w:rPr>
              <w:t>person</w:t>
            </w:r>
            <w:r w:rsidR="00205689">
              <w:rPr>
                <w:i/>
                <w:iCs/>
                <w:sz w:val="20"/>
                <w:szCs w:val="20"/>
              </w:rPr>
              <w:t>-</w:t>
            </w:r>
            <w:r>
              <w:rPr>
                <w:i/>
                <w:iCs/>
                <w:sz w:val="20"/>
                <w:szCs w:val="20"/>
              </w:rPr>
              <w:t>nel</w:t>
            </w:r>
            <w:r>
              <w:rPr>
                <w:i/>
                <w:iCs/>
                <w:sz w:val="20"/>
                <w:szCs w:val="20"/>
                <w:vertAlign w:val="superscript"/>
              </w:rPr>
              <w:t>b</w:t>
            </w:r>
            <w:proofErr w:type="spellEnd"/>
          </w:p>
        </w:tc>
        <w:tc>
          <w:tcPr>
            <w:tcW w:w="453" w:type="pct"/>
            <w:tcBorders>
              <w:top w:val="single" w:sz="4" w:space="0" w:color="auto"/>
              <w:bottom w:val="single" w:sz="4" w:space="0" w:color="auto"/>
            </w:tcBorders>
            <w:noWrap/>
            <w:tcMar>
              <w:top w:w="0" w:type="dxa"/>
              <w:left w:w="108" w:type="dxa"/>
              <w:bottom w:w="0" w:type="dxa"/>
              <w:right w:w="108" w:type="dxa"/>
            </w:tcMar>
            <w:vAlign w:val="bottom"/>
          </w:tcPr>
          <w:p w14:paraId="71AE5300" w14:textId="77777777" w:rsidR="003A06A3" w:rsidRPr="004C408B" w:rsidRDefault="003A06A3" w:rsidP="00504407">
            <w:pPr>
              <w:jc w:val="center"/>
              <w:rPr>
                <w:sz w:val="20"/>
                <w:szCs w:val="20"/>
              </w:rPr>
            </w:pPr>
            <w:r>
              <w:rPr>
                <w:i/>
                <w:iCs/>
                <w:sz w:val="20"/>
                <w:szCs w:val="20"/>
              </w:rPr>
              <w:t>Sous-total</w:t>
            </w:r>
          </w:p>
        </w:tc>
        <w:tc>
          <w:tcPr>
            <w:tcW w:w="680" w:type="pct"/>
            <w:tcBorders>
              <w:top w:val="single" w:sz="4" w:space="0" w:color="auto"/>
              <w:bottom w:val="single" w:sz="4" w:space="0" w:color="auto"/>
            </w:tcBorders>
            <w:noWrap/>
            <w:tcMar>
              <w:top w:w="0" w:type="dxa"/>
              <w:left w:w="108" w:type="dxa"/>
              <w:bottom w:w="0" w:type="dxa"/>
              <w:right w:w="108" w:type="dxa"/>
            </w:tcMar>
          </w:tcPr>
          <w:p w14:paraId="47B31226" w14:textId="2FC3F49E" w:rsidR="003A06A3" w:rsidRPr="004C408B" w:rsidRDefault="003A06A3" w:rsidP="00504407">
            <w:pPr>
              <w:jc w:val="center"/>
              <w:rPr>
                <w:sz w:val="20"/>
                <w:szCs w:val="20"/>
              </w:rPr>
            </w:pPr>
            <w:r>
              <w:rPr>
                <w:i/>
                <w:iCs/>
                <w:sz w:val="20"/>
                <w:szCs w:val="20"/>
              </w:rPr>
              <w:t xml:space="preserve">DAP </w:t>
            </w:r>
            <w:r>
              <w:rPr>
                <w:i/>
                <w:iCs/>
                <w:sz w:val="20"/>
                <w:szCs w:val="20"/>
              </w:rPr>
              <w:br/>
              <w:t>(13 %)</w:t>
            </w:r>
          </w:p>
        </w:tc>
        <w:tc>
          <w:tcPr>
            <w:tcW w:w="510" w:type="pct"/>
            <w:tcBorders>
              <w:top w:val="single" w:sz="4" w:space="0" w:color="auto"/>
              <w:bottom w:val="single" w:sz="4" w:space="0" w:color="auto"/>
            </w:tcBorders>
            <w:noWrap/>
            <w:tcMar>
              <w:top w:w="0" w:type="dxa"/>
              <w:left w:w="108" w:type="dxa"/>
              <w:bottom w:w="0" w:type="dxa"/>
              <w:right w:w="108" w:type="dxa"/>
            </w:tcMar>
            <w:vAlign w:val="bottom"/>
          </w:tcPr>
          <w:p w14:paraId="3BCC0C0E" w14:textId="77777777" w:rsidR="003A06A3" w:rsidRPr="004C408B" w:rsidRDefault="003A06A3" w:rsidP="00504407">
            <w:pPr>
              <w:jc w:val="right"/>
              <w:rPr>
                <w:i/>
                <w:iCs/>
                <w:sz w:val="20"/>
                <w:szCs w:val="20"/>
              </w:rPr>
            </w:pPr>
            <w:r>
              <w:rPr>
                <w:i/>
                <w:iCs/>
                <w:sz w:val="20"/>
                <w:szCs w:val="20"/>
              </w:rPr>
              <w:t>Total</w:t>
            </w:r>
          </w:p>
        </w:tc>
      </w:tr>
      <w:tr w:rsidR="003A06A3" w:rsidRPr="009C500D" w14:paraId="67872727" w14:textId="3FEAB10F" w:rsidTr="004C408B">
        <w:trPr>
          <w:trHeight w:val="290"/>
        </w:trPr>
        <w:tc>
          <w:tcPr>
            <w:tcW w:w="218" w:type="pct"/>
            <w:tcBorders>
              <w:top w:val="single" w:sz="4" w:space="0" w:color="auto"/>
              <w:bottom w:val="single" w:sz="4" w:space="0" w:color="auto"/>
            </w:tcBorders>
          </w:tcPr>
          <w:p w14:paraId="30F26A6C" w14:textId="0B8C0FF8" w:rsidR="003A06A3" w:rsidRPr="004C408B" w:rsidRDefault="003807C7" w:rsidP="00504407">
            <w:pPr>
              <w:rPr>
                <w:sz w:val="20"/>
                <w:szCs w:val="20"/>
              </w:rPr>
            </w:pPr>
            <w:r>
              <w:rPr>
                <w:sz w:val="20"/>
                <w:szCs w:val="20"/>
              </w:rPr>
              <w:t>2</w:t>
            </w:r>
          </w:p>
        </w:tc>
        <w:tc>
          <w:tcPr>
            <w:tcW w:w="1712" w:type="pct"/>
            <w:tcBorders>
              <w:top w:val="single" w:sz="4" w:space="0" w:color="auto"/>
              <w:bottom w:val="single" w:sz="4" w:space="0" w:color="auto"/>
            </w:tcBorders>
            <w:noWrap/>
            <w:tcMar>
              <w:top w:w="0" w:type="dxa"/>
              <w:left w:w="108" w:type="dxa"/>
              <w:bottom w:w="0" w:type="dxa"/>
              <w:right w:w="108" w:type="dxa"/>
            </w:tcMar>
            <w:vAlign w:val="center"/>
          </w:tcPr>
          <w:p w14:paraId="5EE975DE" w14:textId="174D43E9" w:rsidR="003A06A3" w:rsidRPr="00FC64BA" w:rsidRDefault="003A06A3" w:rsidP="00504407">
            <w:pPr>
              <w:jc w:val="left"/>
              <w:rPr>
                <w:sz w:val="20"/>
                <w:szCs w:val="20"/>
              </w:rPr>
            </w:pPr>
            <w:r>
              <w:rPr>
                <w:sz w:val="20"/>
                <w:szCs w:val="20"/>
              </w:rPr>
              <w:t>Convoquer une réunion du comité directeur afin de discuter et de convenir de la manière de mettre en œuvre toute nouvelle modalité du Fonds de Cali, ainsi que des points connexes</w:t>
            </w:r>
          </w:p>
        </w:tc>
        <w:tc>
          <w:tcPr>
            <w:tcW w:w="509" w:type="pct"/>
            <w:tcBorders>
              <w:top w:val="single" w:sz="4" w:space="0" w:color="auto"/>
              <w:bottom w:val="single" w:sz="4" w:space="0" w:color="auto"/>
            </w:tcBorders>
            <w:noWrap/>
            <w:tcMar>
              <w:top w:w="0" w:type="dxa"/>
              <w:left w:w="108" w:type="dxa"/>
              <w:bottom w:w="0" w:type="dxa"/>
              <w:right w:w="108" w:type="dxa"/>
            </w:tcMar>
            <w:vAlign w:val="bottom"/>
          </w:tcPr>
          <w:p w14:paraId="3D5BAE2D" w14:textId="4903AF7B" w:rsidR="003A06A3" w:rsidRPr="004C408B" w:rsidRDefault="003A06A3" w:rsidP="00504407">
            <w:pPr>
              <w:jc w:val="right"/>
              <w:rPr>
                <w:sz w:val="20"/>
                <w:szCs w:val="20"/>
              </w:rPr>
            </w:pPr>
            <w:r>
              <w:rPr>
                <w:sz w:val="20"/>
                <w:szCs w:val="20"/>
              </w:rPr>
              <w:t>51 900</w:t>
            </w:r>
          </w:p>
        </w:tc>
        <w:tc>
          <w:tcPr>
            <w:tcW w:w="447" w:type="pct"/>
            <w:tcBorders>
              <w:top w:val="single" w:sz="4" w:space="0" w:color="auto"/>
              <w:bottom w:val="single" w:sz="4" w:space="0" w:color="auto"/>
            </w:tcBorders>
            <w:noWrap/>
            <w:tcMar>
              <w:top w:w="0" w:type="dxa"/>
              <w:left w:w="108" w:type="dxa"/>
              <w:bottom w:w="0" w:type="dxa"/>
              <w:right w:w="108" w:type="dxa"/>
            </w:tcMar>
            <w:vAlign w:val="bottom"/>
          </w:tcPr>
          <w:p w14:paraId="0135B6BD" w14:textId="348B6E45" w:rsidR="003A06A3" w:rsidRPr="004C408B" w:rsidRDefault="003A06A3" w:rsidP="00504407">
            <w:pPr>
              <w:jc w:val="right"/>
              <w:rPr>
                <w:sz w:val="20"/>
                <w:szCs w:val="20"/>
              </w:rPr>
            </w:pPr>
            <w:r>
              <w:rPr>
                <w:sz w:val="20"/>
                <w:szCs w:val="20"/>
              </w:rPr>
              <w:t>14 250</w:t>
            </w:r>
          </w:p>
        </w:tc>
        <w:tc>
          <w:tcPr>
            <w:tcW w:w="471" w:type="pct"/>
            <w:tcBorders>
              <w:top w:val="single" w:sz="4" w:space="0" w:color="auto"/>
              <w:bottom w:val="single" w:sz="4" w:space="0" w:color="auto"/>
            </w:tcBorders>
            <w:noWrap/>
            <w:tcMar>
              <w:top w:w="0" w:type="dxa"/>
              <w:left w:w="108" w:type="dxa"/>
              <w:bottom w:w="0" w:type="dxa"/>
              <w:right w:w="108" w:type="dxa"/>
            </w:tcMar>
            <w:vAlign w:val="bottom"/>
          </w:tcPr>
          <w:p w14:paraId="04B02198" w14:textId="0E338848" w:rsidR="003A06A3" w:rsidRPr="008A0D4A" w:rsidRDefault="003A06A3" w:rsidP="00504407">
            <w:pPr>
              <w:jc w:val="right"/>
              <w:rPr>
                <w:w w:val="95"/>
                <w:sz w:val="20"/>
                <w:szCs w:val="20"/>
              </w:rPr>
            </w:pPr>
            <w:r w:rsidRPr="008A0D4A">
              <w:rPr>
                <w:w w:val="95"/>
                <w:sz w:val="20"/>
                <w:szCs w:val="20"/>
              </w:rPr>
              <w:t xml:space="preserve">171 </w:t>
            </w:r>
            <w:r w:rsidRPr="006A5901">
              <w:rPr>
                <w:w w:val="95"/>
                <w:sz w:val="20"/>
                <w:szCs w:val="20"/>
              </w:rPr>
              <w:t>500</w:t>
            </w:r>
            <w:r w:rsidR="00205689" w:rsidRPr="006A5901">
              <w:rPr>
                <w:w w:val="95"/>
                <w:sz w:val="20"/>
                <w:szCs w:val="20"/>
                <w:vertAlign w:val="superscript"/>
              </w:rPr>
              <w:t xml:space="preserve"> c</w:t>
            </w:r>
          </w:p>
        </w:tc>
        <w:tc>
          <w:tcPr>
            <w:tcW w:w="453" w:type="pct"/>
            <w:tcBorders>
              <w:top w:val="single" w:sz="4" w:space="0" w:color="auto"/>
              <w:bottom w:val="single" w:sz="4" w:space="0" w:color="auto"/>
            </w:tcBorders>
            <w:noWrap/>
            <w:tcMar>
              <w:top w:w="0" w:type="dxa"/>
              <w:left w:w="108" w:type="dxa"/>
              <w:bottom w:w="0" w:type="dxa"/>
              <w:right w:w="108" w:type="dxa"/>
            </w:tcMar>
            <w:vAlign w:val="bottom"/>
          </w:tcPr>
          <w:p w14:paraId="740568C8" w14:textId="0299B933" w:rsidR="003A06A3" w:rsidRPr="004C408B" w:rsidRDefault="003A06A3" w:rsidP="00504407">
            <w:pPr>
              <w:jc w:val="right"/>
              <w:rPr>
                <w:sz w:val="20"/>
                <w:szCs w:val="20"/>
              </w:rPr>
            </w:pPr>
            <w:r>
              <w:rPr>
                <w:sz w:val="20"/>
                <w:szCs w:val="20"/>
              </w:rPr>
              <w:t>237 650</w:t>
            </w:r>
          </w:p>
        </w:tc>
        <w:tc>
          <w:tcPr>
            <w:tcW w:w="680" w:type="pct"/>
            <w:tcBorders>
              <w:top w:val="single" w:sz="4" w:space="0" w:color="auto"/>
              <w:bottom w:val="single" w:sz="4" w:space="0" w:color="auto"/>
            </w:tcBorders>
            <w:noWrap/>
            <w:tcMar>
              <w:top w:w="0" w:type="dxa"/>
              <w:left w:w="108" w:type="dxa"/>
              <w:bottom w:w="0" w:type="dxa"/>
              <w:right w:w="108" w:type="dxa"/>
            </w:tcMar>
            <w:vAlign w:val="bottom"/>
          </w:tcPr>
          <w:p w14:paraId="0E91BE92" w14:textId="0AC9A701" w:rsidR="003A06A3" w:rsidRPr="004C408B" w:rsidRDefault="003A06A3" w:rsidP="00504407">
            <w:pPr>
              <w:jc w:val="right"/>
              <w:rPr>
                <w:sz w:val="20"/>
                <w:szCs w:val="20"/>
              </w:rPr>
            </w:pPr>
            <w:r>
              <w:rPr>
                <w:sz w:val="20"/>
                <w:szCs w:val="20"/>
              </w:rPr>
              <w:t>30 895</w:t>
            </w:r>
          </w:p>
        </w:tc>
        <w:tc>
          <w:tcPr>
            <w:tcW w:w="510" w:type="pct"/>
            <w:tcBorders>
              <w:top w:val="single" w:sz="4" w:space="0" w:color="auto"/>
              <w:bottom w:val="single" w:sz="4" w:space="0" w:color="auto"/>
            </w:tcBorders>
            <w:noWrap/>
            <w:tcMar>
              <w:top w:w="0" w:type="dxa"/>
              <w:left w:w="108" w:type="dxa"/>
              <w:bottom w:w="0" w:type="dxa"/>
              <w:right w:w="108" w:type="dxa"/>
            </w:tcMar>
            <w:vAlign w:val="bottom"/>
          </w:tcPr>
          <w:p w14:paraId="0848AFA6" w14:textId="293DB8E3" w:rsidR="003A06A3" w:rsidRPr="004C408B" w:rsidRDefault="003A06A3" w:rsidP="00504407">
            <w:pPr>
              <w:jc w:val="right"/>
              <w:rPr>
                <w:sz w:val="20"/>
                <w:szCs w:val="20"/>
              </w:rPr>
            </w:pPr>
            <w:r>
              <w:rPr>
                <w:sz w:val="20"/>
                <w:szCs w:val="20"/>
              </w:rPr>
              <w:t>268 545</w:t>
            </w:r>
          </w:p>
        </w:tc>
      </w:tr>
      <w:tr w:rsidR="003807C7" w:rsidRPr="009C500D" w14:paraId="4132312C" w14:textId="77777777" w:rsidTr="00FC4D8B">
        <w:trPr>
          <w:trHeight w:val="290"/>
        </w:trPr>
        <w:tc>
          <w:tcPr>
            <w:tcW w:w="218" w:type="pct"/>
            <w:tcBorders>
              <w:top w:val="single" w:sz="4" w:space="0" w:color="auto"/>
              <w:bottom w:val="single" w:sz="4" w:space="0" w:color="auto"/>
            </w:tcBorders>
          </w:tcPr>
          <w:p w14:paraId="34ABDC04" w14:textId="77777777" w:rsidR="003807C7" w:rsidRPr="003807C7" w:rsidDel="003807C7" w:rsidRDefault="003807C7" w:rsidP="00504407">
            <w:pPr>
              <w:rPr>
                <w:sz w:val="20"/>
                <w:szCs w:val="20"/>
              </w:rPr>
            </w:pPr>
          </w:p>
        </w:tc>
        <w:tc>
          <w:tcPr>
            <w:tcW w:w="1712" w:type="pct"/>
            <w:tcBorders>
              <w:top w:val="single" w:sz="4" w:space="0" w:color="auto"/>
              <w:bottom w:val="single" w:sz="4" w:space="0" w:color="auto"/>
            </w:tcBorders>
            <w:noWrap/>
            <w:tcMar>
              <w:top w:w="0" w:type="dxa"/>
              <w:left w:w="108" w:type="dxa"/>
              <w:bottom w:w="0" w:type="dxa"/>
              <w:right w:w="108" w:type="dxa"/>
            </w:tcMar>
            <w:vAlign w:val="center"/>
          </w:tcPr>
          <w:p w14:paraId="40245FBE" w14:textId="77777777" w:rsidR="003807C7" w:rsidRPr="00FC64BA" w:rsidRDefault="003807C7" w:rsidP="00504407">
            <w:pPr>
              <w:jc w:val="left"/>
              <w:rPr>
                <w:sz w:val="20"/>
                <w:szCs w:val="20"/>
              </w:rPr>
            </w:pPr>
          </w:p>
        </w:tc>
        <w:tc>
          <w:tcPr>
            <w:tcW w:w="509" w:type="pct"/>
            <w:tcBorders>
              <w:top w:val="single" w:sz="4" w:space="0" w:color="auto"/>
              <w:bottom w:val="single" w:sz="4" w:space="0" w:color="auto"/>
            </w:tcBorders>
            <w:noWrap/>
            <w:tcMar>
              <w:top w:w="0" w:type="dxa"/>
              <w:left w:w="108" w:type="dxa"/>
              <w:bottom w:w="0" w:type="dxa"/>
              <w:right w:w="108" w:type="dxa"/>
            </w:tcMar>
            <w:vAlign w:val="bottom"/>
          </w:tcPr>
          <w:p w14:paraId="4E79D124" w14:textId="77777777" w:rsidR="003807C7" w:rsidRPr="003807C7" w:rsidRDefault="003807C7" w:rsidP="00504407">
            <w:pPr>
              <w:jc w:val="right"/>
              <w:rPr>
                <w:sz w:val="20"/>
                <w:szCs w:val="20"/>
              </w:rPr>
            </w:pPr>
          </w:p>
        </w:tc>
        <w:tc>
          <w:tcPr>
            <w:tcW w:w="447" w:type="pct"/>
            <w:tcBorders>
              <w:top w:val="single" w:sz="4" w:space="0" w:color="auto"/>
              <w:bottom w:val="single" w:sz="4" w:space="0" w:color="auto"/>
            </w:tcBorders>
            <w:noWrap/>
            <w:tcMar>
              <w:top w:w="0" w:type="dxa"/>
              <w:left w:w="108" w:type="dxa"/>
              <w:bottom w:w="0" w:type="dxa"/>
              <w:right w:w="108" w:type="dxa"/>
            </w:tcMar>
            <w:vAlign w:val="bottom"/>
          </w:tcPr>
          <w:p w14:paraId="3259391B" w14:textId="77777777" w:rsidR="003807C7" w:rsidRPr="003807C7" w:rsidRDefault="003807C7" w:rsidP="00504407">
            <w:pPr>
              <w:jc w:val="right"/>
              <w:rPr>
                <w:sz w:val="20"/>
                <w:szCs w:val="20"/>
              </w:rPr>
            </w:pPr>
          </w:p>
        </w:tc>
        <w:tc>
          <w:tcPr>
            <w:tcW w:w="471" w:type="pct"/>
            <w:tcBorders>
              <w:top w:val="single" w:sz="4" w:space="0" w:color="auto"/>
              <w:bottom w:val="single" w:sz="4" w:space="0" w:color="auto"/>
            </w:tcBorders>
            <w:noWrap/>
            <w:tcMar>
              <w:top w:w="0" w:type="dxa"/>
              <w:left w:w="108" w:type="dxa"/>
              <w:bottom w:w="0" w:type="dxa"/>
              <w:right w:w="108" w:type="dxa"/>
            </w:tcMar>
            <w:vAlign w:val="bottom"/>
          </w:tcPr>
          <w:p w14:paraId="23F09149" w14:textId="77777777" w:rsidR="003807C7" w:rsidRPr="003807C7" w:rsidRDefault="003807C7" w:rsidP="00504407">
            <w:pPr>
              <w:jc w:val="right"/>
              <w:rPr>
                <w:sz w:val="20"/>
                <w:szCs w:val="20"/>
              </w:rPr>
            </w:pPr>
          </w:p>
        </w:tc>
        <w:tc>
          <w:tcPr>
            <w:tcW w:w="453" w:type="pct"/>
            <w:tcBorders>
              <w:top w:val="single" w:sz="4" w:space="0" w:color="auto"/>
              <w:bottom w:val="single" w:sz="4" w:space="0" w:color="auto"/>
            </w:tcBorders>
            <w:noWrap/>
            <w:tcMar>
              <w:top w:w="0" w:type="dxa"/>
              <w:left w:w="108" w:type="dxa"/>
              <w:bottom w:w="0" w:type="dxa"/>
              <w:right w:w="108" w:type="dxa"/>
            </w:tcMar>
            <w:vAlign w:val="bottom"/>
          </w:tcPr>
          <w:p w14:paraId="5F025424" w14:textId="77777777" w:rsidR="003807C7" w:rsidRPr="003807C7" w:rsidRDefault="003807C7" w:rsidP="00504407">
            <w:pPr>
              <w:jc w:val="right"/>
              <w:rPr>
                <w:sz w:val="20"/>
                <w:szCs w:val="20"/>
              </w:rPr>
            </w:pPr>
          </w:p>
        </w:tc>
        <w:tc>
          <w:tcPr>
            <w:tcW w:w="680" w:type="pct"/>
            <w:tcBorders>
              <w:top w:val="single" w:sz="4" w:space="0" w:color="auto"/>
              <w:bottom w:val="single" w:sz="4" w:space="0" w:color="auto"/>
            </w:tcBorders>
            <w:noWrap/>
            <w:tcMar>
              <w:top w:w="0" w:type="dxa"/>
              <w:left w:w="108" w:type="dxa"/>
              <w:bottom w:w="0" w:type="dxa"/>
              <w:right w:w="108" w:type="dxa"/>
            </w:tcMar>
            <w:vAlign w:val="bottom"/>
          </w:tcPr>
          <w:p w14:paraId="7762D2E0" w14:textId="77777777" w:rsidR="003807C7" w:rsidRPr="003807C7" w:rsidRDefault="003807C7" w:rsidP="00504407">
            <w:pPr>
              <w:jc w:val="right"/>
              <w:rPr>
                <w:sz w:val="20"/>
                <w:szCs w:val="20"/>
              </w:rPr>
            </w:pPr>
          </w:p>
        </w:tc>
        <w:tc>
          <w:tcPr>
            <w:tcW w:w="510" w:type="pct"/>
            <w:tcBorders>
              <w:top w:val="single" w:sz="4" w:space="0" w:color="auto"/>
              <w:bottom w:val="single" w:sz="4" w:space="0" w:color="auto"/>
            </w:tcBorders>
            <w:noWrap/>
            <w:tcMar>
              <w:top w:w="0" w:type="dxa"/>
              <w:left w:w="108" w:type="dxa"/>
              <w:bottom w:w="0" w:type="dxa"/>
              <w:right w:w="108" w:type="dxa"/>
            </w:tcMar>
            <w:vAlign w:val="bottom"/>
          </w:tcPr>
          <w:p w14:paraId="2540C780" w14:textId="77777777" w:rsidR="003807C7" w:rsidRPr="003807C7" w:rsidRDefault="003807C7" w:rsidP="00504407">
            <w:pPr>
              <w:jc w:val="right"/>
              <w:rPr>
                <w:sz w:val="20"/>
                <w:szCs w:val="20"/>
              </w:rPr>
            </w:pPr>
          </w:p>
        </w:tc>
      </w:tr>
      <w:tr w:rsidR="003A06A3" w:rsidRPr="00E837FB" w14:paraId="760602B5" w14:textId="77777777" w:rsidTr="004C408B">
        <w:trPr>
          <w:trHeight w:val="290"/>
        </w:trPr>
        <w:tc>
          <w:tcPr>
            <w:tcW w:w="218" w:type="pct"/>
            <w:tcBorders>
              <w:top w:val="single" w:sz="4" w:space="0" w:color="auto"/>
            </w:tcBorders>
          </w:tcPr>
          <w:p w14:paraId="46F5F7AE" w14:textId="0A32F892" w:rsidR="003A06A3" w:rsidRPr="004C408B" w:rsidRDefault="003807C7" w:rsidP="00504407">
            <w:pPr>
              <w:rPr>
                <w:sz w:val="20"/>
                <w:szCs w:val="20"/>
              </w:rPr>
            </w:pPr>
            <w:r>
              <w:rPr>
                <w:sz w:val="20"/>
                <w:szCs w:val="20"/>
              </w:rPr>
              <w:t>4</w:t>
            </w:r>
          </w:p>
        </w:tc>
        <w:tc>
          <w:tcPr>
            <w:tcW w:w="1712" w:type="pct"/>
            <w:tcBorders>
              <w:top w:val="single" w:sz="4" w:space="0" w:color="auto"/>
            </w:tcBorders>
            <w:noWrap/>
            <w:tcMar>
              <w:top w:w="0" w:type="dxa"/>
              <w:left w:w="108" w:type="dxa"/>
              <w:bottom w:w="0" w:type="dxa"/>
              <w:right w:w="108" w:type="dxa"/>
            </w:tcMar>
            <w:vAlign w:val="center"/>
          </w:tcPr>
          <w:p w14:paraId="652BB95B" w14:textId="6076B1FC" w:rsidR="003A06A3" w:rsidRPr="00E837FB" w:rsidRDefault="003A06A3" w:rsidP="00504407">
            <w:pPr>
              <w:jc w:val="left"/>
              <w:rPr>
                <w:sz w:val="20"/>
                <w:szCs w:val="20"/>
              </w:rPr>
            </w:pPr>
            <w:r>
              <w:rPr>
                <w:sz w:val="20"/>
                <w:szCs w:val="20"/>
              </w:rPr>
              <w:t>Déplacements en vue de participer à des ateliers informels et à d’autres événements réunissant un vaste éventail de parties prenantes, dans le but d’informer et de discuter de la mise en œuvre d’une nouvelle modalité potentielle visant à rendre opérationnel le mécanisme multilatéral, y compris le Fonds de Cali, ainsi que des questions connexes</w:t>
            </w:r>
          </w:p>
        </w:tc>
        <w:tc>
          <w:tcPr>
            <w:tcW w:w="509" w:type="pct"/>
            <w:tcBorders>
              <w:top w:val="single" w:sz="4" w:space="0" w:color="auto"/>
            </w:tcBorders>
            <w:noWrap/>
            <w:tcMar>
              <w:top w:w="0" w:type="dxa"/>
              <w:left w:w="108" w:type="dxa"/>
              <w:bottom w:w="0" w:type="dxa"/>
              <w:right w:w="108" w:type="dxa"/>
            </w:tcMar>
            <w:vAlign w:val="bottom"/>
          </w:tcPr>
          <w:p w14:paraId="5972CE85" w14:textId="77777777" w:rsidR="003A06A3" w:rsidRPr="004C408B" w:rsidRDefault="003A06A3" w:rsidP="00504407">
            <w:pPr>
              <w:jc w:val="right"/>
              <w:rPr>
                <w:sz w:val="20"/>
                <w:szCs w:val="20"/>
              </w:rPr>
            </w:pPr>
            <w:r>
              <w:rPr>
                <w:sz w:val="20"/>
                <w:szCs w:val="20"/>
              </w:rPr>
              <w:t>–</w:t>
            </w:r>
          </w:p>
        </w:tc>
        <w:tc>
          <w:tcPr>
            <w:tcW w:w="447" w:type="pct"/>
            <w:tcBorders>
              <w:top w:val="single" w:sz="4" w:space="0" w:color="auto"/>
            </w:tcBorders>
            <w:noWrap/>
            <w:tcMar>
              <w:top w:w="0" w:type="dxa"/>
              <w:left w:w="108" w:type="dxa"/>
              <w:bottom w:w="0" w:type="dxa"/>
              <w:right w:w="108" w:type="dxa"/>
            </w:tcMar>
            <w:vAlign w:val="bottom"/>
          </w:tcPr>
          <w:p w14:paraId="2469A4D3" w14:textId="268B2B94" w:rsidR="003A06A3" w:rsidRPr="004C408B" w:rsidRDefault="003A06A3" w:rsidP="00504407">
            <w:pPr>
              <w:jc w:val="right"/>
              <w:rPr>
                <w:sz w:val="20"/>
                <w:szCs w:val="20"/>
              </w:rPr>
            </w:pPr>
            <w:proofErr w:type="gramStart"/>
            <w:r>
              <w:rPr>
                <w:sz w:val="20"/>
                <w:szCs w:val="20"/>
              </w:rPr>
              <w:t>10  000</w:t>
            </w:r>
            <w:proofErr w:type="gramEnd"/>
          </w:p>
        </w:tc>
        <w:tc>
          <w:tcPr>
            <w:tcW w:w="471" w:type="pct"/>
            <w:tcBorders>
              <w:top w:val="single" w:sz="4" w:space="0" w:color="auto"/>
            </w:tcBorders>
            <w:noWrap/>
            <w:tcMar>
              <w:top w:w="0" w:type="dxa"/>
              <w:left w:w="108" w:type="dxa"/>
              <w:bottom w:w="0" w:type="dxa"/>
              <w:right w:w="108" w:type="dxa"/>
            </w:tcMar>
            <w:vAlign w:val="bottom"/>
          </w:tcPr>
          <w:p w14:paraId="03E50AB2" w14:textId="77777777" w:rsidR="003A06A3" w:rsidRPr="004C408B" w:rsidRDefault="003A06A3" w:rsidP="00504407">
            <w:pPr>
              <w:jc w:val="right"/>
              <w:rPr>
                <w:sz w:val="20"/>
                <w:szCs w:val="20"/>
              </w:rPr>
            </w:pPr>
            <w:r>
              <w:rPr>
                <w:sz w:val="20"/>
                <w:szCs w:val="20"/>
              </w:rPr>
              <w:t>–</w:t>
            </w:r>
          </w:p>
        </w:tc>
        <w:tc>
          <w:tcPr>
            <w:tcW w:w="453" w:type="pct"/>
            <w:tcBorders>
              <w:top w:val="single" w:sz="4" w:space="0" w:color="auto"/>
            </w:tcBorders>
            <w:noWrap/>
            <w:tcMar>
              <w:top w:w="0" w:type="dxa"/>
              <w:left w:w="108" w:type="dxa"/>
              <w:bottom w:w="0" w:type="dxa"/>
              <w:right w:w="108" w:type="dxa"/>
            </w:tcMar>
            <w:vAlign w:val="bottom"/>
          </w:tcPr>
          <w:p w14:paraId="04D8128E" w14:textId="4057A512" w:rsidR="003A06A3" w:rsidRPr="004C408B" w:rsidRDefault="003A06A3" w:rsidP="00504407">
            <w:pPr>
              <w:jc w:val="right"/>
              <w:rPr>
                <w:sz w:val="20"/>
                <w:szCs w:val="20"/>
              </w:rPr>
            </w:pPr>
            <w:proofErr w:type="gramStart"/>
            <w:r>
              <w:rPr>
                <w:sz w:val="20"/>
                <w:szCs w:val="20"/>
              </w:rPr>
              <w:t>10  000</w:t>
            </w:r>
            <w:proofErr w:type="gramEnd"/>
          </w:p>
        </w:tc>
        <w:tc>
          <w:tcPr>
            <w:tcW w:w="680" w:type="pct"/>
            <w:tcBorders>
              <w:top w:val="single" w:sz="4" w:space="0" w:color="auto"/>
            </w:tcBorders>
            <w:noWrap/>
            <w:tcMar>
              <w:top w:w="0" w:type="dxa"/>
              <w:left w:w="108" w:type="dxa"/>
              <w:bottom w:w="0" w:type="dxa"/>
              <w:right w:w="108" w:type="dxa"/>
            </w:tcMar>
            <w:vAlign w:val="bottom"/>
          </w:tcPr>
          <w:p w14:paraId="704C746D" w14:textId="50DD43DF" w:rsidR="003A06A3" w:rsidRPr="004C408B" w:rsidRDefault="003A06A3" w:rsidP="00504407">
            <w:pPr>
              <w:jc w:val="right"/>
              <w:rPr>
                <w:sz w:val="20"/>
                <w:szCs w:val="20"/>
              </w:rPr>
            </w:pPr>
            <w:proofErr w:type="gramStart"/>
            <w:r>
              <w:rPr>
                <w:sz w:val="20"/>
                <w:szCs w:val="20"/>
              </w:rPr>
              <w:t>1  300</w:t>
            </w:r>
            <w:proofErr w:type="gramEnd"/>
          </w:p>
        </w:tc>
        <w:tc>
          <w:tcPr>
            <w:tcW w:w="510" w:type="pct"/>
            <w:tcBorders>
              <w:top w:val="single" w:sz="4" w:space="0" w:color="auto"/>
            </w:tcBorders>
            <w:noWrap/>
            <w:tcMar>
              <w:top w:w="0" w:type="dxa"/>
              <w:left w:w="108" w:type="dxa"/>
              <w:bottom w:w="0" w:type="dxa"/>
              <w:right w:w="108" w:type="dxa"/>
            </w:tcMar>
            <w:vAlign w:val="bottom"/>
          </w:tcPr>
          <w:p w14:paraId="401B6532" w14:textId="23BF1A72" w:rsidR="003A06A3" w:rsidRPr="004C408B" w:rsidRDefault="003A06A3" w:rsidP="00504407">
            <w:pPr>
              <w:jc w:val="right"/>
              <w:rPr>
                <w:sz w:val="20"/>
                <w:szCs w:val="20"/>
              </w:rPr>
            </w:pPr>
            <w:proofErr w:type="gramStart"/>
            <w:r>
              <w:rPr>
                <w:sz w:val="20"/>
                <w:szCs w:val="20"/>
              </w:rPr>
              <w:t>11  300</w:t>
            </w:r>
            <w:proofErr w:type="gramEnd"/>
          </w:p>
        </w:tc>
      </w:tr>
      <w:tr w:rsidR="003A06A3" w:rsidRPr="00E837FB" w14:paraId="0616DA5D" w14:textId="77777777" w:rsidTr="004C408B">
        <w:trPr>
          <w:trHeight w:val="290"/>
        </w:trPr>
        <w:tc>
          <w:tcPr>
            <w:tcW w:w="218" w:type="pct"/>
          </w:tcPr>
          <w:p w14:paraId="5FA2C7E6" w14:textId="4496EC2F" w:rsidR="003A06A3" w:rsidRPr="004C408B" w:rsidRDefault="00D162CB" w:rsidP="00504407">
            <w:pPr>
              <w:rPr>
                <w:sz w:val="20"/>
                <w:szCs w:val="20"/>
              </w:rPr>
            </w:pPr>
            <w:r>
              <w:rPr>
                <w:sz w:val="20"/>
                <w:szCs w:val="20"/>
              </w:rPr>
              <w:t>8</w:t>
            </w:r>
          </w:p>
        </w:tc>
        <w:tc>
          <w:tcPr>
            <w:tcW w:w="1712" w:type="pct"/>
            <w:noWrap/>
            <w:tcMar>
              <w:top w:w="0" w:type="dxa"/>
              <w:left w:w="108" w:type="dxa"/>
              <w:bottom w:w="0" w:type="dxa"/>
              <w:right w:w="108" w:type="dxa"/>
            </w:tcMar>
            <w:vAlign w:val="center"/>
            <w:hideMark/>
          </w:tcPr>
          <w:p w14:paraId="02DB9CFF" w14:textId="105A8B9C" w:rsidR="003A06A3" w:rsidRPr="004C408B" w:rsidRDefault="008F119C" w:rsidP="00504407">
            <w:pPr>
              <w:jc w:val="left"/>
              <w:rPr>
                <w:sz w:val="20"/>
                <w:szCs w:val="20"/>
              </w:rPr>
            </w:pPr>
            <w:r>
              <w:rPr>
                <w:sz w:val="20"/>
                <w:szCs w:val="20"/>
              </w:rPr>
              <w:t xml:space="preserve">Demander et recueillir du matériel pédagogique auprès d’organismes externes ; élaborer du matériel pédagogique relatif à la Convention et à l’accès et au partage des avantages ; assurer la coordination avec les organismes externes et leur apporter un soutien ; et planifier et mettre au point les outils technologiques nécessaires au sein du Centre d'échange de la Convention ou du Centre d’échange sur l’accès et le partage des avantages afin de diffuser publiquement ces informations </w:t>
            </w:r>
          </w:p>
        </w:tc>
        <w:tc>
          <w:tcPr>
            <w:tcW w:w="509" w:type="pct"/>
            <w:noWrap/>
            <w:tcMar>
              <w:top w:w="0" w:type="dxa"/>
              <w:left w:w="108" w:type="dxa"/>
              <w:bottom w:w="0" w:type="dxa"/>
              <w:right w:w="108" w:type="dxa"/>
            </w:tcMar>
            <w:vAlign w:val="bottom"/>
            <w:hideMark/>
          </w:tcPr>
          <w:p w14:paraId="3E229F54" w14:textId="77777777" w:rsidR="003A06A3" w:rsidRPr="004C408B" w:rsidRDefault="003A06A3" w:rsidP="00504407">
            <w:pPr>
              <w:jc w:val="right"/>
              <w:rPr>
                <w:sz w:val="20"/>
                <w:szCs w:val="20"/>
              </w:rPr>
            </w:pPr>
            <w:r>
              <w:rPr>
                <w:sz w:val="20"/>
                <w:szCs w:val="20"/>
              </w:rPr>
              <w:t>–</w:t>
            </w:r>
          </w:p>
        </w:tc>
        <w:tc>
          <w:tcPr>
            <w:tcW w:w="447" w:type="pct"/>
            <w:noWrap/>
            <w:tcMar>
              <w:top w:w="0" w:type="dxa"/>
              <w:left w:w="108" w:type="dxa"/>
              <w:bottom w:w="0" w:type="dxa"/>
              <w:right w:w="108" w:type="dxa"/>
            </w:tcMar>
            <w:vAlign w:val="bottom"/>
            <w:hideMark/>
          </w:tcPr>
          <w:p w14:paraId="5147384D" w14:textId="77777777" w:rsidR="003A06A3" w:rsidRPr="004C408B" w:rsidRDefault="003A06A3" w:rsidP="00504407">
            <w:pPr>
              <w:jc w:val="right"/>
              <w:rPr>
                <w:sz w:val="20"/>
                <w:szCs w:val="20"/>
              </w:rPr>
            </w:pPr>
            <w:r>
              <w:rPr>
                <w:sz w:val="20"/>
                <w:szCs w:val="20"/>
              </w:rPr>
              <w:t>–</w:t>
            </w:r>
          </w:p>
        </w:tc>
        <w:tc>
          <w:tcPr>
            <w:tcW w:w="471" w:type="pct"/>
            <w:noWrap/>
            <w:tcMar>
              <w:top w:w="0" w:type="dxa"/>
              <w:left w:w="108" w:type="dxa"/>
              <w:bottom w:w="0" w:type="dxa"/>
              <w:right w:w="108" w:type="dxa"/>
            </w:tcMar>
            <w:vAlign w:val="bottom"/>
            <w:hideMark/>
          </w:tcPr>
          <w:p w14:paraId="3447CA33" w14:textId="3934AF73" w:rsidR="003A06A3" w:rsidRPr="004C408B" w:rsidRDefault="003A06A3" w:rsidP="00504407">
            <w:pPr>
              <w:jc w:val="right"/>
              <w:rPr>
                <w:sz w:val="20"/>
                <w:szCs w:val="20"/>
              </w:rPr>
            </w:pPr>
            <w:r>
              <w:rPr>
                <w:sz w:val="20"/>
                <w:szCs w:val="20"/>
              </w:rPr>
              <w:t>114 500</w:t>
            </w:r>
            <w:r>
              <w:rPr>
                <w:i/>
                <w:iCs/>
                <w:sz w:val="20"/>
                <w:szCs w:val="20"/>
                <w:vertAlign w:val="superscript"/>
              </w:rPr>
              <w:t>d</w:t>
            </w:r>
          </w:p>
        </w:tc>
        <w:tc>
          <w:tcPr>
            <w:tcW w:w="453" w:type="pct"/>
            <w:noWrap/>
            <w:tcMar>
              <w:top w:w="0" w:type="dxa"/>
              <w:left w:w="108" w:type="dxa"/>
              <w:bottom w:w="0" w:type="dxa"/>
              <w:right w:w="108" w:type="dxa"/>
            </w:tcMar>
            <w:vAlign w:val="bottom"/>
            <w:hideMark/>
          </w:tcPr>
          <w:p w14:paraId="4124D367" w14:textId="353B96EF" w:rsidR="003A06A3" w:rsidRPr="004C408B" w:rsidRDefault="003A06A3" w:rsidP="00504407">
            <w:pPr>
              <w:jc w:val="right"/>
              <w:rPr>
                <w:sz w:val="20"/>
                <w:szCs w:val="20"/>
              </w:rPr>
            </w:pPr>
            <w:r>
              <w:rPr>
                <w:sz w:val="20"/>
                <w:szCs w:val="20"/>
              </w:rPr>
              <w:t>114 500</w:t>
            </w:r>
          </w:p>
        </w:tc>
        <w:tc>
          <w:tcPr>
            <w:tcW w:w="680" w:type="pct"/>
            <w:noWrap/>
            <w:tcMar>
              <w:top w:w="0" w:type="dxa"/>
              <w:left w:w="108" w:type="dxa"/>
              <w:bottom w:w="0" w:type="dxa"/>
              <w:right w:w="108" w:type="dxa"/>
            </w:tcMar>
            <w:vAlign w:val="bottom"/>
            <w:hideMark/>
          </w:tcPr>
          <w:p w14:paraId="3CCEFE32" w14:textId="4A1A2597" w:rsidR="003A06A3" w:rsidRPr="004C408B" w:rsidRDefault="003A06A3" w:rsidP="00504407">
            <w:pPr>
              <w:jc w:val="right"/>
              <w:rPr>
                <w:sz w:val="20"/>
                <w:szCs w:val="20"/>
              </w:rPr>
            </w:pPr>
            <w:r>
              <w:rPr>
                <w:sz w:val="20"/>
                <w:szCs w:val="20"/>
              </w:rPr>
              <w:t>14 885</w:t>
            </w:r>
          </w:p>
        </w:tc>
        <w:tc>
          <w:tcPr>
            <w:tcW w:w="510" w:type="pct"/>
            <w:noWrap/>
            <w:tcMar>
              <w:top w:w="0" w:type="dxa"/>
              <w:left w:w="108" w:type="dxa"/>
              <w:bottom w:w="0" w:type="dxa"/>
              <w:right w:w="108" w:type="dxa"/>
            </w:tcMar>
            <w:vAlign w:val="bottom"/>
            <w:hideMark/>
          </w:tcPr>
          <w:p w14:paraId="6BFA8D97" w14:textId="6820F8BB" w:rsidR="003A06A3" w:rsidRPr="004C408B" w:rsidRDefault="003A06A3" w:rsidP="00504407">
            <w:pPr>
              <w:jc w:val="right"/>
              <w:rPr>
                <w:sz w:val="20"/>
                <w:szCs w:val="20"/>
              </w:rPr>
            </w:pPr>
            <w:r>
              <w:rPr>
                <w:sz w:val="20"/>
                <w:szCs w:val="20"/>
              </w:rPr>
              <w:t>129 385</w:t>
            </w:r>
          </w:p>
        </w:tc>
      </w:tr>
      <w:tr w:rsidR="003A06A3" w:rsidRPr="009C500D" w14:paraId="7DFDA1A1" w14:textId="77777777" w:rsidTr="00FC4D8B">
        <w:trPr>
          <w:trHeight w:val="290"/>
        </w:trPr>
        <w:tc>
          <w:tcPr>
            <w:tcW w:w="218" w:type="pct"/>
          </w:tcPr>
          <w:p w14:paraId="35C3C2AE" w14:textId="53F306D5" w:rsidR="003A06A3" w:rsidRPr="004C408B" w:rsidRDefault="0065735E" w:rsidP="00504407">
            <w:pPr>
              <w:rPr>
                <w:sz w:val="20"/>
                <w:szCs w:val="20"/>
              </w:rPr>
            </w:pPr>
            <w:r>
              <w:rPr>
                <w:sz w:val="20"/>
                <w:szCs w:val="20"/>
              </w:rPr>
              <w:t>11</w:t>
            </w:r>
          </w:p>
        </w:tc>
        <w:tc>
          <w:tcPr>
            <w:tcW w:w="1712" w:type="pct"/>
            <w:noWrap/>
            <w:tcMar>
              <w:top w:w="0" w:type="dxa"/>
              <w:left w:w="108" w:type="dxa"/>
              <w:bottom w:w="0" w:type="dxa"/>
              <w:right w:w="108" w:type="dxa"/>
            </w:tcMar>
            <w:vAlign w:val="bottom"/>
          </w:tcPr>
          <w:p w14:paraId="32105D16" w14:textId="091098F9" w:rsidR="003A06A3" w:rsidRPr="004C408B" w:rsidRDefault="003A06A3" w:rsidP="00504407">
            <w:pPr>
              <w:jc w:val="left"/>
              <w:rPr>
                <w:sz w:val="20"/>
                <w:szCs w:val="20"/>
              </w:rPr>
            </w:pPr>
            <w:r>
              <w:rPr>
                <w:sz w:val="20"/>
                <w:szCs w:val="20"/>
              </w:rPr>
              <w:t>Élaborer une enquête ; solliciter des informations ; collecter, synthétiser et analyser les données ; rédiger un rapport sur l'évaluation de l'efficacité du mécanisme multilatéral, assorti de recommandations visant à améliorer cette efficacité et à orienter les futures évaluations ; et diffuser publiquement les données pertinentes fournies par les Parties et les entreprises</w:t>
            </w:r>
          </w:p>
        </w:tc>
        <w:tc>
          <w:tcPr>
            <w:tcW w:w="509" w:type="pct"/>
            <w:noWrap/>
            <w:tcMar>
              <w:top w:w="0" w:type="dxa"/>
              <w:left w:w="108" w:type="dxa"/>
              <w:bottom w:w="0" w:type="dxa"/>
              <w:right w:w="108" w:type="dxa"/>
            </w:tcMar>
            <w:vAlign w:val="bottom"/>
          </w:tcPr>
          <w:p w14:paraId="38CFE098" w14:textId="77777777" w:rsidR="003A06A3" w:rsidRPr="004C408B" w:rsidRDefault="003A06A3" w:rsidP="00504407">
            <w:pPr>
              <w:jc w:val="right"/>
              <w:rPr>
                <w:sz w:val="20"/>
                <w:szCs w:val="20"/>
              </w:rPr>
            </w:pPr>
            <w:r>
              <w:t>–</w:t>
            </w:r>
          </w:p>
        </w:tc>
        <w:tc>
          <w:tcPr>
            <w:tcW w:w="447" w:type="pct"/>
            <w:noWrap/>
            <w:tcMar>
              <w:top w:w="0" w:type="dxa"/>
              <w:left w:w="108" w:type="dxa"/>
              <w:bottom w:w="0" w:type="dxa"/>
              <w:right w:w="108" w:type="dxa"/>
            </w:tcMar>
            <w:vAlign w:val="bottom"/>
          </w:tcPr>
          <w:p w14:paraId="19E80BA0" w14:textId="77777777" w:rsidR="003A06A3" w:rsidRPr="004C408B" w:rsidRDefault="003A06A3" w:rsidP="00504407">
            <w:pPr>
              <w:jc w:val="right"/>
              <w:rPr>
                <w:sz w:val="20"/>
                <w:szCs w:val="20"/>
              </w:rPr>
            </w:pPr>
            <w:r>
              <w:t>–</w:t>
            </w:r>
          </w:p>
        </w:tc>
        <w:tc>
          <w:tcPr>
            <w:tcW w:w="471" w:type="pct"/>
            <w:noWrap/>
            <w:tcMar>
              <w:top w:w="0" w:type="dxa"/>
              <w:left w:w="108" w:type="dxa"/>
              <w:bottom w:w="0" w:type="dxa"/>
              <w:right w:w="108" w:type="dxa"/>
            </w:tcMar>
            <w:vAlign w:val="bottom"/>
          </w:tcPr>
          <w:p w14:paraId="7612BBE2" w14:textId="305A827F" w:rsidR="003A06A3" w:rsidRPr="004C408B" w:rsidRDefault="003A06A3" w:rsidP="00504407">
            <w:pPr>
              <w:jc w:val="right"/>
              <w:rPr>
                <w:sz w:val="20"/>
                <w:szCs w:val="20"/>
              </w:rPr>
            </w:pPr>
            <w:r>
              <w:rPr>
                <w:sz w:val="20"/>
                <w:szCs w:val="20"/>
              </w:rPr>
              <w:t>225 500</w:t>
            </w:r>
            <w:r>
              <w:rPr>
                <w:i/>
                <w:iCs/>
                <w:sz w:val="20"/>
                <w:szCs w:val="20"/>
                <w:vertAlign w:val="superscript"/>
              </w:rPr>
              <w:t>e</w:t>
            </w:r>
          </w:p>
        </w:tc>
        <w:tc>
          <w:tcPr>
            <w:tcW w:w="453" w:type="pct"/>
            <w:noWrap/>
            <w:tcMar>
              <w:top w:w="0" w:type="dxa"/>
              <w:left w:w="108" w:type="dxa"/>
              <w:bottom w:w="0" w:type="dxa"/>
              <w:right w:w="108" w:type="dxa"/>
            </w:tcMar>
            <w:vAlign w:val="bottom"/>
          </w:tcPr>
          <w:p w14:paraId="47BEC73C" w14:textId="1B4D09D8" w:rsidR="003A06A3" w:rsidRPr="004C408B" w:rsidRDefault="003A06A3" w:rsidP="00504407">
            <w:pPr>
              <w:jc w:val="right"/>
              <w:rPr>
                <w:sz w:val="20"/>
                <w:szCs w:val="20"/>
              </w:rPr>
            </w:pPr>
            <w:r>
              <w:rPr>
                <w:sz w:val="20"/>
                <w:szCs w:val="20"/>
              </w:rPr>
              <w:t>225 500</w:t>
            </w:r>
          </w:p>
        </w:tc>
        <w:tc>
          <w:tcPr>
            <w:tcW w:w="680" w:type="pct"/>
            <w:noWrap/>
            <w:tcMar>
              <w:top w:w="0" w:type="dxa"/>
              <w:left w:w="108" w:type="dxa"/>
              <w:bottom w:w="0" w:type="dxa"/>
              <w:right w:w="108" w:type="dxa"/>
            </w:tcMar>
            <w:vAlign w:val="bottom"/>
          </w:tcPr>
          <w:p w14:paraId="7CEE25A1" w14:textId="757F76C9" w:rsidR="003A06A3" w:rsidRPr="004C408B" w:rsidRDefault="003A06A3" w:rsidP="00504407">
            <w:pPr>
              <w:jc w:val="right"/>
              <w:rPr>
                <w:sz w:val="20"/>
                <w:szCs w:val="20"/>
              </w:rPr>
            </w:pPr>
            <w:r>
              <w:rPr>
                <w:sz w:val="20"/>
                <w:szCs w:val="20"/>
              </w:rPr>
              <w:t>29 315</w:t>
            </w:r>
          </w:p>
        </w:tc>
        <w:tc>
          <w:tcPr>
            <w:tcW w:w="510" w:type="pct"/>
            <w:noWrap/>
            <w:tcMar>
              <w:top w:w="0" w:type="dxa"/>
              <w:left w:w="108" w:type="dxa"/>
              <w:bottom w:w="0" w:type="dxa"/>
              <w:right w:w="108" w:type="dxa"/>
            </w:tcMar>
            <w:vAlign w:val="bottom"/>
          </w:tcPr>
          <w:p w14:paraId="572693B6" w14:textId="35FCFCA0" w:rsidR="003A06A3" w:rsidRPr="004C408B" w:rsidRDefault="003A06A3" w:rsidP="00504407">
            <w:pPr>
              <w:jc w:val="right"/>
              <w:rPr>
                <w:sz w:val="20"/>
                <w:szCs w:val="20"/>
              </w:rPr>
            </w:pPr>
            <w:r>
              <w:rPr>
                <w:sz w:val="20"/>
                <w:szCs w:val="20"/>
              </w:rPr>
              <w:t>254 815</w:t>
            </w:r>
          </w:p>
        </w:tc>
      </w:tr>
      <w:tr w:rsidR="003A06A3" w:rsidRPr="009C500D" w14:paraId="167AD8F2" w14:textId="77777777" w:rsidTr="00FC4D8B">
        <w:trPr>
          <w:trHeight w:val="290"/>
        </w:trPr>
        <w:tc>
          <w:tcPr>
            <w:tcW w:w="218" w:type="pct"/>
            <w:tcBorders>
              <w:top w:val="single" w:sz="4" w:space="0" w:color="auto"/>
              <w:bottom w:val="single" w:sz="8" w:space="0" w:color="auto"/>
            </w:tcBorders>
          </w:tcPr>
          <w:p w14:paraId="062E88A4" w14:textId="77777777" w:rsidR="003A06A3" w:rsidRPr="004C408B" w:rsidRDefault="003A06A3" w:rsidP="00504407">
            <w:pPr>
              <w:rPr>
                <w:sz w:val="20"/>
                <w:szCs w:val="20"/>
              </w:rPr>
            </w:pP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423CA577" w14:textId="77777777" w:rsidR="003A06A3" w:rsidRPr="009C500D" w:rsidRDefault="003A06A3" w:rsidP="00504407">
            <w:pPr>
              <w:tabs>
                <w:tab w:val="clear" w:pos="567"/>
                <w:tab w:val="left" w:pos="230"/>
              </w:tabs>
              <w:jc w:val="left"/>
              <w:rPr>
                <w:sz w:val="20"/>
                <w:szCs w:val="20"/>
              </w:rPr>
            </w:pPr>
            <w:r>
              <w:rPr>
                <w:b/>
                <w:bCs/>
                <w:sz w:val="20"/>
                <w:szCs w:val="20"/>
              </w:rPr>
              <w:tab/>
              <w:t>Total</w:t>
            </w:r>
          </w:p>
        </w:tc>
        <w:tc>
          <w:tcPr>
            <w:tcW w:w="1427" w:type="pct"/>
            <w:gridSpan w:val="3"/>
            <w:tcBorders>
              <w:top w:val="single" w:sz="4" w:space="0" w:color="auto"/>
              <w:bottom w:val="single" w:sz="8" w:space="0" w:color="auto"/>
            </w:tcBorders>
            <w:vAlign w:val="bottom"/>
          </w:tcPr>
          <w:p w14:paraId="2BA48E50" w14:textId="77777777" w:rsidR="003A06A3" w:rsidRPr="004C408B" w:rsidRDefault="003A06A3" w:rsidP="00504407">
            <w:pPr>
              <w:tabs>
                <w:tab w:val="clear" w:pos="1134"/>
              </w:tabs>
              <w:ind w:right="143"/>
              <w:jc w:val="right"/>
              <w:rPr>
                <w:b/>
                <w:bCs/>
                <w:sz w:val="20"/>
                <w:szCs w:val="20"/>
              </w:rPr>
            </w:pPr>
          </w:p>
        </w:tc>
        <w:tc>
          <w:tcPr>
            <w:tcW w:w="453" w:type="pct"/>
            <w:tcBorders>
              <w:top w:val="single" w:sz="4" w:space="0" w:color="auto"/>
              <w:bottom w:val="single" w:sz="8" w:space="0" w:color="auto"/>
            </w:tcBorders>
            <w:noWrap/>
            <w:tcMar>
              <w:top w:w="0" w:type="dxa"/>
              <w:left w:w="108" w:type="dxa"/>
              <w:bottom w:w="0" w:type="dxa"/>
              <w:right w:w="108" w:type="dxa"/>
            </w:tcMar>
            <w:vAlign w:val="bottom"/>
          </w:tcPr>
          <w:p w14:paraId="62F462DC" w14:textId="4574467D" w:rsidR="003A06A3" w:rsidRPr="009C500D" w:rsidRDefault="003A06A3" w:rsidP="00504407">
            <w:pPr>
              <w:jc w:val="right"/>
              <w:rPr>
                <w:sz w:val="20"/>
                <w:szCs w:val="20"/>
              </w:rPr>
            </w:pPr>
            <w:r>
              <w:rPr>
                <w:b/>
                <w:bCs/>
                <w:sz w:val="20"/>
                <w:szCs w:val="20"/>
              </w:rPr>
              <w:t>587 650</w:t>
            </w:r>
          </w:p>
        </w:tc>
        <w:tc>
          <w:tcPr>
            <w:tcW w:w="680" w:type="pct"/>
            <w:tcBorders>
              <w:top w:val="single" w:sz="4" w:space="0" w:color="auto"/>
              <w:bottom w:val="single" w:sz="8" w:space="0" w:color="auto"/>
            </w:tcBorders>
            <w:noWrap/>
            <w:tcMar>
              <w:top w:w="0" w:type="dxa"/>
              <w:left w:w="108" w:type="dxa"/>
              <w:bottom w:w="0" w:type="dxa"/>
              <w:right w:w="108" w:type="dxa"/>
            </w:tcMar>
            <w:vAlign w:val="bottom"/>
          </w:tcPr>
          <w:p w14:paraId="54817CEB" w14:textId="18C10460" w:rsidR="003A06A3" w:rsidRPr="009C500D" w:rsidRDefault="003A06A3" w:rsidP="00504407">
            <w:pPr>
              <w:jc w:val="right"/>
              <w:rPr>
                <w:b/>
                <w:bCs/>
                <w:sz w:val="20"/>
                <w:szCs w:val="20"/>
              </w:rPr>
            </w:pPr>
            <w:r>
              <w:rPr>
                <w:b/>
                <w:bCs/>
                <w:sz w:val="20"/>
                <w:szCs w:val="20"/>
              </w:rPr>
              <w:t>76 395</w:t>
            </w:r>
          </w:p>
        </w:tc>
        <w:tc>
          <w:tcPr>
            <w:tcW w:w="510" w:type="pct"/>
            <w:tcBorders>
              <w:top w:val="single" w:sz="4" w:space="0" w:color="auto"/>
              <w:bottom w:val="single" w:sz="8" w:space="0" w:color="auto"/>
            </w:tcBorders>
            <w:noWrap/>
            <w:tcMar>
              <w:top w:w="0" w:type="dxa"/>
              <w:left w:w="108" w:type="dxa"/>
              <w:bottom w:w="0" w:type="dxa"/>
              <w:right w:w="108" w:type="dxa"/>
            </w:tcMar>
            <w:vAlign w:val="bottom"/>
          </w:tcPr>
          <w:p w14:paraId="06A22BE6" w14:textId="3FD19DFB" w:rsidR="003A06A3" w:rsidRPr="009C500D" w:rsidRDefault="003A06A3" w:rsidP="00504407">
            <w:pPr>
              <w:ind w:right="-22"/>
              <w:jc w:val="right"/>
              <w:rPr>
                <w:b/>
                <w:bCs/>
                <w:sz w:val="20"/>
                <w:szCs w:val="20"/>
              </w:rPr>
            </w:pPr>
            <w:r>
              <w:rPr>
                <w:b/>
                <w:bCs/>
                <w:sz w:val="20"/>
                <w:szCs w:val="20"/>
              </w:rPr>
              <w:t>664 045</w:t>
            </w:r>
          </w:p>
        </w:tc>
      </w:tr>
    </w:tbl>
    <w:p w14:paraId="01E16CD9" w14:textId="77777777" w:rsidR="003A06A3" w:rsidRPr="00E23204" w:rsidRDefault="003A06A3" w:rsidP="003A06A3">
      <w:pPr>
        <w:spacing w:before="120"/>
        <w:ind w:firstLine="567"/>
        <w:rPr>
          <w:sz w:val="18"/>
          <w:szCs w:val="18"/>
        </w:rPr>
      </w:pPr>
      <w:r>
        <w:rPr>
          <w:i/>
          <w:iCs/>
          <w:sz w:val="18"/>
          <w:szCs w:val="18"/>
        </w:rPr>
        <w:lastRenderedPageBreak/>
        <w:t>Abréviations</w:t>
      </w:r>
      <w:r>
        <w:rPr>
          <w:sz w:val="18"/>
          <w:szCs w:val="18"/>
        </w:rPr>
        <w:t> : DAP, dépenses d'appui au programme ; PD, paragraphe du dispositif du projet de décision.</w:t>
      </w:r>
    </w:p>
    <w:p w14:paraId="40196566" w14:textId="77777777" w:rsidR="003A06A3" w:rsidRPr="004C408B" w:rsidRDefault="003A06A3" w:rsidP="003A06A3">
      <w:pPr>
        <w:ind w:firstLine="567"/>
        <w:rPr>
          <w:sz w:val="18"/>
          <w:szCs w:val="18"/>
        </w:rPr>
      </w:pPr>
      <w:proofErr w:type="gramStart"/>
      <w:r>
        <w:rPr>
          <w:i/>
          <w:iCs/>
          <w:sz w:val="18"/>
          <w:szCs w:val="18"/>
          <w:vertAlign w:val="superscript"/>
        </w:rPr>
        <w:t>a</w:t>
      </w:r>
      <w:proofErr w:type="gramEnd"/>
      <w:r>
        <w:rPr>
          <w:sz w:val="18"/>
          <w:szCs w:val="18"/>
        </w:rPr>
        <w:tab/>
        <w:t>Déplacements des participants inclus.</w:t>
      </w:r>
    </w:p>
    <w:p w14:paraId="2953C61C" w14:textId="77777777" w:rsidR="003A06A3" w:rsidRPr="004C408B" w:rsidRDefault="003A06A3" w:rsidP="003A06A3">
      <w:pPr>
        <w:ind w:firstLine="567"/>
        <w:rPr>
          <w:sz w:val="18"/>
          <w:szCs w:val="18"/>
        </w:rPr>
      </w:pPr>
      <w:proofErr w:type="gramStart"/>
      <w:r>
        <w:rPr>
          <w:i/>
          <w:iCs/>
          <w:sz w:val="18"/>
          <w:szCs w:val="18"/>
          <w:vertAlign w:val="superscript"/>
        </w:rPr>
        <w:t>b</w:t>
      </w:r>
      <w:proofErr w:type="gramEnd"/>
      <w:r>
        <w:rPr>
          <w:sz w:val="18"/>
          <w:szCs w:val="18"/>
        </w:rPr>
        <w:tab/>
        <w:t>Consultants, partenaires et personnel supplémentaire.</w:t>
      </w:r>
    </w:p>
    <w:p w14:paraId="0DE3F8AA" w14:textId="143E2749" w:rsidR="003A06A3" w:rsidRPr="004C408B" w:rsidRDefault="006D3FC4" w:rsidP="004C408B">
      <w:pPr>
        <w:ind w:left="1134" w:hanging="567"/>
        <w:rPr>
          <w:sz w:val="18"/>
          <w:szCs w:val="18"/>
        </w:rPr>
      </w:pPr>
      <w:proofErr w:type="gramStart"/>
      <w:r>
        <w:rPr>
          <w:i/>
          <w:iCs/>
          <w:sz w:val="18"/>
          <w:szCs w:val="18"/>
          <w:vertAlign w:val="superscript"/>
        </w:rPr>
        <w:t>c</w:t>
      </w:r>
      <w:proofErr w:type="gramEnd"/>
      <w:r>
        <w:rPr>
          <w:sz w:val="18"/>
          <w:szCs w:val="18"/>
          <w:vertAlign w:val="superscript"/>
        </w:rPr>
        <w:tab/>
      </w:r>
      <w:r>
        <w:rPr>
          <w:sz w:val="18"/>
          <w:szCs w:val="18"/>
        </w:rPr>
        <w:t xml:space="preserve">Six mois pour un collaborateur junior, six mois pour un assistant et six mois pour un consultant expert, afin d'assurer : la mise en œuvre des modalités, la liaison avec les parties prenantes et la communication, ainsi que l'organisation des réunions et l'appui aux réunions. </w:t>
      </w:r>
    </w:p>
    <w:p w14:paraId="7DC75916" w14:textId="1A036E5E" w:rsidR="003A06A3" w:rsidRPr="004C408B" w:rsidRDefault="006D3FC4" w:rsidP="004C408B">
      <w:pPr>
        <w:ind w:left="1134" w:hanging="567"/>
        <w:rPr>
          <w:sz w:val="18"/>
          <w:szCs w:val="18"/>
        </w:rPr>
      </w:pPr>
      <w:proofErr w:type="gramStart"/>
      <w:r>
        <w:rPr>
          <w:i/>
          <w:iCs/>
          <w:sz w:val="18"/>
          <w:szCs w:val="18"/>
          <w:vertAlign w:val="superscript"/>
        </w:rPr>
        <w:t>d</w:t>
      </w:r>
      <w:proofErr w:type="gramEnd"/>
      <w:r>
        <w:rPr>
          <w:sz w:val="18"/>
          <w:szCs w:val="18"/>
          <w:vertAlign w:val="superscript"/>
        </w:rPr>
        <w:tab/>
      </w:r>
      <w:r>
        <w:rPr>
          <w:sz w:val="18"/>
          <w:szCs w:val="18"/>
        </w:rPr>
        <w:t>Douze mois pour un prestataire indépendant et six mois pour un collaborateur junior pour : la coordination, l'accompagnement des parties prenantes, la création de supports, la mise en place d'outils de partage et la communication.</w:t>
      </w:r>
    </w:p>
    <w:p w14:paraId="63B19E32" w14:textId="4352C1D5" w:rsidR="003A06A3" w:rsidRPr="004C408B" w:rsidRDefault="006D3FC4" w:rsidP="004C408B">
      <w:pPr>
        <w:ind w:left="1134" w:hanging="567"/>
        <w:rPr>
          <w:sz w:val="18"/>
          <w:szCs w:val="18"/>
        </w:rPr>
      </w:pPr>
      <w:proofErr w:type="gramStart"/>
      <w:r>
        <w:rPr>
          <w:i/>
          <w:iCs/>
          <w:sz w:val="18"/>
          <w:szCs w:val="18"/>
          <w:vertAlign w:val="superscript"/>
        </w:rPr>
        <w:t>e</w:t>
      </w:r>
      <w:proofErr w:type="gramEnd"/>
      <w:r>
        <w:rPr>
          <w:sz w:val="18"/>
          <w:szCs w:val="18"/>
          <w:vertAlign w:val="superscript"/>
        </w:rPr>
        <w:tab/>
      </w:r>
      <w:r>
        <w:rPr>
          <w:sz w:val="18"/>
          <w:szCs w:val="18"/>
        </w:rPr>
        <w:t xml:space="preserve">Douze mois pour un consultant, six mois pour un collaborateur junior et six mois pour un assistant, pour : la création de supports, la collecte d'informations, l'analyse et la formulation de recommandations, l'accompagnement des parties prenantes et la communication. </w:t>
      </w:r>
    </w:p>
    <w:p w14:paraId="39503465" w14:textId="607091D1" w:rsidR="00A111D1" w:rsidRPr="009C500D" w:rsidRDefault="003A06A3" w:rsidP="00A111D1">
      <w:pPr>
        <w:pStyle w:val="Para1"/>
        <w:numPr>
          <w:ilvl w:val="0"/>
          <w:numId w:val="0"/>
        </w:numPr>
        <w:ind w:left="567"/>
        <w:jc w:val="center"/>
      </w:pPr>
      <w:r>
        <w:t>__________</w:t>
      </w:r>
    </w:p>
    <w:sectPr w:rsidR="00A111D1" w:rsidRPr="009C500D" w:rsidSect="004C408B">
      <w:headerReference w:type="even" r:id="rId37"/>
      <w:headerReference w:type="default" r:id="rId38"/>
      <w:footerReference w:type="even" r:id="rId39"/>
      <w:footerReference w:type="default" r:id="rId4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AD475" w14:textId="77777777" w:rsidR="00C72883" w:rsidRPr="009C500D" w:rsidRDefault="00C72883" w:rsidP="00CF1848">
      <w:r w:rsidRPr="009C500D">
        <w:separator/>
      </w:r>
    </w:p>
  </w:endnote>
  <w:endnote w:type="continuationSeparator" w:id="0">
    <w:p w14:paraId="1036FBD1" w14:textId="77777777" w:rsidR="00C72883" w:rsidRPr="009C500D" w:rsidRDefault="00C72883" w:rsidP="00CF1848">
      <w:r w:rsidRPr="009C50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4D91C9A4" w14:textId="77777777" w:rsidR="00D75CA6" w:rsidRPr="00A61FFC" w:rsidRDefault="00D75CA6" w:rsidP="00D75CA6">
            <w:pPr>
              <w:pStyle w:val="Footer"/>
              <w:jc w:val="left"/>
            </w:pPr>
            <w:r>
              <w:rPr>
                <w:szCs w:val="20"/>
              </w:rPr>
              <w:fldChar w:fldCharType="begin"/>
            </w:r>
            <w:r>
              <w:rPr>
                <w:noProof/>
                <w:szCs w:val="20"/>
              </w:rPr>
              <w:instrText xml:space="preserve"> PAGE </w:instrText>
            </w:r>
            <w:r>
              <w:fldChar w:fldCharType="separate"/>
            </w:r>
            <w:r>
              <w:rPr>
                <w:noProof/>
                <w:szCs w:val="20"/>
              </w:rPr>
              <w:t>2</w:t>
            </w:r>
            <w:r>
              <w:fldChar w:fldCharType="end"/>
            </w:r>
            <w:r>
              <w:rPr>
                <w:szCs w:val="20"/>
              </w:rPr>
              <w:t>/</w:t>
            </w:r>
            <w:r>
              <w:rPr>
                <w:szCs w:val="20"/>
              </w:rPr>
              <w:fldChar w:fldCharType="begin"/>
            </w:r>
            <w:r>
              <w:rPr>
                <w:noProof/>
                <w:szCs w:val="20"/>
              </w:rPr>
              <w:instrText xml:space="preserve"> NUMPAGES  </w:instrText>
            </w:r>
            <w:r>
              <w:fldChar w:fldCharType="separate"/>
            </w:r>
            <w:r>
              <w:rPr>
                <w:noProof/>
                <w:szCs w:val="20"/>
              </w:rPr>
              <w:t>2</w:t>
            </w:r>
            <w: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554E955" w14:textId="77777777" w:rsidR="00D75CA6" w:rsidRPr="00A61FFC" w:rsidRDefault="00D75CA6" w:rsidP="004C408B">
        <w:pPr>
          <w:pStyle w:val="Footer"/>
          <w:jc w:val="right"/>
        </w:pPr>
        <w:r>
          <w:rPr>
            <w:szCs w:val="20"/>
          </w:rPr>
          <w:fldChar w:fldCharType="begin"/>
        </w:r>
        <w:r>
          <w:rPr>
            <w:szCs w:val="20"/>
          </w:rPr>
          <w:instrText xml:space="preserve"> PAGE </w:instrText>
        </w:r>
        <w:r>
          <w:fldChar w:fldCharType="separate"/>
        </w:r>
        <w:r>
          <w:rPr>
            <w:szCs w:val="20"/>
          </w:rPr>
          <w:t>2</w:t>
        </w:r>
        <w:r>
          <w:fldChar w:fldCharType="end"/>
        </w:r>
        <w:r>
          <w:rPr>
            <w:szCs w:val="20"/>
          </w:rPr>
          <w:t>/</w:t>
        </w:r>
        <w:r>
          <w:rPr>
            <w:szCs w:val="20"/>
          </w:rPr>
          <w:fldChar w:fldCharType="begin"/>
        </w:r>
        <w:r>
          <w:rPr>
            <w:szCs w:val="20"/>
          </w:rPr>
          <w:instrText xml:space="preserve"> NUMPAGES  </w:instrText>
        </w:r>
        <w:r>
          <w:fldChar w:fldCharType="separate"/>
        </w:r>
        <w:r>
          <w:rPr>
            <w:szCs w:val="20"/>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9AFB8" w14:textId="77777777" w:rsidR="00C72883" w:rsidRPr="009C500D" w:rsidRDefault="00C72883" w:rsidP="00CF1848">
      <w:r w:rsidRPr="009C500D">
        <w:separator/>
      </w:r>
    </w:p>
  </w:footnote>
  <w:footnote w:type="continuationSeparator" w:id="0">
    <w:p w14:paraId="6BF76E0B" w14:textId="77777777" w:rsidR="00C72883" w:rsidRPr="009C500D" w:rsidRDefault="00C72883" w:rsidP="00CF1848">
      <w:r w:rsidRPr="009C500D">
        <w:continuationSeparator/>
      </w:r>
    </w:p>
  </w:footnote>
  <w:footnote w:id="1">
    <w:p w14:paraId="3A630E4B" w14:textId="36948346" w:rsidR="008A1499" w:rsidRPr="004C408B" w:rsidRDefault="008A1499">
      <w:pPr>
        <w:pStyle w:val="FootnoteText"/>
      </w:pPr>
      <w:hyperlink r:id="rId1" w:history="1">
        <w:r>
          <w:rPr>
            <w:rStyle w:val="Hyperlink"/>
            <w:vertAlign w:val="superscript"/>
          </w:rPr>
          <w:t>*</w:t>
        </w:r>
        <w:r>
          <w:rPr>
            <w:rStyle w:val="Hyperlink"/>
          </w:rPr>
          <w:t xml:space="preserve"> CBD/SBI/7/1</w:t>
        </w:r>
      </w:hyperlink>
      <w:r>
        <w:t>.</w:t>
      </w:r>
    </w:p>
  </w:footnote>
  <w:footnote w:id="2">
    <w:p w14:paraId="402F8E7E" w14:textId="64AA5607" w:rsidR="00C43706" w:rsidRPr="00635DFE" w:rsidRDefault="00C43706">
      <w:pPr>
        <w:pStyle w:val="FootnoteText"/>
        <w:rPr>
          <w:lang w:val="fr-FR"/>
        </w:rPr>
      </w:pPr>
      <w:r>
        <w:rPr>
          <w:rStyle w:val="FootnoteReference"/>
        </w:rPr>
        <w:t>**</w:t>
      </w:r>
      <w:r>
        <w:t xml:space="preserve"> Le présent document est publié sans avoir fait l'objet de modifications formelles, à l'exception du projet de recommandation figurant à la section III. </w:t>
      </w:r>
    </w:p>
  </w:footnote>
  <w:footnote w:id="3">
    <w:p w14:paraId="3184F939" w14:textId="3109FDB7" w:rsidR="005F0BB7" w:rsidRPr="00635DFE" w:rsidRDefault="005F0BB7">
      <w:pPr>
        <w:pStyle w:val="FootnoteText"/>
        <w:rPr>
          <w:lang w:val="fr-FR"/>
        </w:rPr>
      </w:pPr>
      <w:r>
        <w:rPr>
          <w:rStyle w:val="FootnoteReference"/>
        </w:rPr>
        <w:t>***</w:t>
      </w:r>
      <w:r>
        <w:t xml:space="preserve"> Au paragraphe 28, le texte des modalités du mécanisme multilatéral, y compris le Fonds de Cali, prévoit la création d’un secrétariat, dont les fonctions sont décrites à l’annexe V des modalités (voir décision </w:t>
      </w:r>
      <w:hyperlink r:id="rId2" w:history="1">
        <w:r>
          <w:rPr>
            <w:rStyle w:val="Hyperlink"/>
          </w:rPr>
          <w:t>16/2</w:t>
        </w:r>
      </w:hyperlink>
      <w:r>
        <w:t>, annexe). Dans l'attente de la mise en place de ce secrétariat, les agents concernés du secrétariat de la Convention assurent les fonctions de secrétariat provisoire du mécanisme multilatéral, y compris du Fonds de Cali.</w:t>
      </w:r>
    </w:p>
  </w:footnote>
  <w:footnote w:id="4">
    <w:p w14:paraId="1FCBAF8A" w14:textId="2E024497" w:rsidR="00295D58" w:rsidRPr="00295D58" w:rsidRDefault="00295D58">
      <w:pPr>
        <w:pStyle w:val="FootnoteText"/>
      </w:pPr>
      <w:r>
        <w:rPr>
          <w:rStyle w:val="FootnoteReference"/>
        </w:rPr>
        <w:footnoteRef/>
      </w:r>
      <w:r>
        <w:t xml:space="preserve"> Voir </w:t>
      </w:r>
      <w:hyperlink r:id="rId3" w:history="1">
        <w:r>
          <w:rPr>
            <w:rStyle w:val="Hyperlink"/>
          </w:rPr>
          <w:t>www.cbd.int/meetings/DSI-AHTEG-2026-01</w:t>
        </w:r>
      </w:hyperlink>
      <w:r>
        <w:t xml:space="preserve"> et </w:t>
      </w:r>
      <w:hyperlink r:id="rId4" w:history="1">
        <w:r>
          <w:rPr>
            <w:rStyle w:val="Hyperlink"/>
          </w:rPr>
          <w:t>www.cbd.int/meetings/DSI-AHTEG-2026-02</w:t>
        </w:r>
      </w:hyperlink>
      <w:r>
        <w:t>, respectivement, pour les documents de réunions.</w:t>
      </w:r>
    </w:p>
  </w:footnote>
  <w:footnote w:id="5">
    <w:p w14:paraId="355975FD" w14:textId="64E5BAD5" w:rsidR="0058159C" w:rsidRPr="004C408B" w:rsidRDefault="0058159C">
      <w:pPr>
        <w:pStyle w:val="FootnoteText"/>
      </w:pPr>
      <w:r>
        <w:rPr>
          <w:rStyle w:val="FootnoteReference"/>
        </w:rPr>
        <w:footnoteRef/>
      </w:r>
      <w:r>
        <w:t xml:space="preserve"> </w:t>
      </w:r>
      <w:hyperlink r:id="rId5" w:history="1">
        <w:r>
          <w:rPr>
            <w:rStyle w:val="Hyperlink"/>
          </w:rPr>
          <w:t>www.cbd.int/conferences/dsi-sc</w:t>
        </w:r>
      </w:hyperlink>
      <w:r>
        <w:t xml:space="preserve"> .</w:t>
      </w:r>
    </w:p>
  </w:footnote>
  <w:footnote w:id="6">
    <w:p w14:paraId="61964544" w14:textId="25F6428D" w:rsidR="003E3473" w:rsidRPr="009C500D" w:rsidRDefault="003E3473">
      <w:pPr>
        <w:pStyle w:val="FootnoteText"/>
      </w:pPr>
      <w:r>
        <w:rPr>
          <w:rStyle w:val="FootnoteReference"/>
        </w:rPr>
        <w:footnoteRef/>
      </w:r>
      <w:r>
        <w:t xml:space="preserve"> CBD/SBI/7/5/Add.2.</w:t>
      </w:r>
    </w:p>
  </w:footnote>
  <w:footnote w:id="7">
    <w:p w14:paraId="4D1A8EA9" w14:textId="77777777" w:rsidR="001B7561" w:rsidRPr="00635DFE" w:rsidRDefault="001B7561" w:rsidP="001B7561">
      <w:pPr>
        <w:pStyle w:val="FootnoteText"/>
        <w:rPr>
          <w:lang w:val="fr-FR"/>
        </w:rPr>
      </w:pPr>
      <w:r>
        <w:rPr>
          <w:rStyle w:val="FootnoteReference"/>
        </w:rPr>
        <w:footnoteRef/>
      </w:r>
      <w:r>
        <w:t xml:space="preserve"> Les besoins estimés en ressources extrabudgétaires pour les activités décrites dans le projet de décision figurent dans l'annexe au présent document.</w:t>
      </w:r>
    </w:p>
  </w:footnote>
  <w:footnote w:id="8">
    <w:p w14:paraId="1B2D59F6" w14:textId="77777777" w:rsidR="008112E0" w:rsidRPr="00635DFE" w:rsidRDefault="008112E0" w:rsidP="008112E0">
      <w:pPr>
        <w:pStyle w:val="FootnoteText"/>
        <w:rPr>
          <w:lang w:val="fr-FR"/>
        </w:rPr>
      </w:pPr>
      <w:r>
        <w:rPr>
          <w:rStyle w:val="FootnoteReference"/>
        </w:rPr>
        <w:footnoteRef/>
      </w:r>
      <w:r>
        <w:t xml:space="preserve"> Nations Unies, </w:t>
      </w:r>
      <w:r>
        <w:rPr>
          <w:i/>
          <w:iCs/>
        </w:rPr>
        <w:t>Recueil des Traités</w:t>
      </w:r>
      <w:r>
        <w:t>, vol. 1760, n° 30619.</w:t>
      </w:r>
    </w:p>
  </w:footnote>
  <w:footnote w:id="9">
    <w:p w14:paraId="2ED1DB1E" w14:textId="77777777" w:rsidR="00782C0A" w:rsidRPr="00DD5526" w:rsidRDefault="00782C0A" w:rsidP="00782C0A">
      <w:pPr>
        <w:pStyle w:val="FootnoteText"/>
        <w:rPr>
          <w:lang w:val="en-CA"/>
        </w:rPr>
      </w:pPr>
      <w:r>
        <w:rPr>
          <w:rStyle w:val="FootnoteReference"/>
        </w:rPr>
        <w:footnoteRef/>
      </w:r>
      <w:r>
        <w:t xml:space="preserve"> Annexe à la décision </w:t>
      </w:r>
      <w:hyperlink r:id="rId6" w:history="1">
        <w:r>
          <w:rPr>
            <w:rStyle w:val="Hyperlink"/>
          </w:rPr>
          <w:t>15/4</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8C8BE99" w14:textId="659B3900" w:rsidR="00534681" w:rsidRPr="009C500D" w:rsidRDefault="004D6C50" w:rsidP="007C4951">
        <w:pPr>
          <w:pStyle w:val="Header"/>
          <w:spacing w:after="240"/>
          <w:rPr>
            <w:szCs w:val="20"/>
          </w:rPr>
        </w:pPr>
        <w:r>
          <w:rPr>
            <w:szCs w:val="20"/>
          </w:rPr>
          <w:t>CBD/SBI/7/5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52419D23" w14:textId="7B202665" w:rsidR="009505C9" w:rsidRPr="009C500D" w:rsidRDefault="004D6C50" w:rsidP="007C4951">
        <w:pPr>
          <w:pStyle w:val="Header"/>
          <w:spacing w:after="240"/>
          <w:jc w:val="right"/>
        </w:pPr>
        <w:r>
          <w:t>CBD/SBI/7/5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06B3074"/>
    <w:multiLevelType w:val="multilevel"/>
    <w:tmpl w:val="2932D0A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196191F"/>
    <w:multiLevelType w:val="multilevel"/>
    <w:tmpl w:val="D8DE5D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39C26F8"/>
    <w:multiLevelType w:val="multilevel"/>
    <w:tmpl w:val="222A08B4"/>
    <w:numStyleLink w:val="ListCBD"/>
  </w:abstractNum>
  <w:abstractNum w:abstractNumId="16"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7" w15:restartNumberingAfterBreak="0">
    <w:nsid w:val="070B4EE6"/>
    <w:multiLevelType w:val="multilevel"/>
    <w:tmpl w:val="42C84BC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AA32121"/>
    <w:multiLevelType w:val="multilevel"/>
    <w:tmpl w:val="6518AED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AEF5B50"/>
    <w:multiLevelType w:val="multilevel"/>
    <w:tmpl w:val="8A520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E5356EC"/>
    <w:multiLevelType w:val="multilevel"/>
    <w:tmpl w:val="07D269C8"/>
    <w:numStyleLink w:val="CBDHeadings"/>
  </w:abstractNum>
  <w:abstractNum w:abstractNumId="29"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33AD3E72"/>
    <w:multiLevelType w:val="hybridMultilevel"/>
    <w:tmpl w:val="B3B0F98E"/>
    <w:lvl w:ilvl="0" w:tplc="7E14475C">
      <w:start w:val="1"/>
      <w:numFmt w:val="decimal"/>
      <w:lvlText w:val="%1)"/>
      <w:lvlJc w:val="left"/>
      <w:pPr>
        <w:ind w:left="1020" w:hanging="360"/>
      </w:pPr>
    </w:lvl>
    <w:lvl w:ilvl="1" w:tplc="1C9A9D2A">
      <w:start w:val="1"/>
      <w:numFmt w:val="decimal"/>
      <w:lvlText w:val="%2)"/>
      <w:lvlJc w:val="left"/>
      <w:pPr>
        <w:ind w:left="1020" w:hanging="360"/>
      </w:pPr>
    </w:lvl>
    <w:lvl w:ilvl="2" w:tplc="015A1994">
      <w:start w:val="1"/>
      <w:numFmt w:val="decimal"/>
      <w:lvlText w:val="%3)"/>
      <w:lvlJc w:val="left"/>
      <w:pPr>
        <w:ind w:left="1020" w:hanging="360"/>
      </w:pPr>
    </w:lvl>
    <w:lvl w:ilvl="3" w:tplc="A96E8FD4">
      <w:start w:val="1"/>
      <w:numFmt w:val="decimal"/>
      <w:lvlText w:val="%4)"/>
      <w:lvlJc w:val="left"/>
      <w:pPr>
        <w:ind w:left="1020" w:hanging="360"/>
      </w:pPr>
    </w:lvl>
    <w:lvl w:ilvl="4" w:tplc="29E48A9A">
      <w:start w:val="1"/>
      <w:numFmt w:val="decimal"/>
      <w:lvlText w:val="%5)"/>
      <w:lvlJc w:val="left"/>
      <w:pPr>
        <w:ind w:left="1020" w:hanging="360"/>
      </w:pPr>
    </w:lvl>
    <w:lvl w:ilvl="5" w:tplc="D3D2DDE6">
      <w:start w:val="1"/>
      <w:numFmt w:val="decimal"/>
      <w:lvlText w:val="%6)"/>
      <w:lvlJc w:val="left"/>
      <w:pPr>
        <w:ind w:left="1020" w:hanging="360"/>
      </w:pPr>
    </w:lvl>
    <w:lvl w:ilvl="6" w:tplc="7E88A976">
      <w:start w:val="1"/>
      <w:numFmt w:val="decimal"/>
      <w:lvlText w:val="%7)"/>
      <w:lvlJc w:val="left"/>
      <w:pPr>
        <w:ind w:left="1020" w:hanging="360"/>
      </w:pPr>
    </w:lvl>
    <w:lvl w:ilvl="7" w:tplc="84F053E8">
      <w:start w:val="1"/>
      <w:numFmt w:val="decimal"/>
      <w:lvlText w:val="%8)"/>
      <w:lvlJc w:val="left"/>
      <w:pPr>
        <w:ind w:left="1020" w:hanging="360"/>
      </w:pPr>
    </w:lvl>
    <w:lvl w:ilvl="8" w:tplc="5DB8CDEC">
      <w:start w:val="1"/>
      <w:numFmt w:val="decimal"/>
      <w:lvlText w:val="%9)"/>
      <w:lvlJc w:val="left"/>
      <w:pPr>
        <w:ind w:left="1020" w:hanging="360"/>
      </w:pPr>
    </w:lvl>
  </w:abstractNum>
  <w:abstractNum w:abstractNumId="32" w15:restartNumberingAfterBreak="0">
    <w:nsid w:val="398E2FF3"/>
    <w:multiLevelType w:val="multilevel"/>
    <w:tmpl w:val="222A08B4"/>
    <w:numStyleLink w:val="ListCBD"/>
  </w:abstractNum>
  <w:abstractNum w:abstractNumId="33" w15:restartNumberingAfterBreak="0">
    <w:nsid w:val="4035636D"/>
    <w:multiLevelType w:val="hybridMultilevel"/>
    <w:tmpl w:val="F06C034C"/>
    <w:lvl w:ilvl="0" w:tplc="2B1AD65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4E880595"/>
    <w:multiLevelType w:val="multilevel"/>
    <w:tmpl w:val="222A08B4"/>
    <w:numStyleLink w:val="ListCBD"/>
  </w:abstractNum>
  <w:abstractNum w:abstractNumId="40" w15:restartNumberingAfterBreak="0">
    <w:nsid w:val="5169768D"/>
    <w:multiLevelType w:val="hybridMultilevel"/>
    <w:tmpl w:val="98823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2A66A9D"/>
    <w:multiLevelType w:val="multilevel"/>
    <w:tmpl w:val="222A08B4"/>
    <w:numStyleLink w:val="ListCBD"/>
  </w:abstractNum>
  <w:abstractNum w:abstractNumId="42" w15:restartNumberingAfterBreak="0">
    <w:nsid w:val="53F93D43"/>
    <w:multiLevelType w:val="hybridMultilevel"/>
    <w:tmpl w:val="0172F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5D21CC5"/>
    <w:multiLevelType w:val="hybridMultilevel"/>
    <w:tmpl w:val="D5DE4E9E"/>
    <w:lvl w:ilvl="0" w:tplc="678CFDD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5D943BEE"/>
    <w:multiLevelType w:val="multilevel"/>
    <w:tmpl w:val="2B9688EE"/>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8" w15:restartNumberingAfterBreak="0">
    <w:nsid w:val="68B70991"/>
    <w:multiLevelType w:val="multilevel"/>
    <w:tmpl w:val="222A08B4"/>
    <w:numStyleLink w:val="ListCBD"/>
  </w:abstractNum>
  <w:abstractNum w:abstractNumId="49" w15:restartNumberingAfterBreak="0">
    <w:nsid w:val="6B3804A0"/>
    <w:multiLevelType w:val="hybridMultilevel"/>
    <w:tmpl w:val="4D808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3" w15:restartNumberingAfterBreak="0">
    <w:nsid w:val="739A2572"/>
    <w:multiLevelType w:val="multilevel"/>
    <w:tmpl w:val="5DF856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5"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38"/>
  </w:num>
  <w:num w:numId="2" w16cid:durableId="1858829">
    <w:abstractNumId w:val="36"/>
  </w:num>
  <w:num w:numId="3" w16cid:durableId="1333221471">
    <w:abstractNumId w:val="51"/>
  </w:num>
  <w:num w:numId="4" w16cid:durableId="1072390599">
    <w:abstractNumId w:val="52"/>
  </w:num>
  <w:num w:numId="5" w16cid:durableId="960385107">
    <w:abstractNumId w:val="37"/>
  </w:num>
  <w:num w:numId="6" w16cid:durableId="893932166">
    <w:abstractNumId w:val="50"/>
  </w:num>
  <w:num w:numId="7" w16cid:durableId="323945383">
    <w:abstractNumId w:val="47"/>
  </w:num>
  <w:num w:numId="8" w16cid:durableId="884223129">
    <w:abstractNumId w:val="33"/>
  </w:num>
  <w:num w:numId="9" w16cid:durableId="1476336572">
    <w:abstractNumId w:val="43"/>
  </w:num>
  <w:num w:numId="10" w16cid:durableId="76272087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0018185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0410598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89617781">
    <w:abstractNumId w:val="47"/>
  </w:num>
  <w:num w:numId="14" w16cid:durableId="1318847662">
    <w:abstractNumId w:val="47"/>
  </w:num>
  <w:num w:numId="15" w16cid:durableId="95999305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5094335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99805525">
    <w:abstractNumId w:val="47"/>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9884883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13456454">
    <w:abstractNumId w:val="42"/>
  </w:num>
  <w:num w:numId="20" w16cid:durableId="905722335">
    <w:abstractNumId w:val="40"/>
  </w:num>
  <w:num w:numId="21" w16cid:durableId="617953679">
    <w:abstractNumId w:val="49"/>
  </w:num>
  <w:num w:numId="22" w16cid:durableId="128125995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052360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71840863">
    <w:abstractNumId w:val="47"/>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9843915">
    <w:abstractNumId w:val="27"/>
  </w:num>
  <w:num w:numId="26" w16cid:durableId="756636698">
    <w:abstractNumId w:val="47"/>
  </w:num>
  <w:num w:numId="27" w16cid:durableId="62176688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0317832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30001821">
    <w:abstractNumId w:val="21"/>
  </w:num>
  <w:num w:numId="30" w16cid:durableId="944532747">
    <w:abstractNumId w:val="53"/>
  </w:num>
  <w:num w:numId="31" w16cid:durableId="457577752">
    <w:abstractNumId w:val="13"/>
  </w:num>
  <w:num w:numId="32" w16cid:durableId="1763448823">
    <w:abstractNumId w:val="11"/>
  </w:num>
  <w:num w:numId="33" w16cid:durableId="618953929">
    <w:abstractNumId w:val="17"/>
  </w:num>
  <w:num w:numId="34" w16cid:durableId="206884349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29314449">
    <w:abstractNumId w:val="31"/>
  </w:num>
  <w:num w:numId="36" w16cid:durableId="560672902">
    <w:abstractNumId w:val="16"/>
  </w:num>
  <w:num w:numId="37" w16cid:durableId="1933662228">
    <w:abstractNumId w:val="30"/>
  </w:num>
  <w:num w:numId="38" w16cid:durableId="1991909117">
    <w:abstractNumId w:val="12"/>
  </w:num>
  <w:num w:numId="39" w16cid:durableId="1138956019">
    <w:abstractNumId w:val="22"/>
  </w:num>
  <w:num w:numId="40" w16cid:durableId="607395260">
    <w:abstractNumId w:val="9"/>
  </w:num>
  <w:num w:numId="41" w16cid:durableId="98110136">
    <w:abstractNumId w:val="7"/>
  </w:num>
  <w:num w:numId="42" w16cid:durableId="920676582">
    <w:abstractNumId w:val="6"/>
  </w:num>
  <w:num w:numId="43" w16cid:durableId="447286378">
    <w:abstractNumId w:val="5"/>
  </w:num>
  <w:num w:numId="44" w16cid:durableId="1532258362">
    <w:abstractNumId w:val="4"/>
  </w:num>
  <w:num w:numId="45" w16cid:durableId="1587106058">
    <w:abstractNumId w:val="8"/>
  </w:num>
  <w:num w:numId="46" w16cid:durableId="1646355732">
    <w:abstractNumId w:val="3"/>
  </w:num>
  <w:num w:numId="47" w16cid:durableId="2006930253">
    <w:abstractNumId w:val="2"/>
  </w:num>
  <w:num w:numId="48" w16cid:durableId="1811677887">
    <w:abstractNumId w:val="1"/>
  </w:num>
  <w:num w:numId="49" w16cid:durableId="537353487">
    <w:abstractNumId w:val="0"/>
  </w:num>
  <w:num w:numId="50" w16cid:durableId="2069499237">
    <w:abstractNumId w:val="48"/>
  </w:num>
  <w:num w:numId="51" w16cid:durableId="158270868">
    <w:abstractNumId w:val="54"/>
  </w:num>
  <w:num w:numId="52" w16cid:durableId="159275565">
    <w:abstractNumId w:val="24"/>
  </w:num>
  <w:num w:numId="53" w16cid:durableId="271714945">
    <w:abstractNumId w:val="25"/>
  </w:num>
  <w:num w:numId="54" w16cid:durableId="1638680439">
    <w:abstractNumId w:val="48"/>
    <w:lvlOverride w:ilvl="0">
      <w:startOverride w:val="1"/>
    </w:lvlOverride>
  </w:num>
  <w:num w:numId="55" w16cid:durableId="1865050652">
    <w:abstractNumId w:val="41"/>
  </w:num>
  <w:num w:numId="56" w16cid:durableId="152986975">
    <w:abstractNumId w:val="35"/>
  </w:num>
  <w:num w:numId="57" w16cid:durableId="1295136099">
    <w:abstractNumId w:val="46"/>
  </w:num>
  <w:num w:numId="58" w16cid:durableId="80179172">
    <w:abstractNumId w:val="45"/>
  </w:num>
  <w:num w:numId="59" w16cid:durableId="20679887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71076976">
    <w:abstractNumId w:val="18"/>
  </w:num>
  <w:num w:numId="61" w16cid:durableId="939752621">
    <w:abstractNumId w:val="39"/>
  </w:num>
  <w:num w:numId="62" w16cid:durableId="915044361">
    <w:abstractNumId w:val="32"/>
  </w:num>
  <w:num w:numId="63" w16cid:durableId="855196379">
    <w:abstractNumId w:val="20"/>
  </w:num>
  <w:num w:numId="64" w16cid:durableId="14668533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3"/>
  </w:num>
  <w:num w:numId="66" w16cid:durableId="708722651">
    <w:abstractNumId w:val="10"/>
  </w:num>
  <w:num w:numId="67" w16cid:durableId="21364124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4"/>
  </w:num>
  <w:num w:numId="70" w16cid:durableId="1607615596">
    <w:abstractNumId w:val="26"/>
  </w:num>
  <w:num w:numId="71" w16cid:durableId="643118139">
    <w:abstractNumId w:val="26"/>
    <w:lvlOverride w:ilvl="0">
      <w:startOverride w:val="1"/>
    </w:lvlOverride>
  </w:num>
  <w:num w:numId="72" w16cid:durableId="820851909">
    <w:abstractNumId w:val="26"/>
    <w:lvlOverride w:ilvl="0">
      <w:startOverride w:val="1"/>
    </w:lvlOverride>
  </w:num>
  <w:num w:numId="73" w16cid:durableId="709648587">
    <w:abstractNumId w:val="26"/>
    <w:lvlOverride w:ilvl="0">
      <w:startOverride w:val="1"/>
    </w:lvlOverride>
  </w:num>
  <w:num w:numId="74" w16cid:durableId="1353799543">
    <w:abstractNumId w:val="29"/>
  </w:num>
  <w:num w:numId="75" w16cid:durableId="1570270110">
    <w:abstractNumId w:val="44"/>
  </w:num>
  <w:num w:numId="76" w16cid:durableId="2125995167">
    <w:abstractNumId w:val="34"/>
  </w:num>
  <w:num w:numId="77" w16cid:durableId="1627851340">
    <w:abstractNumId w:val="28"/>
  </w:num>
  <w:num w:numId="78" w16cid:durableId="1945532808">
    <w:abstractNumId w:val="19"/>
  </w:num>
  <w:num w:numId="79" w16cid:durableId="60276445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7032136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906494965">
    <w:abstractNumId w:val="15"/>
  </w:num>
  <w:num w:numId="82" w16cid:durableId="5367039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2962970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884899085">
    <w:abstractNumId w:val="55"/>
  </w:num>
  <w:num w:numId="85" w16cid:durableId="58982676">
    <w:abstractNumId w:val="47"/>
  </w:num>
  <w:num w:numId="86" w16cid:durableId="1135759862">
    <w:abstractNumId w:val="47"/>
    <w:lvlOverride w:ilvl="0">
      <w:startOverride w:val="2"/>
    </w:lvlOverride>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CEB"/>
    <w:rsid w:val="0000083D"/>
    <w:rsid w:val="0000084B"/>
    <w:rsid w:val="00000C6C"/>
    <w:rsid w:val="0000196D"/>
    <w:rsid w:val="000023DA"/>
    <w:rsid w:val="00002974"/>
    <w:rsid w:val="000029B9"/>
    <w:rsid w:val="00002D3A"/>
    <w:rsid w:val="00002D9F"/>
    <w:rsid w:val="000036C0"/>
    <w:rsid w:val="00004226"/>
    <w:rsid w:val="00004280"/>
    <w:rsid w:val="000046BA"/>
    <w:rsid w:val="00006907"/>
    <w:rsid w:val="000070C3"/>
    <w:rsid w:val="00007C9D"/>
    <w:rsid w:val="00007D6B"/>
    <w:rsid w:val="000101CC"/>
    <w:rsid w:val="00010B81"/>
    <w:rsid w:val="00010C25"/>
    <w:rsid w:val="00010E2F"/>
    <w:rsid w:val="0001106C"/>
    <w:rsid w:val="00011B26"/>
    <w:rsid w:val="00011C6F"/>
    <w:rsid w:val="00011EB3"/>
    <w:rsid w:val="000124FC"/>
    <w:rsid w:val="00012F4D"/>
    <w:rsid w:val="000130B7"/>
    <w:rsid w:val="000136BF"/>
    <w:rsid w:val="00013DBD"/>
    <w:rsid w:val="00014DCA"/>
    <w:rsid w:val="000161E2"/>
    <w:rsid w:val="00016904"/>
    <w:rsid w:val="00017185"/>
    <w:rsid w:val="00017455"/>
    <w:rsid w:val="00017D6F"/>
    <w:rsid w:val="0002119F"/>
    <w:rsid w:val="00021496"/>
    <w:rsid w:val="0002173C"/>
    <w:rsid w:val="000217BE"/>
    <w:rsid w:val="000225C0"/>
    <w:rsid w:val="00022C18"/>
    <w:rsid w:val="00022F36"/>
    <w:rsid w:val="0002448C"/>
    <w:rsid w:val="000244E4"/>
    <w:rsid w:val="00025318"/>
    <w:rsid w:val="000254FA"/>
    <w:rsid w:val="00025DF1"/>
    <w:rsid w:val="00026092"/>
    <w:rsid w:val="00027B76"/>
    <w:rsid w:val="00027EE9"/>
    <w:rsid w:val="000300F9"/>
    <w:rsid w:val="0003020B"/>
    <w:rsid w:val="0003144B"/>
    <w:rsid w:val="00031861"/>
    <w:rsid w:val="00031B3F"/>
    <w:rsid w:val="000330BA"/>
    <w:rsid w:val="00033CCD"/>
    <w:rsid w:val="000347A8"/>
    <w:rsid w:val="00035A3F"/>
    <w:rsid w:val="00035EE1"/>
    <w:rsid w:val="0003680F"/>
    <w:rsid w:val="00036CB8"/>
    <w:rsid w:val="00036F39"/>
    <w:rsid w:val="000379A2"/>
    <w:rsid w:val="000379F4"/>
    <w:rsid w:val="000408B8"/>
    <w:rsid w:val="00041B00"/>
    <w:rsid w:val="00041CC1"/>
    <w:rsid w:val="000436E5"/>
    <w:rsid w:val="00043733"/>
    <w:rsid w:val="000450B6"/>
    <w:rsid w:val="00045769"/>
    <w:rsid w:val="000465F2"/>
    <w:rsid w:val="0004688A"/>
    <w:rsid w:val="00046A94"/>
    <w:rsid w:val="00046C0A"/>
    <w:rsid w:val="00046C42"/>
    <w:rsid w:val="0004700C"/>
    <w:rsid w:val="00047B50"/>
    <w:rsid w:val="0005023C"/>
    <w:rsid w:val="00050291"/>
    <w:rsid w:val="0005068C"/>
    <w:rsid w:val="000506C7"/>
    <w:rsid w:val="00050D60"/>
    <w:rsid w:val="00051235"/>
    <w:rsid w:val="0005218B"/>
    <w:rsid w:val="000521F5"/>
    <w:rsid w:val="00052864"/>
    <w:rsid w:val="000529D5"/>
    <w:rsid w:val="00052B7A"/>
    <w:rsid w:val="00052E55"/>
    <w:rsid w:val="00053ABB"/>
    <w:rsid w:val="00053E03"/>
    <w:rsid w:val="00054136"/>
    <w:rsid w:val="000542D0"/>
    <w:rsid w:val="00054446"/>
    <w:rsid w:val="0005473A"/>
    <w:rsid w:val="0005515B"/>
    <w:rsid w:val="0005526B"/>
    <w:rsid w:val="000557D9"/>
    <w:rsid w:val="00056549"/>
    <w:rsid w:val="00056F56"/>
    <w:rsid w:val="00057136"/>
    <w:rsid w:val="00057ECA"/>
    <w:rsid w:val="000600DE"/>
    <w:rsid w:val="00060BBA"/>
    <w:rsid w:val="0006101B"/>
    <w:rsid w:val="00061F8B"/>
    <w:rsid w:val="00062361"/>
    <w:rsid w:val="00062699"/>
    <w:rsid w:val="000632DA"/>
    <w:rsid w:val="00063E03"/>
    <w:rsid w:val="00063FF5"/>
    <w:rsid w:val="000648A7"/>
    <w:rsid w:val="000659A2"/>
    <w:rsid w:val="0006684C"/>
    <w:rsid w:val="00067696"/>
    <w:rsid w:val="00070415"/>
    <w:rsid w:val="0007171B"/>
    <w:rsid w:val="0007194E"/>
    <w:rsid w:val="00071E28"/>
    <w:rsid w:val="0007254F"/>
    <w:rsid w:val="00073AEA"/>
    <w:rsid w:val="00073B30"/>
    <w:rsid w:val="00073BF9"/>
    <w:rsid w:val="0007416B"/>
    <w:rsid w:val="00074D60"/>
    <w:rsid w:val="00074DE4"/>
    <w:rsid w:val="00075CCB"/>
    <w:rsid w:val="00076E5E"/>
    <w:rsid w:val="000776FE"/>
    <w:rsid w:val="000816FE"/>
    <w:rsid w:val="00081953"/>
    <w:rsid w:val="0008198C"/>
    <w:rsid w:val="00082418"/>
    <w:rsid w:val="000830C5"/>
    <w:rsid w:val="000839D9"/>
    <w:rsid w:val="00084791"/>
    <w:rsid w:val="0008568C"/>
    <w:rsid w:val="0008571F"/>
    <w:rsid w:val="000872E0"/>
    <w:rsid w:val="0008733A"/>
    <w:rsid w:val="00087652"/>
    <w:rsid w:val="00087815"/>
    <w:rsid w:val="000907F0"/>
    <w:rsid w:val="00090A54"/>
    <w:rsid w:val="000914E1"/>
    <w:rsid w:val="00091CEA"/>
    <w:rsid w:val="000920BB"/>
    <w:rsid w:val="0009218E"/>
    <w:rsid w:val="000922E9"/>
    <w:rsid w:val="0009272F"/>
    <w:rsid w:val="0009341D"/>
    <w:rsid w:val="00093791"/>
    <w:rsid w:val="00093804"/>
    <w:rsid w:val="000938B3"/>
    <w:rsid w:val="000951CE"/>
    <w:rsid w:val="0009534C"/>
    <w:rsid w:val="000956BF"/>
    <w:rsid w:val="000957EE"/>
    <w:rsid w:val="0009639E"/>
    <w:rsid w:val="000963DC"/>
    <w:rsid w:val="00096BEB"/>
    <w:rsid w:val="000974E7"/>
    <w:rsid w:val="00097767"/>
    <w:rsid w:val="000977FB"/>
    <w:rsid w:val="000979A2"/>
    <w:rsid w:val="000A066B"/>
    <w:rsid w:val="000A0C12"/>
    <w:rsid w:val="000A2189"/>
    <w:rsid w:val="000A25C6"/>
    <w:rsid w:val="000A32E2"/>
    <w:rsid w:val="000A3824"/>
    <w:rsid w:val="000A38C2"/>
    <w:rsid w:val="000A3BE8"/>
    <w:rsid w:val="000A3C1B"/>
    <w:rsid w:val="000A4520"/>
    <w:rsid w:val="000A484D"/>
    <w:rsid w:val="000A48DB"/>
    <w:rsid w:val="000A4BCC"/>
    <w:rsid w:val="000A4E53"/>
    <w:rsid w:val="000A5940"/>
    <w:rsid w:val="000A59A9"/>
    <w:rsid w:val="000A5B00"/>
    <w:rsid w:val="000A5BD4"/>
    <w:rsid w:val="000A6386"/>
    <w:rsid w:val="000A66FF"/>
    <w:rsid w:val="000B08DC"/>
    <w:rsid w:val="000B0903"/>
    <w:rsid w:val="000B0FC9"/>
    <w:rsid w:val="000B0FEF"/>
    <w:rsid w:val="000B11E8"/>
    <w:rsid w:val="000B1263"/>
    <w:rsid w:val="000B140C"/>
    <w:rsid w:val="000B1EBD"/>
    <w:rsid w:val="000B200D"/>
    <w:rsid w:val="000B2F77"/>
    <w:rsid w:val="000B44BF"/>
    <w:rsid w:val="000B450D"/>
    <w:rsid w:val="000B5246"/>
    <w:rsid w:val="000B5D61"/>
    <w:rsid w:val="000B66C7"/>
    <w:rsid w:val="000B6A2C"/>
    <w:rsid w:val="000B6E4C"/>
    <w:rsid w:val="000B72E7"/>
    <w:rsid w:val="000B7634"/>
    <w:rsid w:val="000B79A6"/>
    <w:rsid w:val="000B7C8A"/>
    <w:rsid w:val="000C183D"/>
    <w:rsid w:val="000C284B"/>
    <w:rsid w:val="000C2C59"/>
    <w:rsid w:val="000C4641"/>
    <w:rsid w:val="000C4FA6"/>
    <w:rsid w:val="000C4FCC"/>
    <w:rsid w:val="000C54F9"/>
    <w:rsid w:val="000C5950"/>
    <w:rsid w:val="000C5B1D"/>
    <w:rsid w:val="000C6A4B"/>
    <w:rsid w:val="000C749B"/>
    <w:rsid w:val="000C74C3"/>
    <w:rsid w:val="000C7A1C"/>
    <w:rsid w:val="000C7A46"/>
    <w:rsid w:val="000C7E11"/>
    <w:rsid w:val="000D000F"/>
    <w:rsid w:val="000D032D"/>
    <w:rsid w:val="000D0BC2"/>
    <w:rsid w:val="000D0F68"/>
    <w:rsid w:val="000D1939"/>
    <w:rsid w:val="000D2133"/>
    <w:rsid w:val="000D2291"/>
    <w:rsid w:val="000D354F"/>
    <w:rsid w:val="000D3A50"/>
    <w:rsid w:val="000D4D7C"/>
    <w:rsid w:val="000D6809"/>
    <w:rsid w:val="000D68C2"/>
    <w:rsid w:val="000D70AE"/>
    <w:rsid w:val="000D76AC"/>
    <w:rsid w:val="000E0049"/>
    <w:rsid w:val="000E02D7"/>
    <w:rsid w:val="000E064E"/>
    <w:rsid w:val="000E081A"/>
    <w:rsid w:val="000E0887"/>
    <w:rsid w:val="000E0CBD"/>
    <w:rsid w:val="000E0D0A"/>
    <w:rsid w:val="000E19CE"/>
    <w:rsid w:val="000E1C9F"/>
    <w:rsid w:val="000E3025"/>
    <w:rsid w:val="000E364C"/>
    <w:rsid w:val="000E3F2E"/>
    <w:rsid w:val="000E403F"/>
    <w:rsid w:val="000E4856"/>
    <w:rsid w:val="000E493D"/>
    <w:rsid w:val="000E4C1F"/>
    <w:rsid w:val="000E4D64"/>
    <w:rsid w:val="000E4F59"/>
    <w:rsid w:val="000E501B"/>
    <w:rsid w:val="000E5027"/>
    <w:rsid w:val="000E6315"/>
    <w:rsid w:val="000E673A"/>
    <w:rsid w:val="000E6CBD"/>
    <w:rsid w:val="000E6CF0"/>
    <w:rsid w:val="000E7A23"/>
    <w:rsid w:val="000F0A3F"/>
    <w:rsid w:val="000F0B1B"/>
    <w:rsid w:val="000F0D22"/>
    <w:rsid w:val="000F116E"/>
    <w:rsid w:val="000F1B2E"/>
    <w:rsid w:val="000F2104"/>
    <w:rsid w:val="000F2CB0"/>
    <w:rsid w:val="000F2E79"/>
    <w:rsid w:val="000F32E8"/>
    <w:rsid w:val="000F376B"/>
    <w:rsid w:val="000F4C9B"/>
    <w:rsid w:val="000F50B8"/>
    <w:rsid w:val="000F534E"/>
    <w:rsid w:val="000F57E7"/>
    <w:rsid w:val="000F5EE1"/>
    <w:rsid w:val="000F65CE"/>
    <w:rsid w:val="000F6945"/>
    <w:rsid w:val="000F6D47"/>
    <w:rsid w:val="000F74F5"/>
    <w:rsid w:val="000F78FC"/>
    <w:rsid w:val="00100D9F"/>
    <w:rsid w:val="00100FF7"/>
    <w:rsid w:val="001014FD"/>
    <w:rsid w:val="00101A29"/>
    <w:rsid w:val="00101ADB"/>
    <w:rsid w:val="0010293E"/>
    <w:rsid w:val="00102B9D"/>
    <w:rsid w:val="00102E1B"/>
    <w:rsid w:val="00103894"/>
    <w:rsid w:val="00103AEC"/>
    <w:rsid w:val="00103BF7"/>
    <w:rsid w:val="0010416C"/>
    <w:rsid w:val="001048B0"/>
    <w:rsid w:val="00105293"/>
    <w:rsid w:val="00105372"/>
    <w:rsid w:val="001054A6"/>
    <w:rsid w:val="001057B2"/>
    <w:rsid w:val="001067A3"/>
    <w:rsid w:val="00106FB7"/>
    <w:rsid w:val="001078A1"/>
    <w:rsid w:val="00107E55"/>
    <w:rsid w:val="00110EB4"/>
    <w:rsid w:val="00111197"/>
    <w:rsid w:val="001112BD"/>
    <w:rsid w:val="00111515"/>
    <w:rsid w:val="0011166A"/>
    <w:rsid w:val="00111FBA"/>
    <w:rsid w:val="001120E3"/>
    <w:rsid w:val="00112230"/>
    <w:rsid w:val="001128F6"/>
    <w:rsid w:val="00112B99"/>
    <w:rsid w:val="00112DE1"/>
    <w:rsid w:val="001132B1"/>
    <w:rsid w:val="001137E0"/>
    <w:rsid w:val="0011497C"/>
    <w:rsid w:val="00114F3E"/>
    <w:rsid w:val="001150B7"/>
    <w:rsid w:val="00115EF6"/>
    <w:rsid w:val="001160E2"/>
    <w:rsid w:val="00116B3E"/>
    <w:rsid w:val="00117368"/>
    <w:rsid w:val="001216D4"/>
    <w:rsid w:val="0012296F"/>
    <w:rsid w:val="00122F2F"/>
    <w:rsid w:val="00123FAA"/>
    <w:rsid w:val="0012466F"/>
    <w:rsid w:val="00124B17"/>
    <w:rsid w:val="00124E49"/>
    <w:rsid w:val="001259AB"/>
    <w:rsid w:val="00126137"/>
    <w:rsid w:val="001266D8"/>
    <w:rsid w:val="001267A0"/>
    <w:rsid w:val="00126A2D"/>
    <w:rsid w:val="00127049"/>
    <w:rsid w:val="001273DC"/>
    <w:rsid w:val="00127A1D"/>
    <w:rsid w:val="00127C9D"/>
    <w:rsid w:val="001312AD"/>
    <w:rsid w:val="00131DD5"/>
    <w:rsid w:val="00131E7A"/>
    <w:rsid w:val="001322EA"/>
    <w:rsid w:val="001327F2"/>
    <w:rsid w:val="00132A01"/>
    <w:rsid w:val="00133B39"/>
    <w:rsid w:val="001345FE"/>
    <w:rsid w:val="0013460A"/>
    <w:rsid w:val="001346E6"/>
    <w:rsid w:val="00134846"/>
    <w:rsid w:val="001349AD"/>
    <w:rsid w:val="00135144"/>
    <w:rsid w:val="00135621"/>
    <w:rsid w:val="001359C3"/>
    <w:rsid w:val="00136730"/>
    <w:rsid w:val="001367F3"/>
    <w:rsid w:val="00137340"/>
    <w:rsid w:val="001379C9"/>
    <w:rsid w:val="001401A3"/>
    <w:rsid w:val="00140281"/>
    <w:rsid w:val="00140C45"/>
    <w:rsid w:val="00142813"/>
    <w:rsid w:val="00142AA7"/>
    <w:rsid w:val="00142D9E"/>
    <w:rsid w:val="001430CE"/>
    <w:rsid w:val="0014392F"/>
    <w:rsid w:val="00143CB3"/>
    <w:rsid w:val="00144103"/>
    <w:rsid w:val="00144344"/>
    <w:rsid w:val="0014467C"/>
    <w:rsid w:val="00144E37"/>
    <w:rsid w:val="00144FD3"/>
    <w:rsid w:val="00145117"/>
    <w:rsid w:val="001452B6"/>
    <w:rsid w:val="00145BF2"/>
    <w:rsid w:val="00146E61"/>
    <w:rsid w:val="00147040"/>
    <w:rsid w:val="00147B5E"/>
    <w:rsid w:val="00150115"/>
    <w:rsid w:val="001510BC"/>
    <w:rsid w:val="0015164F"/>
    <w:rsid w:val="00151A3D"/>
    <w:rsid w:val="00151BF7"/>
    <w:rsid w:val="00151D8F"/>
    <w:rsid w:val="00151DE7"/>
    <w:rsid w:val="00152206"/>
    <w:rsid w:val="001526A8"/>
    <w:rsid w:val="00152BA9"/>
    <w:rsid w:val="001536C0"/>
    <w:rsid w:val="001536CA"/>
    <w:rsid w:val="001536D7"/>
    <w:rsid w:val="001536E1"/>
    <w:rsid w:val="001543B0"/>
    <w:rsid w:val="00154413"/>
    <w:rsid w:val="00155F3D"/>
    <w:rsid w:val="0015708F"/>
    <w:rsid w:val="00157CFC"/>
    <w:rsid w:val="00160AC7"/>
    <w:rsid w:val="00161939"/>
    <w:rsid w:val="00161BFF"/>
    <w:rsid w:val="00162056"/>
    <w:rsid w:val="00162097"/>
    <w:rsid w:val="00162615"/>
    <w:rsid w:val="00162617"/>
    <w:rsid w:val="001630BB"/>
    <w:rsid w:val="00163693"/>
    <w:rsid w:val="00163826"/>
    <w:rsid w:val="00163C15"/>
    <w:rsid w:val="00163DE4"/>
    <w:rsid w:val="00163EA8"/>
    <w:rsid w:val="0016421B"/>
    <w:rsid w:val="00164453"/>
    <w:rsid w:val="00165BE1"/>
    <w:rsid w:val="001664E4"/>
    <w:rsid w:val="001665CA"/>
    <w:rsid w:val="001666E1"/>
    <w:rsid w:val="0016712F"/>
    <w:rsid w:val="00170112"/>
    <w:rsid w:val="001702DA"/>
    <w:rsid w:val="00170768"/>
    <w:rsid w:val="001710EC"/>
    <w:rsid w:val="00171230"/>
    <w:rsid w:val="001715C7"/>
    <w:rsid w:val="001719F4"/>
    <w:rsid w:val="001721A0"/>
    <w:rsid w:val="001722ED"/>
    <w:rsid w:val="001728D5"/>
    <w:rsid w:val="00172AF6"/>
    <w:rsid w:val="0017302E"/>
    <w:rsid w:val="00174096"/>
    <w:rsid w:val="0017414F"/>
    <w:rsid w:val="001751B5"/>
    <w:rsid w:val="00175F6F"/>
    <w:rsid w:val="001769BC"/>
    <w:rsid w:val="00176A08"/>
    <w:rsid w:val="00176CEE"/>
    <w:rsid w:val="00176F66"/>
    <w:rsid w:val="001776C8"/>
    <w:rsid w:val="00177FD3"/>
    <w:rsid w:val="00180398"/>
    <w:rsid w:val="00181BA2"/>
    <w:rsid w:val="0018214E"/>
    <w:rsid w:val="00182F50"/>
    <w:rsid w:val="001830D9"/>
    <w:rsid w:val="001830F5"/>
    <w:rsid w:val="00183246"/>
    <w:rsid w:val="0018327B"/>
    <w:rsid w:val="001839EF"/>
    <w:rsid w:val="00183F53"/>
    <w:rsid w:val="00184144"/>
    <w:rsid w:val="00184184"/>
    <w:rsid w:val="0018444F"/>
    <w:rsid w:val="00184F52"/>
    <w:rsid w:val="00185074"/>
    <w:rsid w:val="001854D4"/>
    <w:rsid w:val="001854F9"/>
    <w:rsid w:val="00185DBD"/>
    <w:rsid w:val="00186547"/>
    <w:rsid w:val="00186DD8"/>
    <w:rsid w:val="00187804"/>
    <w:rsid w:val="00187D4A"/>
    <w:rsid w:val="00190BE7"/>
    <w:rsid w:val="001914BF"/>
    <w:rsid w:val="001920CB"/>
    <w:rsid w:val="001920FD"/>
    <w:rsid w:val="00192CA7"/>
    <w:rsid w:val="0019361D"/>
    <w:rsid w:val="00194457"/>
    <w:rsid w:val="001948C8"/>
    <w:rsid w:val="001949C8"/>
    <w:rsid w:val="00194C22"/>
    <w:rsid w:val="001950F0"/>
    <w:rsid w:val="0019580F"/>
    <w:rsid w:val="001958B8"/>
    <w:rsid w:val="00195AF1"/>
    <w:rsid w:val="001960EC"/>
    <w:rsid w:val="00196B3B"/>
    <w:rsid w:val="00196D6C"/>
    <w:rsid w:val="00197053"/>
    <w:rsid w:val="00197197"/>
    <w:rsid w:val="00197435"/>
    <w:rsid w:val="00197E46"/>
    <w:rsid w:val="001A06FA"/>
    <w:rsid w:val="001A139F"/>
    <w:rsid w:val="001A21D4"/>
    <w:rsid w:val="001A3206"/>
    <w:rsid w:val="001A358C"/>
    <w:rsid w:val="001A35EC"/>
    <w:rsid w:val="001A36C8"/>
    <w:rsid w:val="001A3FB6"/>
    <w:rsid w:val="001A405E"/>
    <w:rsid w:val="001A4520"/>
    <w:rsid w:val="001A499B"/>
    <w:rsid w:val="001A49FC"/>
    <w:rsid w:val="001A5D7D"/>
    <w:rsid w:val="001A5E3E"/>
    <w:rsid w:val="001A60AB"/>
    <w:rsid w:val="001A6A36"/>
    <w:rsid w:val="001A773B"/>
    <w:rsid w:val="001A79C1"/>
    <w:rsid w:val="001A7AAB"/>
    <w:rsid w:val="001A7D01"/>
    <w:rsid w:val="001B077D"/>
    <w:rsid w:val="001B12E4"/>
    <w:rsid w:val="001B13FE"/>
    <w:rsid w:val="001B1AF2"/>
    <w:rsid w:val="001B1F30"/>
    <w:rsid w:val="001B261B"/>
    <w:rsid w:val="001B2A48"/>
    <w:rsid w:val="001B2AB3"/>
    <w:rsid w:val="001B2C7F"/>
    <w:rsid w:val="001B2D7B"/>
    <w:rsid w:val="001B3286"/>
    <w:rsid w:val="001B33C7"/>
    <w:rsid w:val="001B3561"/>
    <w:rsid w:val="001B3C30"/>
    <w:rsid w:val="001B425C"/>
    <w:rsid w:val="001B4270"/>
    <w:rsid w:val="001B4318"/>
    <w:rsid w:val="001B4715"/>
    <w:rsid w:val="001B53B1"/>
    <w:rsid w:val="001B5F32"/>
    <w:rsid w:val="001B6260"/>
    <w:rsid w:val="001B6F7B"/>
    <w:rsid w:val="001B74B7"/>
    <w:rsid w:val="001B7561"/>
    <w:rsid w:val="001B762B"/>
    <w:rsid w:val="001B76C6"/>
    <w:rsid w:val="001B7D92"/>
    <w:rsid w:val="001C0067"/>
    <w:rsid w:val="001C0346"/>
    <w:rsid w:val="001C0A8D"/>
    <w:rsid w:val="001C113F"/>
    <w:rsid w:val="001C11A0"/>
    <w:rsid w:val="001C187C"/>
    <w:rsid w:val="001C218E"/>
    <w:rsid w:val="001C2368"/>
    <w:rsid w:val="001C2873"/>
    <w:rsid w:val="001C2AE9"/>
    <w:rsid w:val="001C2D90"/>
    <w:rsid w:val="001C2DD0"/>
    <w:rsid w:val="001C3003"/>
    <w:rsid w:val="001C3F2D"/>
    <w:rsid w:val="001C3F4A"/>
    <w:rsid w:val="001C43EE"/>
    <w:rsid w:val="001C4674"/>
    <w:rsid w:val="001C4918"/>
    <w:rsid w:val="001C4E84"/>
    <w:rsid w:val="001C51BA"/>
    <w:rsid w:val="001C570D"/>
    <w:rsid w:val="001C5759"/>
    <w:rsid w:val="001C5AA7"/>
    <w:rsid w:val="001C5F76"/>
    <w:rsid w:val="001C69A4"/>
    <w:rsid w:val="001C703B"/>
    <w:rsid w:val="001D02E7"/>
    <w:rsid w:val="001D0720"/>
    <w:rsid w:val="001D099A"/>
    <w:rsid w:val="001D0D81"/>
    <w:rsid w:val="001D14A4"/>
    <w:rsid w:val="001D18CA"/>
    <w:rsid w:val="001D2C24"/>
    <w:rsid w:val="001D2C61"/>
    <w:rsid w:val="001D32C0"/>
    <w:rsid w:val="001D344B"/>
    <w:rsid w:val="001D3733"/>
    <w:rsid w:val="001D3D32"/>
    <w:rsid w:val="001D3F8A"/>
    <w:rsid w:val="001D3FC8"/>
    <w:rsid w:val="001D487D"/>
    <w:rsid w:val="001D4E29"/>
    <w:rsid w:val="001D4FBD"/>
    <w:rsid w:val="001D5EB6"/>
    <w:rsid w:val="001D6611"/>
    <w:rsid w:val="001D6CBA"/>
    <w:rsid w:val="001D6E6D"/>
    <w:rsid w:val="001D70D9"/>
    <w:rsid w:val="001E0407"/>
    <w:rsid w:val="001E06C0"/>
    <w:rsid w:val="001E0B6A"/>
    <w:rsid w:val="001E0BD8"/>
    <w:rsid w:val="001E18DB"/>
    <w:rsid w:val="001E1BF2"/>
    <w:rsid w:val="001E2655"/>
    <w:rsid w:val="001E281F"/>
    <w:rsid w:val="001E2DF3"/>
    <w:rsid w:val="001E3CA7"/>
    <w:rsid w:val="001E3E6E"/>
    <w:rsid w:val="001E3E85"/>
    <w:rsid w:val="001E3FB2"/>
    <w:rsid w:val="001E41D7"/>
    <w:rsid w:val="001E4208"/>
    <w:rsid w:val="001E4456"/>
    <w:rsid w:val="001E46B2"/>
    <w:rsid w:val="001E66D8"/>
    <w:rsid w:val="001E706E"/>
    <w:rsid w:val="001E7617"/>
    <w:rsid w:val="001F1F58"/>
    <w:rsid w:val="001F25DB"/>
    <w:rsid w:val="001F30DE"/>
    <w:rsid w:val="001F4321"/>
    <w:rsid w:val="001F4590"/>
    <w:rsid w:val="001F529F"/>
    <w:rsid w:val="001F5513"/>
    <w:rsid w:val="001F57CC"/>
    <w:rsid w:val="001F5D7B"/>
    <w:rsid w:val="001F5DF2"/>
    <w:rsid w:val="001F5E77"/>
    <w:rsid w:val="001F6354"/>
    <w:rsid w:val="001F6D80"/>
    <w:rsid w:val="002003A1"/>
    <w:rsid w:val="00200452"/>
    <w:rsid w:val="00200D56"/>
    <w:rsid w:val="002011FB"/>
    <w:rsid w:val="002027B2"/>
    <w:rsid w:val="002029E8"/>
    <w:rsid w:val="002038E4"/>
    <w:rsid w:val="00203C80"/>
    <w:rsid w:val="00203CF4"/>
    <w:rsid w:val="00204046"/>
    <w:rsid w:val="00204D96"/>
    <w:rsid w:val="00205689"/>
    <w:rsid w:val="002069B9"/>
    <w:rsid w:val="00206AD6"/>
    <w:rsid w:val="00206C14"/>
    <w:rsid w:val="00207527"/>
    <w:rsid w:val="002104AC"/>
    <w:rsid w:val="002105F8"/>
    <w:rsid w:val="00210CA0"/>
    <w:rsid w:val="00210E81"/>
    <w:rsid w:val="00212481"/>
    <w:rsid w:val="00212C7D"/>
    <w:rsid w:val="0021360E"/>
    <w:rsid w:val="0021379F"/>
    <w:rsid w:val="00214305"/>
    <w:rsid w:val="002143D2"/>
    <w:rsid w:val="00215469"/>
    <w:rsid w:val="002157E8"/>
    <w:rsid w:val="0021650C"/>
    <w:rsid w:val="00216D4F"/>
    <w:rsid w:val="0021772D"/>
    <w:rsid w:val="002179C0"/>
    <w:rsid w:val="0022076F"/>
    <w:rsid w:val="002207EF"/>
    <w:rsid w:val="00220939"/>
    <w:rsid w:val="00220D96"/>
    <w:rsid w:val="002236E1"/>
    <w:rsid w:val="002237BF"/>
    <w:rsid w:val="00223EA7"/>
    <w:rsid w:val="0022523A"/>
    <w:rsid w:val="0022533B"/>
    <w:rsid w:val="00225761"/>
    <w:rsid w:val="00225897"/>
    <w:rsid w:val="002258CD"/>
    <w:rsid w:val="00225E11"/>
    <w:rsid w:val="00225EF6"/>
    <w:rsid w:val="00226016"/>
    <w:rsid w:val="002261C1"/>
    <w:rsid w:val="0022635D"/>
    <w:rsid w:val="00226D9E"/>
    <w:rsid w:val="0023029F"/>
    <w:rsid w:val="002308F0"/>
    <w:rsid w:val="0023103C"/>
    <w:rsid w:val="00233210"/>
    <w:rsid w:val="00233A8F"/>
    <w:rsid w:val="00233E7D"/>
    <w:rsid w:val="00233EAC"/>
    <w:rsid w:val="002344E0"/>
    <w:rsid w:val="002349F2"/>
    <w:rsid w:val="00234F44"/>
    <w:rsid w:val="00235784"/>
    <w:rsid w:val="002357BF"/>
    <w:rsid w:val="002357E6"/>
    <w:rsid w:val="00236B87"/>
    <w:rsid w:val="0023708B"/>
    <w:rsid w:val="00237358"/>
    <w:rsid w:val="002376EE"/>
    <w:rsid w:val="00237874"/>
    <w:rsid w:val="002403C6"/>
    <w:rsid w:val="00240487"/>
    <w:rsid w:val="0024064A"/>
    <w:rsid w:val="00240F54"/>
    <w:rsid w:val="00241096"/>
    <w:rsid w:val="00241D82"/>
    <w:rsid w:val="00242260"/>
    <w:rsid w:val="002434F1"/>
    <w:rsid w:val="00243A3D"/>
    <w:rsid w:val="002442B4"/>
    <w:rsid w:val="0024452F"/>
    <w:rsid w:val="00244C1A"/>
    <w:rsid w:val="0024599D"/>
    <w:rsid w:val="0024680D"/>
    <w:rsid w:val="00246E4A"/>
    <w:rsid w:val="00247FCB"/>
    <w:rsid w:val="0025014D"/>
    <w:rsid w:val="002505DD"/>
    <w:rsid w:val="00250DB4"/>
    <w:rsid w:val="00251B7D"/>
    <w:rsid w:val="00253D70"/>
    <w:rsid w:val="002545B2"/>
    <w:rsid w:val="002545E4"/>
    <w:rsid w:val="002550D7"/>
    <w:rsid w:val="002554E0"/>
    <w:rsid w:val="00255987"/>
    <w:rsid w:val="002562FE"/>
    <w:rsid w:val="00256510"/>
    <w:rsid w:val="00257695"/>
    <w:rsid w:val="00257C22"/>
    <w:rsid w:val="00257E28"/>
    <w:rsid w:val="00260319"/>
    <w:rsid w:val="00260D5A"/>
    <w:rsid w:val="00260DB0"/>
    <w:rsid w:val="00260EEB"/>
    <w:rsid w:val="00260FD7"/>
    <w:rsid w:val="0026269D"/>
    <w:rsid w:val="002630D0"/>
    <w:rsid w:val="002632EC"/>
    <w:rsid w:val="00263958"/>
    <w:rsid w:val="00263E19"/>
    <w:rsid w:val="002640BE"/>
    <w:rsid w:val="00264122"/>
    <w:rsid w:val="00264273"/>
    <w:rsid w:val="002649C0"/>
    <w:rsid w:val="00264B98"/>
    <w:rsid w:val="00264D11"/>
    <w:rsid w:val="00265E6E"/>
    <w:rsid w:val="00266167"/>
    <w:rsid w:val="002664AC"/>
    <w:rsid w:val="00266718"/>
    <w:rsid w:val="00267A90"/>
    <w:rsid w:val="002706D3"/>
    <w:rsid w:val="00270CA0"/>
    <w:rsid w:val="00270E8C"/>
    <w:rsid w:val="00271672"/>
    <w:rsid w:val="00271CE8"/>
    <w:rsid w:val="00272838"/>
    <w:rsid w:val="00272C22"/>
    <w:rsid w:val="00272D1F"/>
    <w:rsid w:val="00272F43"/>
    <w:rsid w:val="00273151"/>
    <w:rsid w:val="00273B56"/>
    <w:rsid w:val="00273EB6"/>
    <w:rsid w:val="0027429B"/>
    <w:rsid w:val="002742BC"/>
    <w:rsid w:val="00274614"/>
    <w:rsid w:val="0027496B"/>
    <w:rsid w:val="002751DA"/>
    <w:rsid w:val="00275CDA"/>
    <w:rsid w:val="0027665F"/>
    <w:rsid w:val="0027692B"/>
    <w:rsid w:val="00276C22"/>
    <w:rsid w:val="0027750B"/>
    <w:rsid w:val="002804FF"/>
    <w:rsid w:val="0028123A"/>
    <w:rsid w:val="00282079"/>
    <w:rsid w:val="002825D0"/>
    <w:rsid w:val="0028309A"/>
    <w:rsid w:val="00283FF6"/>
    <w:rsid w:val="00284225"/>
    <w:rsid w:val="0028498C"/>
    <w:rsid w:val="00284ECA"/>
    <w:rsid w:val="0028589B"/>
    <w:rsid w:val="00285D26"/>
    <w:rsid w:val="0028682B"/>
    <w:rsid w:val="002869ED"/>
    <w:rsid w:val="002871BB"/>
    <w:rsid w:val="0028740E"/>
    <w:rsid w:val="00287797"/>
    <w:rsid w:val="00287FEB"/>
    <w:rsid w:val="002905BF"/>
    <w:rsid w:val="00290D2B"/>
    <w:rsid w:val="00291181"/>
    <w:rsid w:val="00291D05"/>
    <w:rsid w:val="00294B9C"/>
    <w:rsid w:val="00294E36"/>
    <w:rsid w:val="002952A6"/>
    <w:rsid w:val="00295519"/>
    <w:rsid w:val="00295C7C"/>
    <w:rsid w:val="00295D58"/>
    <w:rsid w:val="002968CF"/>
    <w:rsid w:val="002976EC"/>
    <w:rsid w:val="00297C2C"/>
    <w:rsid w:val="002A00CA"/>
    <w:rsid w:val="002A012E"/>
    <w:rsid w:val="002A05BF"/>
    <w:rsid w:val="002A0876"/>
    <w:rsid w:val="002A0AC8"/>
    <w:rsid w:val="002A0BBB"/>
    <w:rsid w:val="002A10DF"/>
    <w:rsid w:val="002A1152"/>
    <w:rsid w:val="002A240E"/>
    <w:rsid w:val="002A2AA2"/>
    <w:rsid w:val="002A3193"/>
    <w:rsid w:val="002A3A9A"/>
    <w:rsid w:val="002A52C2"/>
    <w:rsid w:val="002A5635"/>
    <w:rsid w:val="002A5E7A"/>
    <w:rsid w:val="002A63BE"/>
    <w:rsid w:val="002A6470"/>
    <w:rsid w:val="002A703D"/>
    <w:rsid w:val="002A7355"/>
    <w:rsid w:val="002A7B53"/>
    <w:rsid w:val="002A7DF1"/>
    <w:rsid w:val="002B05BD"/>
    <w:rsid w:val="002B062B"/>
    <w:rsid w:val="002B1340"/>
    <w:rsid w:val="002B1499"/>
    <w:rsid w:val="002B1B14"/>
    <w:rsid w:val="002B205F"/>
    <w:rsid w:val="002B319D"/>
    <w:rsid w:val="002B3326"/>
    <w:rsid w:val="002B3974"/>
    <w:rsid w:val="002B3D3C"/>
    <w:rsid w:val="002B411A"/>
    <w:rsid w:val="002B44BC"/>
    <w:rsid w:val="002B482C"/>
    <w:rsid w:val="002B5353"/>
    <w:rsid w:val="002B55E2"/>
    <w:rsid w:val="002B5925"/>
    <w:rsid w:val="002B637A"/>
    <w:rsid w:val="002B6A40"/>
    <w:rsid w:val="002B6BB2"/>
    <w:rsid w:val="002B7610"/>
    <w:rsid w:val="002B7F11"/>
    <w:rsid w:val="002C0469"/>
    <w:rsid w:val="002C1740"/>
    <w:rsid w:val="002C1978"/>
    <w:rsid w:val="002C1A32"/>
    <w:rsid w:val="002C33B2"/>
    <w:rsid w:val="002C3B28"/>
    <w:rsid w:val="002C434B"/>
    <w:rsid w:val="002C51E5"/>
    <w:rsid w:val="002C6C7C"/>
    <w:rsid w:val="002C6DE3"/>
    <w:rsid w:val="002C6DF1"/>
    <w:rsid w:val="002C7149"/>
    <w:rsid w:val="002C71E0"/>
    <w:rsid w:val="002C7224"/>
    <w:rsid w:val="002C7C1C"/>
    <w:rsid w:val="002C7C5F"/>
    <w:rsid w:val="002C7E8A"/>
    <w:rsid w:val="002D0014"/>
    <w:rsid w:val="002D029E"/>
    <w:rsid w:val="002D04DE"/>
    <w:rsid w:val="002D07EB"/>
    <w:rsid w:val="002D18E4"/>
    <w:rsid w:val="002D1973"/>
    <w:rsid w:val="002D1FE4"/>
    <w:rsid w:val="002D2F2D"/>
    <w:rsid w:val="002D2F6D"/>
    <w:rsid w:val="002D3682"/>
    <w:rsid w:val="002D380E"/>
    <w:rsid w:val="002D3AC5"/>
    <w:rsid w:val="002D4BE6"/>
    <w:rsid w:val="002D4DA8"/>
    <w:rsid w:val="002D5E8E"/>
    <w:rsid w:val="002D7DB9"/>
    <w:rsid w:val="002D7E05"/>
    <w:rsid w:val="002E00AE"/>
    <w:rsid w:val="002E08A3"/>
    <w:rsid w:val="002E1A43"/>
    <w:rsid w:val="002E2C7D"/>
    <w:rsid w:val="002E2F43"/>
    <w:rsid w:val="002E3B7C"/>
    <w:rsid w:val="002E42AA"/>
    <w:rsid w:val="002E44DD"/>
    <w:rsid w:val="002E4BE9"/>
    <w:rsid w:val="002E4F3B"/>
    <w:rsid w:val="002E54D2"/>
    <w:rsid w:val="002E5AE5"/>
    <w:rsid w:val="002E6EF9"/>
    <w:rsid w:val="002E6FEB"/>
    <w:rsid w:val="002E701E"/>
    <w:rsid w:val="002E73C5"/>
    <w:rsid w:val="002E73CC"/>
    <w:rsid w:val="002E74C8"/>
    <w:rsid w:val="002E78CF"/>
    <w:rsid w:val="002E7E7A"/>
    <w:rsid w:val="002F0665"/>
    <w:rsid w:val="002F10E3"/>
    <w:rsid w:val="002F13DA"/>
    <w:rsid w:val="002F20B4"/>
    <w:rsid w:val="002F28E1"/>
    <w:rsid w:val="002F39B1"/>
    <w:rsid w:val="002F41F3"/>
    <w:rsid w:val="002F4FA6"/>
    <w:rsid w:val="002F56A3"/>
    <w:rsid w:val="002F76DE"/>
    <w:rsid w:val="002F791D"/>
    <w:rsid w:val="003008FE"/>
    <w:rsid w:val="00300B4C"/>
    <w:rsid w:val="00301000"/>
    <w:rsid w:val="003011F0"/>
    <w:rsid w:val="0030142F"/>
    <w:rsid w:val="0030169D"/>
    <w:rsid w:val="003019AA"/>
    <w:rsid w:val="00302146"/>
    <w:rsid w:val="00302254"/>
    <w:rsid w:val="00302475"/>
    <w:rsid w:val="0030257D"/>
    <w:rsid w:val="00302718"/>
    <w:rsid w:val="00302C88"/>
    <w:rsid w:val="00303F07"/>
    <w:rsid w:val="00304146"/>
    <w:rsid w:val="00304229"/>
    <w:rsid w:val="0030437C"/>
    <w:rsid w:val="00305677"/>
    <w:rsid w:val="0030599E"/>
    <w:rsid w:val="003059CA"/>
    <w:rsid w:val="00305A2E"/>
    <w:rsid w:val="00305AAF"/>
    <w:rsid w:val="003060EB"/>
    <w:rsid w:val="003072B9"/>
    <w:rsid w:val="00307BCB"/>
    <w:rsid w:val="00307CC6"/>
    <w:rsid w:val="00307E6B"/>
    <w:rsid w:val="00310368"/>
    <w:rsid w:val="00310A1C"/>
    <w:rsid w:val="00311553"/>
    <w:rsid w:val="00311624"/>
    <w:rsid w:val="003125EC"/>
    <w:rsid w:val="00312AA0"/>
    <w:rsid w:val="00313074"/>
    <w:rsid w:val="0031512A"/>
    <w:rsid w:val="00315226"/>
    <w:rsid w:val="003153EB"/>
    <w:rsid w:val="003159CC"/>
    <w:rsid w:val="00315D72"/>
    <w:rsid w:val="00316B5F"/>
    <w:rsid w:val="00316C9D"/>
    <w:rsid w:val="0031725B"/>
    <w:rsid w:val="00317CBD"/>
    <w:rsid w:val="00317E41"/>
    <w:rsid w:val="003203F1"/>
    <w:rsid w:val="003206F3"/>
    <w:rsid w:val="00320E0B"/>
    <w:rsid w:val="00321742"/>
    <w:rsid w:val="00321985"/>
    <w:rsid w:val="00322425"/>
    <w:rsid w:val="00323552"/>
    <w:rsid w:val="00323C25"/>
    <w:rsid w:val="003251BD"/>
    <w:rsid w:val="00325616"/>
    <w:rsid w:val="003256D0"/>
    <w:rsid w:val="003266B5"/>
    <w:rsid w:val="00326A90"/>
    <w:rsid w:val="00326BBC"/>
    <w:rsid w:val="0032736E"/>
    <w:rsid w:val="00327BBA"/>
    <w:rsid w:val="0033033F"/>
    <w:rsid w:val="00330E02"/>
    <w:rsid w:val="00332731"/>
    <w:rsid w:val="00332889"/>
    <w:rsid w:val="00332B42"/>
    <w:rsid w:val="00333A12"/>
    <w:rsid w:val="0033410E"/>
    <w:rsid w:val="00334EE6"/>
    <w:rsid w:val="00335361"/>
    <w:rsid w:val="003361EB"/>
    <w:rsid w:val="00336A96"/>
    <w:rsid w:val="00336B5D"/>
    <w:rsid w:val="00336FE7"/>
    <w:rsid w:val="00337075"/>
    <w:rsid w:val="0033750E"/>
    <w:rsid w:val="00340203"/>
    <w:rsid w:val="003405D5"/>
    <w:rsid w:val="00340EA1"/>
    <w:rsid w:val="003414E5"/>
    <w:rsid w:val="00341E5D"/>
    <w:rsid w:val="003429A8"/>
    <w:rsid w:val="00343894"/>
    <w:rsid w:val="003445B3"/>
    <w:rsid w:val="00344DAB"/>
    <w:rsid w:val="003457DB"/>
    <w:rsid w:val="00345D68"/>
    <w:rsid w:val="0034627B"/>
    <w:rsid w:val="00346766"/>
    <w:rsid w:val="00347174"/>
    <w:rsid w:val="0034736B"/>
    <w:rsid w:val="00347509"/>
    <w:rsid w:val="00347DED"/>
    <w:rsid w:val="00347EC8"/>
    <w:rsid w:val="003504AB"/>
    <w:rsid w:val="00350B22"/>
    <w:rsid w:val="00350B6C"/>
    <w:rsid w:val="00350B95"/>
    <w:rsid w:val="00351205"/>
    <w:rsid w:val="003512A7"/>
    <w:rsid w:val="003512C7"/>
    <w:rsid w:val="0035156F"/>
    <w:rsid w:val="003522F8"/>
    <w:rsid w:val="00352486"/>
    <w:rsid w:val="00352C4D"/>
    <w:rsid w:val="00352DB9"/>
    <w:rsid w:val="00353112"/>
    <w:rsid w:val="0035324E"/>
    <w:rsid w:val="00354132"/>
    <w:rsid w:val="00354F21"/>
    <w:rsid w:val="003550B6"/>
    <w:rsid w:val="00355404"/>
    <w:rsid w:val="00355A5B"/>
    <w:rsid w:val="00355E5F"/>
    <w:rsid w:val="00355F64"/>
    <w:rsid w:val="00355F78"/>
    <w:rsid w:val="0035649A"/>
    <w:rsid w:val="00356B16"/>
    <w:rsid w:val="00356BFC"/>
    <w:rsid w:val="0035782E"/>
    <w:rsid w:val="00360C07"/>
    <w:rsid w:val="00360CE8"/>
    <w:rsid w:val="003613C1"/>
    <w:rsid w:val="00362C87"/>
    <w:rsid w:val="00363B11"/>
    <w:rsid w:val="00364799"/>
    <w:rsid w:val="00364AE3"/>
    <w:rsid w:val="00364F6E"/>
    <w:rsid w:val="00364F92"/>
    <w:rsid w:val="003654CB"/>
    <w:rsid w:val="003655EC"/>
    <w:rsid w:val="00365F23"/>
    <w:rsid w:val="00365F7D"/>
    <w:rsid w:val="003661DB"/>
    <w:rsid w:val="00366556"/>
    <w:rsid w:val="00366980"/>
    <w:rsid w:val="003678D2"/>
    <w:rsid w:val="00367ECD"/>
    <w:rsid w:val="003706B7"/>
    <w:rsid w:val="003707A0"/>
    <w:rsid w:val="00370863"/>
    <w:rsid w:val="003708A8"/>
    <w:rsid w:val="0037092F"/>
    <w:rsid w:val="00370F84"/>
    <w:rsid w:val="003713F3"/>
    <w:rsid w:val="00372F74"/>
    <w:rsid w:val="00373226"/>
    <w:rsid w:val="003732F8"/>
    <w:rsid w:val="00373911"/>
    <w:rsid w:val="00373ACF"/>
    <w:rsid w:val="00374844"/>
    <w:rsid w:val="00374CE6"/>
    <w:rsid w:val="0037510A"/>
    <w:rsid w:val="003755A3"/>
    <w:rsid w:val="00375FDE"/>
    <w:rsid w:val="00376912"/>
    <w:rsid w:val="00376EDD"/>
    <w:rsid w:val="0037714F"/>
    <w:rsid w:val="003771BB"/>
    <w:rsid w:val="00377484"/>
    <w:rsid w:val="003807C7"/>
    <w:rsid w:val="00380F50"/>
    <w:rsid w:val="00382127"/>
    <w:rsid w:val="00383A6C"/>
    <w:rsid w:val="00384270"/>
    <w:rsid w:val="00384854"/>
    <w:rsid w:val="00385992"/>
    <w:rsid w:val="00385D37"/>
    <w:rsid w:val="003862F1"/>
    <w:rsid w:val="003864F1"/>
    <w:rsid w:val="003866E4"/>
    <w:rsid w:val="00386944"/>
    <w:rsid w:val="00386A4D"/>
    <w:rsid w:val="0038771F"/>
    <w:rsid w:val="00387778"/>
    <w:rsid w:val="00387CD3"/>
    <w:rsid w:val="00387E73"/>
    <w:rsid w:val="00391294"/>
    <w:rsid w:val="0039194D"/>
    <w:rsid w:val="00391A8B"/>
    <w:rsid w:val="00391C7D"/>
    <w:rsid w:val="00391DD1"/>
    <w:rsid w:val="00391F60"/>
    <w:rsid w:val="00392CDA"/>
    <w:rsid w:val="00392E06"/>
    <w:rsid w:val="00393277"/>
    <w:rsid w:val="003933B3"/>
    <w:rsid w:val="00393A80"/>
    <w:rsid w:val="00393C9D"/>
    <w:rsid w:val="00394170"/>
    <w:rsid w:val="00395141"/>
    <w:rsid w:val="003952C7"/>
    <w:rsid w:val="00395E49"/>
    <w:rsid w:val="00396274"/>
    <w:rsid w:val="003970F3"/>
    <w:rsid w:val="0039764B"/>
    <w:rsid w:val="00397991"/>
    <w:rsid w:val="003A02D3"/>
    <w:rsid w:val="003A03D3"/>
    <w:rsid w:val="003A0608"/>
    <w:rsid w:val="003A06A3"/>
    <w:rsid w:val="003A06C3"/>
    <w:rsid w:val="003A0734"/>
    <w:rsid w:val="003A0CEF"/>
    <w:rsid w:val="003A147B"/>
    <w:rsid w:val="003A152C"/>
    <w:rsid w:val="003A1758"/>
    <w:rsid w:val="003A17CE"/>
    <w:rsid w:val="003A1A58"/>
    <w:rsid w:val="003A2197"/>
    <w:rsid w:val="003A283F"/>
    <w:rsid w:val="003A3610"/>
    <w:rsid w:val="003A3E91"/>
    <w:rsid w:val="003A4054"/>
    <w:rsid w:val="003A442D"/>
    <w:rsid w:val="003A4A93"/>
    <w:rsid w:val="003A4CFF"/>
    <w:rsid w:val="003A59A3"/>
    <w:rsid w:val="003A5FA3"/>
    <w:rsid w:val="003A74A2"/>
    <w:rsid w:val="003A7758"/>
    <w:rsid w:val="003B035F"/>
    <w:rsid w:val="003B0A05"/>
    <w:rsid w:val="003B0D11"/>
    <w:rsid w:val="003B0EFF"/>
    <w:rsid w:val="003B10C1"/>
    <w:rsid w:val="003B1246"/>
    <w:rsid w:val="003B1C50"/>
    <w:rsid w:val="003B2C91"/>
    <w:rsid w:val="003B48EE"/>
    <w:rsid w:val="003B4DB2"/>
    <w:rsid w:val="003B4E19"/>
    <w:rsid w:val="003B4FE5"/>
    <w:rsid w:val="003B5A24"/>
    <w:rsid w:val="003B6345"/>
    <w:rsid w:val="003B6E54"/>
    <w:rsid w:val="003B76A9"/>
    <w:rsid w:val="003B7F20"/>
    <w:rsid w:val="003C07A5"/>
    <w:rsid w:val="003C07D6"/>
    <w:rsid w:val="003C1224"/>
    <w:rsid w:val="003C1405"/>
    <w:rsid w:val="003C198A"/>
    <w:rsid w:val="003C21A7"/>
    <w:rsid w:val="003C27B9"/>
    <w:rsid w:val="003C2874"/>
    <w:rsid w:val="003C28BF"/>
    <w:rsid w:val="003C2948"/>
    <w:rsid w:val="003C32B4"/>
    <w:rsid w:val="003C3706"/>
    <w:rsid w:val="003C3773"/>
    <w:rsid w:val="003C4AF5"/>
    <w:rsid w:val="003C5322"/>
    <w:rsid w:val="003C545C"/>
    <w:rsid w:val="003C5529"/>
    <w:rsid w:val="003C56AA"/>
    <w:rsid w:val="003C5829"/>
    <w:rsid w:val="003C5FC6"/>
    <w:rsid w:val="003C64D1"/>
    <w:rsid w:val="003C6673"/>
    <w:rsid w:val="003C6CF5"/>
    <w:rsid w:val="003C6F3A"/>
    <w:rsid w:val="003C7619"/>
    <w:rsid w:val="003C7FE3"/>
    <w:rsid w:val="003D0437"/>
    <w:rsid w:val="003D078A"/>
    <w:rsid w:val="003D0EC1"/>
    <w:rsid w:val="003D1508"/>
    <w:rsid w:val="003D18F9"/>
    <w:rsid w:val="003D2028"/>
    <w:rsid w:val="003D2AC5"/>
    <w:rsid w:val="003D2AEB"/>
    <w:rsid w:val="003D2B51"/>
    <w:rsid w:val="003D2CB5"/>
    <w:rsid w:val="003D3FAA"/>
    <w:rsid w:val="003D44CA"/>
    <w:rsid w:val="003D48A5"/>
    <w:rsid w:val="003D6291"/>
    <w:rsid w:val="003D62D1"/>
    <w:rsid w:val="003D666F"/>
    <w:rsid w:val="003D68FC"/>
    <w:rsid w:val="003D7150"/>
    <w:rsid w:val="003D72B4"/>
    <w:rsid w:val="003D761A"/>
    <w:rsid w:val="003D7E55"/>
    <w:rsid w:val="003E0207"/>
    <w:rsid w:val="003E0C3F"/>
    <w:rsid w:val="003E1640"/>
    <w:rsid w:val="003E2D55"/>
    <w:rsid w:val="003E3473"/>
    <w:rsid w:val="003E389F"/>
    <w:rsid w:val="003E3993"/>
    <w:rsid w:val="003E3FD7"/>
    <w:rsid w:val="003E4383"/>
    <w:rsid w:val="003E46AB"/>
    <w:rsid w:val="003E48C6"/>
    <w:rsid w:val="003E49BA"/>
    <w:rsid w:val="003E4C11"/>
    <w:rsid w:val="003E4C30"/>
    <w:rsid w:val="003E6541"/>
    <w:rsid w:val="003E6838"/>
    <w:rsid w:val="003E694C"/>
    <w:rsid w:val="003E6A20"/>
    <w:rsid w:val="003E6C47"/>
    <w:rsid w:val="003E7024"/>
    <w:rsid w:val="003E7051"/>
    <w:rsid w:val="003E7330"/>
    <w:rsid w:val="003E7CE0"/>
    <w:rsid w:val="003F0529"/>
    <w:rsid w:val="003F0579"/>
    <w:rsid w:val="003F0AA0"/>
    <w:rsid w:val="003F0BCF"/>
    <w:rsid w:val="003F1109"/>
    <w:rsid w:val="003F1CD7"/>
    <w:rsid w:val="003F1E15"/>
    <w:rsid w:val="003F1E37"/>
    <w:rsid w:val="003F2654"/>
    <w:rsid w:val="003F2978"/>
    <w:rsid w:val="003F2D8D"/>
    <w:rsid w:val="003F2DDD"/>
    <w:rsid w:val="003F3D2F"/>
    <w:rsid w:val="003F3E7F"/>
    <w:rsid w:val="003F3FE9"/>
    <w:rsid w:val="003F53A4"/>
    <w:rsid w:val="003F5A67"/>
    <w:rsid w:val="003F5D20"/>
    <w:rsid w:val="003F6353"/>
    <w:rsid w:val="003F6C68"/>
    <w:rsid w:val="003F6E71"/>
    <w:rsid w:val="003F705A"/>
    <w:rsid w:val="003F720F"/>
    <w:rsid w:val="003F7224"/>
    <w:rsid w:val="003F7C67"/>
    <w:rsid w:val="0040084B"/>
    <w:rsid w:val="00400C1E"/>
    <w:rsid w:val="00400D45"/>
    <w:rsid w:val="00400FAF"/>
    <w:rsid w:val="0040167B"/>
    <w:rsid w:val="0040183C"/>
    <w:rsid w:val="0040198C"/>
    <w:rsid w:val="00401B68"/>
    <w:rsid w:val="0040216D"/>
    <w:rsid w:val="00402224"/>
    <w:rsid w:val="00402709"/>
    <w:rsid w:val="00403459"/>
    <w:rsid w:val="00403612"/>
    <w:rsid w:val="00403EC0"/>
    <w:rsid w:val="00404042"/>
    <w:rsid w:val="0040412D"/>
    <w:rsid w:val="00404A1C"/>
    <w:rsid w:val="00404C69"/>
    <w:rsid w:val="00405BA3"/>
    <w:rsid w:val="00406382"/>
    <w:rsid w:val="00406CF7"/>
    <w:rsid w:val="004072D5"/>
    <w:rsid w:val="004073B8"/>
    <w:rsid w:val="004076AA"/>
    <w:rsid w:val="00407CF3"/>
    <w:rsid w:val="00410565"/>
    <w:rsid w:val="004110B6"/>
    <w:rsid w:val="00411405"/>
    <w:rsid w:val="004122AC"/>
    <w:rsid w:val="00412952"/>
    <w:rsid w:val="00413A97"/>
    <w:rsid w:val="00413F27"/>
    <w:rsid w:val="00414098"/>
    <w:rsid w:val="00414416"/>
    <w:rsid w:val="004149A6"/>
    <w:rsid w:val="00414B24"/>
    <w:rsid w:val="00414B53"/>
    <w:rsid w:val="00414EA0"/>
    <w:rsid w:val="00415005"/>
    <w:rsid w:val="00415151"/>
    <w:rsid w:val="0041520E"/>
    <w:rsid w:val="0041584F"/>
    <w:rsid w:val="00415912"/>
    <w:rsid w:val="00415B6F"/>
    <w:rsid w:val="00416623"/>
    <w:rsid w:val="0041670D"/>
    <w:rsid w:val="00416B4C"/>
    <w:rsid w:val="00417072"/>
    <w:rsid w:val="0041727D"/>
    <w:rsid w:val="00420087"/>
    <w:rsid w:val="004200DA"/>
    <w:rsid w:val="004201E1"/>
    <w:rsid w:val="004202B9"/>
    <w:rsid w:val="004205EA"/>
    <w:rsid w:val="0042088C"/>
    <w:rsid w:val="0042110B"/>
    <w:rsid w:val="00421500"/>
    <w:rsid w:val="00421777"/>
    <w:rsid w:val="00421857"/>
    <w:rsid w:val="00421FEC"/>
    <w:rsid w:val="00422186"/>
    <w:rsid w:val="004225A6"/>
    <w:rsid w:val="00423288"/>
    <w:rsid w:val="004239BB"/>
    <w:rsid w:val="004240AA"/>
    <w:rsid w:val="004244D4"/>
    <w:rsid w:val="004252FF"/>
    <w:rsid w:val="004256A2"/>
    <w:rsid w:val="00425CEA"/>
    <w:rsid w:val="00426F25"/>
    <w:rsid w:val="004279A3"/>
    <w:rsid w:val="00427D21"/>
    <w:rsid w:val="00430633"/>
    <w:rsid w:val="00430AEF"/>
    <w:rsid w:val="00431912"/>
    <w:rsid w:val="004319AA"/>
    <w:rsid w:val="004322F5"/>
    <w:rsid w:val="00432E18"/>
    <w:rsid w:val="004336D4"/>
    <w:rsid w:val="004339DD"/>
    <w:rsid w:val="00433A32"/>
    <w:rsid w:val="00434415"/>
    <w:rsid w:val="00434525"/>
    <w:rsid w:val="00434A4B"/>
    <w:rsid w:val="00435989"/>
    <w:rsid w:val="00436873"/>
    <w:rsid w:val="00436CAD"/>
    <w:rsid w:val="00437173"/>
    <w:rsid w:val="004372C9"/>
    <w:rsid w:val="00437B2B"/>
    <w:rsid w:val="004416F3"/>
    <w:rsid w:val="00441F35"/>
    <w:rsid w:val="0044231C"/>
    <w:rsid w:val="00442D3F"/>
    <w:rsid w:val="00443707"/>
    <w:rsid w:val="00443EF9"/>
    <w:rsid w:val="00444200"/>
    <w:rsid w:val="004443BF"/>
    <w:rsid w:val="004445BA"/>
    <w:rsid w:val="00445251"/>
    <w:rsid w:val="00445810"/>
    <w:rsid w:val="00445889"/>
    <w:rsid w:val="00445C13"/>
    <w:rsid w:val="00445FB2"/>
    <w:rsid w:val="00446107"/>
    <w:rsid w:val="0044625E"/>
    <w:rsid w:val="004462BD"/>
    <w:rsid w:val="00446398"/>
    <w:rsid w:val="00446B3C"/>
    <w:rsid w:val="00446CAF"/>
    <w:rsid w:val="0044721F"/>
    <w:rsid w:val="004479DB"/>
    <w:rsid w:val="00447F4A"/>
    <w:rsid w:val="004500D7"/>
    <w:rsid w:val="004505D2"/>
    <w:rsid w:val="0045079E"/>
    <w:rsid w:val="00451910"/>
    <w:rsid w:val="00452167"/>
    <w:rsid w:val="004530D0"/>
    <w:rsid w:val="004531DC"/>
    <w:rsid w:val="004534BC"/>
    <w:rsid w:val="004546F0"/>
    <w:rsid w:val="00454804"/>
    <w:rsid w:val="00454AEE"/>
    <w:rsid w:val="0045554C"/>
    <w:rsid w:val="00455AF2"/>
    <w:rsid w:val="00455FCD"/>
    <w:rsid w:val="004561FF"/>
    <w:rsid w:val="00456938"/>
    <w:rsid w:val="00456BD7"/>
    <w:rsid w:val="00456F67"/>
    <w:rsid w:val="00460330"/>
    <w:rsid w:val="004607AB"/>
    <w:rsid w:val="00460E1B"/>
    <w:rsid w:val="00461669"/>
    <w:rsid w:val="0046194D"/>
    <w:rsid w:val="00461E78"/>
    <w:rsid w:val="0046249A"/>
    <w:rsid w:val="004629B8"/>
    <w:rsid w:val="00462A31"/>
    <w:rsid w:val="00462E10"/>
    <w:rsid w:val="0046300C"/>
    <w:rsid w:val="0046314F"/>
    <w:rsid w:val="00463694"/>
    <w:rsid w:val="00463CBB"/>
    <w:rsid w:val="00463D43"/>
    <w:rsid w:val="004644C2"/>
    <w:rsid w:val="00464C0A"/>
    <w:rsid w:val="00464D9C"/>
    <w:rsid w:val="00465209"/>
    <w:rsid w:val="004652F9"/>
    <w:rsid w:val="004657BC"/>
    <w:rsid w:val="00465A0B"/>
    <w:rsid w:val="00465A96"/>
    <w:rsid w:val="00465BB4"/>
    <w:rsid w:val="00465E49"/>
    <w:rsid w:val="00465FE9"/>
    <w:rsid w:val="00466C39"/>
    <w:rsid w:val="0046724F"/>
    <w:rsid w:val="004676D7"/>
    <w:rsid w:val="00467F9C"/>
    <w:rsid w:val="004708A7"/>
    <w:rsid w:val="00470AD0"/>
    <w:rsid w:val="00470FCF"/>
    <w:rsid w:val="004711EA"/>
    <w:rsid w:val="00471338"/>
    <w:rsid w:val="00472029"/>
    <w:rsid w:val="0047244B"/>
    <w:rsid w:val="0047271D"/>
    <w:rsid w:val="00473014"/>
    <w:rsid w:val="00473218"/>
    <w:rsid w:val="0047383D"/>
    <w:rsid w:val="00473A8E"/>
    <w:rsid w:val="00473B2D"/>
    <w:rsid w:val="00473F6B"/>
    <w:rsid w:val="00474337"/>
    <w:rsid w:val="004746F3"/>
    <w:rsid w:val="00475152"/>
    <w:rsid w:val="004756DC"/>
    <w:rsid w:val="00475BC7"/>
    <w:rsid w:val="00476164"/>
    <w:rsid w:val="004768B8"/>
    <w:rsid w:val="00476EA7"/>
    <w:rsid w:val="004775E2"/>
    <w:rsid w:val="00477A99"/>
    <w:rsid w:val="00477FDF"/>
    <w:rsid w:val="00480145"/>
    <w:rsid w:val="00480342"/>
    <w:rsid w:val="00480893"/>
    <w:rsid w:val="004819CC"/>
    <w:rsid w:val="00482E87"/>
    <w:rsid w:val="00482F28"/>
    <w:rsid w:val="00483672"/>
    <w:rsid w:val="004845A9"/>
    <w:rsid w:val="00484750"/>
    <w:rsid w:val="00484C79"/>
    <w:rsid w:val="004853DC"/>
    <w:rsid w:val="0048595D"/>
    <w:rsid w:val="00485991"/>
    <w:rsid w:val="004865B9"/>
    <w:rsid w:val="004865F8"/>
    <w:rsid w:val="0048681C"/>
    <w:rsid w:val="0048723F"/>
    <w:rsid w:val="004878FF"/>
    <w:rsid w:val="00490680"/>
    <w:rsid w:val="00490B40"/>
    <w:rsid w:val="00490F20"/>
    <w:rsid w:val="00491F3D"/>
    <w:rsid w:val="00491F7C"/>
    <w:rsid w:val="004930F9"/>
    <w:rsid w:val="00493D55"/>
    <w:rsid w:val="004943AD"/>
    <w:rsid w:val="00494410"/>
    <w:rsid w:val="004949E3"/>
    <w:rsid w:val="00494CE9"/>
    <w:rsid w:val="00494D45"/>
    <w:rsid w:val="00494DEF"/>
    <w:rsid w:val="00495854"/>
    <w:rsid w:val="00495AC9"/>
    <w:rsid w:val="00495F1A"/>
    <w:rsid w:val="00496C3E"/>
    <w:rsid w:val="00496E2C"/>
    <w:rsid w:val="0049712C"/>
    <w:rsid w:val="0049734A"/>
    <w:rsid w:val="00497DCA"/>
    <w:rsid w:val="004A09BF"/>
    <w:rsid w:val="004A0BAE"/>
    <w:rsid w:val="004A1E32"/>
    <w:rsid w:val="004A2796"/>
    <w:rsid w:val="004A2819"/>
    <w:rsid w:val="004A313E"/>
    <w:rsid w:val="004A3215"/>
    <w:rsid w:val="004A35E4"/>
    <w:rsid w:val="004A384D"/>
    <w:rsid w:val="004A3A3F"/>
    <w:rsid w:val="004A438E"/>
    <w:rsid w:val="004A4A81"/>
    <w:rsid w:val="004A4F25"/>
    <w:rsid w:val="004A51D6"/>
    <w:rsid w:val="004A5463"/>
    <w:rsid w:val="004A56C9"/>
    <w:rsid w:val="004A5F72"/>
    <w:rsid w:val="004A7946"/>
    <w:rsid w:val="004B03CB"/>
    <w:rsid w:val="004B03CE"/>
    <w:rsid w:val="004B0697"/>
    <w:rsid w:val="004B09E4"/>
    <w:rsid w:val="004B0D10"/>
    <w:rsid w:val="004B148A"/>
    <w:rsid w:val="004B17AA"/>
    <w:rsid w:val="004B2026"/>
    <w:rsid w:val="004B25C4"/>
    <w:rsid w:val="004B27F3"/>
    <w:rsid w:val="004B2809"/>
    <w:rsid w:val="004B2875"/>
    <w:rsid w:val="004B2897"/>
    <w:rsid w:val="004B29FD"/>
    <w:rsid w:val="004B2F93"/>
    <w:rsid w:val="004B37CB"/>
    <w:rsid w:val="004B3EB5"/>
    <w:rsid w:val="004B59C6"/>
    <w:rsid w:val="004B667A"/>
    <w:rsid w:val="004B69A1"/>
    <w:rsid w:val="004B6C6D"/>
    <w:rsid w:val="004B7224"/>
    <w:rsid w:val="004B7DA9"/>
    <w:rsid w:val="004C02DB"/>
    <w:rsid w:val="004C0591"/>
    <w:rsid w:val="004C07FA"/>
    <w:rsid w:val="004C0A53"/>
    <w:rsid w:val="004C18A0"/>
    <w:rsid w:val="004C1D32"/>
    <w:rsid w:val="004C228C"/>
    <w:rsid w:val="004C3560"/>
    <w:rsid w:val="004C408B"/>
    <w:rsid w:val="004C416D"/>
    <w:rsid w:val="004C447A"/>
    <w:rsid w:val="004C45EC"/>
    <w:rsid w:val="004C479F"/>
    <w:rsid w:val="004C4A03"/>
    <w:rsid w:val="004C4C08"/>
    <w:rsid w:val="004C4F8B"/>
    <w:rsid w:val="004C5EA3"/>
    <w:rsid w:val="004C6AA4"/>
    <w:rsid w:val="004C79B2"/>
    <w:rsid w:val="004D0C01"/>
    <w:rsid w:val="004D1B09"/>
    <w:rsid w:val="004D2409"/>
    <w:rsid w:val="004D26A6"/>
    <w:rsid w:val="004D29C0"/>
    <w:rsid w:val="004D2A26"/>
    <w:rsid w:val="004D350F"/>
    <w:rsid w:val="004D3F92"/>
    <w:rsid w:val="004D4269"/>
    <w:rsid w:val="004D4CB8"/>
    <w:rsid w:val="004D5B40"/>
    <w:rsid w:val="004D5E56"/>
    <w:rsid w:val="004D60D2"/>
    <w:rsid w:val="004D625C"/>
    <w:rsid w:val="004D6C50"/>
    <w:rsid w:val="004D6CF0"/>
    <w:rsid w:val="004D749E"/>
    <w:rsid w:val="004D7D03"/>
    <w:rsid w:val="004D7ED9"/>
    <w:rsid w:val="004E0075"/>
    <w:rsid w:val="004E01C0"/>
    <w:rsid w:val="004E0536"/>
    <w:rsid w:val="004E1A04"/>
    <w:rsid w:val="004E1E88"/>
    <w:rsid w:val="004E230B"/>
    <w:rsid w:val="004E25D7"/>
    <w:rsid w:val="004E34D6"/>
    <w:rsid w:val="004E4DF0"/>
    <w:rsid w:val="004E521F"/>
    <w:rsid w:val="004E53B2"/>
    <w:rsid w:val="004E561E"/>
    <w:rsid w:val="004E5B24"/>
    <w:rsid w:val="004E674A"/>
    <w:rsid w:val="004E6891"/>
    <w:rsid w:val="004E68E8"/>
    <w:rsid w:val="004E69AD"/>
    <w:rsid w:val="004F0284"/>
    <w:rsid w:val="004F0870"/>
    <w:rsid w:val="004F0DC1"/>
    <w:rsid w:val="004F0E1C"/>
    <w:rsid w:val="004F10DE"/>
    <w:rsid w:val="004F14A1"/>
    <w:rsid w:val="004F199E"/>
    <w:rsid w:val="004F3BC1"/>
    <w:rsid w:val="004F3ECE"/>
    <w:rsid w:val="004F3F62"/>
    <w:rsid w:val="004F4918"/>
    <w:rsid w:val="004F4974"/>
    <w:rsid w:val="004F4C58"/>
    <w:rsid w:val="004F4E52"/>
    <w:rsid w:val="004F5125"/>
    <w:rsid w:val="004F56D9"/>
    <w:rsid w:val="004F584D"/>
    <w:rsid w:val="004F58B6"/>
    <w:rsid w:val="004F6207"/>
    <w:rsid w:val="004F69DC"/>
    <w:rsid w:val="004F6E1F"/>
    <w:rsid w:val="004F7405"/>
    <w:rsid w:val="004F7757"/>
    <w:rsid w:val="004F78FA"/>
    <w:rsid w:val="00500618"/>
    <w:rsid w:val="00500CAC"/>
    <w:rsid w:val="0050193C"/>
    <w:rsid w:val="00501EA7"/>
    <w:rsid w:val="005032A0"/>
    <w:rsid w:val="005032CB"/>
    <w:rsid w:val="0050340C"/>
    <w:rsid w:val="00504395"/>
    <w:rsid w:val="00504407"/>
    <w:rsid w:val="0050440C"/>
    <w:rsid w:val="00504721"/>
    <w:rsid w:val="005049CE"/>
    <w:rsid w:val="00504D4B"/>
    <w:rsid w:val="00504D74"/>
    <w:rsid w:val="00505569"/>
    <w:rsid w:val="0050628C"/>
    <w:rsid w:val="005063E4"/>
    <w:rsid w:val="0050673B"/>
    <w:rsid w:val="0050682C"/>
    <w:rsid w:val="005071F6"/>
    <w:rsid w:val="005074CF"/>
    <w:rsid w:val="00507BB8"/>
    <w:rsid w:val="0051006C"/>
    <w:rsid w:val="0051035D"/>
    <w:rsid w:val="00510393"/>
    <w:rsid w:val="00510FD4"/>
    <w:rsid w:val="00511A16"/>
    <w:rsid w:val="00511CAA"/>
    <w:rsid w:val="00512099"/>
    <w:rsid w:val="00512ADC"/>
    <w:rsid w:val="00512DB0"/>
    <w:rsid w:val="00513529"/>
    <w:rsid w:val="00513DA7"/>
    <w:rsid w:val="00513E62"/>
    <w:rsid w:val="00513E8C"/>
    <w:rsid w:val="00513EE6"/>
    <w:rsid w:val="00514007"/>
    <w:rsid w:val="005146A6"/>
    <w:rsid w:val="00514792"/>
    <w:rsid w:val="005147B5"/>
    <w:rsid w:val="0051486A"/>
    <w:rsid w:val="00514CE5"/>
    <w:rsid w:val="00515590"/>
    <w:rsid w:val="00516277"/>
    <w:rsid w:val="0051643A"/>
    <w:rsid w:val="005168FE"/>
    <w:rsid w:val="00516AC6"/>
    <w:rsid w:val="00516CF4"/>
    <w:rsid w:val="00517EAD"/>
    <w:rsid w:val="0052071D"/>
    <w:rsid w:val="00520A38"/>
    <w:rsid w:val="0052144B"/>
    <w:rsid w:val="005218DF"/>
    <w:rsid w:val="00521B1A"/>
    <w:rsid w:val="00522A31"/>
    <w:rsid w:val="00522ABC"/>
    <w:rsid w:val="00522B6A"/>
    <w:rsid w:val="00522DC3"/>
    <w:rsid w:val="005233AD"/>
    <w:rsid w:val="00523BD8"/>
    <w:rsid w:val="0052432E"/>
    <w:rsid w:val="005246E3"/>
    <w:rsid w:val="00524A62"/>
    <w:rsid w:val="00524DFD"/>
    <w:rsid w:val="005259B5"/>
    <w:rsid w:val="00526123"/>
    <w:rsid w:val="00527301"/>
    <w:rsid w:val="00527349"/>
    <w:rsid w:val="00527E8C"/>
    <w:rsid w:val="0053069C"/>
    <w:rsid w:val="00530946"/>
    <w:rsid w:val="00530EBC"/>
    <w:rsid w:val="00530F9E"/>
    <w:rsid w:val="00531194"/>
    <w:rsid w:val="005316C8"/>
    <w:rsid w:val="00532427"/>
    <w:rsid w:val="00532F2D"/>
    <w:rsid w:val="005345C8"/>
    <w:rsid w:val="00534681"/>
    <w:rsid w:val="0053472B"/>
    <w:rsid w:val="00534B0E"/>
    <w:rsid w:val="00534EBC"/>
    <w:rsid w:val="00535538"/>
    <w:rsid w:val="00535DF2"/>
    <w:rsid w:val="005362B4"/>
    <w:rsid w:val="0053637D"/>
    <w:rsid w:val="00536855"/>
    <w:rsid w:val="00536DD7"/>
    <w:rsid w:val="00536E52"/>
    <w:rsid w:val="00540351"/>
    <w:rsid w:val="00541E2F"/>
    <w:rsid w:val="005421D6"/>
    <w:rsid w:val="00542225"/>
    <w:rsid w:val="00542FDB"/>
    <w:rsid w:val="00543AF9"/>
    <w:rsid w:val="00543E31"/>
    <w:rsid w:val="005441AB"/>
    <w:rsid w:val="00544343"/>
    <w:rsid w:val="00544BCE"/>
    <w:rsid w:val="00544D9D"/>
    <w:rsid w:val="00544FDD"/>
    <w:rsid w:val="00545633"/>
    <w:rsid w:val="00546A00"/>
    <w:rsid w:val="00546AE9"/>
    <w:rsid w:val="00546F5A"/>
    <w:rsid w:val="00547047"/>
    <w:rsid w:val="00550433"/>
    <w:rsid w:val="00551047"/>
    <w:rsid w:val="0055136D"/>
    <w:rsid w:val="005514CC"/>
    <w:rsid w:val="005520A0"/>
    <w:rsid w:val="0055296D"/>
    <w:rsid w:val="00552ACA"/>
    <w:rsid w:val="00553304"/>
    <w:rsid w:val="005534F4"/>
    <w:rsid w:val="00554638"/>
    <w:rsid w:val="00554A0B"/>
    <w:rsid w:val="00554EFD"/>
    <w:rsid w:val="00555794"/>
    <w:rsid w:val="00556024"/>
    <w:rsid w:val="0055615C"/>
    <w:rsid w:val="0055710C"/>
    <w:rsid w:val="005571ED"/>
    <w:rsid w:val="00557E9F"/>
    <w:rsid w:val="0056068E"/>
    <w:rsid w:val="00560F49"/>
    <w:rsid w:val="005610BA"/>
    <w:rsid w:val="00561787"/>
    <w:rsid w:val="005619F6"/>
    <w:rsid w:val="00562908"/>
    <w:rsid w:val="00562DC6"/>
    <w:rsid w:val="0056339B"/>
    <w:rsid w:val="00563442"/>
    <w:rsid w:val="0056348E"/>
    <w:rsid w:val="00563B17"/>
    <w:rsid w:val="00563FD6"/>
    <w:rsid w:val="00564AF3"/>
    <w:rsid w:val="00564C3D"/>
    <w:rsid w:val="00565B42"/>
    <w:rsid w:val="005664C2"/>
    <w:rsid w:val="005664E3"/>
    <w:rsid w:val="005669CB"/>
    <w:rsid w:val="00566A0D"/>
    <w:rsid w:val="00566B0F"/>
    <w:rsid w:val="0056729B"/>
    <w:rsid w:val="00567C21"/>
    <w:rsid w:val="00571A90"/>
    <w:rsid w:val="00571E7B"/>
    <w:rsid w:val="00572239"/>
    <w:rsid w:val="005740F1"/>
    <w:rsid w:val="00574579"/>
    <w:rsid w:val="005748A0"/>
    <w:rsid w:val="00574BBD"/>
    <w:rsid w:val="00574BF3"/>
    <w:rsid w:val="005751E5"/>
    <w:rsid w:val="005755A3"/>
    <w:rsid w:val="005755F1"/>
    <w:rsid w:val="005761B5"/>
    <w:rsid w:val="0057634C"/>
    <w:rsid w:val="00576DA7"/>
    <w:rsid w:val="0057746A"/>
    <w:rsid w:val="00577A9C"/>
    <w:rsid w:val="00577B48"/>
    <w:rsid w:val="00577F86"/>
    <w:rsid w:val="00580946"/>
    <w:rsid w:val="005809EB"/>
    <w:rsid w:val="005814FE"/>
    <w:rsid w:val="0058152C"/>
    <w:rsid w:val="0058159C"/>
    <w:rsid w:val="005823BF"/>
    <w:rsid w:val="00582936"/>
    <w:rsid w:val="00582B46"/>
    <w:rsid w:val="00582C68"/>
    <w:rsid w:val="005837AB"/>
    <w:rsid w:val="00583DAE"/>
    <w:rsid w:val="00584056"/>
    <w:rsid w:val="00584D3E"/>
    <w:rsid w:val="00585630"/>
    <w:rsid w:val="0058610B"/>
    <w:rsid w:val="005863BC"/>
    <w:rsid w:val="00587017"/>
    <w:rsid w:val="00587209"/>
    <w:rsid w:val="00587331"/>
    <w:rsid w:val="00587858"/>
    <w:rsid w:val="00587F69"/>
    <w:rsid w:val="00590828"/>
    <w:rsid w:val="00590AED"/>
    <w:rsid w:val="00591ABB"/>
    <w:rsid w:val="005926A6"/>
    <w:rsid w:val="00593123"/>
    <w:rsid w:val="005934A1"/>
    <w:rsid w:val="005946AB"/>
    <w:rsid w:val="00595278"/>
    <w:rsid w:val="0059598F"/>
    <w:rsid w:val="00595993"/>
    <w:rsid w:val="00595D16"/>
    <w:rsid w:val="00595DD7"/>
    <w:rsid w:val="005A0870"/>
    <w:rsid w:val="005A130F"/>
    <w:rsid w:val="005A163C"/>
    <w:rsid w:val="005A1D46"/>
    <w:rsid w:val="005A2329"/>
    <w:rsid w:val="005A2C8A"/>
    <w:rsid w:val="005A38C9"/>
    <w:rsid w:val="005A39A8"/>
    <w:rsid w:val="005A3C39"/>
    <w:rsid w:val="005A4385"/>
    <w:rsid w:val="005A4E79"/>
    <w:rsid w:val="005A55E2"/>
    <w:rsid w:val="005A5671"/>
    <w:rsid w:val="005A5947"/>
    <w:rsid w:val="005A65E2"/>
    <w:rsid w:val="005A69A0"/>
    <w:rsid w:val="005B0240"/>
    <w:rsid w:val="005B1620"/>
    <w:rsid w:val="005B1B8E"/>
    <w:rsid w:val="005B331C"/>
    <w:rsid w:val="005B3502"/>
    <w:rsid w:val="005B35E2"/>
    <w:rsid w:val="005B4AFA"/>
    <w:rsid w:val="005B4D3E"/>
    <w:rsid w:val="005B509F"/>
    <w:rsid w:val="005B5364"/>
    <w:rsid w:val="005B59DE"/>
    <w:rsid w:val="005B59FA"/>
    <w:rsid w:val="005B5BF9"/>
    <w:rsid w:val="005B6D52"/>
    <w:rsid w:val="005B7827"/>
    <w:rsid w:val="005B789F"/>
    <w:rsid w:val="005C0D72"/>
    <w:rsid w:val="005C1006"/>
    <w:rsid w:val="005C1D03"/>
    <w:rsid w:val="005C2852"/>
    <w:rsid w:val="005C2F2A"/>
    <w:rsid w:val="005C2F76"/>
    <w:rsid w:val="005C3467"/>
    <w:rsid w:val="005C3C7D"/>
    <w:rsid w:val="005C3F17"/>
    <w:rsid w:val="005C432E"/>
    <w:rsid w:val="005C4CE6"/>
    <w:rsid w:val="005C4D91"/>
    <w:rsid w:val="005C508B"/>
    <w:rsid w:val="005C6304"/>
    <w:rsid w:val="005C729E"/>
    <w:rsid w:val="005C74E5"/>
    <w:rsid w:val="005C76DF"/>
    <w:rsid w:val="005C79FA"/>
    <w:rsid w:val="005D000E"/>
    <w:rsid w:val="005D0592"/>
    <w:rsid w:val="005D204A"/>
    <w:rsid w:val="005D2084"/>
    <w:rsid w:val="005D296C"/>
    <w:rsid w:val="005D3AA8"/>
    <w:rsid w:val="005D3EC6"/>
    <w:rsid w:val="005D4209"/>
    <w:rsid w:val="005D4A72"/>
    <w:rsid w:val="005D503B"/>
    <w:rsid w:val="005D5BA1"/>
    <w:rsid w:val="005D5BB1"/>
    <w:rsid w:val="005D5D16"/>
    <w:rsid w:val="005D6487"/>
    <w:rsid w:val="005D67DF"/>
    <w:rsid w:val="005D6CE5"/>
    <w:rsid w:val="005D6E70"/>
    <w:rsid w:val="005D75EE"/>
    <w:rsid w:val="005D765A"/>
    <w:rsid w:val="005D76B9"/>
    <w:rsid w:val="005D7BBC"/>
    <w:rsid w:val="005D7D12"/>
    <w:rsid w:val="005E0CE3"/>
    <w:rsid w:val="005E16A0"/>
    <w:rsid w:val="005E190C"/>
    <w:rsid w:val="005E19DC"/>
    <w:rsid w:val="005E1F5C"/>
    <w:rsid w:val="005E27A9"/>
    <w:rsid w:val="005E2CDC"/>
    <w:rsid w:val="005E3BB2"/>
    <w:rsid w:val="005E42B8"/>
    <w:rsid w:val="005E4875"/>
    <w:rsid w:val="005E4878"/>
    <w:rsid w:val="005E4B55"/>
    <w:rsid w:val="005E5200"/>
    <w:rsid w:val="005E56B0"/>
    <w:rsid w:val="005E59A7"/>
    <w:rsid w:val="005E6536"/>
    <w:rsid w:val="005E6650"/>
    <w:rsid w:val="005E69BC"/>
    <w:rsid w:val="005E6C8B"/>
    <w:rsid w:val="005E7BF1"/>
    <w:rsid w:val="005E7C13"/>
    <w:rsid w:val="005E7F80"/>
    <w:rsid w:val="005F056E"/>
    <w:rsid w:val="005F0600"/>
    <w:rsid w:val="005F0610"/>
    <w:rsid w:val="005F065C"/>
    <w:rsid w:val="005F0B4A"/>
    <w:rsid w:val="005F0BB7"/>
    <w:rsid w:val="005F0E6C"/>
    <w:rsid w:val="005F115E"/>
    <w:rsid w:val="005F1504"/>
    <w:rsid w:val="005F1618"/>
    <w:rsid w:val="005F1F36"/>
    <w:rsid w:val="005F2047"/>
    <w:rsid w:val="005F35B8"/>
    <w:rsid w:val="005F4034"/>
    <w:rsid w:val="005F4E64"/>
    <w:rsid w:val="005F521A"/>
    <w:rsid w:val="005F5A5A"/>
    <w:rsid w:val="005F5BB6"/>
    <w:rsid w:val="005F6B3B"/>
    <w:rsid w:val="005F76B1"/>
    <w:rsid w:val="005F7F0C"/>
    <w:rsid w:val="0060094D"/>
    <w:rsid w:val="00601DD5"/>
    <w:rsid w:val="00601FF7"/>
    <w:rsid w:val="00602B32"/>
    <w:rsid w:val="00602DF1"/>
    <w:rsid w:val="0060359C"/>
    <w:rsid w:val="00603771"/>
    <w:rsid w:val="0060391F"/>
    <w:rsid w:val="00603BA3"/>
    <w:rsid w:val="00603C20"/>
    <w:rsid w:val="00603F21"/>
    <w:rsid w:val="00603FDE"/>
    <w:rsid w:val="00605A80"/>
    <w:rsid w:val="00605EDF"/>
    <w:rsid w:val="00606408"/>
    <w:rsid w:val="00606E9D"/>
    <w:rsid w:val="00607A3B"/>
    <w:rsid w:val="00607E81"/>
    <w:rsid w:val="00610113"/>
    <w:rsid w:val="00610D4D"/>
    <w:rsid w:val="00611615"/>
    <w:rsid w:val="006122BA"/>
    <w:rsid w:val="0061261E"/>
    <w:rsid w:val="00612E89"/>
    <w:rsid w:val="006132C8"/>
    <w:rsid w:val="00613402"/>
    <w:rsid w:val="006135A6"/>
    <w:rsid w:val="00613736"/>
    <w:rsid w:val="00613D96"/>
    <w:rsid w:val="00613FEF"/>
    <w:rsid w:val="00614B87"/>
    <w:rsid w:val="00614E67"/>
    <w:rsid w:val="00614F4E"/>
    <w:rsid w:val="00615690"/>
    <w:rsid w:val="0061574C"/>
    <w:rsid w:val="00615D51"/>
    <w:rsid w:val="00616702"/>
    <w:rsid w:val="006169FE"/>
    <w:rsid w:val="00617569"/>
    <w:rsid w:val="00617EAA"/>
    <w:rsid w:val="0062014D"/>
    <w:rsid w:val="0062039D"/>
    <w:rsid w:val="00621281"/>
    <w:rsid w:val="00621569"/>
    <w:rsid w:val="00622977"/>
    <w:rsid w:val="00623100"/>
    <w:rsid w:val="00623188"/>
    <w:rsid w:val="00623487"/>
    <w:rsid w:val="0062356A"/>
    <w:rsid w:val="0062394E"/>
    <w:rsid w:val="0062426B"/>
    <w:rsid w:val="0062438E"/>
    <w:rsid w:val="00624552"/>
    <w:rsid w:val="00624602"/>
    <w:rsid w:val="00624A00"/>
    <w:rsid w:val="00624B62"/>
    <w:rsid w:val="00624BB8"/>
    <w:rsid w:val="00624EC5"/>
    <w:rsid w:val="00627141"/>
    <w:rsid w:val="00627C27"/>
    <w:rsid w:val="00627D9D"/>
    <w:rsid w:val="00627FEB"/>
    <w:rsid w:val="00630938"/>
    <w:rsid w:val="0063121E"/>
    <w:rsid w:val="00631270"/>
    <w:rsid w:val="006314E1"/>
    <w:rsid w:val="0063150A"/>
    <w:rsid w:val="0063268F"/>
    <w:rsid w:val="00632D30"/>
    <w:rsid w:val="00632E06"/>
    <w:rsid w:val="00633061"/>
    <w:rsid w:val="00633064"/>
    <w:rsid w:val="0063347C"/>
    <w:rsid w:val="00634104"/>
    <w:rsid w:val="0063440D"/>
    <w:rsid w:val="0063552E"/>
    <w:rsid w:val="00635599"/>
    <w:rsid w:val="00635DFE"/>
    <w:rsid w:val="00636683"/>
    <w:rsid w:val="00636DE0"/>
    <w:rsid w:val="00637C6B"/>
    <w:rsid w:val="00641369"/>
    <w:rsid w:val="006416C9"/>
    <w:rsid w:val="00641765"/>
    <w:rsid w:val="00641C7C"/>
    <w:rsid w:val="006430D0"/>
    <w:rsid w:val="00643901"/>
    <w:rsid w:val="00643D15"/>
    <w:rsid w:val="006455DA"/>
    <w:rsid w:val="00645BCD"/>
    <w:rsid w:val="00645DC1"/>
    <w:rsid w:val="00646F5D"/>
    <w:rsid w:val="006478BF"/>
    <w:rsid w:val="006513E6"/>
    <w:rsid w:val="0065172A"/>
    <w:rsid w:val="006521C9"/>
    <w:rsid w:val="006527FD"/>
    <w:rsid w:val="00652B79"/>
    <w:rsid w:val="00653429"/>
    <w:rsid w:val="00654779"/>
    <w:rsid w:val="00654880"/>
    <w:rsid w:val="006549D4"/>
    <w:rsid w:val="00654A9C"/>
    <w:rsid w:val="00654C1B"/>
    <w:rsid w:val="0065560B"/>
    <w:rsid w:val="006568F1"/>
    <w:rsid w:val="0065735E"/>
    <w:rsid w:val="006578EA"/>
    <w:rsid w:val="006579A2"/>
    <w:rsid w:val="00660611"/>
    <w:rsid w:val="006607A2"/>
    <w:rsid w:val="00660A49"/>
    <w:rsid w:val="00660B19"/>
    <w:rsid w:val="00660EAF"/>
    <w:rsid w:val="0066107E"/>
    <w:rsid w:val="006612EC"/>
    <w:rsid w:val="006628E1"/>
    <w:rsid w:val="00662D28"/>
    <w:rsid w:val="00662E07"/>
    <w:rsid w:val="006637A8"/>
    <w:rsid w:val="006637CB"/>
    <w:rsid w:val="00664586"/>
    <w:rsid w:val="00664875"/>
    <w:rsid w:val="00665052"/>
    <w:rsid w:val="006650A3"/>
    <w:rsid w:val="006651F5"/>
    <w:rsid w:val="00665F5D"/>
    <w:rsid w:val="006663F3"/>
    <w:rsid w:val="00666A1C"/>
    <w:rsid w:val="00666BF8"/>
    <w:rsid w:val="00666FF7"/>
    <w:rsid w:val="00667095"/>
    <w:rsid w:val="006677B7"/>
    <w:rsid w:val="00667D73"/>
    <w:rsid w:val="00667F97"/>
    <w:rsid w:val="00670798"/>
    <w:rsid w:val="0067089B"/>
    <w:rsid w:val="00670B20"/>
    <w:rsid w:val="00670F1C"/>
    <w:rsid w:val="0067111A"/>
    <w:rsid w:val="00671B14"/>
    <w:rsid w:val="00671C32"/>
    <w:rsid w:val="00671D78"/>
    <w:rsid w:val="006720E9"/>
    <w:rsid w:val="00672102"/>
    <w:rsid w:val="006722D6"/>
    <w:rsid w:val="00672D63"/>
    <w:rsid w:val="00673E7C"/>
    <w:rsid w:val="006741AA"/>
    <w:rsid w:val="006744DC"/>
    <w:rsid w:val="0067458B"/>
    <w:rsid w:val="006747FA"/>
    <w:rsid w:val="0067609D"/>
    <w:rsid w:val="00676253"/>
    <w:rsid w:val="0067630C"/>
    <w:rsid w:val="00676953"/>
    <w:rsid w:val="00676BA4"/>
    <w:rsid w:val="00680410"/>
    <w:rsid w:val="006816BE"/>
    <w:rsid w:val="00681D89"/>
    <w:rsid w:val="00682C96"/>
    <w:rsid w:val="00682FA3"/>
    <w:rsid w:val="0068447A"/>
    <w:rsid w:val="00684B2A"/>
    <w:rsid w:val="00684E20"/>
    <w:rsid w:val="006850FE"/>
    <w:rsid w:val="0068564A"/>
    <w:rsid w:val="00685802"/>
    <w:rsid w:val="00685ED4"/>
    <w:rsid w:val="00686071"/>
    <w:rsid w:val="006860D5"/>
    <w:rsid w:val="0068613B"/>
    <w:rsid w:val="00686514"/>
    <w:rsid w:val="00687592"/>
    <w:rsid w:val="006878A4"/>
    <w:rsid w:val="00687A6B"/>
    <w:rsid w:val="00687D0A"/>
    <w:rsid w:val="00687D20"/>
    <w:rsid w:val="00691395"/>
    <w:rsid w:val="0069163C"/>
    <w:rsid w:val="006919FA"/>
    <w:rsid w:val="006923BB"/>
    <w:rsid w:val="00693B6B"/>
    <w:rsid w:val="006941AE"/>
    <w:rsid w:val="006942E1"/>
    <w:rsid w:val="0069444C"/>
    <w:rsid w:val="006944F5"/>
    <w:rsid w:val="00694EAB"/>
    <w:rsid w:val="0069531C"/>
    <w:rsid w:val="00695D8D"/>
    <w:rsid w:val="0069748D"/>
    <w:rsid w:val="0069787D"/>
    <w:rsid w:val="00697A66"/>
    <w:rsid w:val="006A01FB"/>
    <w:rsid w:val="006A0F27"/>
    <w:rsid w:val="006A11E7"/>
    <w:rsid w:val="006A133B"/>
    <w:rsid w:val="006A1759"/>
    <w:rsid w:val="006A1D3A"/>
    <w:rsid w:val="006A2166"/>
    <w:rsid w:val="006A27B4"/>
    <w:rsid w:val="006A2A6A"/>
    <w:rsid w:val="006A32E9"/>
    <w:rsid w:val="006A3401"/>
    <w:rsid w:val="006A534E"/>
    <w:rsid w:val="006A56CC"/>
    <w:rsid w:val="006A5901"/>
    <w:rsid w:val="006A5E5E"/>
    <w:rsid w:val="006A6059"/>
    <w:rsid w:val="006A6180"/>
    <w:rsid w:val="006A6619"/>
    <w:rsid w:val="006A7243"/>
    <w:rsid w:val="006A728C"/>
    <w:rsid w:val="006A73C1"/>
    <w:rsid w:val="006A7CAC"/>
    <w:rsid w:val="006B000B"/>
    <w:rsid w:val="006B03EE"/>
    <w:rsid w:val="006B049D"/>
    <w:rsid w:val="006B04AE"/>
    <w:rsid w:val="006B1AA5"/>
    <w:rsid w:val="006B1B4C"/>
    <w:rsid w:val="006B1F06"/>
    <w:rsid w:val="006B2290"/>
    <w:rsid w:val="006B2715"/>
    <w:rsid w:val="006B36C0"/>
    <w:rsid w:val="006B38C0"/>
    <w:rsid w:val="006B3B3D"/>
    <w:rsid w:val="006B3CC0"/>
    <w:rsid w:val="006B3F3A"/>
    <w:rsid w:val="006B58E2"/>
    <w:rsid w:val="006B59DA"/>
    <w:rsid w:val="006B5B45"/>
    <w:rsid w:val="006B60BD"/>
    <w:rsid w:val="006B63F4"/>
    <w:rsid w:val="006B6594"/>
    <w:rsid w:val="006B6836"/>
    <w:rsid w:val="006B6EAF"/>
    <w:rsid w:val="006B753A"/>
    <w:rsid w:val="006B7B45"/>
    <w:rsid w:val="006B7D20"/>
    <w:rsid w:val="006B7D25"/>
    <w:rsid w:val="006C0364"/>
    <w:rsid w:val="006C045A"/>
    <w:rsid w:val="006C08ED"/>
    <w:rsid w:val="006C0FCD"/>
    <w:rsid w:val="006C135B"/>
    <w:rsid w:val="006C2666"/>
    <w:rsid w:val="006C3027"/>
    <w:rsid w:val="006C368C"/>
    <w:rsid w:val="006C4810"/>
    <w:rsid w:val="006C48CB"/>
    <w:rsid w:val="006C4A62"/>
    <w:rsid w:val="006C4C86"/>
    <w:rsid w:val="006C74C5"/>
    <w:rsid w:val="006C7FFC"/>
    <w:rsid w:val="006D0002"/>
    <w:rsid w:val="006D05AD"/>
    <w:rsid w:val="006D1230"/>
    <w:rsid w:val="006D174C"/>
    <w:rsid w:val="006D17A7"/>
    <w:rsid w:val="006D18E3"/>
    <w:rsid w:val="006D25A4"/>
    <w:rsid w:val="006D2783"/>
    <w:rsid w:val="006D2A84"/>
    <w:rsid w:val="006D2E1F"/>
    <w:rsid w:val="006D3623"/>
    <w:rsid w:val="006D3FC4"/>
    <w:rsid w:val="006D5CAD"/>
    <w:rsid w:val="006D68A4"/>
    <w:rsid w:val="006D7A20"/>
    <w:rsid w:val="006D7A56"/>
    <w:rsid w:val="006D7DD3"/>
    <w:rsid w:val="006E009D"/>
    <w:rsid w:val="006E03D7"/>
    <w:rsid w:val="006E0542"/>
    <w:rsid w:val="006E0D33"/>
    <w:rsid w:val="006E1D7B"/>
    <w:rsid w:val="006E1E1A"/>
    <w:rsid w:val="006E1EAB"/>
    <w:rsid w:val="006E2716"/>
    <w:rsid w:val="006E2742"/>
    <w:rsid w:val="006E29BF"/>
    <w:rsid w:val="006E2B27"/>
    <w:rsid w:val="006E2C6E"/>
    <w:rsid w:val="006E3284"/>
    <w:rsid w:val="006E3AD7"/>
    <w:rsid w:val="006E3BC7"/>
    <w:rsid w:val="006E4EF4"/>
    <w:rsid w:val="006E61E0"/>
    <w:rsid w:val="006E7839"/>
    <w:rsid w:val="006E79BA"/>
    <w:rsid w:val="006E7B32"/>
    <w:rsid w:val="006F0882"/>
    <w:rsid w:val="006F08C3"/>
    <w:rsid w:val="006F08F1"/>
    <w:rsid w:val="006F107C"/>
    <w:rsid w:val="006F285D"/>
    <w:rsid w:val="006F2959"/>
    <w:rsid w:val="006F2A99"/>
    <w:rsid w:val="006F2AEC"/>
    <w:rsid w:val="006F2B24"/>
    <w:rsid w:val="006F3C0B"/>
    <w:rsid w:val="006F3C22"/>
    <w:rsid w:val="006F3CE2"/>
    <w:rsid w:val="006F54C1"/>
    <w:rsid w:val="006F5511"/>
    <w:rsid w:val="006F6F7A"/>
    <w:rsid w:val="006F7D10"/>
    <w:rsid w:val="007002E3"/>
    <w:rsid w:val="00700FD6"/>
    <w:rsid w:val="00701DC8"/>
    <w:rsid w:val="0070229B"/>
    <w:rsid w:val="00702845"/>
    <w:rsid w:val="00702FD9"/>
    <w:rsid w:val="00703003"/>
    <w:rsid w:val="00703550"/>
    <w:rsid w:val="00703903"/>
    <w:rsid w:val="00704388"/>
    <w:rsid w:val="0070464B"/>
    <w:rsid w:val="00706CA8"/>
    <w:rsid w:val="00706D40"/>
    <w:rsid w:val="007070E5"/>
    <w:rsid w:val="00707340"/>
    <w:rsid w:val="00710645"/>
    <w:rsid w:val="007108CD"/>
    <w:rsid w:val="007109FC"/>
    <w:rsid w:val="00710FE9"/>
    <w:rsid w:val="007111E2"/>
    <w:rsid w:val="00712F80"/>
    <w:rsid w:val="007136F0"/>
    <w:rsid w:val="007149FC"/>
    <w:rsid w:val="007156D8"/>
    <w:rsid w:val="00715F78"/>
    <w:rsid w:val="00716410"/>
    <w:rsid w:val="0071675D"/>
    <w:rsid w:val="00716C71"/>
    <w:rsid w:val="00717256"/>
    <w:rsid w:val="0071757F"/>
    <w:rsid w:val="00717A02"/>
    <w:rsid w:val="00717A6F"/>
    <w:rsid w:val="00717B9A"/>
    <w:rsid w:val="00717D88"/>
    <w:rsid w:val="00720744"/>
    <w:rsid w:val="0072079B"/>
    <w:rsid w:val="00720AA1"/>
    <w:rsid w:val="00721732"/>
    <w:rsid w:val="0072185E"/>
    <w:rsid w:val="00722705"/>
    <w:rsid w:val="00722DBF"/>
    <w:rsid w:val="007236D9"/>
    <w:rsid w:val="0072408A"/>
    <w:rsid w:val="007240F3"/>
    <w:rsid w:val="00724691"/>
    <w:rsid w:val="00724CC3"/>
    <w:rsid w:val="00725AD1"/>
    <w:rsid w:val="00726102"/>
    <w:rsid w:val="00726A43"/>
    <w:rsid w:val="0072782C"/>
    <w:rsid w:val="00727A0E"/>
    <w:rsid w:val="00727E71"/>
    <w:rsid w:val="00730E89"/>
    <w:rsid w:val="00731233"/>
    <w:rsid w:val="007312DE"/>
    <w:rsid w:val="00731354"/>
    <w:rsid w:val="00731A02"/>
    <w:rsid w:val="00731FC8"/>
    <w:rsid w:val="00732EAF"/>
    <w:rsid w:val="007332B4"/>
    <w:rsid w:val="00733E12"/>
    <w:rsid w:val="007345B8"/>
    <w:rsid w:val="0073466A"/>
    <w:rsid w:val="00734677"/>
    <w:rsid w:val="007351A2"/>
    <w:rsid w:val="00735750"/>
    <w:rsid w:val="00736266"/>
    <w:rsid w:val="00737130"/>
    <w:rsid w:val="00740CD6"/>
    <w:rsid w:val="007410D8"/>
    <w:rsid w:val="00742E0B"/>
    <w:rsid w:val="00743873"/>
    <w:rsid w:val="007448BF"/>
    <w:rsid w:val="0074629A"/>
    <w:rsid w:val="00746445"/>
    <w:rsid w:val="00746911"/>
    <w:rsid w:val="007473BE"/>
    <w:rsid w:val="007473C8"/>
    <w:rsid w:val="00750BF2"/>
    <w:rsid w:val="00751873"/>
    <w:rsid w:val="00751BBD"/>
    <w:rsid w:val="00751DEA"/>
    <w:rsid w:val="00752E39"/>
    <w:rsid w:val="00753432"/>
    <w:rsid w:val="00753647"/>
    <w:rsid w:val="00753800"/>
    <w:rsid w:val="0075423D"/>
    <w:rsid w:val="00754AC3"/>
    <w:rsid w:val="00755DDF"/>
    <w:rsid w:val="0075662E"/>
    <w:rsid w:val="00757322"/>
    <w:rsid w:val="0075779E"/>
    <w:rsid w:val="007607A0"/>
    <w:rsid w:val="00761B8B"/>
    <w:rsid w:val="00762039"/>
    <w:rsid w:val="00762292"/>
    <w:rsid w:val="00762926"/>
    <w:rsid w:val="00763313"/>
    <w:rsid w:val="00763771"/>
    <w:rsid w:val="00763972"/>
    <w:rsid w:val="00763B8F"/>
    <w:rsid w:val="00763E52"/>
    <w:rsid w:val="007642CD"/>
    <w:rsid w:val="007644EA"/>
    <w:rsid w:val="007645AB"/>
    <w:rsid w:val="00765228"/>
    <w:rsid w:val="0076592C"/>
    <w:rsid w:val="00765BD6"/>
    <w:rsid w:val="0076607E"/>
    <w:rsid w:val="00766E3C"/>
    <w:rsid w:val="00766F18"/>
    <w:rsid w:val="0076738D"/>
    <w:rsid w:val="0076786E"/>
    <w:rsid w:val="00767F23"/>
    <w:rsid w:val="00770AAE"/>
    <w:rsid w:val="00770D1D"/>
    <w:rsid w:val="0077192E"/>
    <w:rsid w:val="00772059"/>
    <w:rsid w:val="007721E5"/>
    <w:rsid w:val="0077234A"/>
    <w:rsid w:val="00772505"/>
    <w:rsid w:val="0077298C"/>
    <w:rsid w:val="00772996"/>
    <w:rsid w:val="00772D4D"/>
    <w:rsid w:val="007745B5"/>
    <w:rsid w:val="00774D8D"/>
    <w:rsid w:val="00775180"/>
    <w:rsid w:val="00775311"/>
    <w:rsid w:val="00775AB6"/>
    <w:rsid w:val="00775BB5"/>
    <w:rsid w:val="007762F9"/>
    <w:rsid w:val="00776E95"/>
    <w:rsid w:val="00776F1C"/>
    <w:rsid w:val="007771A3"/>
    <w:rsid w:val="00777321"/>
    <w:rsid w:val="00777893"/>
    <w:rsid w:val="00777AB2"/>
    <w:rsid w:val="00780612"/>
    <w:rsid w:val="00780851"/>
    <w:rsid w:val="007808F8"/>
    <w:rsid w:val="00781533"/>
    <w:rsid w:val="00781FDF"/>
    <w:rsid w:val="00782361"/>
    <w:rsid w:val="00782C0A"/>
    <w:rsid w:val="00783A38"/>
    <w:rsid w:val="00783AE0"/>
    <w:rsid w:val="007843E3"/>
    <w:rsid w:val="0078456F"/>
    <w:rsid w:val="00784FA8"/>
    <w:rsid w:val="007855FE"/>
    <w:rsid w:val="00785741"/>
    <w:rsid w:val="00785B50"/>
    <w:rsid w:val="00785C39"/>
    <w:rsid w:val="00785C7F"/>
    <w:rsid w:val="00785F7B"/>
    <w:rsid w:val="00786003"/>
    <w:rsid w:val="00786056"/>
    <w:rsid w:val="0078654B"/>
    <w:rsid w:val="0078694D"/>
    <w:rsid w:val="00787036"/>
    <w:rsid w:val="00787279"/>
    <w:rsid w:val="007874A4"/>
    <w:rsid w:val="00787623"/>
    <w:rsid w:val="00787822"/>
    <w:rsid w:val="00787DE0"/>
    <w:rsid w:val="00790275"/>
    <w:rsid w:val="007903F2"/>
    <w:rsid w:val="00791106"/>
    <w:rsid w:val="00791866"/>
    <w:rsid w:val="00791CDE"/>
    <w:rsid w:val="00792325"/>
    <w:rsid w:val="00792C28"/>
    <w:rsid w:val="00792D2C"/>
    <w:rsid w:val="007933AF"/>
    <w:rsid w:val="007934CB"/>
    <w:rsid w:val="007942D3"/>
    <w:rsid w:val="00794CC9"/>
    <w:rsid w:val="00795046"/>
    <w:rsid w:val="0079552B"/>
    <w:rsid w:val="00795781"/>
    <w:rsid w:val="00795CA2"/>
    <w:rsid w:val="007961B5"/>
    <w:rsid w:val="00796228"/>
    <w:rsid w:val="007968EC"/>
    <w:rsid w:val="00796A51"/>
    <w:rsid w:val="00797D87"/>
    <w:rsid w:val="007A07E3"/>
    <w:rsid w:val="007A09DA"/>
    <w:rsid w:val="007A14C7"/>
    <w:rsid w:val="007A1D99"/>
    <w:rsid w:val="007A22CE"/>
    <w:rsid w:val="007A2B4C"/>
    <w:rsid w:val="007A4239"/>
    <w:rsid w:val="007A4606"/>
    <w:rsid w:val="007A5387"/>
    <w:rsid w:val="007A613A"/>
    <w:rsid w:val="007A6222"/>
    <w:rsid w:val="007A651D"/>
    <w:rsid w:val="007A6AE3"/>
    <w:rsid w:val="007A7340"/>
    <w:rsid w:val="007A74B2"/>
    <w:rsid w:val="007A7D8B"/>
    <w:rsid w:val="007B0F38"/>
    <w:rsid w:val="007B1188"/>
    <w:rsid w:val="007B2099"/>
    <w:rsid w:val="007B31B1"/>
    <w:rsid w:val="007B31F4"/>
    <w:rsid w:val="007B3975"/>
    <w:rsid w:val="007B4380"/>
    <w:rsid w:val="007B4607"/>
    <w:rsid w:val="007B54BD"/>
    <w:rsid w:val="007B59A9"/>
    <w:rsid w:val="007B5A1A"/>
    <w:rsid w:val="007B5B12"/>
    <w:rsid w:val="007B66A9"/>
    <w:rsid w:val="007B6C09"/>
    <w:rsid w:val="007B75AF"/>
    <w:rsid w:val="007B7741"/>
    <w:rsid w:val="007B7760"/>
    <w:rsid w:val="007B77ED"/>
    <w:rsid w:val="007C086F"/>
    <w:rsid w:val="007C0B9C"/>
    <w:rsid w:val="007C1735"/>
    <w:rsid w:val="007C1EF2"/>
    <w:rsid w:val="007C2C32"/>
    <w:rsid w:val="007C2F01"/>
    <w:rsid w:val="007C3FB3"/>
    <w:rsid w:val="007C415F"/>
    <w:rsid w:val="007C45E4"/>
    <w:rsid w:val="007C4951"/>
    <w:rsid w:val="007C4AB7"/>
    <w:rsid w:val="007C516D"/>
    <w:rsid w:val="007C5906"/>
    <w:rsid w:val="007C68AB"/>
    <w:rsid w:val="007C69B8"/>
    <w:rsid w:val="007C6E23"/>
    <w:rsid w:val="007C71D5"/>
    <w:rsid w:val="007C7AE1"/>
    <w:rsid w:val="007C7CD0"/>
    <w:rsid w:val="007C7DC1"/>
    <w:rsid w:val="007D0C7B"/>
    <w:rsid w:val="007D1917"/>
    <w:rsid w:val="007D1DB8"/>
    <w:rsid w:val="007D1E05"/>
    <w:rsid w:val="007D2A82"/>
    <w:rsid w:val="007D2F3D"/>
    <w:rsid w:val="007D32B6"/>
    <w:rsid w:val="007D3329"/>
    <w:rsid w:val="007D38ED"/>
    <w:rsid w:val="007D4C43"/>
    <w:rsid w:val="007D5B7E"/>
    <w:rsid w:val="007D5BC0"/>
    <w:rsid w:val="007D69BA"/>
    <w:rsid w:val="007D7EE3"/>
    <w:rsid w:val="007E068F"/>
    <w:rsid w:val="007E06C0"/>
    <w:rsid w:val="007E09DA"/>
    <w:rsid w:val="007E0F8A"/>
    <w:rsid w:val="007E11B2"/>
    <w:rsid w:val="007E19B9"/>
    <w:rsid w:val="007E1BE6"/>
    <w:rsid w:val="007E2048"/>
    <w:rsid w:val="007E223C"/>
    <w:rsid w:val="007E2AE8"/>
    <w:rsid w:val="007E2BD0"/>
    <w:rsid w:val="007E39B7"/>
    <w:rsid w:val="007E3D61"/>
    <w:rsid w:val="007E3EB9"/>
    <w:rsid w:val="007E4332"/>
    <w:rsid w:val="007E4597"/>
    <w:rsid w:val="007E47A6"/>
    <w:rsid w:val="007E4ADB"/>
    <w:rsid w:val="007E576B"/>
    <w:rsid w:val="007E57AE"/>
    <w:rsid w:val="007E5AA9"/>
    <w:rsid w:val="007E5EC4"/>
    <w:rsid w:val="007E639D"/>
    <w:rsid w:val="007E6DC7"/>
    <w:rsid w:val="007E7CDC"/>
    <w:rsid w:val="007E7CFA"/>
    <w:rsid w:val="007E7D5A"/>
    <w:rsid w:val="007F0B29"/>
    <w:rsid w:val="007F1E96"/>
    <w:rsid w:val="007F2593"/>
    <w:rsid w:val="007F2848"/>
    <w:rsid w:val="007F2934"/>
    <w:rsid w:val="007F2B0F"/>
    <w:rsid w:val="007F30ED"/>
    <w:rsid w:val="007F3111"/>
    <w:rsid w:val="007F3668"/>
    <w:rsid w:val="007F3F29"/>
    <w:rsid w:val="007F4522"/>
    <w:rsid w:val="007F4E01"/>
    <w:rsid w:val="007F550D"/>
    <w:rsid w:val="007F5AE0"/>
    <w:rsid w:val="007F5F4C"/>
    <w:rsid w:val="007F6E00"/>
    <w:rsid w:val="007F718D"/>
    <w:rsid w:val="007F7FA8"/>
    <w:rsid w:val="00800462"/>
    <w:rsid w:val="00801570"/>
    <w:rsid w:val="00801B91"/>
    <w:rsid w:val="00801FAD"/>
    <w:rsid w:val="0080230A"/>
    <w:rsid w:val="00802404"/>
    <w:rsid w:val="008027C6"/>
    <w:rsid w:val="008029BC"/>
    <w:rsid w:val="00803368"/>
    <w:rsid w:val="00803C40"/>
    <w:rsid w:val="008044CF"/>
    <w:rsid w:val="00804548"/>
    <w:rsid w:val="00804E3E"/>
    <w:rsid w:val="008050B4"/>
    <w:rsid w:val="0080567F"/>
    <w:rsid w:val="0080573F"/>
    <w:rsid w:val="00805E38"/>
    <w:rsid w:val="00806876"/>
    <w:rsid w:val="00806A23"/>
    <w:rsid w:val="00807308"/>
    <w:rsid w:val="00807339"/>
    <w:rsid w:val="00807D97"/>
    <w:rsid w:val="00810A6E"/>
    <w:rsid w:val="00810B22"/>
    <w:rsid w:val="00810D9D"/>
    <w:rsid w:val="008112E0"/>
    <w:rsid w:val="00811427"/>
    <w:rsid w:val="008114F1"/>
    <w:rsid w:val="0081204F"/>
    <w:rsid w:val="00813261"/>
    <w:rsid w:val="008133A1"/>
    <w:rsid w:val="00813599"/>
    <w:rsid w:val="008139B4"/>
    <w:rsid w:val="008143A8"/>
    <w:rsid w:val="00814461"/>
    <w:rsid w:val="008149DE"/>
    <w:rsid w:val="00814BFB"/>
    <w:rsid w:val="00814EA3"/>
    <w:rsid w:val="008150A9"/>
    <w:rsid w:val="00815B35"/>
    <w:rsid w:val="008162A1"/>
    <w:rsid w:val="00816551"/>
    <w:rsid w:val="008166E0"/>
    <w:rsid w:val="00816B0B"/>
    <w:rsid w:val="00816FBE"/>
    <w:rsid w:val="008172E2"/>
    <w:rsid w:val="00817474"/>
    <w:rsid w:val="00817706"/>
    <w:rsid w:val="008178B6"/>
    <w:rsid w:val="008178DF"/>
    <w:rsid w:val="00817A1C"/>
    <w:rsid w:val="00821CEE"/>
    <w:rsid w:val="00821E44"/>
    <w:rsid w:val="008222E0"/>
    <w:rsid w:val="008225A1"/>
    <w:rsid w:val="008226AF"/>
    <w:rsid w:val="008226CA"/>
    <w:rsid w:val="00822A08"/>
    <w:rsid w:val="008236AD"/>
    <w:rsid w:val="00825E6F"/>
    <w:rsid w:val="00826095"/>
    <w:rsid w:val="0082690F"/>
    <w:rsid w:val="0082781A"/>
    <w:rsid w:val="00827F89"/>
    <w:rsid w:val="0083043B"/>
    <w:rsid w:val="0083045B"/>
    <w:rsid w:val="00830C5A"/>
    <w:rsid w:val="00831266"/>
    <w:rsid w:val="00831298"/>
    <w:rsid w:val="008316C4"/>
    <w:rsid w:val="0083196D"/>
    <w:rsid w:val="00831A7B"/>
    <w:rsid w:val="00831AEF"/>
    <w:rsid w:val="0083229D"/>
    <w:rsid w:val="00832B38"/>
    <w:rsid w:val="0083344F"/>
    <w:rsid w:val="008334CA"/>
    <w:rsid w:val="0083472A"/>
    <w:rsid w:val="00834A67"/>
    <w:rsid w:val="00834B75"/>
    <w:rsid w:val="0083588F"/>
    <w:rsid w:val="008359DF"/>
    <w:rsid w:val="00836A6E"/>
    <w:rsid w:val="0083790B"/>
    <w:rsid w:val="00840CE8"/>
    <w:rsid w:val="00841D35"/>
    <w:rsid w:val="0084258E"/>
    <w:rsid w:val="00842831"/>
    <w:rsid w:val="00842850"/>
    <w:rsid w:val="00842D3E"/>
    <w:rsid w:val="00843F63"/>
    <w:rsid w:val="0084400F"/>
    <w:rsid w:val="008444A3"/>
    <w:rsid w:val="00844503"/>
    <w:rsid w:val="0084479E"/>
    <w:rsid w:val="008450CC"/>
    <w:rsid w:val="0084525C"/>
    <w:rsid w:val="00845A44"/>
    <w:rsid w:val="00846533"/>
    <w:rsid w:val="00846F25"/>
    <w:rsid w:val="008473F7"/>
    <w:rsid w:val="00847B8E"/>
    <w:rsid w:val="0085053C"/>
    <w:rsid w:val="00850849"/>
    <w:rsid w:val="00850CF1"/>
    <w:rsid w:val="00851BCA"/>
    <w:rsid w:val="008520CD"/>
    <w:rsid w:val="00852B0D"/>
    <w:rsid w:val="00852C81"/>
    <w:rsid w:val="00852CA8"/>
    <w:rsid w:val="00852DDC"/>
    <w:rsid w:val="008532B8"/>
    <w:rsid w:val="00853A6E"/>
    <w:rsid w:val="00853C09"/>
    <w:rsid w:val="00853E71"/>
    <w:rsid w:val="00854232"/>
    <w:rsid w:val="008547E3"/>
    <w:rsid w:val="00854DA0"/>
    <w:rsid w:val="00856321"/>
    <w:rsid w:val="008569A5"/>
    <w:rsid w:val="00856B6F"/>
    <w:rsid w:val="008618EA"/>
    <w:rsid w:val="00861A2B"/>
    <w:rsid w:val="00862817"/>
    <w:rsid w:val="00862B5A"/>
    <w:rsid w:val="0086301E"/>
    <w:rsid w:val="00863136"/>
    <w:rsid w:val="008632E0"/>
    <w:rsid w:val="00863775"/>
    <w:rsid w:val="00863A67"/>
    <w:rsid w:val="00863C33"/>
    <w:rsid w:val="00864873"/>
    <w:rsid w:val="008649DC"/>
    <w:rsid w:val="00865B74"/>
    <w:rsid w:val="00865B8A"/>
    <w:rsid w:val="00865D64"/>
    <w:rsid w:val="00866063"/>
    <w:rsid w:val="0086646F"/>
    <w:rsid w:val="00867A59"/>
    <w:rsid w:val="00870127"/>
    <w:rsid w:val="00870AAD"/>
    <w:rsid w:val="00870D07"/>
    <w:rsid w:val="00870EE4"/>
    <w:rsid w:val="00870FA9"/>
    <w:rsid w:val="008712A1"/>
    <w:rsid w:val="00871657"/>
    <w:rsid w:val="00871978"/>
    <w:rsid w:val="00872C89"/>
    <w:rsid w:val="0087385B"/>
    <w:rsid w:val="008743F7"/>
    <w:rsid w:val="008745A1"/>
    <w:rsid w:val="00874E9F"/>
    <w:rsid w:val="0087536A"/>
    <w:rsid w:val="00875736"/>
    <w:rsid w:val="00875F84"/>
    <w:rsid w:val="00876443"/>
    <w:rsid w:val="008769F8"/>
    <w:rsid w:val="00876BD7"/>
    <w:rsid w:val="00876DBB"/>
    <w:rsid w:val="0088044D"/>
    <w:rsid w:val="00881751"/>
    <w:rsid w:val="008817CE"/>
    <w:rsid w:val="00881BB0"/>
    <w:rsid w:val="0088205A"/>
    <w:rsid w:val="008825E1"/>
    <w:rsid w:val="00882A22"/>
    <w:rsid w:val="00882C07"/>
    <w:rsid w:val="00882DA7"/>
    <w:rsid w:val="0088361E"/>
    <w:rsid w:val="008838CC"/>
    <w:rsid w:val="00884CB8"/>
    <w:rsid w:val="00884E1E"/>
    <w:rsid w:val="00885C6C"/>
    <w:rsid w:val="008864B9"/>
    <w:rsid w:val="0088688C"/>
    <w:rsid w:val="00886F66"/>
    <w:rsid w:val="008878A2"/>
    <w:rsid w:val="00887B0E"/>
    <w:rsid w:val="00890F48"/>
    <w:rsid w:val="00891335"/>
    <w:rsid w:val="00891548"/>
    <w:rsid w:val="008923C2"/>
    <w:rsid w:val="00892487"/>
    <w:rsid w:val="008925F6"/>
    <w:rsid w:val="00892C65"/>
    <w:rsid w:val="00892ECA"/>
    <w:rsid w:val="008931B7"/>
    <w:rsid w:val="008932D6"/>
    <w:rsid w:val="00896FAE"/>
    <w:rsid w:val="00897449"/>
    <w:rsid w:val="008974F0"/>
    <w:rsid w:val="00897CFD"/>
    <w:rsid w:val="00897FB9"/>
    <w:rsid w:val="008A04A4"/>
    <w:rsid w:val="008A0D4A"/>
    <w:rsid w:val="008A0FA0"/>
    <w:rsid w:val="008A1499"/>
    <w:rsid w:val="008A1A04"/>
    <w:rsid w:val="008A290F"/>
    <w:rsid w:val="008A2B16"/>
    <w:rsid w:val="008A350B"/>
    <w:rsid w:val="008A3686"/>
    <w:rsid w:val="008A6F1C"/>
    <w:rsid w:val="008A734D"/>
    <w:rsid w:val="008A740C"/>
    <w:rsid w:val="008A75A1"/>
    <w:rsid w:val="008A7DD4"/>
    <w:rsid w:val="008B0038"/>
    <w:rsid w:val="008B012A"/>
    <w:rsid w:val="008B0A36"/>
    <w:rsid w:val="008B0E96"/>
    <w:rsid w:val="008B18EE"/>
    <w:rsid w:val="008B1F6B"/>
    <w:rsid w:val="008B327E"/>
    <w:rsid w:val="008B3311"/>
    <w:rsid w:val="008B33EB"/>
    <w:rsid w:val="008B3EFF"/>
    <w:rsid w:val="008B49C5"/>
    <w:rsid w:val="008B4FF9"/>
    <w:rsid w:val="008B5F8A"/>
    <w:rsid w:val="008B600D"/>
    <w:rsid w:val="008B6014"/>
    <w:rsid w:val="008B61A1"/>
    <w:rsid w:val="008B6526"/>
    <w:rsid w:val="008B65B7"/>
    <w:rsid w:val="008B7135"/>
    <w:rsid w:val="008B7192"/>
    <w:rsid w:val="008B73AF"/>
    <w:rsid w:val="008B7EB2"/>
    <w:rsid w:val="008C0C52"/>
    <w:rsid w:val="008C0C7D"/>
    <w:rsid w:val="008C1F64"/>
    <w:rsid w:val="008C27FC"/>
    <w:rsid w:val="008C2BAB"/>
    <w:rsid w:val="008C35C4"/>
    <w:rsid w:val="008C51BA"/>
    <w:rsid w:val="008C526F"/>
    <w:rsid w:val="008C54A2"/>
    <w:rsid w:val="008C5A05"/>
    <w:rsid w:val="008C5E6F"/>
    <w:rsid w:val="008C6168"/>
    <w:rsid w:val="008C6C5D"/>
    <w:rsid w:val="008C72D6"/>
    <w:rsid w:val="008C75D2"/>
    <w:rsid w:val="008C772C"/>
    <w:rsid w:val="008C7F90"/>
    <w:rsid w:val="008D11FD"/>
    <w:rsid w:val="008D1261"/>
    <w:rsid w:val="008D1FA7"/>
    <w:rsid w:val="008D23DB"/>
    <w:rsid w:val="008D33C2"/>
    <w:rsid w:val="008D3F61"/>
    <w:rsid w:val="008D3FB5"/>
    <w:rsid w:val="008D42EB"/>
    <w:rsid w:val="008D43AE"/>
    <w:rsid w:val="008D4C1D"/>
    <w:rsid w:val="008D54A9"/>
    <w:rsid w:val="008D5B8B"/>
    <w:rsid w:val="008D5FD4"/>
    <w:rsid w:val="008D6322"/>
    <w:rsid w:val="008D70E8"/>
    <w:rsid w:val="008D71DD"/>
    <w:rsid w:val="008D7F76"/>
    <w:rsid w:val="008E032B"/>
    <w:rsid w:val="008E1A39"/>
    <w:rsid w:val="008E1CD0"/>
    <w:rsid w:val="008E1D62"/>
    <w:rsid w:val="008E254E"/>
    <w:rsid w:val="008E29A1"/>
    <w:rsid w:val="008E2F94"/>
    <w:rsid w:val="008E3107"/>
    <w:rsid w:val="008E4D51"/>
    <w:rsid w:val="008E5D2F"/>
    <w:rsid w:val="008E5E71"/>
    <w:rsid w:val="008E670E"/>
    <w:rsid w:val="008E6990"/>
    <w:rsid w:val="008F01CE"/>
    <w:rsid w:val="008F119C"/>
    <w:rsid w:val="008F1B38"/>
    <w:rsid w:val="008F1C2B"/>
    <w:rsid w:val="008F1E8F"/>
    <w:rsid w:val="008F2038"/>
    <w:rsid w:val="008F2C4F"/>
    <w:rsid w:val="008F2D12"/>
    <w:rsid w:val="008F3BFA"/>
    <w:rsid w:val="008F3C21"/>
    <w:rsid w:val="008F4098"/>
    <w:rsid w:val="008F40B4"/>
    <w:rsid w:val="008F42F2"/>
    <w:rsid w:val="008F43B4"/>
    <w:rsid w:val="008F483E"/>
    <w:rsid w:val="008F4EEA"/>
    <w:rsid w:val="008F5042"/>
    <w:rsid w:val="008F5427"/>
    <w:rsid w:val="008F5B29"/>
    <w:rsid w:val="008F714B"/>
    <w:rsid w:val="008F71EF"/>
    <w:rsid w:val="008F723A"/>
    <w:rsid w:val="008F7D19"/>
    <w:rsid w:val="008F7F62"/>
    <w:rsid w:val="009001C7"/>
    <w:rsid w:val="00900378"/>
    <w:rsid w:val="0090058B"/>
    <w:rsid w:val="00900653"/>
    <w:rsid w:val="00900B7A"/>
    <w:rsid w:val="00901764"/>
    <w:rsid w:val="00902EAA"/>
    <w:rsid w:val="009030FA"/>
    <w:rsid w:val="0090310B"/>
    <w:rsid w:val="009033BA"/>
    <w:rsid w:val="00903EF8"/>
    <w:rsid w:val="00903F25"/>
    <w:rsid w:val="00904793"/>
    <w:rsid w:val="009047DE"/>
    <w:rsid w:val="00904D3A"/>
    <w:rsid w:val="00905E47"/>
    <w:rsid w:val="00906AA8"/>
    <w:rsid w:val="00906DB9"/>
    <w:rsid w:val="00906E17"/>
    <w:rsid w:val="00907163"/>
    <w:rsid w:val="009102B7"/>
    <w:rsid w:val="009107F2"/>
    <w:rsid w:val="00910FE8"/>
    <w:rsid w:val="00911A3C"/>
    <w:rsid w:val="00911FB6"/>
    <w:rsid w:val="009120AE"/>
    <w:rsid w:val="009124A5"/>
    <w:rsid w:val="00913F88"/>
    <w:rsid w:val="009156C7"/>
    <w:rsid w:val="009157BA"/>
    <w:rsid w:val="00916337"/>
    <w:rsid w:val="0091752C"/>
    <w:rsid w:val="009201F5"/>
    <w:rsid w:val="0092028B"/>
    <w:rsid w:val="00920EBA"/>
    <w:rsid w:val="0092169A"/>
    <w:rsid w:val="00922591"/>
    <w:rsid w:val="0092269E"/>
    <w:rsid w:val="00922CB9"/>
    <w:rsid w:val="009234D4"/>
    <w:rsid w:val="00923EEB"/>
    <w:rsid w:val="009242A2"/>
    <w:rsid w:val="00924CE7"/>
    <w:rsid w:val="009250A3"/>
    <w:rsid w:val="00926D71"/>
    <w:rsid w:val="00927030"/>
    <w:rsid w:val="00927230"/>
    <w:rsid w:val="009276DE"/>
    <w:rsid w:val="00927729"/>
    <w:rsid w:val="00927CF3"/>
    <w:rsid w:val="00927E93"/>
    <w:rsid w:val="00930310"/>
    <w:rsid w:val="00930821"/>
    <w:rsid w:val="00930BA1"/>
    <w:rsid w:val="00931033"/>
    <w:rsid w:val="009312FE"/>
    <w:rsid w:val="00931375"/>
    <w:rsid w:val="0093169E"/>
    <w:rsid w:val="00931848"/>
    <w:rsid w:val="00931C81"/>
    <w:rsid w:val="0093201F"/>
    <w:rsid w:val="00932825"/>
    <w:rsid w:val="0093354B"/>
    <w:rsid w:val="00933878"/>
    <w:rsid w:val="00934E99"/>
    <w:rsid w:val="009358C4"/>
    <w:rsid w:val="009367C4"/>
    <w:rsid w:val="00940A02"/>
    <w:rsid w:val="00940CD2"/>
    <w:rsid w:val="00940F33"/>
    <w:rsid w:val="009423D3"/>
    <w:rsid w:val="009425AE"/>
    <w:rsid w:val="00942B34"/>
    <w:rsid w:val="00942B55"/>
    <w:rsid w:val="00943162"/>
    <w:rsid w:val="00943182"/>
    <w:rsid w:val="00943586"/>
    <w:rsid w:val="00943AC8"/>
    <w:rsid w:val="00943B4C"/>
    <w:rsid w:val="009440C8"/>
    <w:rsid w:val="009448F7"/>
    <w:rsid w:val="00944AA5"/>
    <w:rsid w:val="009462D1"/>
    <w:rsid w:val="0094694B"/>
    <w:rsid w:val="00946B96"/>
    <w:rsid w:val="00946D00"/>
    <w:rsid w:val="0094718D"/>
    <w:rsid w:val="009473FD"/>
    <w:rsid w:val="00947519"/>
    <w:rsid w:val="0094795A"/>
    <w:rsid w:val="00947BA4"/>
    <w:rsid w:val="009505C9"/>
    <w:rsid w:val="00950752"/>
    <w:rsid w:val="0095125F"/>
    <w:rsid w:val="00951794"/>
    <w:rsid w:val="00951A7F"/>
    <w:rsid w:val="00951EFB"/>
    <w:rsid w:val="0095215B"/>
    <w:rsid w:val="009524A0"/>
    <w:rsid w:val="00952FFF"/>
    <w:rsid w:val="00953446"/>
    <w:rsid w:val="00954C86"/>
    <w:rsid w:val="00955B03"/>
    <w:rsid w:val="00955C45"/>
    <w:rsid w:val="00955CA0"/>
    <w:rsid w:val="009577E1"/>
    <w:rsid w:val="00957C29"/>
    <w:rsid w:val="00960BB3"/>
    <w:rsid w:val="00960BD2"/>
    <w:rsid w:val="00960BDF"/>
    <w:rsid w:val="00960E5A"/>
    <w:rsid w:val="009624FE"/>
    <w:rsid w:val="0096265B"/>
    <w:rsid w:val="009636A1"/>
    <w:rsid w:val="00963FA5"/>
    <w:rsid w:val="00964260"/>
    <w:rsid w:val="009644BE"/>
    <w:rsid w:val="00964CC2"/>
    <w:rsid w:val="009652C6"/>
    <w:rsid w:val="0096536E"/>
    <w:rsid w:val="00965AAB"/>
    <w:rsid w:val="00965D10"/>
    <w:rsid w:val="00966424"/>
    <w:rsid w:val="009676E1"/>
    <w:rsid w:val="009678E6"/>
    <w:rsid w:val="009704F1"/>
    <w:rsid w:val="009707AB"/>
    <w:rsid w:val="00970913"/>
    <w:rsid w:val="00970C00"/>
    <w:rsid w:val="00970D34"/>
    <w:rsid w:val="00970E6B"/>
    <w:rsid w:val="00970F6A"/>
    <w:rsid w:val="00971FA1"/>
    <w:rsid w:val="0097249D"/>
    <w:rsid w:val="009729F8"/>
    <w:rsid w:val="009736C0"/>
    <w:rsid w:val="00974022"/>
    <w:rsid w:val="00974074"/>
    <w:rsid w:val="00974EDA"/>
    <w:rsid w:val="009753B0"/>
    <w:rsid w:val="00975EF4"/>
    <w:rsid w:val="0097609F"/>
    <w:rsid w:val="00976783"/>
    <w:rsid w:val="00976946"/>
    <w:rsid w:val="009773E1"/>
    <w:rsid w:val="00977A11"/>
    <w:rsid w:val="00977A3F"/>
    <w:rsid w:val="00977A49"/>
    <w:rsid w:val="00977F69"/>
    <w:rsid w:val="0098065F"/>
    <w:rsid w:val="009808D4"/>
    <w:rsid w:val="00980970"/>
    <w:rsid w:val="00980DDB"/>
    <w:rsid w:val="00981BE4"/>
    <w:rsid w:val="00981E26"/>
    <w:rsid w:val="00982EC4"/>
    <w:rsid w:val="00983E7C"/>
    <w:rsid w:val="00984218"/>
    <w:rsid w:val="0098448B"/>
    <w:rsid w:val="009848B7"/>
    <w:rsid w:val="00984F7A"/>
    <w:rsid w:val="009853F3"/>
    <w:rsid w:val="00985927"/>
    <w:rsid w:val="00985C1C"/>
    <w:rsid w:val="00985CD1"/>
    <w:rsid w:val="00986000"/>
    <w:rsid w:val="00986343"/>
    <w:rsid w:val="009865DF"/>
    <w:rsid w:val="0098667E"/>
    <w:rsid w:val="00986F53"/>
    <w:rsid w:val="009877C8"/>
    <w:rsid w:val="00987D54"/>
    <w:rsid w:val="009900DF"/>
    <w:rsid w:val="0099049D"/>
    <w:rsid w:val="0099090A"/>
    <w:rsid w:val="00990B27"/>
    <w:rsid w:val="00990BDD"/>
    <w:rsid w:val="00990E42"/>
    <w:rsid w:val="00991264"/>
    <w:rsid w:val="00991453"/>
    <w:rsid w:val="00991566"/>
    <w:rsid w:val="009926C4"/>
    <w:rsid w:val="00992B1B"/>
    <w:rsid w:val="00992D01"/>
    <w:rsid w:val="009930C2"/>
    <w:rsid w:val="009945DC"/>
    <w:rsid w:val="00994803"/>
    <w:rsid w:val="00994C21"/>
    <w:rsid w:val="00994F34"/>
    <w:rsid w:val="00995529"/>
    <w:rsid w:val="00995FD8"/>
    <w:rsid w:val="00996CF1"/>
    <w:rsid w:val="00997FCF"/>
    <w:rsid w:val="009A09B6"/>
    <w:rsid w:val="009A0B6D"/>
    <w:rsid w:val="009A0D06"/>
    <w:rsid w:val="009A0EFC"/>
    <w:rsid w:val="009A1ABD"/>
    <w:rsid w:val="009A1D41"/>
    <w:rsid w:val="009A27E8"/>
    <w:rsid w:val="009A297B"/>
    <w:rsid w:val="009A3B7D"/>
    <w:rsid w:val="009A4891"/>
    <w:rsid w:val="009A512D"/>
    <w:rsid w:val="009A54C4"/>
    <w:rsid w:val="009A5551"/>
    <w:rsid w:val="009A5DE2"/>
    <w:rsid w:val="009A6A66"/>
    <w:rsid w:val="009A6AE1"/>
    <w:rsid w:val="009A6B93"/>
    <w:rsid w:val="009A74E6"/>
    <w:rsid w:val="009B0431"/>
    <w:rsid w:val="009B0467"/>
    <w:rsid w:val="009B0C14"/>
    <w:rsid w:val="009B0C39"/>
    <w:rsid w:val="009B0F65"/>
    <w:rsid w:val="009B12C0"/>
    <w:rsid w:val="009B2393"/>
    <w:rsid w:val="009B2EA7"/>
    <w:rsid w:val="009B309F"/>
    <w:rsid w:val="009B33CA"/>
    <w:rsid w:val="009B45CB"/>
    <w:rsid w:val="009B48B0"/>
    <w:rsid w:val="009B5BF4"/>
    <w:rsid w:val="009B5EB5"/>
    <w:rsid w:val="009B65DD"/>
    <w:rsid w:val="009B67AD"/>
    <w:rsid w:val="009B783D"/>
    <w:rsid w:val="009B7C8C"/>
    <w:rsid w:val="009C013F"/>
    <w:rsid w:val="009C0472"/>
    <w:rsid w:val="009C085B"/>
    <w:rsid w:val="009C0E52"/>
    <w:rsid w:val="009C0F15"/>
    <w:rsid w:val="009C162C"/>
    <w:rsid w:val="009C16BB"/>
    <w:rsid w:val="009C186B"/>
    <w:rsid w:val="009C1C76"/>
    <w:rsid w:val="009C1FA8"/>
    <w:rsid w:val="009C20D8"/>
    <w:rsid w:val="009C243C"/>
    <w:rsid w:val="009C2DE6"/>
    <w:rsid w:val="009C32CF"/>
    <w:rsid w:val="009C3627"/>
    <w:rsid w:val="009C3749"/>
    <w:rsid w:val="009C4D7E"/>
    <w:rsid w:val="009C500D"/>
    <w:rsid w:val="009C5B09"/>
    <w:rsid w:val="009C60B2"/>
    <w:rsid w:val="009C6553"/>
    <w:rsid w:val="009C6B02"/>
    <w:rsid w:val="009C6D99"/>
    <w:rsid w:val="009C78A5"/>
    <w:rsid w:val="009C7C14"/>
    <w:rsid w:val="009C7DD2"/>
    <w:rsid w:val="009C7ED9"/>
    <w:rsid w:val="009D0002"/>
    <w:rsid w:val="009D01D8"/>
    <w:rsid w:val="009D01F5"/>
    <w:rsid w:val="009D0776"/>
    <w:rsid w:val="009D07BD"/>
    <w:rsid w:val="009D15E5"/>
    <w:rsid w:val="009D1AE7"/>
    <w:rsid w:val="009D1B61"/>
    <w:rsid w:val="009D271F"/>
    <w:rsid w:val="009D2896"/>
    <w:rsid w:val="009D2E4F"/>
    <w:rsid w:val="009D3CA5"/>
    <w:rsid w:val="009D461C"/>
    <w:rsid w:val="009D490A"/>
    <w:rsid w:val="009D534D"/>
    <w:rsid w:val="009D6055"/>
    <w:rsid w:val="009D6EA3"/>
    <w:rsid w:val="009D7021"/>
    <w:rsid w:val="009D7258"/>
    <w:rsid w:val="009D7323"/>
    <w:rsid w:val="009D77EB"/>
    <w:rsid w:val="009D7B4B"/>
    <w:rsid w:val="009D7F00"/>
    <w:rsid w:val="009E1A7B"/>
    <w:rsid w:val="009E1F7D"/>
    <w:rsid w:val="009E2331"/>
    <w:rsid w:val="009E242E"/>
    <w:rsid w:val="009E42DE"/>
    <w:rsid w:val="009E4DF4"/>
    <w:rsid w:val="009E539C"/>
    <w:rsid w:val="009E5455"/>
    <w:rsid w:val="009E5AD3"/>
    <w:rsid w:val="009E601A"/>
    <w:rsid w:val="009E6AA1"/>
    <w:rsid w:val="009E6F43"/>
    <w:rsid w:val="009E7347"/>
    <w:rsid w:val="009E74F3"/>
    <w:rsid w:val="009E7B15"/>
    <w:rsid w:val="009F004D"/>
    <w:rsid w:val="009F0EBB"/>
    <w:rsid w:val="009F1185"/>
    <w:rsid w:val="009F1782"/>
    <w:rsid w:val="009F230F"/>
    <w:rsid w:val="009F37C9"/>
    <w:rsid w:val="009F3A56"/>
    <w:rsid w:val="009F4A17"/>
    <w:rsid w:val="009F4FE9"/>
    <w:rsid w:val="009F5539"/>
    <w:rsid w:val="009F582F"/>
    <w:rsid w:val="009F5F23"/>
    <w:rsid w:val="009F605E"/>
    <w:rsid w:val="009F7204"/>
    <w:rsid w:val="00A0062B"/>
    <w:rsid w:val="00A00B08"/>
    <w:rsid w:val="00A013BE"/>
    <w:rsid w:val="00A014F5"/>
    <w:rsid w:val="00A01694"/>
    <w:rsid w:val="00A01D92"/>
    <w:rsid w:val="00A0239F"/>
    <w:rsid w:val="00A024F7"/>
    <w:rsid w:val="00A02D61"/>
    <w:rsid w:val="00A02DAB"/>
    <w:rsid w:val="00A02F37"/>
    <w:rsid w:val="00A03826"/>
    <w:rsid w:val="00A03AF0"/>
    <w:rsid w:val="00A03BF4"/>
    <w:rsid w:val="00A03FE1"/>
    <w:rsid w:val="00A04A13"/>
    <w:rsid w:val="00A04EA2"/>
    <w:rsid w:val="00A050FD"/>
    <w:rsid w:val="00A051D8"/>
    <w:rsid w:val="00A066FD"/>
    <w:rsid w:val="00A068C1"/>
    <w:rsid w:val="00A06CC6"/>
    <w:rsid w:val="00A07061"/>
    <w:rsid w:val="00A074AE"/>
    <w:rsid w:val="00A075C4"/>
    <w:rsid w:val="00A07B19"/>
    <w:rsid w:val="00A111D1"/>
    <w:rsid w:val="00A1123D"/>
    <w:rsid w:val="00A1133E"/>
    <w:rsid w:val="00A11DF4"/>
    <w:rsid w:val="00A1331F"/>
    <w:rsid w:val="00A1472E"/>
    <w:rsid w:val="00A14734"/>
    <w:rsid w:val="00A14DFC"/>
    <w:rsid w:val="00A157B9"/>
    <w:rsid w:val="00A1667A"/>
    <w:rsid w:val="00A170D6"/>
    <w:rsid w:val="00A1720D"/>
    <w:rsid w:val="00A1747B"/>
    <w:rsid w:val="00A178E9"/>
    <w:rsid w:val="00A17CFE"/>
    <w:rsid w:val="00A201A2"/>
    <w:rsid w:val="00A2085B"/>
    <w:rsid w:val="00A20B5C"/>
    <w:rsid w:val="00A21F19"/>
    <w:rsid w:val="00A22C75"/>
    <w:rsid w:val="00A23853"/>
    <w:rsid w:val="00A238C3"/>
    <w:rsid w:val="00A26A54"/>
    <w:rsid w:val="00A26E8E"/>
    <w:rsid w:val="00A2728C"/>
    <w:rsid w:val="00A3003E"/>
    <w:rsid w:val="00A3027C"/>
    <w:rsid w:val="00A312E0"/>
    <w:rsid w:val="00A31659"/>
    <w:rsid w:val="00A31A99"/>
    <w:rsid w:val="00A31BBF"/>
    <w:rsid w:val="00A324D9"/>
    <w:rsid w:val="00A3311A"/>
    <w:rsid w:val="00A331B2"/>
    <w:rsid w:val="00A33437"/>
    <w:rsid w:val="00A33512"/>
    <w:rsid w:val="00A33788"/>
    <w:rsid w:val="00A33DDE"/>
    <w:rsid w:val="00A33FCA"/>
    <w:rsid w:val="00A3403D"/>
    <w:rsid w:val="00A34484"/>
    <w:rsid w:val="00A34524"/>
    <w:rsid w:val="00A3453E"/>
    <w:rsid w:val="00A3484E"/>
    <w:rsid w:val="00A34A55"/>
    <w:rsid w:val="00A36174"/>
    <w:rsid w:val="00A36574"/>
    <w:rsid w:val="00A3689A"/>
    <w:rsid w:val="00A37D1A"/>
    <w:rsid w:val="00A40F1D"/>
    <w:rsid w:val="00A418EE"/>
    <w:rsid w:val="00A42C5A"/>
    <w:rsid w:val="00A42FB7"/>
    <w:rsid w:val="00A43D36"/>
    <w:rsid w:val="00A4441A"/>
    <w:rsid w:val="00A44916"/>
    <w:rsid w:val="00A45484"/>
    <w:rsid w:val="00A45AD5"/>
    <w:rsid w:val="00A45AF8"/>
    <w:rsid w:val="00A46060"/>
    <w:rsid w:val="00A46588"/>
    <w:rsid w:val="00A47144"/>
    <w:rsid w:val="00A51B60"/>
    <w:rsid w:val="00A5297A"/>
    <w:rsid w:val="00A53B8A"/>
    <w:rsid w:val="00A53BE0"/>
    <w:rsid w:val="00A53CA0"/>
    <w:rsid w:val="00A5477D"/>
    <w:rsid w:val="00A55D8D"/>
    <w:rsid w:val="00A55E72"/>
    <w:rsid w:val="00A5728B"/>
    <w:rsid w:val="00A57415"/>
    <w:rsid w:val="00A5748E"/>
    <w:rsid w:val="00A57616"/>
    <w:rsid w:val="00A578C2"/>
    <w:rsid w:val="00A57EFC"/>
    <w:rsid w:val="00A60139"/>
    <w:rsid w:val="00A61171"/>
    <w:rsid w:val="00A612EF"/>
    <w:rsid w:val="00A61392"/>
    <w:rsid w:val="00A617FC"/>
    <w:rsid w:val="00A61E03"/>
    <w:rsid w:val="00A61FFC"/>
    <w:rsid w:val="00A62203"/>
    <w:rsid w:val="00A6240F"/>
    <w:rsid w:val="00A62B44"/>
    <w:rsid w:val="00A645D1"/>
    <w:rsid w:val="00A650FE"/>
    <w:rsid w:val="00A655C5"/>
    <w:rsid w:val="00A65DDF"/>
    <w:rsid w:val="00A65F86"/>
    <w:rsid w:val="00A660C0"/>
    <w:rsid w:val="00A67111"/>
    <w:rsid w:val="00A67635"/>
    <w:rsid w:val="00A676BD"/>
    <w:rsid w:val="00A67C39"/>
    <w:rsid w:val="00A67C4C"/>
    <w:rsid w:val="00A70113"/>
    <w:rsid w:val="00A7025A"/>
    <w:rsid w:val="00A7114D"/>
    <w:rsid w:val="00A7115E"/>
    <w:rsid w:val="00A726D4"/>
    <w:rsid w:val="00A72CB2"/>
    <w:rsid w:val="00A743CC"/>
    <w:rsid w:val="00A751EB"/>
    <w:rsid w:val="00A7592D"/>
    <w:rsid w:val="00A75A31"/>
    <w:rsid w:val="00A75B3C"/>
    <w:rsid w:val="00A75BB8"/>
    <w:rsid w:val="00A75E4C"/>
    <w:rsid w:val="00A7616E"/>
    <w:rsid w:val="00A762C9"/>
    <w:rsid w:val="00A765B7"/>
    <w:rsid w:val="00A7665C"/>
    <w:rsid w:val="00A80434"/>
    <w:rsid w:val="00A80593"/>
    <w:rsid w:val="00A80899"/>
    <w:rsid w:val="00A80C77"/>
    <w:rsid w:val="00A819EC"/>
    <w:rsid w:val="00A81EEF"/>
    <w:rsid w:val="00A82232"/>
    <w:rsid w:val="00A823D6"/>
    <w:rsid w:val="00A83CE4"/>
    <w:rsid w:val="00A83F6A"/>
    <w:rsid w:val="00A83FE3"/>
    <w:rsid w:val="00A846C8"/>
    <w:rsid w:val="00A84F93"/>
    <w:rsid w:val="00A85BAE"/>
    <w:rsid w:val="00A86FCE"/>
    <w:rsid w:val="00A874FB"/>
    <w:rsid w:val="00A8757A"/>
    <w:rsid w:val="00A87753"/>
    <w:rsid w:val="00A8787D"/>
    <w:rsid w:val="00A87AAF"/>
    <w:rsid w:val="00A87F90"/>
    <w:rsid w:val="00A900F2"/>
    <w:rsid w:val="00A902BF"/>
    <w:rsid w:val="00A914AF"/>
    <w:rsid w:val="00A928EF"/>
    <w:rsid w:val="00A92A38"/>
    <w:rsid w:val="00A93FE3"/>
    <w:rsid w:val="00A94C9E"/>
    <w:rsid w:val="00A959AE"/>
    <w:rsid w:val="00A95BAD"/>
    <w:rsid w:val="00A95D72"/>
    <w:rsid w:val="00A963F6"/>
    <w:rsid w:val="00A964A8"/>
    <w:rsid w:val="00A965A6"/>
    <w:rsid w:val="00A969C8"/>
    <w:rsid w:val="00A96BE8"/>
    <w:rsid w:val="00A97497"/>
    <w:rsid w:val="00A97D57"/>
    <w:rsid w:val="00AA0156"/>
    <w:rsid w:val="00AA01EF"/>
    <w:rsid w:val="00AA0506"/>
    <w:rsid w:val="00AA0A7D"/>
    <w:rsid w:val="00AA0B6C"/>
    <w:rsid w:val="00AA0DC3"/>
    <w:rsid w:val="00AA1556"/>
    <w:rsid w:val="00AA16CF"/>
    <w:rsid w:val="00AA1E0F"/>
    <w:rsid w:val="00AA1E4D"/>
    <w:rsid w:val="00AA1F38"/>
    <w:rsid w:val="00AA1F52"/>
    <w:rsid w:val="00AA24DC"/>
    <w:rsid w:val="00AA2773"/>
    <w:rsid w:val="00AA4152"/>
    <w:rsid w:val="00AA421E"/>
    <w:rsid w:val="00AA4DB4"/>
    <w:rsid w:val="00AA4F48"/>
    <w:rsid w:val="00AA4FD7"/>
    <w:rsid w:val="00AA52DC"/>
    <w:rsid w:val="00AA531A"/>
    <w:rsid w:val="00AA5631"/>
    <w:rsid w:val="00AA5D7E"/>
    <w:rsid w:val="00AA6B53"/>
    <w:rsid w:val="00AA6CBC"/>
    <w:rsid w:val="00AA6E0C"/>
    <w:rsid w:val="00AA6F92"/>
    <w:rsid w:val="00AA72AE"/>
    <w:rsid w:val="00AB03A4"/>
    <w:rsid w:val="00AB04AF"/>
    <w:rsid w:val="00AB0534"/>
    <w:rsid w:val="00AB09AC"/>
    <w:rsid w:val="00AB1024"/>
    <w:rsid w:val="00AB1695"/>
    <w:rsid w:val="00AB16B4"/>
    <w:rsid w:val="00AB1FB5"/>
    <w:rsid w:val="00AB2D99"/>
    <w:rsid w:val="00AB341E"/>
    <w:rsid w:val="00AB3A31"/>
    <w:rsid w:val="00AB4480"/>
    <w:rsid w:val="00AB47BD"/>
    <w:rsid w:val="00AB578A"/>
    <w:rsid w:val="00AB581B"/>
    <w:rsid w:val="00AB5A21"/>
    <w:rsid w:val="00AB5A35"/>
    <w:rsid w:val="00AB620C"/>
    <w:rsid w:val="00AB63AD"/>
    <w:rsid w:val="00AB6934"/>
    <w:rsid w:val="00AB7061"/>
    <w:rsid w:val="00AC0172"/>
    <w:rsid w:val="00AC021D"/>
    <w:rsid w:val="00AC03A7"/>
    <w:rsid w:val="00AC045F"/>
    <w:rsid w:val="00AC1BF2"/>
    <w:rsid w:val="00AC26E9"/>
    <w:rsid w:val="00AC2EB9"/>
    <w:rsid w:val="00AC3208"/>
    <w:rsid w:val="00AC3265"/>
    <w:rsid w:val="00AC354C"/>
    <w:rsid w:val="00AC3B9D"/>
    <w:rsid w:val="00AC42B1"/>
    <w:rsid w:val="00AC43E8"/>
    <w:rsid w:val="00AC4AFD"/>
    <w:rsid w:val="00AC56FD"/>
    <w:rsid w:val="00AC64ED"/>
    <w:rsid w:val="00AC67B1"/>
    <w:rsid w:val="00AC6BB9"/>
    <w:rsid w:val="00AC6EF3"/>
    <w:rsid w:val="00AC70ED"/>
    <w:rsid w:val="00AC73AE"/>
    <w:rsid w:val="00AC7D11"/>
    <w:rsid w:val="00AD018A"/>
    <w:rsid w:val="00AD0DD7"/>
    <w:rsid w:val="00AD0ED3"/>
    <w:rsid w:val="00AD267D"/>
    <w:rsid w:val="00AD2CC4"/>
    <w:rsid w:val="00AD3651"/>
    <w:rsid w:val="00AD3ABD"/>
    <w:rsid w:val="00AD3CB3"/>
    <w:rsid w:val="00AD4161"/>
    <w:rsid w:val="00AD4250"/>
    <w:rsid w:val="00AD44F8"/>
    <w:rsid w:val="00AD45CC"/>
    <w:rsid w:val="00AD4F16"/>
    <w:rsid w:val="00AD50F0"/>
    <w:rsid w:val="00AD53B1"/>
    <w:rsid w:val="00AD58EE"/>
    <w:rsid w:val="00AD5BE2"/>
    <w:rsid w:val="00AD5C3C"/>
    <w:rsid w:val="00AD616B"/>
    <w:rsid w:val="00AD6A24"/>
    <w:rsid w:val="00AD765F"/>
    <w:rsid w:val="00AD7AAC"/>
    <w:rsid w:val="00AD7C9D"/>
    <w:rsid w:val="00AE03F4"/>
    <w:rsid w:val="00AE0479"/>
    <w:rsid w:val="00AE1BA4"/>
    <w:rsid w:val="00AE1C02"/>
    <w:rsid w:val="00AE1CC5"/>
    <w:rsid w:val="00AE1D03"/>
    <w:rsid w:val="00AE2631"/>
    <w:rsid w:val="00AE268E"/>
    <w:rsid w:val="00AE2B29"/>
    <w:rsid w:val="00AE364E"/>
    <w:rsid w:val="00AE469C"/>
    <w:rsid w:val="00AE4763"/>
    <w:rsid w:val="00AE4ABD"/>
    <w:rsid w:val="00AE4C27"/>
    <w:rsid w:val="00AE5099"/>
    <w:rsid w:val="00AE6112"/>
    <w:rsid w:val="00AE62DA"/>
    <w:rsid w:val="00AE63C4"/>
    <w:rsid w:val="00AE6A93"/>
    <w:rsid w:val="00AF00DD"/>
    <w:rsid w:val="00AF0381"/>
    <w:rsid w:val="00AF0C9E"/>
    <w:rsid w:val="00AF2D96"/>
    <w:rsid w:val="00AF32A7"/>
    <w:rsid w:val="00AF33FE"/>
    <w:rsid w:val="00AF3CF1"/>
    <w:rsid w:val="00AF40BA"/>
    <w:rsid w:val="00AF42DE"/>
    <w:rsid w:val="00AF55A5"/>
    <w:rsid w:val="00AF587A"/>
    <w:rsid w:val="00AF5918"/>
    <w:rsid w:val="00AF59A1"/>
    <w:rsid w:val="00AF63B0"/>
    <w:rsid w:val="00AF63C9"/>
    <w:rsid w:val="00AF786E"/>
    <w:rsid w:val="00B001BA"/>
    <w:rsid w:val="00B003EC"/>
    <w:rsid w:val="00B013FF"/>
    <w:rsid w:val="00B01682"/>
    <w:rsid w:val="00B036F2"/>
    <w:rsid w:val="00B03BDC"/>
    <w:rsid w:val="00B04AFC"/>
    <w:rsid w:val="00B04E18"/>
    <w:rsid w:val="00B06002"/>
    <w:rsid w:val="00B064A1"/>
    <w:rsid w:val="00B06AE3"/>
    <w:rsid w:val="00B06CE3"/>
    <w:rsid w:val="00B07282"/>
    <w:rsid w:val="00B072AB"/>
    <w:rsid w:val="00B07859"/>
    <w:rsid w:val="00B07C70"/>
    <w:rsid w:val="00B07FF0"/>
    <w:rsid w:val="00B1016A"/>
    <w:rsid w:val="00B1026E"/>
    <w:rsid w:val="00B107EC"/>
    <w:rsid w:val="00B10B26"/>
    <w:rsid w:val="00B10B6D"/>
    <w:rsid w:val="00B10B9A"/>
    <w:rsid w:val="00B116DA"/>
    <w:rsid w:val="00B11F4A"/>
    <w:rsid w:val="00B11F92"/>
    <w:rsid w:val="00B13975"/>
    <w:rsid w:val="00B13ACB"/>
    <w:rsid w:val="00B14405"/>
    <w:rsid w:val="00B1491D"/>
    <w:rsid w:val="00B14BEC"/>
    <w:rsid w:val="00B1500D"/>
    <w:rsid w:val="00B152F2"/>
    <w:rsid w:val="00B16ADE"/>
    <w:rsid w:val="00B1724E"/>
    <w:rsid w:val="00B178AD"/>
    <w:rsid w:val="00B17F6A"/>
    <w:rsid w:val="00B17FC6"/>
    <w:rsid w:val="00B205D4"/>
    <w:rsid w:val="00B206B5"/>
    <w:rsid w:val="00B207BC"/>
    <w:rsid w:val="00B214A7"/>
    <w:rsid w:val="00B214CE"/>
    <w:rsid w:val="00B2226E"/>
    <w:rsid w:val="00B224A0"/>
    <w:rsid w:val="00B239A6"/>
    <w:rsid w:val="00B23B1A"/>
    <w:rsid w:val="00B24EDA"/>
    <w:rsid w:val="00B2567B"/>
    <w:rsid w:val="00B2623A"/>
    <w:rsid w:val="00B27316"/>
    <w:rsid w:val="00B3016D"/>
    <w:rsid w:val="00B30391"/>
    <w:rsid w:val="00B30DDF"/>
    <w:rsid w:val="00B30E6B"/>
    <w:rsid w:val="00B313E2"/>
    <w:rsid w:val="00B31673"/>
    <w:rsid w:val="00B31E7C"/>
    <w:rsid w:val="00B31F2F"/>
    <w:rsid w:val="00B32B8F"/>
    <w:rsid w:val="00B33662"/>
    <w:rsid w:val="00B3369F"/>
    <w:rsid w:val="00B34592"/>
    <w:rsid w:val="00B34884"/>
    <w:rsid w:val="00B35414"/>
    <w:rsid w:val="00B361A1"/>
    <w:rsid w:val="00B3653F"/>
    <w:rsid w:val="00B36A04"/>
    <w:rsid w:val="00B37089"/>
    <w:rsid w:val="00B37266"/>
    <w:rsid w:val="00B402AC"/>
    <w:rsid w:val="00B41943"/>
    <w:rsid w:val="00B422C4"/>
    <w:rsid w:val="00B42592"/>
    <w:rsid w:val="00B43315"/>
    <w:rsid w:val="00B4331C"/>
    <w:rsid w:val="00B445E2"/>
    <w:rsid w:val="00B44BA9"/>
    <w:rsid w:val="00B454EA"/>
    <w:rsid w:val="00B456F6"/>
    <w:rsid w:val="00B46175"/>
    <w:rsid w:val="00B465F7"/>
    <w:rsid w:val="00B46A15"/>
    <w:rsid w:val="00B46BDF"/>
    <w:rsid w:val="00B47331"/>
    <w:rsid w:val="00B477AF"/>
    <w:rsid w:val="00B47982"/>
    <w:rsid w:val="00B47F92"/>
    <w:rsid w:val="00B5001E"/>
    <w:rsid w:val="00B50480"/>
    <w:rsid w:val="00B50A21"/>
    <w:rsid w:val="00B51402"/>
    <w:rsid w:val="00B517F9"/>
    <w:rsid w:val="00B51AA0"/>
    <w:rsid w:val="00B52D5C"/>
    <w:rsid w:val="00B532C0"/>
    <w:rsid w:val="00B532E9"/>
    <w:rsid w:val="00B54361"/>
    <w:rsid w:val="00B54868"/>
    <w:rsid w:val="00B5643A"/>
    <w:rsid w:val="00B565C5"/>
    <w:rsid w:val="00B56A68"/>
    <w:rsid w:val="00B577A6"/>
    <w:rsid w:val="00B57DA9"/>
    <w:rsid w:val="00B60F95"/>
    <w:rsid w:val="00B61CA3"/>
    <w:rsid w:val="00B61D56"/>
    <w:rsid w:val="00B623E3"/>
    <w:rsid w:val="00B6255F"/>
    <w:rsid w:val="00B62E61"/>
    <w:rsid w:val="00B6313F"/>
    <w:rsid w:val="00B63528"/>
    <w:rsid w:val="00B67433"/>
    <w:rsid w:val="00B67F02"/>
    <w:rsid w:val="00B70042"/>
    <w:rsid w:val="00B7029D"/>
    <w:rsid w:val="00B704EC"/>
    <w:rsid w:val="00B7073C"/>
    <w:rsid w:val="00B70FF1"/>
    <w:rsid w:val="00B71E67"/>
    <w:rsid w:val="00B72652"/>
    <w:rsid w:val="00B727C2"/>
    <w:rsid w:val="00B7287C"/>
    <w:rsid w:val="00B72D0C"/>
    <w:rsid w:val="00B73668"/>
    <w:rsid w:val="00B73AF1"/>
    <w:rsid w:val="00B741A7"/>
    <w:rsid w:val="00B7436F"/>
    <w:rsid w:val="00B746D8"/>
    <w:rsid w:val="00B74880"/>
    <w:rsid w:val="00B75D5C"/>
    <w:rsid w:val="00B768D6"/>
    <w:rsid w:val="00B76BAF"/>
    <w:rsid w:val="00B77298"/>
    <w:rsid w:val="00B77570"/>
    <w:rsid w:val="00B776A7"/>
    <w:rsid w:val="00B77835"/>
    <w:rsid w:val="00B77C66"/>
    <w:rsid w:val="00B8028B"/>
    <w:rsid w:val="00B8039B"/>
    <w:rsid w:val="00B80BA1"/>
    <w:rsid w:val="00B80E7F"/>
    <w:rsid w:val="00B819ED"/>
    <w:rsid w:val="00B81F6E"/>
    <w:rsid w:val="00B81F82"/>
    <w:rsid w:val="00B829E2"/>
    <w:rsid w:val="00B82A5B"/>
    <w:rsid w:val="00B82DA1"/>
    <w:rsid w:val="00B83D88"/>
    <w:rsid w:val="00B83DF6"/>
    <w:rsid w:val="00B83E33"/>
    <w:rsid w:val="00B85090"/>
    <w:rsid w:val="00B85BE4"/>
    <w:rsid w:val="00B87A60"/>
    <w:rsid w:val="00B87B8E"/>
    <w:rsid w:val="00B90603"/>
    <w:rsid w:val="00B91D3D"/>
    <w:rsid w:val="00B91F16"/>
    <w:rsid w:val="00B9200E"/>
    <w:rsid w:val="00B921DB"/>
    <w:rsid w:val="00B923BC"/>
    <w:rsid w:val="00B9277D"/>
    <w:rsid w:val="00B928AD"/>
    <w:rsid w:val="00B93DF3"/>
    <w:rsid w:val="00B93FFF"/>
    <w:rsid w:val="00B94E6C"/>
    <w:rsid w:val="00B95496"/>
    <w:rsid w:val="00B9593C"/>
    <w:rsid w:val="00B95BD7"/>
    <w:rsid w:val="00B95F20"/>
    <w:rsid w:val="00B967EB"/>
    <w:rsid w:val="00B975C8"/>
    <w:rsid w:val="00BA04F1"/>
    <w:rsid w:val="00BA06A9"/>
    <w:rsid w:val="00BA0A14"/>
    <w:rsid w:val="00BA0C35"/>
    <w:rsid w:val="00BA0FF6"/>
    <w:rsid w:val="00BA1078"/>
    <w:rsid w:val="00BA14C6"/>
    <w:rsid w:val="00BA17DF"/>
    <w:rsid w:val="00BA1CEB"/>
    <w:rsid w:val="00BA23D8"/>
    <w:rsid w:val="00BA3885"/>
    <w:rsid w:val="00BA3AF9"/>
    <w:rsid w:val="00BA42FC"/>
    <w:rsid w:val="00BA45D2"/>
    <w:rsid w:val="00BA45F0"/>
    <w:rsid w:val="00BA470E"/>
    <w:rsid w:val="00BA5514"/>
    <w:rsid w:val="00BA5537"/>
    <w:rsid w:val="00BA5A52"/>
    <w:rsid w:val="00BA5C77"/>
    <w:rsid w:val="00BA6DB0"/>
    <w:rsid w:val="00BA7569"/>
    <w:rsid w:val="00BA78ED"/>
    <w:rsid w:val="00BB0552"/>
    <w:rsid w:val="00BB081F"/>
    <w:rsid w:val="00BB08A4"/>
    <w:rsid w:val="00BB0B96"/>
    <w:rsid w:val="00BB22BD"/>
    <w:rsid w:val="00BB337F"/>
    <w:rsid w:val="00BB3C14"/>
    <w:rsid w:val="00BB3D94"/>
    <w:rsid w:val="00BB4606"/>
    <w:rsid w:val="00BB54F6"/>
    <w:rsid w:val="00BB62C0"/>
    <w:rsid w:val="00BB7357"/>
    <w:rsid w:val="00BB7462"/>
    <w:rsid w:val="00BB755B"/>
    <w:rsid w:val="00BB7B5B"/>
    <w:rsid w:val="00BB7C3E"/>
    <w:rsid w:val="00BC1DB0"/>
    <w:rsid w:val="00BC1E18"/>
    <w:rsid w:val="00BC2682"/>
    <w:rsid w:val="00BC2698"/>
    <w:rsid w:val="00BC28DF"/>
    <w:rsid w:val="00BC2F5A"/>
    <w:rsid w:val="00BC3C9E"/>
    <w:rsid w:val="00BC3CE9"/>
    <w:rsid w:val="00BC3CFD"/>
    <w:rsid w:val="00BC5101"/>
    <w:rsid w:val="00BC55AC"/>
    <w:rsid w:val="00BC5C5F"/>
    <w:rsid w:val="00BC6F41"/>
    <w:rsid w:val="00BC7884"/>
    <w:rsid w:val="00BD06C1"/>
    <w:rsid w:val="00BD09E5"/>
    <w:rsid w:val="00BD11BD"/>
    <w:rsid w:val="00BD1F47"/>
    <w:rsid w:val="00BD2040"/>
    <w:rsid w:val="00BD27A8"/>
    <w:rsid w:val="00BD2CF2"/>
    <w:rsid w:val="00BD3713"/>
    <w:rsid w:val="00BD374B"/>
    <w:rsid w:val="00BD3CAF"/>
    <w:rsid w:val="00BD3DAE"/>
    <w:rsid w:val="00BD452B"/>
    <w:rsid w:val="00BD4B62"/>
    <w:rsid w:val="00BD4BDF"/>
    <w:rsid w:val="00BD4C6F"/>
    <w:rsid w:val="00BD56C0"/>
    <w:rsid w:val="00BD5C01"/>
    <w:rsid w:val="00BD6918"/>
    <w:rsid w:val="00BD6EF6"/>
    <w:rsid w:val="00BD746C"/>
    <w:rsid w:val="00BD75C2"/>
    <w:rsid w:val="00BD7ACA"/>
    <w:rsid w:val="00BE00E8"/>
    <w:rsid w:val="00BE1632"/>
    <w:rsid w:val="00BE249E"/>
    <w:rsid w:val="00BE2E08"/>
    <w:rsid w:val="00BE2E77"/>
    <w:rsid w:val="00BE2FAC"/>
    <w:rsid w:val="00BE3275"/>
    <w:rsid w:val="00BE3649"/>
    <w:rsid w:val="00BE4671"/>
    <w:rsid w:val="00BE5D01"/>
    <w:rsid w:val="00BE5E81"/>
    <w:rsid w:val="00BE7012"/>
    <w:rsid w:val="00BE7E8C"/>
    <w:rsid w:val="00BF0071"/>
    <w:rsid w:val="00BF06FA"/>
    <w:rsid w:val="00BF0733"/>
    <w:rsid w:val="00BF08DE"/>
    <w:rsid w:val="00BF1B61"/>
    <w:rsid w:val="00BF24FB"/>
    <w:rsid w:val="00BF2DC2"/>
    <w:rsid w:val="00BF3D98"/>
    <w:rsid w:val="00BF5538"/>
    <w:rsid w:val="00BF5708"/>
    <w:rsid w:val="00BF59FF"/>
    <w:rsid w:val="00BF5C28"/>
    <w:rsid w:val="00BF5E56"/>
    <w:rsid w:val="00BF6032"/>
    <w:rsid w:val="00BF6056"/>
    <w:rsid w:val="00C00961"/>
    <w:rsid w:val="00C00C14"/>
    <w:rsid w:val="00C0126C"/>
    <w:rsid w:val="00C0140C"/>
    <w:rsid w:val="00C015D1"/>
    <w:rsid w:val="00C027DD"/>
    <w:rsid w:val="00C029D1"/>
    <w:rsid w:val="00C02A75"/>
    <w:rsid w:val="00C02C1A"/>
    <w:rsid w:val="00C0352A"/>
    <w:rsid w:val="00C03FA5"/>
    <w:rsid w:val="00C056CE"/>
    <w:rsid w:val="00C0573D"/>
    <w:rsid w:val="00C05825"/>
    <w:rsid w:val="00C0611F"/>
    <w:rsid w:val="00C079D1"/>
    <w:rsid w:val="00C07FA9"/>
    <w:rsid w:val="00C10C41"/>
    <w:rsid w:val="00C1136B"/>
    <w:rsid w:val="00C128CC"/>
    <w:rsid w:val="00C13025"/>
    <w:rsid w:val="00C14175"/>
    <w:rsid w:val="00C1686B"/>
    <w:rsid w:val="00C17959"/>
    <w:rsid w:val="00C17E41"/>
    <w:rsid w:val="00C20974"/>
    <w:rsid w:val="00C20D0A"/>
    <w:rsid w:val="00C21D83"/>
    <w:rsid w:val="00C23D2F"/>
    <w:rsid w:val="00C24681"/>
    <w:rsid w:val="00C2475E"/>
    <w:rsid w:val="00C24BFD"/>
    <w:rsid w:val="00C25961"/>
    <w:rsid w:val="00C25E5E"/>
    <w:rsid w:val="00C26107"/>
    <w:rsid w:val="00C27286"/>
    <w:rsid w:val="00C27941"/>
    <w:rsid w:val="00C27D9D"/>
    <w:rsid w:val="00C30333"/>
    <w:rsid w:val="00C30721"/>
    <w:rsid w:val="00C30EDE"/>
    <w:rsid w:val="00C3153B"/>
    <w:rsid w:val="00C318EF"/>
    <w:rsid w:val="00C3201A"/>
    <w:rsid w:val="00C320E5"/>
    <w:rsid w:val="00C32188"/>
    <w:rsid w:val="00C322A9"/>
    <w:rsid w:val="00C32706"/>
    <w:rsid w:val="00C32899"/>
    <w:rsid w:val="00C32C9F"/>
    <w:rsid w:val="00C32EF4"/>
    <w:rsid w:val="00C330E5"/>
    <w:rsid w:val="00C33305"/>
    <w:rsid w:val="00C33812"/>
    <w:rsid w:val="00C341C6"/>
    <w:rsid w:val="00C34572"/>
    <w:rsid w:val="00C349FF"/>
    <w:rsid w:val="00C34C89"/>
    <w:rsid w:val="00C34D5D"/>
    <w:rsid w:val="00C34DB0"/>
    <w:rsid w:val="00C35775"/>
    <w:rsid w:val="00C35A54"/>
    <w:rsid w:val="00C35E0A"/>
    <w:rsid w:val="00C36450"/>
    <w:rsid w:val="00C3679C"/>
    <w:rsid w:val="00C40078"/>
    <w:rsid w:val="00C400E3"/>
    <w:rsid w:val="00C40127"/>
    <w:rsid w:val="00C40168"/>
    <w:rsid w:val="00C403F5"/>
    <w:rsid w:val="00C407EA"/>
    <w:rsid w:val="00C40AB2"/>
    <w:rsid w:val="00C40B38"/>
    <w:rsid w:val="00C411BB"/>
    <w:rsid w:val="00C41450"/>
    <w:rsid w:val="00C41764"/>
    <w:rsid w:val="00C41B63"/>
    <w:rsid w:val="00C420F5"/>
    <w:rsid w:val="00C4238F"/>
    <w:rsid w:val="00C427B0"/>
    <w:rsid w:val="00C42F0E"/>
    <w:rsid w:val="00C42FA9"/>
    <w:rsid w:val="00C4323A"/>
    <w:rsid w:val="00C4348A"/>
    <w:rsid w:val="00C43510"/>
    <w:rsid w:val="00C43706"/>
    <w:rsid w:val="00C43AEB"/>
    <w:rsid w:val="00C43F8E"/>
    <w:rsid w:val="00C443BD"/>
    <w:rsid w:val="00C447E0"/>
    <w:rsid w:val="00C4517A"/>
    <w:rsid w:val="00C451C5"/>
    <w:rsid w:val="00C45A25"/>
    <w:rsid w:val="00C4664E"/>
    <w:rsid w:val="00C47B86"/>
    <w:rsid w:val="00C47CD8"/>
    <w:rsid w:val="00C502B6"/>
    <w:rsid w:val="00C508DE"/>
    <w:rsid w:val="00C50D19"/>
    <w:rsid w:val="00C512E3"/>
    <w:rsid w:val="00C51B8F"/>
    <w:rsid w:val="00C529CC"/>
    <w:rsid w:val="00C53543"/>
    <w:rsid w:val="00C537C5"/>
    <w:rsid w:val="00C542F6"/>
    <w:rsid w:val="00C5443B"/>
    <w:rsid w:val="00C54749"/>
    <w:rsid w:val="00C5485F"/>
    <w:rsid w:val="00C555A1"/>
    <w:rsid w:val="00C5690B"/>
    <w:rsid w:val="00C57AB7"/>
    <w:rsid w:val="00C57FE1"/>
    <w:rsid w:val="00C60888"/>
    <w:rsid w:val="00C60F58"/>
    <w:rsid w:val="00C613D0"/>
    <w:rsid w:val="00C615B8"/>
    <w:rsid w:val="00C618DF"/>
    <w:rsid w:val="00C61ECF"/>
    <w:rsid w:val="00C62335"/>
    <w:rsid w:val="00C6274B"/>
    <w:rsid w:val="00C62938"/>
    <w:rsid w:val="00C62CB0"/>
    <w:rsid w:val="00C62FDF"/>
    <w:rsid w:val="00C6308E"/>
    <w:rsid w:val="00C630A5"/>
    <w:rsid w:val="00C6348B"/>
    <w:rsid w:val="00C63FA7"/>
    <w:rsid w:val="00C64238"/>
    <w:rsid w:val="00C646DB"/>
    <w:rsid w:val="00C64DCD"/>
    <w:rsid w:val="00C65208"/>
    <w:rsid w:val="00C6592E"/>
    <w:rsid w:val="00C6598A"/>
    <w:rsid w:val="00C660BF"/>
    <w:rsid w:val="00C66395"/>
    <w:rsid w:val="00C668B8"/>
    <w:rsid w:val="00C668EE"/>
    <w:rsid w:val="00C66BE1"/>
    <w:rsid w:val="00C70407"/>
    <w:rsid w:val="00C71459"/>
    <w:rsid w:val="00C71496"/>
    <w:rsid w:val="00C714B9"/>
    <w:rsid w:val="00C71C56"/>
    <w:rsid w:val="00C72883"/>
    <w:rsid w:val="00C7296D"/>
    <w:rsid w:val="00C73289"/>
    <w:rsid w:val="00C73E2A"/>
    <w:rsid w:val="00C73E59"/>
    <w:rsid w:val="00C7434B"/>
    <w:rsid w:val="00C755E2"/>
    <w:rsid w:val="00C75D1A"/>
    <w:rsid w:val="00C773A0"/>
    <w:rsid w:val="00C7780D"/>
    <w:rsid w:val="00C77EA8"/>
    <w:rsid w:val="00C80A60"/>
    <w:rsid w:val="00C80C6B"/>
    <w:rsid w:val="00C80DE4"/>
    <w:rsid w:val="00C813D3"/>
    <w:rsid w:val="00C81AB9"/>
    <w:rsid w:val="00C81F37"/>
    <w:rsid w:val="00C82954"/>
    <w:rsid w:val="00C829C7"/>
    <w:rsid w:val="00C8323E"/>
    <w:rsid w:val="00C8422A"/>
    <w:rsid w:val="00C85180"/>
    <w:rsid w:val="00C85FB7"/>
    <w:rsid w:val="00C861DD"/>
    <w:rsid w:val="00C86295"/>
    <w:rsid w:val="00C8722F"/>
    <w:rsid w:val="00C8732B"/>
    <w:rsid w:val="00C9017D"/>
    <w:rsid w:val="00C90858"/>
    <w:rsid w:val="00C90B08"/>
    <w:rsid w:val="00C9161D"/>
    <w:rsid w:val="00C92E2A"/>
    <w:rsid w:val="00C92E2B"/>
    <w:rsid w:val="00C949C1"/>
    <w:rsid w:val="00C94EAC"/>
    <w:rsid w:val="00C9525A"/>
    <w:rsid w:val="00C95BCB"/>
    <w:rsid w:val="00C95C78"/>
    <w:rsid w:val="00C9632A"/>
    <w:rsid w:val="00C96494"/>
    <w:rsid w:val="00C97A6D"/>
    <w:rsid w:val="00C97D11"/>
    <w:rsid w:val="00C97DCA"/>
    <w:rsid w:val="00C97EE9"/>
    <w:rsid w:val="00CA08DF"/>
    <w:rsid w:val="00CA0C1D"/>
    <w:rsid w:val="00CA0D02"/>
    <w:rsid w:val="00CA0EC7"/>
    <w:rsid w:val="00CA1C25"/>
    <w:rsid w:val="00CA20A6"/>
    <w:rsid w:val="00CA22AB"/>
    <w:rsid w:val="00CA30CC"/>
    <w:rsid w:val="00CA31E0"/>
    <w:rsid w:val="00CA3D3B"/>
    <w:rsid w:val="00CA497A"/>
    <w:rsid w:val="00CA4C6F"/>
    <w:rsid w:val="00CA5212"/>
    <w:rsid w:val="00CA5569"/>
    <w:rsid w:val="00CA6F4D"/>
    <w:rsid w:val="00CA7750"/>
    <w:rsid w:val="00CA7B13"/>
    <w:rsid w:val="00CB0445"/>
    <w:rsid w:val="00CB076F"/>
    <w:rsid w:val="00CB11CD"/>
    <w:rsid w:val="00CB1246"/>
    <w:rsid w:val="00CB147D"/>
    <w:rsid w:val="00CB193F"/>
    <w:rsid w:val="00CB243B"/>
    <w:rsid w:val="00CB26E0"/>
    <w:rsid w:val="00CB2D8E"/>
    <w:rsid w:val="00CB2DD4"/>
    <w:rsid w:val="00CB2E13"/>
    <w:rsid w:val="00CB3D8E"/>
    <w:rsid w:val="00CB3F16"/>
    <w:rsid w:val="00CB3F8D"/>
    <w:rsid w:val="00CB43B2"/>
    <w:rsid w:val="00CB5753"/>
    <w:rsid w:val="00CB6362"/>
    <w:rsid w:val="00CB741E"/>
    <w:rsid w:val="00CB7B6E"/>
    <w:rsid w:val="00CB7E7E"/>
    <w:rsid w:val="00CC0938"/>
    <w:rsid w:val="00CC19C5"/>
    <w:rsid w:val="00CC1D99"/>
    <w:rsid w:val="00CC29EE"/>
    <w:rsid w:val="00CC3155"/>
    <w:rsid w:val="00CC315B"/>
    <w:rsid w:val="00CC317A"/>
    <w:rsid w:val="00CC3A00"/>
    <w:rsid w:val="00CC3AD5"/>
    <w:rsid w:val="00CC4484"/>
    <w:rsid w:val="00CC4C06"/>
    <w:rsid w:val="00CC4CD5"/>
    <w:rsid w:val="00CC5164"/>
    <w:rsid w:val="00CC5A9B"/>
    <w:rsid w:val="00CC693A"/>
    <w:rsid w:val="00CC6C12"/>
    <w:rsid w:val="00CC7BCE"/>
    <w:rsid w:val="00CD009B"/>
    <w:rsid w:val="00CD06D0"/>
    <w:rsid w:val="00CD0C91"/>
    <w:rsid w:val="00CD107D"/>
    <w:rsid w:val="00CD16C7"/>
    <w:rsid w:val="00CD1DBC"/>
    <w:rsid w:val="00CD21F4"/>
    <w:rsid w:val="00CD286A"/>
    <w:rsid w:val="00CD2AF6"/>
    <w:rsid w:val="00CD30E2"/>
    <w:rsid w:val="00CD3307"/>
    <w:rsid w:val="00CD429F"/>
    <w:rsid w:val="00CD42D4"/>
    <w:rsid w:val="00CD442F"/>
    <w:rsid w:val="00CD45C4"/>
    <w:rsid w:val="00CD536D"/>
    <w:rsid w:val="00CD61EA"/>
    <w:rsid w:val="00CD6352"/>
    <w:rsid w:val="00CD7281"/>
    <w:rsid w:val="00CD783D"/>
    <w:rsid w:val="00CD790B"/>
    <w:rsid w:val="00CD7A5D"/>
    <w:rsid w:val="00CD7C2A"/>
    <w:rsid w:val="00CE1423"/>
    <w:rsid w:val="00CE31AD"/>
    <w:rsid w:val="00CE385F"/>
    <w:rsid w:val="00CE3C02"/>
    <w:rsid w:val="00CE4049"/>
    <w:rsid w:val="00CE4118"/>
    <w:rsid w:val="00CE42DB"/>
    <w:rsid w:val="00CE4B18"/>
    <w:rsid w:val="00CE4D4D"/>
    <w:rsid w:val="00CE5833"/>
    <w:rsid w:val="00CE7B2C"/>
    <w:rsid w:val="00CF0A31"/>
    <w:rsid w:val="00CF1271"/>
    <w:rsid w:val="00CF1848"/>
    <w:rsid w:val="00CF1D36"/>
    <w:rsid w:val="00CF256B"/>
    <w:rsid w:val="00CF32D2"/>
    <w:rsid w:val="00CF41D8"/>
    <w:rsid w:val="00CF4EFC"/>
    <w:rsid w:val="00CF506F"/>
    <w:rsid w:val="00CF510F"/>
    <w:rsid w:val="00CF6637"/>
    <w:rsid w:val="00CF6B31"/>
    <w:rsid w:val="00CF7D71"/>
    <w:rsid w:val="00CF7F17"/>
    <w:rsid w:val="00D00092"/>
    <w:rsid w:val="00D00674"/>
    <w:rsid w:val="00D00F3A"/>
    <w:rsid w:val="00D0113C"/>
    <w:rsid w:val="00D02173"/>
    <w:rsid w:val="00D0232D"/>
    <w:rsid w:val="00D02840"/>
    <w:rsid w:val="00D02E61"/>
    <w:rsid w:val="00D02F4D"/>
    <w:rsid w:val="00D038F6"/>
    <w:rsid w:val="00D04029"/>
    <w:rsid w:val="00D04527"/>
    <w:rsid w:val="00D049E5"/>
    <w:rsid w:val="00D04B6A"/>
    <w:rsid w:val="00D056D7"/>
    <w:rsid w:val="00D05E59"/>
    <w:rsid w:val="00D060A6"/>
    <w:rsid w:val="00D10577"/>
    <w:rsid w:val="00D10E5B"/>
    <w:rsid w:val="00D11727"/>
    <w:rsid w:val="00D118F4"/>
    <w:rsid w:val="00D12044"/>
    <w:rsid w:val="00D12149"/>
    <w:rsid w:val="00D131D0"/>
    <w:rsid w:val="00D135B9"/>
    <w:rsid w:val="00D13600"/>
    <w:rsid w:val="00D13AF1"/>
    <w:rsid w:val="00D13B72"/>
    <w:rsid w:val="00D1408D"/>
    <w:rsid w:val="00D14246"/>
    <w:rsid w:val="00D14760"/>
    <w:rsid w:val="00D14BDE"/>
    <w:rsid w:val="00D14D10"/>
    <w:rsid w:val="00D15C6E"/>
    <w:rsid w:val="00D15F12"/>
    <w:rsid w:val="00D15F22"/>
    <w:rsid w:val="00D162CB"/>
    <w:rsid w:val="00D1634C"/>
    <w:rsid w:val="00D16CE8"/>
    <w:rsid w:val="00D170D9"/>
    <w:rsid w:val="00D17367"/>
    <w:rsid w:val="00D1742E"/>
    <w:rsid w:val="00D17923"/>
    <w:rsid w:val="00D2001C"/>
    <w:rsid w:val="00D20E86"/>
    <w:rsid w:val="00D22153"/>
    <w:rsid w:val="00D22426"/>
    <w:rsid w:val="00D224C1"/>
    <w:rsid w:val="00D225B2"/>
    <w:rsid w:val="00D226D6"/>
    <w:rsid w:val="00D227F0"/>
    <w:rsid w:val="00D237C2"/>
    <w:rsid w:val="00D252CE"/>
    <w:rsid w:val="00D2608B"/>
    <w:rsid w:val="00D26270"/>
    <w:rsid w:val="00D26319"/>
    <w:rsid w:val="00D2681A"/>
    <w:rsid w:val="00D26DBE"/>
    <w:rsid w:val="00D3104F"/>
    <w:rsid w:val="00D31141"/>
    <w:rsid w:val="00D31D26"/>
    <w:rsid w:val="00D329DA"/>
    <w:rsid w:val="00D331DD"/>
    <w:rsid w:val="00D33487"/>
    <w:rsid w:val="00D3351C"/>
    <w:rsid w:val="00D33EFC"/>
    <w:rsid w:val="00D342AA"/>
    <w:rsid w:val="00D34DB0"/>
    <w:rsid w:val="00D35D02"/>
    <w:rsid w:val="00D35EC7"/>
    <w:rsid w:val="00D36691"/>
    <w:rsid w:val="00D377FF"/>
    <w:rsid w:val="00D37C13"/>
    <w:rsid w:val="00D37F1B"/>
    <w:rsid w:val="00D40DBC"/>
    <w:rsid w:val="00D40F2C"/>
    <w:rsid w:val="00D41645"/>
    <w:rsid w:val="00D41E27"/>
    <w:rsid w:val="00D41F15"/>
    <w:rsid w:val="00D42575"/>
    <w:rsid w:val="00D43CB2"/>
    <w:rsid w:val="00D442AB"/>
    <w:rsid w:val="00D44F22"/>
    <w:rsid w:val="00D4526C"/>
    <w:rsid w:val="00D45307"/>
    <w:rsid w:val="00D458A3"/>
    <w:rsid w:val="00D45E0C"/>
    <w:rsid w:val="00D46566"/>
    <w:rsid w:val="00D469DB"/>
    <w:rsid w:val="00D4711F"/>
    <w:rsid w:val="00D4735D"/>
    <w:rsid w:val="00D478B6"/>
    <w:rsid w:val="00D5016D"/>
    <w:rsid w:val="00D50246"/>
    <w:rsid w:val="00D503C1"/>
    <w:rsid w:val="00D50983"/>
    <w:rsid w:val="00D50F19"/>
    <w:rsid w:val="00D50FDA"/>
    <w:rsid w:val="00D51487"/>
    <w:rsid w:val="00D5191A"/>
    <w:rsid w:val="00D51F80"/>
    <w:rsid w:val="00D520DC"/>
    <w:rsid w:val="00D5228D"/>
    <w:rsid w:val="00D52A0A"/>
    <w:rsid w:val="00D54F04"/>
    <w:rsid w:val="00D55E39"/>
    <w:rsid w:val="00D5643C"/>
    <w:rsid w:val="00D56487"/>
    <w:rsid w:val="00D574B0"/>
    <w:rsid w:val="00D57BB5"/>
    <w:rsid w:val="00D57CBD"/>
    <w:rsid w:val="00D60096"/>
    <w:rsid w:val="00D60237"/>
    <w:rsid w:val="00D60DFE"/>
    <w:rsid w:val="00D61138"/>
    <w:rsid w:val="00D614F6"/>
    <w:rsid w:val="00D61B27"/>
    <w:rsid w:val="00D61C85"/>
    <w:rsid w:val="00D625AB"/>
    <w:rsid w:val="00D6293B"/>
    <w:rsid w:val="00D62FF1"/>
    <w:rsid w:val="00D64A7C"/>
    <w:rsid w:val="00D65337"/>
    <w:rsid w:val="00D65CD4"/>
    <w:rsid w:val="00D65F0D"/>
    <w:rsid w:val="00D6671E"/>
    <w:rsid w:val="00D702A6"/>
    <w:rsid w:val="00D7098C"/>
    <w:rsid w:val="00D71091"/>
    <w:rsid w:val="00D7115E"/>
    <w:rsid w:val="00D71BE8"/>
    <w:rsid w:val="00D72700"/>
    <w:rsid w:val="00D72D62"/>
    <w:rsid w:val="00D73661"/>
    <w:rsid w:val="00D739F1"/>
    <w:rsid w:val="00D73D45"/>
    <w:rsid w:val="00D73DE3"/>
    <w:rsid w:val="00D744A5"/>
    <w:rsid w:val="00D74AEE"/>
    <w:rsid w:val="00D74BDD"/>
    <w:rsid w:val="00D754FD"/>
    <w:rsid w:val="00D75CA6"/>
    <w:rsid w:val="00D7641D"/>
    <w:rsid w:val="00D76631"/>
    <w:rsid w:val="00D76864"/>
    <w:rsid w:val="00D769F1"/>
    <w:rsid w:val="00D76A18"/>
    <w:rsid w:val="00D770B6"/>
    <w:rsid w:val="00D771F5"/>
    <w:rsid w:val="00D777CA"/>
    <w:rsid w:val="00D778DF"/>
    <w:rsid w:val="00D80849"/>
    <w:rsid w:val="00D80B9A"/>
    <w:rsid w:val="00D81372"/>
    <w:rsid w:val="00D81F7F"/>
    <w:rsid w:val="00D81FB1"/>
    <w:rsid w:val="00D827D1"/>
    <w:rsid w:val="00D82E8F"/>
    <w:rsid w:val="00D83777"/>
    <w:rsid w:val="00D84EC4"/>
    <w:rsid w:val="00D86FAA"/>
    <w:rsid w:val="00D8725F"/>
    <w:rsid w:val="00D8782D"/>
    <w:rsid w:val="00D87F86"/>
    <w:rsid w:val="00D9098E"/>
    <w:rsid w:val="00D913EF"/>
    <w:rsid w:val="00D91777"/>
    <w:rsid w:val="00D91E02"/>
    <w:rsid w:val="00D92989"/>
    <w:rsid w:val="00D92A90"/>
    <w:rsid w:val="00D93004"/>
    <w:rsid w:val="00D93325"/>
    <w:rsid w:val="00D936A3"/>
    <w:rsid w:val="00D938C1"/>
    <w:rsid w:val="00D94214"/>
    <w:rsid w:val="00D94612"/>
    <w:rsid w:val="00D94815"/>
    <w:rsid w:val="00D94FD7"/>
    <w:rsid w:val="00D958A4"/>
    <w:rsid w:val="00D95973"/>
    <w:rsid w:val="00D96592"/>
    <w:rsid w:val="00D96D6C"/>
    <w:rsid w:val="00D96D8B"/>
    <w:rsid w:val="00D9773C"/>
    <w:rsid w:val="00D97990"/>
    <w:rsid w:val="00DA0201"/>
    <w:rsid w:val="00DA0B48"/>
    <w:rsid w:val="00DA1E45"/>
    <w:rsid w:val="00DA259F"/>
    <w:rsid w:val="00DA25FC"/>
    <w:rsid w:val="00DA27AF"/>
    <w:rsid w:val="00DA33FA"/>
    <w:rsid w:val="00DA3417"/>
    <w:rsid w:val="00DA3893"/>
    <w:rsid w:val="00DA4167"/>
    <w:rsid w:val="00DA4B8E"/>
    <w:rsid w:val="00DA4C98"/>
    <w:rsid w:val="00DA4DBA"/>
    <w:rsid w:val="00DA5567"/>
    <w:rsid w:val="00DA5981"/>
    <w:rsid w:val="00DA6B15"/>
    <w:rsid w:val="00DA781F"/>
    <w:rsid w:val="00DB0896"/>
    <w:rsid w:val="00DB0F54"/>
    <w:rsid w:val="00DB1A83"/>
    <w:rsid w:val="00DB1C0C"/>
    <w:rsid w:val="00DB2663"/>
    <w:rsid w:val="00DB29BD"/>
    <w:rsid w:val="00DB2F1A"/>
    <w:rsid w:val="00DB3468"/>
    <w:rsid w:val="00DB3654"/>
    <w:rsid w:val="00DB3AC0"/>
    <w:rsid w:val="00DB3B03"/>
    <w:rsid w:val="00DB415B"/>
    <w:rsid w:val="00DB425F"/>
    <w:rsid w:val="00DB4D23"/>
    <w:rsid w:val="00DB51CC"/>
    <w:rsid w:val="00DB5468"/>
    <w:rsid w:val="00DB5532"/>
    <w:rsid w:val="00DB5629"/>
    <w:rsid w:val="00DB5ABA"/>
    <w:rsid w:val="00DB5E0F"/>
    <w:rsid w:val="00DB63EB"/>
    <w:rsid w:val="00DB65CC"/>
    <w:rsid w:val="00DB6E90"/>
    <w:rsid w:val="00DB6F88"/>
    <w:rsid w:val="00DB7B2B"/>
    <w:rsid w:val="00DC062D"/>
    <w:rsid w:val="00DC0BF6"/>
    <w:rsid w:val="00DC1D59"/>
    <w:rsid w:val="00DC200C"/>
    <w:rsid w:val="00DC2582"/>
    <w:rsid w:val="00DC2967"/>
    <w:rsid w:val="00DC2D74"/>
    <w:rsid w:val="00DC33F5"/>
    <w:rsid w:val="00DC35E8"/>
    <w:rsid w:val="00DC3925"/>
    <w:rsid w:val="00DC3DF2"/>
    <w:rsid w:val="00DC47FF"/>
    <w:rsid w:val="00DC52F7"/>
    <w:rsid w:val="00DC5AB3"/>
    <w:rsid w:val="00DC63C0"/>
    <w:rsid w:val="00DC6605"/>
    <w:rsid w:val="00DC6692"/>
    <w:rsid w:val="00DC6E92"/>
    <w:rsid w:val="00DC72CE"/>
    <w:rsid w:val="00DC7CB4"/>
    <w:rsid w:val="00DC7D44"/>
    <w:rsid w:val="00DD0066"/>
    <w:rsid w:val="00DD00EC"/>
    <w:rsid w:val="00DD04DB"/>
    <w:rsid w:val="00DD0B03"/>
    <w:rsid w:val="00DD0E31"/>
    <w:rsid w:val="00DD0EDD"/>
    <w:rsid w:val="00DD118C"/>
    <w:rsid w:val="00DD1655"/>
    <w:rsid w:val="00DD1A1E"/>
    <w:rsid w:val="00DD2004"/>
    <w:rsid w:val="00DD23F1"/>
    <w:rsid w:val="00DD287F"/>
    <w:rsid w:val="00DD2AEC"/>
    <w:rsid w:val="00DD3EB7"/>
    <w:rsid w:val="00DD55B0"/>
    <w:rsid w:val="00DD5A9C"/>
    <w:rsid w:val="00DD5B8E"/>
    <w:rsid w:val="00DD5E32"/>
    <w:rsid w:val="00DD6186"/>
    <w:rsid w:val="00DD62B3"/>
    <w:rsid w:val="00DD6979"/>
    <w:rsid w:val="00DD69A8"/>
    <w:rsid w:val="00DD6D83"/>
    <w:rsid w:val="00DD6E07"/>
    <w:rsid w:val="00DD6ECC"/>
    <w:rsid w:val="00DD7506"/>
    <w:rsid w:val="00DE06B4"/>
    <w:rsid w:val="00DE0D94"/>
    <w:rsid w:val="00DE10EC"/>
    <w:rsid w:val="00DE13D3"/>
    <w:rsid w:val="00DE190F"/>
    <w:rsid w:val="00DE19A0"/>
    <w:rsid w:val="00DE1B06"/>
    <w:rsid w:val="00DE1C85"/>
    <w:rsid w:val="00DE1EA8"/>
    <w:rsid w:val="00DE1FBA"/>
    <w:rsid w:val="00DE2086"/>
    <w:rsid w:val="00DE2485"/>
    <w:rsid w:val="00DE2A07"/>
    <w:rsid w:val="00DE2FB9"/>
    <w:rsid w:val="00DE31E7"/>
    <w:rsid w:val="00DE3BCE"/>
    <w:rsid w:val="00DE3D43"/>
    <w:rsid w:val="00DE43CE"/>
    <w:rsid w:val="00DE492E"/>
    <w:rsid w:val="00DE4EBC"/>
    <w:rsid w:val="00DE5C77"/>
    <w:rsid w:val="00DE5D6B"/>
    <w:rsid w:val="00DE5DB0"/>
    <w:rsid w:val="00DE765C"/>
    <w:rsid w:val="00DE7CEA"/>
    <w:rsid w:val="00DF0382"/>
    <w:rsid w:val="00DF15F2"/>
    <w:rsid w:val="00DF1714"/>
    <w:rsid w:val="00DF1D59"/>
    <w:rsid w:val="00DF3984"/>
    <w:rsid w:val="00DF6442"/>
    <w:rsid w:val="00DF6581"/>
    <w:rsid w:val="00DF6B3F"/>
    <w:rsid w:val="00DF6BE6"/>
    <w:rsid w:val="00DF6C9F"/>
    <w:rsid w:val="00DF7093"/>
    <w:rsid w:val="00E0078E"/>
    <w:rsid w:val="00E009B3"/>
    <w:rsid w:val="00E01322"/>
    <w:rsid w:val="00E015BD"/>
    <w:rsid w:val="00E01629"/>
    <w:rsid w:val="00E017F2"/>
    <w:rsid w:val="00E01808"/>
    <w:rsid w:val="00E01859"/>
    <w:rsid w:val="00E01B6E"/>
    <w:rsid w:val="00E025A5"/>
    <w:rsid w:val="00E02ECA"/>
    <w:rsid w:val="00E03CE3"/>
    <w:rsid w:val="00E03E9C"/>
    <w:rsid w:val="00E0469E"/>
    <w:rsid w:val="00E0506D"/>
    <w:rsid w:val="00E065B2"/>
    <w:rsid w:val="00E069AF"/>
    <w:rsid w:val="00E06C3C"/>
    <w:rsid w:val="00E06EB5"/>
    <w:rsid w:val="00E06FCB"/>
    <w:rsid w:val="00E071E5"/>
    <w:rsid w:val="00E07739"/>
    <w:rsid w:val="00E11AA3"/>
    <w:rsid w:val="00E11B2B"/>
    <w:rsid w:val="00E11B68"/>
    <w:rsid w:val="00E1232B"/>
    <w:rsid w:val="00E12A1A"/>
    <w:rsid w:val="00E12DE8"/>
    <w:rsid w:val="00E12F58"/>
    <w:rsid w:val="00E13194"/>
    <w:rsid w:val="00E134AB"/>
    <w:rsid w:val="00E1479A"/>
    <w:rsid w:val="00E14CB8"/>
    <w:rsid w:val="00E14FFB"/>
    <w:rsid w:val="00E150CA"/>
    <w:rsid w:val="00E16144"/>
    <w:rsid w:val="00E168B8"/>
    <w:rsid w:val="00E1696C"/>
    <w:rsid w:val="00E16C9E"/>
    <w:rsid w:val="00E16D3D"/>
    <w:rsid w:val="00E16E04"/>
    <w:rsid w:val="00E17057"/>
    <w:rsid w:val="00E1787F"/>
    <w:rsid w:val="00E207A7"/>
    <w:rsid w:val="00E216CE"/>
    <w:rsid w:val="00E2203E"/>
    <w:rsid w:val="00E22B21"/>
    <w:rsid w:val="00E22BF3"/>
    <w:rsid w:val="00E22DF4"/>
    <w:rsid w:val="00E23165"/>
    <w:rsid w:val="00E23204"/>
    <w:rsid w:val="00E23A08"/>
    <w:rsid w:val="00E23CCC"/>
    <w:rsid w:val="00E23FCE"/>
    <w:rsid w:val="00E243A7"/>
    <w:rsid w:val="00E24565"/>
    <w:rsid w:val="00E2489B"/>
    <w:rsid w:val="00E25788"/>
    <w:rsid w:val="00E26418"/>
    <w:rsid w:val="00E268B1"/>
    <w:rsid w:val="00E268F5"/>
    <w:rsid w:val="00E26AB5"/>
    <w:rsid w:val="00E27A25"/>
    <w:rsid w:val="00E30DD2"/>
    <w:rsid w:val="00E31749"/>
    <w:rsid w:val="00E317E5"/>
    <w:rsid w:val="00E32084"/>
    <w:rsid w:val="00E32632"/>
    <w:rsid w:val="00E32C70"/>
    <w:rsid w:val="00E335F2"/>
    <w:rsid w:val="00E3365A"/>
    <w:rsid w:val="00E33823"/>
    <w:rsid w:val="00E33C9A"/>
    <w:rsid w:val="00E33D3A"/>
    <w:rsid w:val="00E34329"/>
    <w:rsid w:val="00E34716"/>
    <w:rsid w:val="00E351E8"/>
    <w:rsid w:val="00E35EA5"/>
    <w:rsid w:val="00E36341"/>
    <w:rsid w:val="00E369BE"/>
    <w:rsid w:val="00E36B46"/>
    <w:rsid w:val="00E370F4"/>
    <w:rsid w:val="00E37693"/>
    <w:rsid w:val="00E376B5"/>
    <w:rsid w:val="00E404D6"/>
    <w:rsid w:val="00E40A1C"/>
    <w:rsid w:val="00E40ED6"/>
    <w:rsid w:val="00E4106F"/>
    <w:rsid w:val="00E414B6"/>
    <w:rsid w:val="00E4213D"/>
    <w:rsid w:val="00E42748"/>
    <w:rsid w:val="00E428CD"/>
    <w:rsid w:val="00E42BAB"/>
    <w:rsid w:val="00E433C8"/>
    <w:rsid w:val="00E436EB"/>
    <w:rsid w:val="00E44339"/>
    <w:rsid w:val="00E448BA"/>
    <w:rsid w:val="00E44F4D"/>
    <w:rsid w:val="00E45CB5"/>
    <w:rsid w:val="00E45DFF"/>
    <w:rsid w:val="00E464C7"/>
    <w:rsid w:val="00E46632"/>
    <w:rsid w:val="00E46954"/>
    <w:rsid w:val="00E4721D"/>
    <w:rsid w:val="00E47C75"/>
    <w:rsid w:val="00E5072D"/>
    <w:rsid w:val="00E50733"/>
    <w:rsid w:val="00E50CD2"/>
    <w:rsid w:val="00E50E0E"/>
    <w:rsid w:val="00E51563"/>
    <w:rsid w:val="00E53A51"/>
    <w:rsid w:val="00E53DE8"/>
    <w:rsid w:val="00E53EF4"/>
    <w:rsid w:val="00E54199"/>
    <w:rsid w:val="00E54CCC"/>
    <w:rsid w:val="00E54F18"/>
    <w:rsid w:val="00E55193"/>
    <w:rsid w:val="00E55A97"/>
    <w:rsid w:val="00E56901"/>
    <w:rsid w:val="00E569B5"/>
    <w:rsid w:val="00E570ED"/>
    <w:rsid w:val="00E572A1"/>
    <w:rsid w:val="00E57DA6"/>
    <w:rsid w:val="00E60A6A"/>
    <w:rsid w:val="00E6158A"/>
    <w:rsid w:val="00E61C84"/>
    <w:rsid w:val="00E624DE"/>
    <w:rsid w:val="00E62730"/>
    <w:rsid w:val="00E62F9C"/>
    <w:rsid w:val="00E63224"/>
    <w:rsid w:val="00E63743"/>
    <w:rsid w:val="00E63836"/>
    <w:rsid w:val="00E63934"/>
    <w:rsid w:val="00E6427B"/>
    <w:rsid w:val="00E64B2E"/>
    <w:rsid w:val="00E64F67"/>
    <w:rsid w:val="00E66235"/>
    <w:rsid w:val="00E66278"/>
    <w:rsid w:val="00E6648F"/>
    <w:rsid w:val="00E67025"/>
    <w:rsid w:val="00E676F4"/>
    <w:rsid w:val="00E67FC8"/>
    <w:rsid w:val="00E70980"/>
    <w:rsid w:val="00E70E5B"/>
    <w:rsid w:val="00E71145"/>
    <w:rsid w:val="00E7189A"/>
    <w:rsid w:val="00E71DAE"/>
    <w:rsid w:val="00E72130"/>
    <w:rsid w:val="00E72533"/>
    <w:rsid w:val="00E7319D"/>
    <w:rsid w:val="00E731BC"/>
    <w:rsid w:val="00E73354"/>
    <w:rsid w:val="00E73E11"/>
    <w:rsid w:val="00E74BEA"/>
    <w:rsid w:val="00E75187"/>
    <w:rsid w:val="00E751D7"/>
    <w:rsid w:val="00E7563A"/>
    <w:rsid w:val="00E75E6B"/>
    <w:rsid w:val="00E76A21"/>
    <w:rsid w:val="00E7719D"/>
    <w:rsid w:val="00E771E4"/>
    <w:rsid w:val="00E7778B"/>
    <w:rsid w:val="00E8026D"/>
    <w:rsid w:val="00E80554"/>
    <w:rsid w:val="00E80681"/>
    <w:rsid w:val="00E809DD"/>
    <w:rsid w:val="00E80D71"/>
    <w:rsid w:val="00E8137C"/>
    <w:rsid w:val="00E813E4"/>
    <w:rsid w:val="00E8150B"/>
    <w:rsid w:val="00E81D21"/>
    <w:rsid w:val="00E82043"/>
    <w:rsid w:val="00E82781"/>
    <w:rsid w:val="00E82B6E"/>
    <w:rsid w:val="00E82C93"/>
    <w:rsid w:val="00E8301C"/>
    <w:rsid w:val="00E83187"/>
    <w:rsid w:val="00E83223"/>
    <w:rsid w:val="00E837FB"/>
    <w:rsid w:val="00E83860"/>
    <w:rsid w:val="00E83B2D"/>
    <w:rsid w:val="00E83C24"/>
    <w:rsid w:val="00E83D02"/>
    <w:rsid w:val="00E84535"/>
    <w:rsid w:val="00E845D0"/>
    <w:rsid w:val="00E84954"/>
    <w:rsid w:val="00E84C79"/>
    <w:rsid w:val="00E84DAD"/>
    <w:rsid w:val="00E850E7"/>
    <w:rsid w:val="00E85113"/>
    <w:rsid w:val="00E853A5"/>
    <w:rsid w:val="00E85543"/>
    <w:rsid w:val="00E8571C"/>
    <w:rsid w:val="00E8637F"/>
    <w:rsid w:val="00E86629"/>
    <w:rsid w:val="00E86FC1"/>
    <w:rsid w:val="00E87AD5"/>
    <w:rsid w:val="00E87E60"/>
    <w:rsid w:val="00E9047E"/>
    <w:rsid w:val="00E90BF1"/>
    <w:rsid w:val="00E90CD6"/>
    <w:rsid w:val="00E9140A"/>
    <w:rsid w:val="00E91E6C"/>
    <w:rsid w:val="00E9204E"/>
    <w:rsid w:val="00E92265"/>
    <w:rsid w:val="00E92544"/>
    <w:rsid w:val="00E928F9"/>
    <w:rsid w:val="00E92D2A"/>
    <w:rsid w:val="00E9318D"/>
    <w:rsid w:val="00E93328"/>
    <w:rsid w:val="00E93A5A"/>
    <w:rsid w:val="00E93EAE"/>
    <w:rsid w:val="00E93F3E"/>
    <w:rsid w:val="00E946D6"/>
    <w:rsid w:val="00E94BC2"/>
    <w:rsid w:val="00E94D2D"/>
    <w:rsid w:val="00E957AC"/>
    <w:rsid w:val="00E95CBC"/>
    <w:rsid w:val="00E95DD3"/>
    <w:rsid w:val="00E961FD"/>
    <w:rsid w:val="00E970DF"/>
    <w:rsid w:val="00E9748D"/>
    <w:rsid w:val="00EA0593"/>
    <w:rsid w:val="00EA05CD"/>
    <w:rsid w:val="00EA0BC4"/>
    <w:rsid w:val="00EA0C91"/>
    <w:rsid w:val="00EA0E20"/>
    <w:rsid w:val="00EA12FB"/>
    <w:rsid w:val="00EA1A8F"/>
    <w:rsid w:val="00EA1AFD"/>
    <w:rsid w:val="00EA25C8"/>
    <w:rsid w:val="00EA2767"/>
    <w:rsid w:val="00EA281A"/>
    <w:rsid w:val="00EA2AAF"/>
    <w:rsid w:val="00EA323A"/>
    <w:rsid w:val="00EA3BA8"/>
    <w:rsid w:val="00EA4D07"/>
    <w:rsid w:val="00EA65EB"/>
    <w:rsid w:val="00EA66E2"/>
    <w:rsid w:val="00EA68C3"/>
    <w:rsid w:val="00EA69A6"/>
    <w:rsid w:val="00EA69BC"/>
    <w:rsid w:val="00EA6AC3"/>
    <w:rsid w:val="00EA6B61"/>
    <w:rsid w:val="00EA7946"/>
    <w:rsid w:val="00EB0599"/>
    <w:rsid w:val="00EB0CEE"/>
    <w:rsid w:val="00EB2390"/>
    <w:rsid w:val="00EB31E9"/>
    <w:rsid w:val="00EB32EE"/>
    <w:rsid w:val="00EB391B"/>
    <w:rsid w:val="00EB4375"/>
    <w:rsid w:val="00EB446E"/>
    <w:rsid w:val="00EB4544"/>
    <w:rsid w:val="00EB4A05"/>
    <w:rsid w:val="00EB4AD2"/>
    <w:rsid w:val="00EB5137"/>
    <w:rsid w:val="00EB5847"/>
    <w:rsid w:val="00EB6D8A"/>
    <w:rsid w:val="00EB6E65"/>
    <w:rsid w:val="00EB70FD"/>
    <w:rsid w:val="00EB76BC"/>
    <w:rsid w:val="00EB7E7F"/>
    <w:rsid w:val="00EC04AC"/>
    <w:rsid w:val="00EC0A61"/>
    <w:rsid w:val="00EC2535"/>
    <w:rsid w:val="00EC29D1"/>
    <w:rsid w:val="00EC2B29"/>
    <w:rsid w:val="00EC41F4"/>
    <w:rsid w:val="00EC52D8"/>
    <w:rsid w:val="00EC52DC"/>
    <w:rsid w:val="00EC6759"/>
    <w:rsid w:val="00EC6A65"/>
    <w:rsid w:val="00EC6E16"/>
    <w:rsid w:val="00EC70F6"/>
    <w:rsid w:val="00EC7C76"/>
    <w:rsid w:val="00ED1451"/>
    <w:rsid w:val="00ED17D6"/>
    <w:rsid w:val="00ED29AC"/>
    <w:rsid w:val="00ED2BD2"/>
    <w:rsid w:val="00ED379F"/>
    <w:rsid w:val="00ED3CFC"/>
    <w:rsid w:val="00ED4471"/>
    <w:rsid w:val="00ED4A21"/>
    <w:rsid w:val="00ED538E"/>
    <w:rsid w:val="00ED5B5F"/>
    <w:rsid w:val="00ED6384"/>
    <w:rsid w:val="00ED6523"/>
    <w:rsid w:val="00ED6A39"/>
    <w:rsid w:val="00ED74A1"/>
    <w:rsid w:val="00ED75A1"/>
    <w:rsid w:val="00EE06C7"/>
    <w:rsid w:val="00EE0DA6"/>
    <w:rsid w:val="00EE0F16"/>
    <w:rsid w:val="00EE1174"/>
    <w:rsid w:val="00EE189B"/>
    <w:rsid w:val="00EE1F03"/>
    <w:rsid w:val="00EE2225"/>
    <w:rsid w:val="00EE2337"/>
    <w:rsid w:val="00EE25A1"/>
    <w:rsid w:val="00EE28B0"/>
    <w:rsid w:val="00EE2F3D"/>
    <w:rsid w:val="00EE39D2"/>
    <w:rsid w:val="00EE3DE1"/>
    <w:rsid w:val="00EE42AA"/>
    <w:rsid w:val="00EE4CEE"/>
    <w:rsid w:val="00EE4E81"/>
    <w:rsid w:val="00EE504A"/>
    <w:rsid w:val="00EE5280"/>
    <w:rsid w:val="00EE623C"/>
    <w:rsid w:val="00EE685B"/>
    <w:rsid w:val="00EE7989"/>
    <w:rsid w:val="00EF0A16"/>
    <w:rsid w:val="00EF1268"/>
    <w:rsid w:val="00EF1369"/>
    <w:rsid w:val="00EF137B"/>
    <w:rsid w:val="00EF16BD"/>
    <w:rsid w:val="00EF17CD"/>
    <w:rsid w:val="00EF1F16"/>
    <w:rsid w:val="00EF2C31"/>
    <w:rsid w:val="00EF3DA0"/>
    <w:rsid w:val="00EF459A"/>
    <w:rsid w:val="00EF45D0"/>
    <w:rsid w:val="00EF55F8"/>
    <w:rsid w:val="00EF5B25"/>
    <w:rsid w:val="00EF6C8A"/>
    <w:rsid w:val="00EF70DE"/>
    <w:rsid w:val="00EF741F"/>
    <w:rsid w:val="00EF7F53"/>
    <w:rsid w:val="00EF7FCA"/>
    <w:rsid w:val="00F005D6"/>
    <w:rsid w:val="00F00A65"/>
    <w:rsid w:val="00F00ACB"/>
    <w:rsid w:val="00F012C4"/>
    <w:rsid w:val="00F028B4"/>
    <w:rsid w:val="00F02B57"/>
    <w:rsid w:val="00F03001"/>
    <w:rsid w:val="00F0326A"/>
    <w:rsid w:val="00F045D1"/>
    <w:rsid w:val="00F04CCE"/>
    <w:rsid w:val="00F04EF7"/>
    <w:rsid w:val="00F05A5A"/>
    <w:rsid w:val="00F06054"/>
    <w:rsid w:val="00F06209"/>
    <w:rsid w:val="00F063C2"/>
    <w:rsid w:val="00F07285"/>
    <w:rsid w:val="00F07CB3"/>
    <w:rsid w:val="00F07F55"/>
    <w:rsid w:val="00F10649"/>
    <w:rsid w:val="00F106CD"/>
    <w:rsid w:val="00F11799"/>
    <w:rsid w:val="00F119B2"/>
    <w:rsid w:val="00F11A42"/>
    <w:rsid w:val="00F11DCD"/>
    <w:rsid w:val="00F126B7"/>
    <w:rsid w:val="00F127F3"/>
    <w:rsid w:val="00F1356D"/>
    <w:rsid w:val="00F1494E"/>
    <w:rsid w:val="00F149A6"/>
    <w:rsid w:val="00F14A66"/>
    <w:rsid w:val="00F14D92"/>
    <w:rsid w:val="00F15146"/>
    <w:rsid w:val="00F156A2"/>
    <w:rsid w:val="00F16AD7"/>
    <w:rsid w:val="00F201E6"/>
    <w:rsid w:val="00F20310"/>
    <w:rsid w:val="00F203CF"/>
    <w:rsid w:val="00F21C59"/>
    <w:rsid w:val="00F22375"/>
    <w:rsid w:val="00F22847"/>
    <w:rsid w:val="00F22E80"/>
    <w:rsid w:val="00F23059"/>
    <w:rsid w:val="00F230D1"/>
    <w:rsid w:val="00F231C8"/>
    <w:rsid w:val="00F2329F"/>
    <w:rsid w:val="00F232F0"/>
    <w:rsid w:val="00F23425"/>
    <w:rsid w:val="00F2536D"/>
    <w:rsid w:val="00F255D5"/>
    <w:rsid w:val="00F25B40"/>
    <w:rsid w:val="00F275A1"/>
    <w:rsid w:val="00F278AD"/>
    <w:rsid w:val="00F30618"/>
    <w:rsid w:val="00F31B57"/>
    <w:rsid w:val="00F31DAE"/>
    <w:rsid w:val="00F32306"/>
    <w:rsid w:val="00F323D0"/>
    <w:rsid w:val="00F325E1"/>
    <w:rsid w:val="00F32984"/>
    <w:rsid w:val="00F32E72"/>
    <w:rsid w:val="00F336EA"/>
    <w:rsid w:val="00F33814"/>
    <w:rsid w:val="00F3431F"/>
    <w:rsid w:val="00F343FF"/>
    <w:rsid w:val="00F35085"/>
    <w:rsid w:val="00F358EE"/>
    <w:rsid w:val="00F3643A"/>
    <w:rsid w:val="00F3671B"/>
    <w:rsid w:val="00F379C6"/>
    <w:rsid w:val="00F37A67"/>
    <w:rsid w:val="00F37B61"/>
    <w:rsid w:val="00F4099B"/>
    <w:rsid w:val="00F4110F"/>
    <w:rsid w:val="00F41CB2"/>
    <w:rsid w:val="00F42631"/>
    <w:rsid w:val="00F446E3"/>
    <w:rsid w:val="00F45422"/>
    <w:rsid w:val="00F457BB"/>
    <w:rsid w:val="00F45E77"/>
    <w:rsid w:val="00F4641B"/>
    <w:rsid w:val="00F46A4D"/>
    <w:rsid w:val="00F47400"/>
    <w:rsid w:val="00F503ED"/>
    <w:rsid w:val="00F508B0"/>
    <w:rsid w:val="00F52D5A"/>
    <w:rsid w:val="00F53193"/>
    <w:rsid w:val="00F53410"/>
    <w:rsid w:val="00F5357E"/>
    <w:rsid w:val="00F537E1"/>
    <w:rsid w:val="00F53C0B"/>
    <w:rsid w:val="00F53DBE"/>
    <w:rsid w:val="00F544F7"/>
    <w:rsid w:val="00F5461E"/>
    <w:rsid w:val="00F5573A"/>
    <w:rsid w:val="00F55FCE"/>
    <w:rsid w:val="00F572FF"/>
    <w:rsid w:val="00F57941"/>
    <w:rsid w:val="00F57ED8"/>
    <w:rsid w:val="00F6019E"/>
    <w:rsid w:val="00F6055E"/>
    <w:rsid w:val="00F608FB"/>
    <w:rsid w:val="00F60AFC"/>
    <w:rsid w:val="00F6107E"/>
    <w:rsid w:val="00F61563"/>
    <w:rsid w:val="00F616F9"/>
    <w:rsid w:val="00F61B53"/>
    <w:rsid w:val="00F6292B"/>
    <w:rsid w:val="00F63C3B"/>
    <w:rsid w:val="00F64339"/>
    <w:rsid w:val="00F6437B"/>
    <w:rsid w:val="00F64BAC"/>
    <w:rsid w:val="00F6585A"/>
    <w:rsid w:val="00F6586C"/>
    <w:rsid w:val="00F65A40"/>
    <w:rsid w:val="00F65F12"/>
    <w:rsid w:val="00F6630B"/>
    <w:rsid w:val="00F678AC"/>
    <w:rsid w:val="00F70773"/>
    <w:rsid w:val="00F70861"/>
    <w:rsid w:val="00F70DBC"/>
    <w:rsid w:val="00F70FB4"/>
    <w:rsid w:val="00F7164A"/>
    <w:rsid w:val="00F71D2D"/>
    <w:rsid w:val="00F71E71"/>
    <w:rsid w:val="00F7385D"/>
    <w:rsid w:val="00F7397E"/>
    <w:rsid w:val="00F73BB4"/>
    <w:rsid w:val="00F73F76"/>
    <w:rsid w:val="00F74380"/>
    <w:rsid w:val="00F74386"/>
    <w:rsid w:val="00F744EC"/>
    <w:rsid w:val="00F74985"/>
    <w:rsid w:val="00F75126"/>
    <w:rsid w:val="00F75D75"/>
    <w:rsid w:val="00F75F67"/>
    <w:rsid w:val="00F7623C"/>
    <w:rsid w:val="00F76267"/>
    <w:rsid w:val="00F763AC"/>
    <w:rsid w:val="00F76CD0"/>
    <w:rsid w:val="00F805DD"/>
    <w:rsid w:val="00F80B72"/>
    <w:rsid w:val="00F81131"/>
    <w:rsid w:val="00F81243"/>
    <w:rsid w:val="00F83ECE"/>
    <w:rsid w:val="00F84046"/>
    <w:rsid w:val="00F848D3"/>
    <w:rsid w:val="00F84F8C"/>
    <w:rsid w:val="00F85452"/>
    <w:rsid w:val="00F85C49"/>
    <w:rsid w:val="00F86720"/>
    <w:rsid w:val="00F86AFA"/>
    <w:rsid w:val="00F86DEF"/>
    <w:rsid w:val="00F8737D"/>
    <w:rsid w:val="00F875F5"/>
    <w:rsid w:val="00F877C5"/>
    <w:rsid w:val="00F877D6"/>
    <w:rsid w:val="00F90009"/>
    <w:rsid w:val="00F9038B"/>
    <w:rsid w:val="00F9146E"/>
    <w:rsid w:val="00F920EF"/>
    <w:rsid w:val="00F9224A"/>
    <w:rsid w:val="00F922DA"/>
    <w:rsid w:val="00F9401B"/>
    <w:rsid w:val="00F94774"/>
    <w:rsid w:val="00F9546D"/>
    <w:rsid w:val="00F95E6E"/>
    <w:rsid w:val="00F95F44"/>
    <w:rsid w:val="00F96117"/>
    <w:rsid w:val="00F96FAD"/>
    <w:rsid w:val="00F97491"/>
    <w:rsid w:val="00F974BD"/>
    <w:rsid w:val="00FA006F"/>
    <w:rsid w:val="00FA089B"/>
    <w:rsid w:val="00FA116A"/>
    <w:rsid w:val="00FA1A8B"/>
    <w:rsid w:val="00FA2714"/>
    <w:rsid w:val="00FA2CE5"/>
    <w:rsid w:val="00FA2FDD"/>
    <w:rsid w:val="00FA3820"/>
    <w:rsid w:val="00FA4B12"/>
    <w:rsid w:val="00FA4C2A"/>
    <w:rsid w:val="00FA4C7F"/>
    <w:rsid w:val="00FA4F7C"/>
    <w:rsid w:val="00FA578B"/>
    <w:rsid w:val="00FA64A1"/>
    <w:rsid w:val="00FA663B"/>
    <w:rsid w:val="00FA67E8"/>
    <w:rsid w:val="00FA733A"/>
    <w:rsid w:val="00FA763D"/>
    <w:rsid w:val="00FA7AC9"/>
    <w:rsid w:val="00FB087F"/>
    <w:rsid w:val="00FB1674"/>
    <w:rsid w:val="00FB1A9C"/>
    <w:rsid w:val="00FB1C01"/>
    <w:rsid w:val="00FB205E"/>
    <w:rsid w:val="00FB2307"/>
    <w:rsid w:val="00FB296F"/>
    <w:rsid w:val="00FB31C1"/>
    <w:rsid w:val="00FB32AE"/>
    <w:rsid w:val="00FB355B"/>
    <w:rsid w:val="00FB37A2"/>
    <w:rsid w:val="00FB3C06"/>
    <w:rsid w:val="00FB419B"/>
    <w:rsid w:val="00FB4629"/>
    <w:rsid w:val="00FB52EE"/>
    <w:rsid w:val="00FB53AA"/>
    <w:rsid w:val="00FB55B5"/>
    <w:rsid w:val="00FB6074"/>
    <w:rsid w:val="00FB61D1"/>
    <w:rsid w:val="00FB6391"/>
    <w:rsid w:val="00FB6805"/>
    <w:rsid w:val="00FB6AD2"/>
    <w:rsid w:val="00FB774D"/>
    <w:rsid w:val="00FC05C1"/>
    <w:rsid w:val="00FC08AB"/>
    <w:rsid w:val="00FC0A46"/>
    <w:rsid w:val="00FC0CBB"/>
    <w:rsid w:val="00FC1276"/>
    <w:rsid w:val="00FC1614"/>
    <w:rsid w:val="00FC193A"/>
    <w:rsid w:val="00FC22E4"/>
    <w:rsid w:val="00FC23C2"/>
    <w:rsid w:val="00FC25A7"/>
    <w:rsid w:val="00FC27DF"/>
    <w:rsid w:val="00FC2809"/>
    <w:rsid w:val="00FC2CDD"/>
    <w:rsid w:val="00FC3C24"/>
    <w:rsid w:val="00FC4D8B"/>
    <w:rsid w:val="00FC53DB"/>
    <w:rsid w:val="00FC581A"/>
    <w:rsid w:val="00FC5988"/>
    <w:rsid w:val="00FC5DAF"/>
    <w:rsid w:val="00FC5F58"/>
    <w:rsid w:val="00FC64BA"/>
    <w:rsid w:val="00FC67E2"/>
    <w:rsid w:val="00FC6CD4"/>
    <w:rsid w:val="00FC6D39"/>
    <w:rsid w:val="00FC70D3"/>
    <w:rsid w:val="00FC7284"/>
    <w:rsid w:val="00FD0F85"/>
    <w:rsid w:val="00FD1973"/>
    <w:rsid w:val="00FD2681"/>
    <w:rsid w:val="00FD2852"/>
    <w:rsid w:val="00FD2C22"/>
    <w:rsid w:val="00FD2D05"/>
    <w:rsid w:val="00FD31B5"/>
    <w:rsid w:val="00FD3E82"/>
    <w:rsid w:val="00FD51F4"/>
    <w:rsid w:val="00FD5402"/>
    <w:rsid w:val="00FD562B"/>
    <w:rsid w:val="00FD56BA"/>
    <w:rsid w:val="00FD5A33"/>
    <w:rsid w:val="00FD655A"/>
    <w:rsid w:val="00FD6E41"/>
    <w:rsid w:val="00FD745D"/>
    <w:rsid w:val="00FD7793"/>
    <w:rsid w:val="00FD784E"/>
    <w:rsid w:val="00FD79B1"/>
    <w:rsid w:val="00FE01D0"/>
    <w:rsid w:val="00FE04FC"/>
    <w:rsid w:val="00FE0748"/>
    <w:rsid w:val="00FE101F"/>
    <w:rsid w:val="00FE146D"/>
    <w:rsid w:val="00FE1695"/>
    <w:rsid w:val="00FE19B9"/>
    <w:rsid w:val="00FE1A3E"/>
    <w:rsid w:val="00FE1CBB"/>
    <w:rsid w:val="00FE1CE1"/>
    <w:rsid w:val="00FE35D6"/>
    <w:rsid w:val="00FE3BE7"/>
    <w:rsid w:val="00FE3E91"/>
    <w:rsid w:val="00FE4235"/>
    <w:rsid w:val="00FE4672"/>
    <w:rsid w:val="00FE4C8A"/>
    <w:rsid w:val="00FE4D7F"/>
    <w:rsid w:val="00FE4FA9"/>
    <w:rsid w:val="00FE52D0"/>
    <w:rsid w:val="00FE557A"/>
    <w:rsid w:val="00FE6A27"/>
    <w:rsid w:val="00FF0046"/>
    <w:rsid w:val="00FF0646"/>
    <w:rsid w:val="00FF0EE6"/>
    <w:rsid w:val="00FF1707"/>
    <w:rsid w:val="00FF17A9"/>
    <w:rsid w:val="00FF187A"/>
    <w:rsid w:val="00FF1CF7"/>
    <w:rsid w:val="00FF2C3F"/>
    <w:rsid w:val="00FF2FFC"/>
    <w:rsid w:val="00FF338E"/>
    <w:rsid w:val="00FF3A3C"/>
    <w:rsid w:val="00FF4025"/>
    <w:rsid w:val="00FF43FF"/>
    <w:rsid w:val="00FF4401"/>
    <w:rsid w:val="00FF4888"/>
    <w:rsid w:val="00FF5181"/>
    <w:rsid w:val="00FF5308"/>
    <w:rsid w:val="00FF53FE"/>
    <w:rsid w:val="00FF5872"/>
    <w:rsid w:val="00FF58A7"/>
    <w:rsid w:val="00FF6444"/>
    <w:rsid w:val="00FF6546"/>
    <w:rsid w:val="00FF6739"/>
    <w:rsid w:val="00FF7E4E"/>
    <w:rsid w:val="01027D6F"/>
    <w:rsid w:val="03ADDB1C"/>
    <w:rsid w:val="083D41D4"/>
    <w:rsid w:val="086A7E6B"/>
    <w:rsid w:val="0E9832F0"/>
    <w:rsid w:val="11C3890B"/>
    <w:rsid w:val="149748DA"/>
    <w:rsid w:val="15F33BEC"/>
    <w:rsid w:val="1E32B146"/>
    <w:rsid w:val="22410DDF"/>
    <w:rsid w:val="2A9D5ECA"/>
    <w:rsid w:val="2ED4ABF4"/>
    <w:rsid w:val="2FBE1169"/>
    <w:rsid w:val="316FACD1"/>
    <w:rsid w:val="3227C1DA"/>
    <w:rsid w:val="337D6544"/>
    <w:rsid w:val="3E72D820"/>
    <w:rsid w:val="41A4C6A4"/>
    <w:rsid w:val="43703455"/>
    <w:rsid w:val="478F8050"/>
    <w:rsid w:val="49CAF2F1"/>
    <w:rsid w:val="4DB9E454"/>
    <w:rsid w:val="51185F46"/>
    <w:rsid w:val="51CBFB54"/>
    <w:rsid w:val="53BA9ADC"/>
    <w:rsid w:val="584EA308"/>
    <w:rsid w:val="5856DD73"/>
    <w:rsid w:val="5B440F23"/>
    <w:rsid w:val="5D88FF68"/>
    <w:rsid w:val="607F93E4"/>
    <w:rsid w:val="647C86B1"/>
    <w:rsid w:val="6BF6652E"/>
    <w:rsid w:val="6CF01BCA"/>
    <w:rsid w:val="6DE578D4"/>
    <w:rsid w:val="704337B2"/>
    <w:rsid w:val="71C52CB1"/>
    <w:rsid w:val="74D2C3C0"/>
    <w:rsid w:val="7538F6EA"/>
    <w:rsid w:val="7A0FF029"/>
    <w:rsid w:val="7C13466D"/>
    <w:rsid w:val="7E2A2C07"/>
    <w:rsid w:val="7FB10354"/>
    <w:rsid w:val="7FDA3BE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F643D4"/>
  <w15:docId w15:val="{AD084B6E-5F7E-4722-A7F3-6F3CF5DB3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LU" w:eastAsia="fr-L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00D"/>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9C500D"/>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9C500D"/>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9C500D"/>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C500D"/>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C500D"/>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9C500D"/>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9C500D"/>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9C500D"/>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9C500D"/>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9C500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9C500D"/>
    <w:rPr>
      <w:rFonts w:ascii="Times New Roman" w:eastAsia="SimSun" w:hAnsi="Times New Roman" w:cs="Times New Roman"/>
      <w:sz w:val="20"/>
      <w:szCs w:val="22"/>
    </w:rPr>
  </w:style>
  <w:style w:type="paragraph" w:styleId="Footer">
    <w:name w:val="footer"/>
    <w:basedOn w:val="Normal"/>
    <w:link w:val="FooterChar"/>
    <w:uiPriority w:val="99"/>
    <w:rsid w:val="009C500D"/>
    <w:pPr>
      <w:tabs>
        <w:tab w:val="center" w:pos="4680"/>
        <w:tab w:val="right" w:pos="9360"/>
      </w:tabs>
    </w:pPr>
    <w:rPr>
      <w:sz w:val="20"/>
    </w:rPr>
  </w:style>
  <w:style w:type="character" w:customStyle="1" w:styleId="FooterChar">
    <w:name w:val="Footer Char"/>
    <w:basedOn w:val="DefaultParagraphFont"/>
    <w:link w:val="Footer"/>
    <w:uiPriority w:val="99"/>
    <w:rsid w:val="009C500D"/>
    <w:rPr>
      <w:rFonts w:ascii="Times New Roman" w:eastAsia="SimSun" w:hAnsi="Times New Roman" w:cs="Times New Roman"/>
      <w:sz w:val="20"/>
      <w:szCs w:val="22"/>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rPr>
  </w:style>
  <w:style w:type="character" w:customStyle="1" w:styleId="Heading1Char">
    <w:name w:val="Heading 1 Char"/>
    <w:basedOn w:val="DefaultParagraphFont"/>
    <w:link w:val="Heading1"/>
    <w:uiPriority w:val="9"/>
    <w:rsid w:val="009C500D"/>
    <w:rPr>
      <w:rFonts w:ascii="Times New Roman" w:eastAsiaTheme="majorEastAsia" w:hAnsi="Times New Roman" w:cstheme="majorBidi"/>
      <w:b/>
      <w:bCs/>
      <w:kern w:val="2"/>
      <w:sz w:val="28"/>
      <w:szCs w:val="32"/>
      <w14:ligatures w14:val="standardContextual"/>
    </w:rPr>
  </w:style>
  <w:style w:type="paragraph" w:styleId="BodyText">
    <w:name w:val="Body Text"/>
    <w:basedOn w:val="Normal"/>
    <w:link w:val="BodyTextChar"/>
    <w:uiPriority w:val="99"/>
    <w:unhideWhenUsed/>
    <w:rsid w:val="009C500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9C500D"/>
    <w:rPr>
      <w:rFonts w:ascii="Cambria" w:eastAsiaTheme="minorHAnsi" w:hAnsi="Cambria"/>
      <w:kern w:val="2"/>
      <w:sz w:val="22"/>
      <w:szCs w:val="22"/>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rPr>
  </w:style>
  <w:style w:type="character" w:styleId="CommentReference">
    <w:name w:val="annotation reference"/>
    <w:basedOn w:val="DefaultParagraphFont"/>
    <w:uiPriority w:val="99"/>
    <w:semiHidden/>
    <w:unhideWhenUsed/>
    <w:rsid w:val="009C500D"/>
    <w:rPr>
      <w:sz w:val="16"/>
      <w:szCs w:val="16"/>
    </w:rPr>
  </w:style>
  <w:style w:type="paragraph" w:styleId="CommentText">
    <w:name w:val="annotation text"/>
    <w:basedOn w:val="Normal"/>
    <w:link w:val="CommentTextChar"/>
    <w:uiPriority w:val="99"/>
    <w:semiHidden/>
    <w:rsid w:val="009C500D"/>
    <w:rPr>
      <w:sz w:val="20"/>
      <w:szCs w:val="20"/>
    </w:rPr>
  </w:style>
  <w:style w:type="character" w:customStyle="1" w:styleId="CommentTextChar">
    <w:name w:val="Comment Text Char"/>
    <w:basedOn w:val="DefaultParagraphFont"/>
    <w:link w:val="CommentText"/>
    <w:uiPriority w:val="99"/>
    <w:semiHidden/>
    <w:rsid w:val="009C500D"/>
    <w:rPr>
      <w:rFonts w:ascii="Times New Roman" w:eastAsia="SimSun" w:hAnsi="Times New Roman" w:cs="Times New Roman"/>
      <w:sz w:val="20"/>
      <w:szCs w:val="20"/>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rPr>
  </w:style>
  <w:style w:type="character" w:styleId="FollowedHyperlink">
    <w:name w:val="FollowedHyperlink"/>
    <w:rsid w:val="007E09DA"/>
    <w:rPr>
      <w:color w:val="800080"/>
      <w:u w:val="single"/>
    </w:rPr>
  </w:style>
  <w:style w:type="character" w:styleId="FootnoteReference">
    <w:name w:val="footnote reference"/>
    <w:basedOn w:val="DefaultParagraphFont"/>
    <w:uiPriority w:val="99"/>
    <w:semiHidden/>
    <w:unhideWhenUsed/>
    <w:rsid w:val="009C500D"/>
    <w:rPr>
      <w:vertAlign w:val="superscript"/>
    </w:rPr>
  </w:style>
  <w:style w:type="paragraph" w:styleId="FootnoteText">
    <w:name w:val="footnote text"/>
    <w:basedOn w:val="Normal"/>
    <w:link w:val="FootnoteTextChar"/>
    <w:uiPriority w:val="99"/>
    <w:semiHidden/>
    <w:unhideWhenUsed/>
    <w:rsid w:val="009C500D"/>
    <w:pPr>
      <w:jc w:val="left"/>
    </w:pPr>
    <w:rPr>
      <w:sz w:val="18"/>
      <w:szCs w:val="20"/>
    </w:rPr>
  </w:style>
  <w:style w:type="character" w:customStyle="1" w:styleId="FootnoteTextChar">
    <w:name w:val="Footnote Text Char"/>
    <w:basedOn w:val="DefaultParagraphFont"/>
    <w:link w:val="FootnoteText"/>
    <w:uiPriority w:val="99"/>
    <w:semiHidden/>
    <w:rsid w:val="009C500D"/>
    <w:rPr>
      <w:rFonts w:ascii="Times New Roman" w:eastAsia="SimSun" w:hAnsi="Times New Roman" w:cs="Times New Roman"/>
      <w:sz w:val="18"/>
      <w:szCs w:val="20"/>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9C500D"/>
    <w:rPr>
      <w:rFonts w:ascii="Times New Roman Bold" w:eastAsiaTheme="majorEastAsia" w:hAnsi="Times New Roman Bold" w:cstheme="majorBidi"/>
      <w:b/>
      <w:szCs w:val="26"/>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9C500D"/>
    <w:rPr>
      <w:rFonts w:ascii="Times New Roman" w:eastAsiaTheme="majorEastAsia" w:hAnsi="Times New Roman" w:cs="Times New Roman"/>
      <w:b/>
      <w:bCs/>
      <w:sz w:val="22"/>
      <w:szCs w:val="22"/>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9C500D"/>
    <w:rPr>
      <w:rFonts w:ascii="Times New Roman" w:eastAsiaTheme="majorEastAsia" w:hAnsi="Times New Roman" w:cs="Times New Roman"/>
      <w:b/>
      <w:bCs/>
      <w:sz w:val="22"/>
      <w:szCs w:val="22"/>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9C500D"/>
    <w:rPr>
      <w:rFonts w:ascii="Times New Roman" w:eastAsiaTheme="majorEastAsia" w:hAnsi="Times New Roman" w:cs="Times New Roman"/>
      <w:i/>
      <w:iCs/>
      <w:sz w:val="22"/>
      <w:szCs w:val="22"/>
    </w:rPr>
  </w:style>
  <w:style w:type="character" w:customStyle="1" w:styleId="Heading6Char">
    <w:name w:val="Heading 6 Char"/>
    <w:basedOn w:val="DefaultParagraphFont"/>
    <w:link w:val="Heading6"/>
    <w:rsid w:val="009C500D"/>
    <w:rPr>
      <w:rFonts w:ascii="Times New Roman" w:eastAsia="SimSun" w:hAnsi="Times New Roman" w:cs="Times New Roman"/>
      <w:bCs/>
      <w:szCs w:val="22"/>
    </w:rPr>
  </w:style>
  <w:style w:type="character" w:customStyle="1" w:styleId="Heading7Char">
    <w:name w:val="Heading 7 Char"/>
    <w:basedOn w:val="DefaultParagraphFont"/>
    <w:link w:val="Heading7"/>
    <w:rsid w:val="009C500D"/>
    <w:rPr>
      <w:rFonts w:ascii="Times New Roman" w:eastAsia="SimSun" w:hAnsi="Times New Roman" w:cs="Times New Roman"/>
      <w:b/>
      <w:snapToGrid w:val="0"/>
      <w:sz w:val="22"/>
      <w:szCs w:val="22"/>
      <w:u w:val="single"/>
    </w:rPr>
  </w:style>
  <w:style w:type="character" w:customStyle="1" w:styleId="Heading8Char">
    <w:name w:val="Heading 8 Char"/>
    <w:basedOn w:val="DefaultParagraphFont"/>
    <w:link w:val="Heading8"/>
    <w:rsid w:val="009C500D"/>
    <w:rPr>
      <w:rFonts w:ascii="Times New Roman" w:eastAsia="SimSun" w:hAnsi="Times New Roman" w:cs="Times New Roman"/>
      <w:b/>
      <w:snapToGrid w:val="0"/>
      <w:sz w:val="22"/>
      <w:szCs w:val="22"/>
      <w:u w:val="single"/>
    </w:rPr>
  </w:style>
  <w:style w:type="character" w:customStyle="1" w:styleId="Heading9Char">
    <w:name w:val="Heading 9 Char"/>
    <w:basedOn w:val="DefaultParagraphFont"/>
    <w:link w:val="Heading9"/>
    <w:rsid w:val="009C500D"/>
    <w:rPr>
      <w:rFonts w:ascii="Times New Roman" w:eastAsia="SimSun" w:hAnsi="Times New Roman" w:cs="Times New Roman"/>
      <w:snapToGrid w:val="0"/>
      <w:sz w:val="22"/>
      <w:szCs w:val="22"/>
      <w:u w:val="single"/>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9C500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C500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9C500D"/>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9C500D"/>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500D"/>
    <w:rPr>
      <w:rFonts w:ascii="Simplified Arabic" w:eastAsia="Times New Roman" w:hAnsi="Simplified Arabic" w:cs="Simplified Arabic"/>
      <w:noProof/>
    </w:rPr>
  </w:style>
  <w:style w:type="paragraph" w:customStyle="1" w:styleId="DarkList-Accent31">
    <w:name w:val="Dark List - Accent 31"/>
    <w:hidden/>
    <w:uiPriority w:val="99"/>
    <w:semiHidden/>
    <w:rsid w:val="009C500D"/>
    <w:rPr>
      <w:rFonts w:ascii="Times New Roman" w:eastAsia="SimSun" w:hAnsi="Times New Roman" w:cs="Times New Roman"/>
      <w:sz w:val="22"/>
      <w:szCs w:val="22"/>
    </w:rPr>
  </w:style>
  <w:style w:type="paragraph" w:customStyle="1" w:styleId="CBDNormalNoNumber">
    <w:name w:val="CBD_Normal_NoNumber"/>
    <w:basedOn w:val="CBDNormal"/>
    <w:qFormat/>
    <w:rsid w:val="009C500D"/>
    <w:pPr>
      <w:spacing w:after="120"/>
      <w:ind w:left="567"/>
    </w:pPr>
  </w:style>
  <w:style w:type="paragraph" w:customStyle="1" w:styleId="Footnote">
    <w:name w:val="Footnote"/>
    <w:basedOn w:val="FootnoteText"/>
    <w:semiHidden/>
    <w:qFormat/>
    <w:rsid w:val="009C500D"/>
    <w:rPr>
      <w:szCs w:val="18"/>
    </w:rPr>
  </w:style>
  <w:style w:type="paragraph" w:customStyle="1" w:styleId="Annex">
    <w:name w:val="Annex"/>
    <w:basedOn w:val="Normal"/>
    <w:semiHidden/>
    <w:qFormat/>
    <w:rsid w:val="009C500D"/>
    <w:pPr>
      <w:spacing w:after="240"/>
    </w:pPr>
    <w:rPr>
      <w:b/>
      <w:sz w:val="28"/>
    </w:rPr>
  </w:style>
  <w:style w:type="paragraph" w:customStyle="1" w:styleId="ABSymbol">
    <w:name w:val="AB_Symbol"/>
    <w:basedOn w:val="Normal"/>
    <w:qFormat/>
    <w:rsid w:val="009C500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C500D"/>
    <w:pPr>
      <w:numPr>
        <w:numId w:val="7"/>
      </w:numPr>
      <w:tabs>
        <w:tab w:val="left" w:pos="3969"/>
      </w:tabs>
      <w:spacing w:before="120" w:after="120"/>
    </w:pPr>
  </w:style>
  <w:style w:type="paragraph" w:customStyle="1" w:styleId="AFCorNNormal">
    <w:name w:val="AF_CorNNormal"/>
    <w:basedOn w:val="Normal"/>
    <w:unhideWhenUsed/>
    <w:rsid w:val="009C500D"/>
    <w:pPr>
      <w:jc w:val="left"/>
    </w:pPr>
  </w:style>
  <w:style w:type="paragraph" w:customStyle="1" w:styleId="AEDistrNormal">
    <w:name w:val="AE_DistrNormal"/>
    <w:basedOn w:val="Normal"/>
    <w:unhideWhenUsed/>
    <w:rsid w:val="009C500D"/>
    <w:pPr>
      <w:jc w:val="left"/>
    </w:pPr>
  </w:style>
  <w:style w:type="paragraph" w:customStyle="1" w:styleId="AASmallLogo">
    <w:name w:val="AA_SmallLogo"/>
    <w:basedOn w:val="AEDistrNormal"/>
    <w:unhideWhenUsed/>
    <w:rsid w:val="009C500D"/>
    <w:pPr>
      <w:spacing w:before="40"/>
    </w:pPr>
    <w:rPr>
      <w:sz w:val="4"/>
    </w:rPr>
  </w:style>
  <w:style w:type="paragraph" w:customStyle="1" w:styleId="ACLargeLogo">
    <w:name w:val="AC_LargeLogo"/>
    <w:basedOn w:val="AFCorNNormal"/>
    <w:next w:val="AISpacer"/>
    <w:unhideWhenUsed/>
    <w:rsid w:val="009C500D"/>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9C500D"/>
    <w:rPr>
      <w:b/>
      <w:bCs/>
    </w:rPr>
  </w:style>
  <w:style w:type="character" w:customStyle="1" w:styleId="CommentSubjectChar">
    <w:name w:val="Comment Subject Char"/>
    <w:basedOn w:val="CommentTextChar"/>
    <w:link w:val="CommentSubject"/>
    <w:uiPriority w:val="99"/>
    <w:semiHidden/>
    <w:rsid w:val="009C500D"/>
    <w:rPr>
      <w:rFonts w:ascii="Times New Roman" w:eastAsia="SimSun" w:hAnsi="Times New Roman" w:cs="Times New Roman"/>
      <w:b/>
      <w:bCs/>
      <w:sz w:val="20"/>
      <w:szCs w:val="20"/>
    </w:rPr>
  </w:style>
  <w:style w:type="paragraph" w:customStyle="1" w:styleId="Item">
    <w:name w:val="Item"/>
    <w:basedOn w:val="Normal"/>
    <w:semiHidden/>
    <w:qFormat/>
    <w:rsid w:val="009C500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9C500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9C500D"/>
    <w:pPr>
      <w:contextualSpacing/>
    </w:pPr>
  </w:style>
  <w:style w:type="numbering" w:customStyle="1" w:styleId="ListCBD">
    <w:name w:val="ListCBD"/>
    <w:basedOn w:val="NoList"/>
    <w:uiPriority w:val="99"/>
    <w:rsid w:val="009C500D"/>
    <w:pPr>
      <w:numPr>
        <w:numId w:val="5"/>
      </w:numPr>
    </w:pPr>
  </w:style>
  <w:style w:type="numbering" w:customStyle="1" w:styleId="CBDHeadings">
    <w:name w:val="CBD_Headings"/>
    <w:basedOn w:val="ListCBD"/>
    <w:uiPriority w:val="99"/>
    <w:rsid w:val="009C500D"/>
    <w:pPr>
      <w:numPr>
        <w:numId w:val="6"/>
      </w:numPr>
    </w:pPr>
  </w:style>
  <w:style w:type="paragraph" w:customStyle="1" w:styleId="AISpacer">
    <w:name w:val="AI_Spacer"/>
    <w:next w:val="Normal"/>
    <w:unhideWhenUsed/>
    <w:qFormat/>
    <w:rsid w:val="009C500D"/>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9C500D"/>
    <w:pPr>
      <w:spacing w:before="120"/>
    </w:pPr>
  </w:style>
  <w:style w:type="paragraph" w:customStyle="1" w:styleId="AFCorNBold">
    <w:name w:val="AF_CorNBold"/>
    <w:basedOn w:val="AFCorNNormal"/>
    <w:next w:val="AFCorNNormal"/>
    <w:unhideWhenUsed/>
    <w:qFormat/>
    <w:rsid w:val="009C500D"/>
    <w:rPr>
      <w:b/>
    </w:rPr>
  </w:style>
  <w:style w:type="paragraph" w:customStyle="1" w:styleId="AFCorN12Bold">
    <w:name w:val="AF_CorN12Bold"/>
    <w:basedOn w:val="AFCorNNormal"/>
    <w:next w:val="AFCorNNormal"/>
    <w:unhideWhenUsed/>
    <w:qFormat/>
    <w:rsid w:val="009C500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9C500D"/>
    <w:pPr>
      <w:spacing w:after="120"/>
      <w:ind w:left="1134" w:firstLine="567"/>
    </w:pPr>
  </w:style>
  <w:style w:type="paragraph" w:customStyle="1" w:styleId="CBDDesicionAnnex">
    <w:name w:val="CBD_DesicionAnnex"/>
    <w:basedOn w:val="CBDNormal"/>
    <w:next w:val="CBDDesicionText"/>
    <w:qFormat/>
    <w:rsid w:val="009C500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C500D"/>
    <w:pPr>
      <w:keepNext/>
      <w:keepLines/>
      <w:spacing w:after="240"/>
      <w:jc w:val="left"/>
    </w:pPr>
    <w:rPr>
      <w:b/>
      <w:sz w:val="28"/>
    </w:rPr>
  </w:style>
  <w:style w:type="paragraph" w:customStyle="1" w:styleId="CBDSubTitle">
    <w:name w:val="CBD_SubTitle"/>
    <w:basedOn w:val="CBDNormal"/>
    <w:qFormat/>
    <w:rsid w:val="009C500D"/>
    <w:pPr>
      <w:keepNext/>
      <w:keepLines/>
      <w:spacing w:before="240" w:after="240"/>
      <w:ind w:left="567"/>
      <w:jc w:val="left"/>
    </w:pPr>
    <w:rPr>
      <w:b/>
    </w:rPr>
  </w:style>
  <w:style w:type="paragraph" w:customStyle="1" w:styleId="CBDTitle">
    <w:name w:val="CBD_Title"/>
    <w:basedOn w:val="CBDNormal"/>
    <w:next w:val="CBDSubTitle"/>
    <w:qFormat/>
    <w:rsid w:val="009C500D"/>
    <w:pPr>
      <w:keepNext/>
      <w:keepLines/>
      <w:spacing w:before="240" w:after="240"/>
      <w:ind w:left="567"/>
      <w:jc w:val="left"/>
    </w:pPr>
    <w:rPr>
      <w:b/>
      <w:sz w:val="28"/>
    </w:rPr>
  </w:style>
  <w:style w:type="paragraph" w:customStyle="1" w:styleId="AENormal">
    <w:name w:val="AE_Normal"/>
    <w:basedOn w:val="Normal"/>
    <w:rsid w:val="009C500D"/>
  </w:style>
  <w:style w:type="paragraph" w:customStyle="1" w:styleId="CBDH1">
    <w:name w:val="CBD_H1"/>
    <w:basedOn w:val="CBDNormal"/>
    <w:qFormat/>
    <w:rsid w:val="009C500D"/>
    <w:pPr>
      <w:keepNext/>
      <w:keepLines/>
      <w:spacing w:before="240" w:after="120"/>
      <w:ind w:left="567" w:hanging="567"/>
      <w:jc w:val="left"/>
      <w:outlineLvl w:val="0"/>
    </w:pPr>
    <w:rPr>
      <w:b/>
      <w:sz w:val="28"/>
    </w:rPr>
  </w:style>
  <w:style w:type="paragraph" w:customStyle="1" w:styleId="CBDH2">
    <w:name w:val="CBD_H2"/>
    <w:basedOn w:val="CBDNormal"/>
    <w:qFormat/>
    <w:rsid w:val="009C500D"/>
    <w:pPr>
      <w:keepNext/>
      <w:keepLines/>
      <w:ind w:left="567" w:hanging="567"/>
    </w:pPr>
    <w:rPr>
      <w:b/>
      <w:sz w:val="24"/>
    </w:rPr>
  </w:style>
  <w:style w:type="paragraph" w:customStyle="1" w:styleId="CBDFootnoteText">
    <w:name w:val="CBD_Footnote_Text"/>
    <w:basedOn w:val="CBDNormal"/>
    <w:qFormat/>
    <w:rsid w:val="009C500D"/>
    <w:pPr>
      <w:jc w:val="left"/>
    </w:pPr>
    <w:rPr>
      <w:sz w:val="18"/>
    </w:rPr>
  </w:style>
  <w:style w:type="paragraph" w:customStyle="1" w:styleId="CBDFooter">
    <w:name w:val="CBD_Footer"/>
    <w:basedOn w:val="CBDNormal"/>
    <w:qFormat/>
    <w:rsid w:val="009C500D"/>
    <w:rPr>
      <w:sz w:val="20"/>
    </w:rPr>
  </w:style>
  <w:style w:type="paragraph" w:customStyle="1" w:styleId="CBDHeader">
    <w:name w:val="CBD_Header"/>
    <w:basedOn w:val="CBDNormal"/>
    <w:next w:val="CBDFooter"/>
    <w:qFormat/>
    <w:rsid w:val="009C500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C500D"/>
    <w:pPr>
      <w:keepNext/>
      <w:keepLines/>
      <w:spacing w:before="120" w:after="120"/>
      <w:ind w:left="567" w:hanging="567"/>
      <w:jc w:val="left"/>
    </w:pPr>
    <w:rPr>
      <w:b/>
    </w:rPr>
  </w:style>
  <w:style w:type="paragraph" w:customStyle="1" w:styleId="CBDH4">
    <w:name w:val="CBD_H4"/>
    <w:basedOn w:val="CBDNormal"/>
    <w:rsid w:val="009C500D"/>
    <w:pPr>
      <w:keepNext/>
      <w:keepLines/>
      <w:spacing w:before="120" w:after="120"/>
      <w:ind w:left="567" w:hanging="567"/>
      <w:jc w:val="left"/>
    </w:pPr>
    <w:rPr>
      <w:b/>
    </w:rPr>
  </w:style>
  <w:style w:type="paragraph" w:customStyle="1" w:styleId="CBDH5">
    <w:name w:val="CBD_H5"/>
    <w:basedOn w:val="CBDNormal"/>
    <w:qFormat/>
    <w:rsid w:val="009C500D"/>
    <w:pPr>
      <w:keepNext/>
      <w:keepLines/>
      <w:spacing w:before="120" w:after="120"/>
      <w:ind w:left="567" w:hanging="567"/>
      <w:jc w:val="left"/>
    </w:pPr>
    <w:rPr>
      <w:i/>
    </w:rPr>
  </w:style>
  <w:style w:type="paragraph" w:customStyle="1" w:styleId="CBDTableNormal">
    <w:name w:val="CBD_TableNormal"/>
    <w:basedOn w:val="CBDNormal"/>
    <w:qFormat/>
    <w:rsid w:val="009C500D"/>
    <w:pPr>
      <w:spacing w:before="40" w:after="80"/>
      <w:jc w:val="left"/>
    </w:pPr>
    <w:rPr>
      <w:sz w:val="20"/>
    </w:rPr>
  </w:style>
  <w:style w:type="paragraph" w:customStyle="1" w:styleId="CBDTableTitle">
    <w:name w:val="CBD_TableTitle"/>
    <w:basedOn w:val="CBDNormal"/>
    <w:qFormat/>
    <w:rsid w:val="009C500D"/>
    <w:pPr>
      <w:keepNext/>
      <w:keepLines/>
      <w:spacing w:before="120" w:after="60"/>
      <w:ind w:left="567"/>
      <w:jc w:val="left"/>
    </w:pPr>
    <w:rPr>
      <w:b/>
    </w:rPr>
  </w:style>
  <w:style w:type="paragraph" w:customStyle="1" w:styleId="CBDFigureTitle">
    <w:name w:val="CBD_FigureTitle"/>
    <w:basedOn w:val="CBDNormal"/>
    <w:next w:val="CBDNormalNoNumber"/>
    <w:qFormat/>
    <w:rsid w:val="009C500D"/>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rPr>
  </w:style>
  <w:style w:type="character" w:styleId="BookTitle">
    <w:name w:val="Book Title"/>
    <w:basedOn w:val="DefaultParagraphFont"/>
    <w:uiPriority w:val="33"/>
    <w:qFormat/>
    <w:rsid w:val="00A111D1"/>
    <w:rPr>
      <w:b/>
      <w:bCs/>
      <w:i/>
      <w:iCs/>
      <w:spacing w:val="5"/>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tblPr/>
      <w:tcPr>
        <w:shd w:val="clear" w:color="auto" w:fill="999999" w:themeFill="text1" w:themeFillTint="66"/>
      </w:tcPr>
    </w:tblStylePr>
    <w:tblStylePr w:type="lastRow">
      <w:tblPr/>
      <w:tcPr>
        <w:shd w:val="clear" w:color="auto" w:fill="999999" w:themeFill="text1" w:themeFillTint="66"/>
      </w:tcPr>
    </w:tblStylePr>
    <w:tblStylePr w:type="firstCol">
      <w:tblPr/>
      <w:tcPr>
        <w:shd w:val="clear" w:color="auto" w:fill="000000" w:themeFill="text1" w:themeFillShade="BF"/>
      </w:tcPr>
    </w:tblStylePr>
    <w:tblStylePr w:type="lastCol">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tblPr/>
      <w:tcPr>
        <w:shd w:val="clear" w:color="auto" w:fill="B8CCE4" w:themeFill="accent1" w:themeFillTint="66"/>
      </w:tcPr>
    </w:tblStylePr>
    <w:tblStylePr w:type="lastRow">
      <w:tblPr/>
      <w:tcPr>
        <w:shd w:val="clear" w:color="auto" w:fill="B8CCE4" w:themeFill="accent1" w:themeFillTint="66"/>
      </w:tcPr>
    </w:tblStylePr>
    <w:tblStylePr w:type="firstCol">
      <w:tblPr/>
      <w:tcPr>
        <w:shd w:val="clear" w:color="auto" w:fill="365F91" w:themeFill="accent1" w:themeFillShade="BF"/>
      </w:tcPr>
    </w:tblStylePr>
    <w:tblStylePr w:type="lastCol">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tblPr/>
      <w:tcPr>
        <w:shd w:val="clear" w:color="auto" w:fill="E5B8B7" w:themeFill="accent2" w:themeFillTint="66"/>
      </w:tcPr>
    </w:tblStylePr>
    <w:tblStylePr w:type="lastRow">
      <w:tblPr/>
      <w:tcPr>
        <w:shd w:val="clear" w:color="auto" w:fill="E5B8B7" w:themeFill="accent2" w:themeFillTint="66"/>
      </w:tcPr>
    </w:tblStylePr>
    <w:tblStylePr w:type="firstCol">
      <w:tblPr/>
      <w:tcPr>
        <w:shd w:val="clear" w:color="auto" w:fill="943634" w:themeFill="accent2" w:themeFillShade="BF"/>
      </w:tcPr>
    </w:tblStylePr>
    <w:tblStylePr w:type="lastCol">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tblPr/>
      <w:tcPr>
        <w:shd w:val="clear" w:color="auto" w:fill="D6E3BC" w:themeFill="accent3" w:themeFillTint="66"/>
      </w:tcPr>
    </w:tblStylePr>
    <w:tblStylePr w:type="lastRow">
      <w:tblPr/>
      <w:tcPr>
        <w:shd w:val="clear" w:color="auto" w:fill="D6E3BC" w:themeFill="accent3" w:themeFillTint="66"/>
      </w:tcPr>
    </w:tblStylePr>
    <w:tblStylePr w:type="firstCol">
      <w:tblPr/>
      <w:tcPr>
        <w:shd w:val="clear" w:color="auto" w:fill="76923C" w:themeFill="accent3" w:themeFillShade="BF"/>
      </w:tcPr>
    </w:tblStylePr>
    <w:tblStylePr w:type="lastCol">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tblPr/>
      <w:tcPr>
        <w:shd w:val="clear" w:color="auto" w:fill="CCC0D9" w:themeFill="accent4" w:themeFillTint="66"/>
      </w:tcPr>
    </w:tblStylePr>
    <w:tblStylePr w:type="lastRow">
      <w:tblPr/>
      <w:tcPr>
        <w:shd w:val="clear" w:color="auto" w:fill="CCC0D9" w:themeFill="accent4" w:themeFillTint="66"/>
      </w:tcPr>
    </w:tblStylePr>
    <w:tblStylePr w:type="firstCol">
      <w:tblPr/>
      <w:tcPr>
        <w:shd w:val="clear" w:color="auto" w:fill="5F497A" w:themeFill="accent4" w:themeFillShade="BF"/>
      </w:tcPr>
    </w:tblStylePr>
    <w:tblStylePr w:type="lastCol">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tblPr/>
      <w:tcPr>
        <w:shd w:val="clear" w:color="auto" w:fill="B6DDE8" w:themeFill="accent5" w:themeFillTint="66"/>
      </w:tcPr>
    </w:tblStylePr>
    <w:tblStylePr w:type="lastRow">
      <w:tblPr/>
      <w:tcPr>
        <w:shd w:val="clear" w:color="auto" w:fill="B6DDE8" w:themeFill="accent5" w:themeFillTint="66"/>
      </w:tcPr>
    </w:tblStylePr>
    <w:tblStylePr w:type="firstCol">
      <w:tblPr/>
      <w:tcPr>
        <w:shd w:val="clear" w:color="auto" w:fill="31849B" w:themeFill="accent5" w:themeFillShade="BF"/>
      </w:tcPr>
    </w:tblStylePr>
    <w:tblStylePr w:type="lastCol">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tblPr/>
      <w:tcPr>
        <w:shd w:val="clear" w:color="auto" w:fill="FBD4B4" w:themeFill="accent6" w:themeFillTint="66"/>
      </w:tcPr>
    </w:tblStylePr>
    <w:tblStylePr w:type="lastRow">
      <w:tblPr/>
      <w:tcPr>
        <w:shd w:val="clear" w:color="auto" w:fill="FBD4B4" w:themeFill="accent6" w:themeFillTint="66"/>
      </w:tcPr>
    </w:tblStylePr>
    <w:tblStylePr w:type="firstCol">
      <w:tblPr/>
      <w:tcPr>
        <w:shd w:val="clear" w:color="auto" w:fill="E36C0A" w:themeFill="accent6" w:themeFillShade="BF"/>
      </w:tcPr>
    </w:tblStylePr>
    <w:tblStylePr w:type="lastCol">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tblPr/>
      <w:tcPr>
        <w:tcBorders>
          <w:bottom w:val="single" w:sz="12" w:space="0" w:color="FFFFFF" w:themeColor="background1"/>
        </w:tcBorders>
        <w:shd w:val="clear" w:color="auto" w:fill="664E82" w:themeFill="accent4"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tblPr/>
      <w:tcPr>
        <w:tcBorders>
          <w:bottom w:val="single" w:sz="12" w:space="0" w:color="FFFFFF" w:themeColor="background1"/>
        </w:tcBorders>
        <w:shd w:val="clear" w:color="auto" w:fill="7E9C40" w:themeFill="accent3"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tblPr/>
      <w:tcPr>
        <w:tcBorders>
          <w:bottom w:val="single" w:sz="12" w:space="0" w:color="FFFFFF" w:themeColor="background1"/>
        </w:tcBorders>
        <w:shd w:val="clear" w:color="auto" w:fill="F2730A" w:themeFill="accent6"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tblPr/>
      <w:tcPr>
        <w:tcBorders>
          <w:bottom w:val="single" w:sz="12" w:space="0" w:color="FFFFFF" w:themeColor="background1"/>
        </w:tcBorders>
        <w:shd w:val="clear" w:color="auto" w:fill="348DA5" w:themeFill="accent5"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000000" w:themeFill="text1" w:themeFillShade="99"/>
      </w:tcPr>
    </w:tblStylePr>
    <w:tblStylePr w:type="firstCol">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2C4C74" w:themeFill="accent1" w:themeFillShade="99"/>
      </w:tcPr>
    </w:tblStylePr>
    <w:tblStylePr w:type="firstCol">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772C2A" w:themeFill="accent2" w:themeFillShade="99"/>
      </w:tcPr>
    </w:tblStylePr>
    <w:tblStylePr w:type="firstCol">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5E7530" w:themeFill="accent3" w:themeFillShade="99"/>
      </w:tcPr>
    </w:tblStylePr>
    <w:tblStylePr w:type="firstCol">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4C3B62" w:themeFill="accent4" w:themeFillShade="99"/>
      </w:tcPr>
    </w:tblStylePr>
    <w:tblStylePr w:type="firstCol">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276A7C" w:themeFill="accent5" w:themeFillShade="99"/>
      </w:tcPr>
    </w:tblStylePr>
    <w:tblStylePr w:type="firstCol">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B65608" w:themeFill="accent6" w:themeFillShade="99"/>
      </w:tcPr>
    </w:tblStylePr>
    <w:tblStylePr w:type="firstCol">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rPr>
  </w:style>
  <w:style w:type="character" w:styleId="Emphasis">
    <w:name w:val="Emphasis"/>
    <w:basedOn w:val="DefaultParagraphFont"/>
    <w:uiPriority w:val="20"/>
    <w:qFormat/>
    <w:rsid w:val="00A111D1"/>
    <w:rPr>
      <w:i/>
      <w:iC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rPr>
      <w:rFonts w:ascii="Cambria" w:hAnsi="Cambri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tblPr/>
      <w:tcPr>
        <w:tcBorders>
          <w:bottom w:val="single" w:sz="12" w:space="0" w:color="666666" w:themeColor="text1" w:themeTint="99"/>
        </w:tcBorders>
      </w:tcPr>
    </w:tblStylePr>
    <w:tblStylePr w:type="lastRow">
      <w:tblPr/>
      <w:tcPr>
        <w:tcBorders>
          <w:top w:val="double" w:sz="2" w:space="0" w:color="666666" w:themeColor="text1" w:themeTint="99"/>
        </w:tcBorders>
      </w:tcPr>
    </w:tblStylePr>
  </w:style>
  <w:style w:type="table" w:styleId="GridTable1Light-Accent1">
    <w:name w:val="Grid Table 1 Light Accent 1"/>
    <w:basedOn w:val="TableNormal"/>
    <w:uiPriority w:val="46"/>
    <w:rsid w:val="00A111D1"/>
    <w:rPr>
      <w:rFonts w:ascii="Cambria" w:hAnsi="Cambria"/>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tblPr/>
      <w:tcPr>
        <w:tcBorders>
          <w:bottom w:val="single" w:sz="12" w:space="0" w:color="95B3D7" w:themeColor="accent1" w:themeTint="99"/>
        </w:tcBorders>
      </w:tcPr>
    </w:tblStylePr>
    <w:tblStylePr w:type="lastRow">
      <w:tblPr/>
      <w:tcPr>
        <w:tcBorders>
          <w:top w:val="double" w:sz="2" w:space="0" w:color="95B3D7" w:themeColor="accent1" w:themeTint="99"/>
        </w:tcBorders>
      </w:tcPr>
    </w:tblStylePr>
  </w:style>
  <w:style w:type="table" w:styleId="GridTable1Light-Accent2">
    <w:name w:val="Grid Table 1 Light Accent 2"/>
    <w:basedOn w:val="TableNormal"/>
    <w:uiPriority w:val="46"/>
    <w:rsid w:val="00A111D1"/>
    <w:rPr>
      <w:rFonts w:ascii="Cambria" w:hAnsi="Cambria"/>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tblPr/>
      <w:tcPr>
        <w:tcBorders>
          <w:bottom w:val="single" w:sz="12" w:space="0" w:color="D99594" w:themeColor="accent2" w:themeTint="99"/>
        </w:tcBorders>
      </w:tcPr>
    </w:tblStylePr>
    <w:tblStylePr w:type="lastRow">
      <w:tblPr/>
      <w:tcPr>
        <w:tcBorders>
          <w:top w:val="double" w:sz="2" w:space="0" w:color="D99594" w:themeColor="accent2" w:themeTint="99"/>
        </w:tcBorders>
      </w:tcPr>
    </w:tblStylePr>
  </w:style>
  <w:style w:type="table" w:styleId="GridTable1Light-Accent3">
    <w:name w:val="Grid Table 1 Light Accent 3"/>
    <w:basedOn w:val="TableNormal"/>
    <w:uiPriority w:val="46"/>
    <w:rsid w:val="00A111D1"/>
    <w:rPr>
      <w:rFonts w:ascii="Cambria" w:hAnsi="Cambria"/>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tblPr/>
      <w:tcPr>
        <w:tcBorders>
          <w:bottom w:val="single" w:sz="12" w:space="0" w:color="C2D69B" w:themeColor="accent3" w:themeTint="99"/>
        </w:tcBorders>
      </w:tcPr>
    </w:tblStylePr>
    <w:tblStylePr w:type="lastRow">
      <w:tblPr/>
      <w:tcPr>
        <w:tcBorders>
          <w:top w:val="double" w:sz="2" w:space="0" w:color="C2D69B" w:themeColor="accent3" w:themeTint="99"/>
        </w:tcBorders>
      </w:tcPr>
    </w:tblStylePr>
  </w:style>
  <w:style w:type="table" w:styleId="GridTable1Light-Accent4">
    <w:name w:val="Grid Table 1 Light Accent 4"/>
    <w:basedOn w:val="TableNormal"/>
    <w:uiPriority w:val="46"/>
    <w:rsid w:val="00A111D1"/>
    <w:rPr>
      <w:rFonts w:ascii="Cambria" w:hAnsi="Cambria"/>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tblPr/>
      <w:tcPr>
        <w:tcBorders>
          <w:bottom w:val="single" w:sz="12" w:space="0" w:color="B2A1C7" w:themeColor="accent4" w:themeTint="99"/>
        </w:tcBorders>
      </w:tcPr>
    </w:tblStylePr>
    <w:tblStylePr w:type="lastRow">
      <w:tblPr/>
      <w:tcPr>
        <w:tcBorders>
          <w:top w:val="double" w:sz="2" w:space="0" w:color="B2A1C7" w:themeColor="accent4" w:themeTint="99"/>
        </w:tcBorders>
      </w:tcPr>
    </w:tblStylePr>
  </w:style>
  <w:style w:type="table" w:styleId="GridTable1Light-Accent5">
    <w:name w:val="Grid Table 1 Light Accent 5"/>
    <w:basedOn w:val="TableNormal"/>
    <w:uiPriority w:val="46"/>
    <w:rsid w:val="00A111D1"/>
    <w:rPr>
      <w:rFonts w:ascii="Cambria" w:hAnsi="Cambria"/>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tblPr/>
      <w:tcPr>
        <w:tcBorders>
          <w:bottom w:val="single" w:sz="12" w:space="0" w:color="92CDDC" w:themeColor="accent5" w:themeTint="99"/>
        </w:tcBorders>
      </w:tcPr>
    </w:tblStylePr>
    <w:tblStylePr w:type="lastRow">
      <w:tblPr/>
      <w:tcPr>
        <w:tcBorders>
          <w:top w:val="double" w:sz="2" w:space="0" w:color="92CDDC" w:themeColor="accent5" w:themeTint="99"/>
        </w:tcBorders>
      </w:tcPr>
    </w:tblStylePr>
  </w:style>
  <w:style w:type="table" w:styleId="GridTable1Light-Accent6">
    <w:name w:val="Grid Table 1 Light Accent 6"/>
    <w:basedOn w:val="TableNormal"/>
    <w:uiPriority w:val="46"/>
    <w:rsid w:val="00A111D1"/>
    <w:rPr>
      <w:rFonts w:ascii="Cambria" w:hAnsi="Cambria"/>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tblPr/>
      <w:tcPr>
        <w:tcBorders>
          <w:bottom w:val="single" w:sz="12" w:space="0" w:color="FABF8F" w:themeColor="accent6" w:themeTint="99"/>
        </w:tcBorders>
      </w:tcPr>
    </w:tblStylePr>
    <w:tblStylePr w:type="lastRow">
      <w:tblPr/>
      <w:tcPr>
        <w:tcBorders>
          <w:top w:val="double" w:sz="2" w:space="0" w:color="FABF8F" w:themeColor="accent6" w:themeTint="99"/>
        </w:tcBorders>
      </w:tcPr>
    </w:tblStylePr>
  </w:style>
  <w:style w:type="table" w:styleId="GridTable2">
    <w:name w:val="Grid Table 2"/>
    <w:basedOn w:val="TableNormal"/>
    <w:uiPriority w:val="47"/>
    <w:rsid w:val="00A111D1"/>
    <w:rPr>
      <w:rFonts w:ascii="Cambria" w:hAnsi="Cambria"/>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tblPr/>
      <w:tcPr>
        <w:tcBorders>
          <w:top w:val="nil"/>
          <w:bottom w:val="single" w:sz="12" w:space="0" w:color="666666" w:themeColor="text1" w:themeTint="99"/>
          <w:insideH w:val="nil"/>
          <w:insideV w:val="nil"/>
        </w:tcBorders>
        <w:shd w:val="clear" w:color="auto" w:fill="FFFFFF" w:themeFill="background1"/>
      </w:tcPr>
    </w:tblStylePr>
    <w:tblStylePr w:type="lastRow">
      <w:tblPr/>
      <w:tcPr>
        <w:tcBorders>
          <w:top w:val="double" w:sz="2" w:space="0" w:color="666666" w:themeColor="text1" w:themeTint="99"/>
          <w:bottom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rPr>
      <w:rFonts w:ascii="Cambria" w:hAnsi="Cambria"/>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tblPr/>
      <w:tcPr>
        <w:tcBorders>
          <w:top w:val="nil"/>
          <w:bottom w:val="single" w:sz="12" w:space="0" w:color="95B3D7" w:themeColor="accent1" w:themeTint="99"/>
          <w:insideH w:val="nil"/>
          <w:insideV w:val="nil"/>
        </w:tcBorders>
        <w:shd w:val="clear" w:color="auto" w:fill="FFFFFF" w:themeFill="background1"/>
      </w:tcPr>
    </w:tblStylePr>
    <w:tblStylePr w:type="lastRow">
      <w:tblPr/>
      <w:tcPr>
        <w:tcBorders>
          <w:top w:val="double" w:sz="2" w:space="0" w:color="95B3D7" w:themeColor="accent1" w:themeTint="99"/>
          <w:bottom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rPr>
      <w:rFonts w:ascii="Cambria" w:hAnsi="Cambria"/>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tblPr/>
      <w:tcPr>
        <w:tcBorders>
          <w:top w:val="nil"/>
          <w:bottom w:val="single" w:sz="12" w:space="0" w:color="D99594" w:themeColor="accent2" w:themeTint="99"/>
          <w:insideH w:val="nil"/>
          <w:insideV w:val="nil"/>
        </w:tcBorders>
        <w:shd w:val="clear" w:color="auto" w:fill="FFFFFF" w:themeFill="background1"/>
      </w:tcPr>
    </w:tblStylePr>
    <w:tblStylePr w:type="lastRow">
      <w:tblPr/>
      <w:tcPr>
        <w:tcBorders>
          <w:top w:val="double" w:sz="2" w:space="0" w:color="D99594" w:themeColor="accent2" w:themeTint="99"/>
          <w:bottom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rPr>
      <w:rFonts w:ascii="Cambria" w:hAnsi="Cambria"/>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tblPr/>
      <w:tcPr>
        <w:tcBorders>
          <w:top w:val="nil"/>
          <w:bottom w:val="single" w:sz="12" w:space="0" w:color="C2D69B" w:themeColor="accent3" w:themeTint="99"/>
          <w:insideH w:val="nil"/>
          <w:insideV w:val="nil"/>
        </w:tcBorders>
        <w:shd w:val="clear" w:color="auto" w:fill="FFFFFF" w:themeFill="background1"/>
      </w:tcPr>
    </w:tblStylePr>
    <w:tblStylePr w:type="lastRow">
      <w:tblPr/>
      <w:tcPr>
        <w:tcBorders>
          <w:top w:val="double" w:sz="2" w:space="0" w:color="C2D69B" w:themeColor="accent3" w:themeTint="99"/>
          <w:bottom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rPr>
      <w:rFonts w:ascii="Cambria" w:hAnsi="Cambria"/>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tblPr/>
      <w:tcPr>
        <w:tcBorders>
          <w:top w:val="nil"/>
          <w:bottom w:val="single" w:sz="12" w:space="0" w:color="B2A1C7" w:themeColor="accent4" w:themeTint="99"/>
          <w:insideH w:val="nil"/>
          <w:insideV w:val="nil"/>
        </w:tcBorders>
        <w:shd w:val="clear" w:color="auto" w:fill="FFFFFF" w:themeFill="background1"/>
      </w:tcPr>
    </w:tblStylePr>
    <w:tblStylePr w:type="lastRow">
      <w:tblPr/>
      <w:tcPr>
        <w:tcBorders>
          <w:top w:val="double" w:sz="2" w:space="0" w:color="B2A1C7" w:themeColor="accent4" w:themeTint="99"/>
          <w:bottom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rPr>
      <w:rFonts w:ascii="Cambria" w:hAnsi="Cambria"/>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tblPr/>
      <w:tcPr>
        <w:tcBorders>
          <w:top w:val="nil"/>
          <w:bottom w:val="single" w:sz="12" w:space="0" w:color="92CDDC" w:themeColor="accent5" w:themeTint="99"/>
          <w:insideH w:val="nil"/>
          <w:insideV w:val="nil"/>
        </w:tcBorders>
        <w:shd w:val="clear" w:color="auto" w:fill="FFFFFF" w:themeFill="background1"/>
      </w:tcPr>
    </w:tblStylePr>
    <w:tblStylePr w:type="lastRow">
      <w:tblPr/>
      <w:tcPr>
        <w:tcBorders>
          <w:top w:val="double" w:sz="2" w:space="0" w:color="92CDDC" w:themeColor="accent5" w:themeTint="99"/>
          <w:bottom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rPr>
      <w:rFonts w:ascii="Cambria" w:hAnsi="Cambria"/>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tblPr/>
      <w:tcPr>
        <w:tcBorders>
          <w:top w:val="nil"/>
          <w:bottom w:val="single" w:sz="12" w:space="0" w:color="FABF8F" w:themeColor="accent6" w:themeTint="99"/>
          <w:insideH w:val="nil"/>
          <w:insideV w:val="nil"/>
        </w:tcBorders>
        <w:shd w:val="clear" w:color="auto" w:fill="FFFFFF" w:themeFill="background1"/>
      </w:tcPr>
    </w:tblStylePr>
    <w:tblStylePr w:type="lastRow">
      <w:tblPr/>
      <w:tcPr>
        <w:tcBorders>
          <w:top w:val="double" w:sz="2" w:space="0" w:color="FABF8F" w:themeColor="accent6" w:themeTint="99"/>
          <w:bottom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rPr>
      <w:rFonts w:ascii="Cambria" w:hAnsi="Cambri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rPr>
      <w:rFonts w:ascii="Cambria" w:hAnsi="Cambri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rPr>
      <w:rFonts w:ascii="Cambria" w:hAnsi="Cambri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rPr>
      <w:rFonts w:ascii="Cambria" w:hAnsi="Cambri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rPr>
      <w:rFonts w:ascii="Cambria" w:hAnsi="Cambri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rPr>
      <w:rFonts w:ascii="Cambria" w:hAnsi="Cambri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rPr>
      <w:rFonts w:ascii="Cambria" w:hAnsi="Cambri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rPr>
      <w:rFonts w:ascii="Cambria" w:hAnsi="Cambri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rPr>
      <w:rFonts w:ascii="Cambria" w:hAnsi="Cambri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tblPr/>
      <w:tcPr>
        <w:tcBorders>
          <w:top w:val="double" w:sz="4" w:space="0" w:color="4F81BD" w:themeColor="accent1"/>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rPr>
      <w:rFonts w:ascii="Cambria" w:hAnsi="Cambri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tblPr/>
      <w:tcPr>
        <w:tcBorders>
          <w:top w:val="double" w:sz="4" w:space="0" w:color="C0504D" w:themeColor="accent2"/>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rPr>
      <w:rFonts w:ascii="Cambria" w:hAnsi="Cambri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tblPr/>
      <w:tcPr>
        <w:tcBorders>
          <w:top w:val="double" w:sz="4" w:space="0" w:color="9BBB59" w:themeColor="accent3"/>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rPr>
      <w:rFonts w:ascii="Cambria" w:hAnsi="Cambri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tblPr/>
      <w:tcPr>
        <w:tcBorders>
          <w:top w:val="double" w:sz="4" w:space="0" w:color="8064A2" w:themeColor="accent4"/>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rPr>
      <w:rFonts w:ascii="Cambria" w:hAnsi="Cambri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tblPr/>
      <w:tcPr>
        <w:tcBorders>
          <w:top w:val="double" w:sz="4" w:space="0" w:color="4BACC6" w:themeColor="accent5"/>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rPr>
      <w:rFonts w:ascii="Cambria" w:hAnsi="Cambri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tblPr/>
      <w:tcPr>
        <w:tcBorders>
          <w:top w:val="double" w:sz="4" w:space="0" w:color="F79646" w:themeColor="accent6"/>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bottom w:val="single" w:sz="12" w:space="0" w:color="666666" w:themeColor="text1" w:themeTint="99"/>
        </w:tcBorders>
      </w:tcPr>
    </w:tblStylePr>
    <w:tblStylePr w:type="lastRow">
      <w:tblPr/>
      <w:tcPr>
        <w:tcBorders>
          <w:top w:val="doub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tblPr/>
      <w:tcPr>
        <w:tcBorders>
          <w:bottom w:val="single" w:sz="12" w:space="0" w:color="95B3D7" w:themeColor="accent1" w:themeTint="99"/>
        </w:tcBorders>
      </w:tcPr>
    </w:tblStylePr>
    <w:tblStylePr w:type="lastRow">
      <w:tblPr/>
      <w:tcPr>
        <w:tcBorders>
          <w:top w:val="double" w:sz="4" w:space="0" w:color="95B3D7" w:themeColor="accent1" w:themeTint="99"/>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tblPr/>
      <w:tcPr>
        <w:tcBorders>
          <w:bottom w:val="single" w:sz="12" w:space="0" w:color="D99594" w:themeColor="accent2" w:themeTint="99"/>
        </w:tcBorders>
      </w:tcPr>
    </w:tblStylePr>
    <w:tblStylePr w:type="lastRow">
      <w:tblPr/>
      <w:tcPr>
        <w:tcBorders>
          <w:top w:val="double" w:sz="4" w:space="0" w:color="D99594" w:themeColor="accent2" w:themeTint="99"/>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tblPr/>
      <w:tcPr>
        <w:tcBorders>
          <w:bottom w:val="single" w:sz="12" w:space="0" w:color="C2D69B" w:themeColor="accent3" w:themeTint="99"/>
        </w:tcBorders>
      </w:tcPr>
    </w:tblStylePr>
    <w:tblStylePr w:type="lastRow">
      <w:tblPr/>
      <w:tcPr>
        <w:tcBorders>
          <w:top w:val="double" w:sz="4" w:space="0" w:color="C2D69B" w:themeColor="accent3" w:themeTint="99"/>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tblPr/>
      <w:tcPr>
        <w:tcBorders>
          <w:bottom w:val="single" w:sz="12" w:space="0" w:color="B2A1C7" w:themeColor="accent4" w:themeTint="99"/>
        </w:tcBorders>
      </w:tcPr>
    </w:tblStylePr>
    <w:tblStylePr w:type="lastRow">
      <w:tblPr/>
      <w:tcPr>
        <w:tcBorders>
          <w:top w:val="double" w:sz="4" w:space="0" w:color="B2A1C7" w:themeColor="accent4" w:themeTint="99"/>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tblPr/>
      <w:tcPr>
        <w:tcBorders>
          <w:bottom w:val="single" w:sz="12" w:space="0" w:color="92CDDC" w:themeColor="accent5" w:themeTint="99"/>
        </w:tcBorders>
      </w:tcPr>
    </w:tblStylePr>
    <w:tblStylePr w:type="lastRow">
      <w:tblPr/>
      <w:tcPr>
        <w:tcBorders>
          <w:top w:val="double" w:sz="4" w:space="0" w:color="92CDDC" w:themeColor="accent5" w:themeTint="99"/>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tblPr/>
      <w:tcPr>
        <w:tcBorders>
          <w:bottom w:val="single" w:sz="12" w:space="0" w:color="FABF8F" w:themeColor="accent6" w:themeTint="99"/>
        </w:tcBorders>
      </w:tcPr>
    </w:tblStylePr>
    <w:tblStylePr w:type="lastRow">
      <w:tblPr/>
      <w:tcPr>
        <w:tcBorders>
          <w:top w:val="double" w:sz="4" w:space="0" w:color="FABF8F" w:themeColor="accent6" w:themeTint="99"/>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rPr>
  </w:style>
  <w:style w:type="character" w:styleId="HTMLAcronym">
    <w:name w:val="HTML Acronym"/>
    <w:basedOn w:val="DefaultParagraphFont"/>
    <w:uiPriority w:val="99"/>
    <w:semiHidden/>
    <w:unhideWhenUsed/>
    <w:rsid w:val="00A111D1"/>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rPr>
  </w:style>
  <w:style w:type="character" w:styleId="HTMLCite">
    <w:name w:val="HTML Cite"/>
    <w:basedOn w:val="DefaultParagraphFont"/>
    <w:uiPriority w:val="99"/>
    <w:semiHidden/>
    <w:unhideWhenUsed/>
    <w:rsid w:val="00A111D1"/>
    <w:rPr>
      <w:i/>
      <w:iCs/>
    </w:rPr>
  </w:style>
  <w:style w:type="character" w:styleId="HTMLCode">
    <w:name w:val="HTML Code"/>
    <w:basedOn w:val="DefaultParagraphFont"/>
    <w:uiPriority w:val="99"/>
    <w:semiHidden/>
    <w:unhideWhenUsed/>
    <w:rsid w:val="00A111D1"/>
    <w:rPr>
      <w:rFonts w:ascii="Consolas" w:hAnsi="Consolas"/>
      <w:sz w:val="20"/>
      <w:szCs w:val="20"/>
    </w:rPr>
  </w:style>
  <w:style w:type="character" w:styleId="HTMLDefinition">
    <w:name w:val="HTML Definition"/>
    <w:basedOn w:val="DefaultParagraphFont"/>
    <w:uiPriority w:val="99"/>
    <w:semiHidden/>
    <w:unhideWhenUsed/>
    <w:rsid w:val="00A111D1"/>
    <w:rPr>
      <w:i/>
      <w:iCs/>
    </w:rPr>
  </w:style>
  <w:style w:type="character" w:styleId="HTMLKeyboard">
    <w:name w:val="HTML Keyboard"/>
    <w:basedOn w:val="DefaultParagraphFont"/>
    <w:uiPriority w:val="99"/>
    <w:semiHidden/>
    <w:unhideWhenUsed/>
    <w:rsid w:val="00A111D1"/>
    <w:rPr>
      <w:rFonts w:ascii="Consolas" w:hAnsi="Consolas"/>
      <w:sz w:val="20"/>
      <w:szCs w:val="20"/>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rPr>
  </w:style>
  <w:style w:type="character" w:styleId="HTMLSample">
    <w:name w:val="HTML Sample"/>
    <w:basedOn w:val="DefaultParagraphFont"/>
    <w:uiPriority w:val="99"/>
    <w:semiHidden/>
    <w:unhideWhenUsed/>
    <w:rsid w:val="00A111D1"/>
    <w:rPr>
      <w:rFonts w:ascii="Consolas" w:hAnsi="Consolas"/>
      <w:sz w:val="24"/>
      <w:szCs w:val="24"/>
    </w:rPr>
  </w:style>
  <w:style w:type="character" w:styleId="HTMLTypewriter">
    <w:name w:val="HTML Typewriter"/>
    <w:basedOn w:val="DefaultParagraphFont"/>
    <w:uiPriority w:val="99"/>
    <w:semiHidden/>
    <w:unhideWhenUsed/>
    <w:rsid w:val="00A111D1"/>
    <w:rPr>
      <w:rFonts w:ascii="Consolas" w:hAnsi="Consolas"/>
      <w:sz w:val="20"/>
      <w:szCs w:val="20"/>
    </w:rPr>
  </w:style>
  <w:style w:type="character" w:styleId="HTMLVariable">
    <w:name w:val="HTML Variable"/>
    <w:basedOn w:val="DefaultParagraphFont"/>
    <w:uiPriority w:val="99"/>
    <w:semiHidden/>
    <w:unhideWhenUsed/>
    <w:rsid w:val="00A111D1"/>
    <w:rPr>
      <w:i/>
      <w:iC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rPr>
  </w:style>
  <w:style w:type="character" w:styleId="IntenseReference">
    <w:name w:val="Intense Reference"/>
    <w:basedOn w:val="DefaultParagraphFont"/>
    <w:uiPriority w:val="32"/>
    <w:qFormat/>
    <w:rsid w:val="00A111D1"/>
    <w:rPr>
      <w:b/>
      <w:bCs/>
      <w:smallCaps/>
      <w:color w:val="4F81BD" w:themeColor="accent1"/>
      <w:spacing w:val="5"/>
    </w:rPr>
  </w:style>
  <w:style w:type="table" w:styleId="LightGrid">
    <w:name w:val="Light Grid"/>
    <w:basedOn w:val="TableNormal"/>
    <w:uiPriority w:val="62"/>
    <w:semiHidden/>
    <w:unhideWhenUsed/>
    <w:rsid w:val="00A111D1"/>
    <w:rPr>
      <w:rFonts w:ascii="Cambria" w:hAnsi="Cambr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lastCol">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rPr>
      <w:rFonts w:ascii="Cambria" w:hAnsi="Cambri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lastCol">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rPr>
      <w:rFonts w:ascii="Cambria" w:hAnsi="Cambria"/>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lastCol">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rPr>
      <w:rFonts w:ascii="Cambria" w:hAnsi="Cambr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lastCol">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rPr>
      <w:rFonts w:ascii="Cambria" w:hAnsi="Cambria"/>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lastCol">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rPr>
      <w:rFonts w:ascii="Cambria" w:hAnsi="Cambri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lastCol">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rPr>
      <w:rFonts w:ascii="Cambria" w:hAnsi="Cambria"/>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lastCol">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rPr>
      <w:rFonts w:ascii="Cambria" w:hAnsi="Cambr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tblPr/>
      <w:tcPr>
        <w:shd w:val="clear" w:color="auto" w:fill="000000" w:themeFill="text1"/>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rPr>
      <w:rFonts w:ascii="Cambria" w:hAnsi="Cambri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tblPr/>
      <w:tcPr>
        <w:shd w:val="clear" w:color="auto" w:fill="4F81BD" w:themeFill="accent1"/>
      </w:tcPr>
    </w:tblStylePr>
    <w:tblStylePr w:type="lastRow">
      <w:pPr>
        <w:spacing w:before="0" w:after="0" w:line="240" w:lineRule="auto"/>
      </w:p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rPr>
      <w:rFonts w:ascii="Cambria" w:hAnsi="Cambria"/>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tblPr/>
      <w:tcPr>
        <w:shd w:val="clear" w:color="auto" w:fill="C0504D" w:themeFill="accent2"/>
      </w:tcPr>
    </w:tblStylePr>
    <w:tblStylePr w:type="lastRow">
      <w:pPr>
        <w:spacing w:before="0" w:after="0" w:line="240" w:lineRule="auto"/>
      </w:p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rPr>
      <w:rFonts w:ascii="Cambria" w:hAnsi="Cambr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tblPr/>
      <w:tcPr>
        <w:shd w:val="clear" w:color="auto" w:fill="9BBB59" w:themeFill="accent3"/>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rPr>
      <w:rFonts w:ascii="Cambria" w:hAnsi="Cambria"/>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tblPr/>
      <w:tcPr>
        <w:shd w:val="clear" w:color="auto" w:fill="8064A2" w:themeFill="accent4"/>
      </w:tcPr>
    </w:tblStylePr>
    <w:tblStylePr w:type="lastRow">
      <w:pPr>
        <w:spacing w:before="0" w:after="0" w:line="240" w:lineRule="auto"/>
      </w:p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rPr>
      <w:rFonts w:ascii="Cambria" w:hAnsi="Cambri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tblPr/>
      <w:tcPr>
        <w:shd w:val="clear" w:color="auto" w:fill="4BACC6" w:themeFill="accent5"/>
      </w:tcPr>
    </w:tblStylePr>
    <w:tblStylePr w:type="lastRow">
      <w:pPr>
        <w:spacing w:before="0" w:after="0" w:line="240" w:lineRule="auto"/>
      </w:p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rPr>
      <w:rFonts w:ascii="Cambria" w:hAnsi="Cambria"/>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tblPr/>
      <w:tcPr>
        <w:shd w:val="clear" w:color="auto" w:fill="F79646" w:themeFill="accent6"/>
      </w:tcPr>
    </w:tblStylePr>
    <w:tblStylePr w:type="lastRow">
      <w:pPr>
        <w:spacing w:before="0" w:after="0" w:line="240" w:lineRule="auto"/>
      </w:p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tblPr/>
      <w:tcPr>
        <w:tcBorders>
          <w:top w:val="single" w:sz="8" w:space="0" w:color="000000" w:themeColor="text1"/>
          <w:left w:val="nil"/>
          <w:bottom w:val="single" w:sz="8" w:space="0" w:color="000000" w:themeColor="text1"/>
          <w:right w:val="nil"/>
          <w:insideH w:val="nil"/>
          <w:insideV w:val="nil"/>
        </w:tcBorders>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tblPr/>
      <w:tcPr>
        <w:tcBorders>
          <w:top w:val="single" w:sz="8" w:space="0" w:color="4F81BD" w:themeColor="accent1"/>
          <w:left w:val="nil"/>
          <w:bottom w:val="single" w:sz="8" w:space="0" w:color="4F81BD" w:themeColor="accent1"/>
          <w:right w:val="nil"/>
          <w:insideH w:val="nil"/>
          <w:insideV w:val="nil"/>
        </w:tcBorders>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tblPr/>
      <w:tcPr>
        <w:tcBorders>
          <w:top w:val="single" w:sz="8" w:space="0" w:color="C0504D" w:themeColor="accent2"/>
          <w:left w:val="nil"/>
          <w:bottom w:val="single" w:sz="8" w:space="0" w:color="C0504D" w:themeColor="accent2"/>
          <w:right w:val="nil"/>
          <w:insideH w:val="nil"/>
          <w:insideV w:val="nil"/>
        </w:tcBorders>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tblPr/>
      <w:tcPr>
        <w:tcBorders>
          <w:top w:val="single" w:sz="8" w:space="0" w:color="9BBB59" w:themeColor="accent3"/>
          <w:left w:val="nil"/>
          <w:bottom w:val="single" w:sz="8" w:space="0" w:color="9BBB59" w:themeColor="accent3"/>
          <w:right w:val="nil"/>
          <w:insideH w:val="nil"/>
          <w:insideV w:val="nil"/>
        </w:tcBorders>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tblPr/>
      <w:tcPr>
        <w:tcBorders>
          <w:top w:val="single" w:sz="8" w:space="0" w:color="8064A2" w:themeColor="accent4"/>
          <w:left w:val="nil"/>
          <w:bottom w:val="single" w:sz="8" w:space="0" w:color="8064A2" w:themeColor="accent4"/>
          <w:right w:val="nil"/>
          <w:insideH w:val="nil"/>
          <w:insideV w:val="nil"/>
        </w:tcBorders>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tblPr/>
      <w:tcPr>
        <w:tcBorders>
          <w:top w:val="single" w:sz="8" w:space="0" w:color="4BACC6" w:themeColor="accent5"/>
          <w:left w:val="nil"/>
          <w:bottom w:val="single" w:sz="8" w:space="0" w:color="4BACC6" w:themeColor="accent5"/>
          <w:right w:val="nil"/>
          <w:insideH w:val="nil"/>
          <w:insideV w:val="nil"/>
        </w:tcBorders>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tblPr/>
      <w:tcPr>
        <w:tcBorders>
          <w:top w:val="single" w:sz="8" w:space="0" w:color="F79646" w:themeColor="accent6"/>
          <w:left w:val="nil"/>
          <w:bottom w:val="single" w:sz="8" w:space="0" w:color="F79646" w:themeColor="accent6"/>
          <w:right w:val="nil"/>
          <w:insideH w:val="nil"/>
          <w:insideV w:val="nil"/>
        </w:tcBorders>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rPr>
      <w:rFonts w:ascii="Cambria" w:hAnsi="Cambria"/>
    </w:rPr>
    <w:tblPr>
      <w:tblStyleRowBandSize w:val="1"/>
      <w:tblStyleColBandSize w:val="1"/>
    </w:tblPr>
    <w:tblStylePr w:type="firstRow">
      <w:tblPr/>
      <w:tcPr>
        <w:tcBorders>
          <w:bottom w:val="single" w:sz="4" w:space="0" w:color="666666" w:themeColor="text1" w:themeTint="99"/>
        </w:tcBorders>
      </w:tcPr>
    </w:tblStylePr>
    <w:tblStylePr w:type="lastRow">
      <w:tblPr/>
      <w:tcPr>
        <w:tcBorders>
          <w:top w:val="sing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rPr>
      <w:rFonts w:ascii="Cambria" w:hAnsi="Cambria"/>
    </w:rPr>
    <w:tblPr>
      <w:tblStyleRowBandSize w:val="1"/>
      <w:tblStyleColBandSize w:val="1"/>
    </w:tblPr>
    <w:tblStylePr w:type="firstRow">
      <w:tblPr/>
      <w:tcPr>
        <w:tcBorders>
          <w:bottom w:val="single" w:sz="4" w:space="0" w:color="95B3D7" w:themeColor="accent1" w:themeTint="99"/>
        </w:tcBorders>
      </w:tcPr>
    </w:tblStylePr>
    <w:tblStylePr w:type="lastRow">
      <w:tblPr/>
      <w:tcPr>
        <w:tcBorders>
          <w:top w:val="single" w:sz="4" w:space="0" w:color="95B3D7" w:themeColor="accent1" w:themeTint="99"/>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rPr>
      <w:rFonts w:ascii="Cambria" w:hAnsi="Cambria"/>
    </w:rPr>
    <w:tblPr>
      <w:tblStyleRowBandSize w:val="1"/>
      <w:tblStyleColBandSize w:val="1"/>
    </w:tblPr>
    <w:tblStylePr w:type="firstRow">
      <w:tblPr/>
      <w:tcPr>
        <w:tcBorders>
          <w:bottom w:val="single" w:sz="4" w:space="0" w:color="D99594" w:themeColor="accent2" w:themeTint="99"/>
        </w:tcBorders>
      </w:tcPr>
    </w:tblStylePr>
    <w:tblStylePr w:type="lastRow">
      <w:tblPr/>
      <w:tcPr>
        <w:tcBorders>
          <w:top w:val="single" w:sz="4" w:space="0" w:color="D99594" w:themeColor="accent2" w:themeTint="99"/>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rPr>
      <w:rFonts w:ascii="Cambria" w:hAnsi="Cambria"/>
    </w:rPr>
    <w:tblPr>
      <w:tblStyleRowBandSize w:val="1"/>
      <w:tblStyleColBandSize w:val="1"/>
    </w:tblPr>
    <w:tblStylePr w:type="firstRow">
      <w:tblPr/>
      <w:tcPr>
        <w:tcBorders>
          <w:bottom w:val="single" w:sz="4" w:space="0" w:color="C2D69B" w:themeColor="accent3" w:themeTint="99"/>
        </w:tcBorders>
      </w:tcPr>
    </w:tblStylePr>
    <w:tblStylePr w:type="lastRow">
      <w:tblPr/>
      <w:tcPr>
        <w:tcBorders>
          <w:top w:val="single" w:sz="4" w:space="0" w:color="C2D69B" w:themeColor="accent3" w:themeTint="99"/>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rPr>
      <w:rFonts w:ascii="Cambria" w:hAnsi="Cambria"/>
    </w:rPr>
    <w:tblPr>
      <w:tblStyleRowBandSize w:val="1"/>
      <w:tblStyleColBandSize w:val="1"/>
    </w:tblPr>
    <w:tblStylePr w:type="firstRow">
      <w:tblPr/>
      <w:tcPr>
        <w:tcBorders>
          <w:bottom w:val="single" w:sz="4" w:space="0" w:color="B2A1C7" w:themeColor="accent4" w:themeTint="99"/>
        </w:tcBorders>
      </w:tcPr>
    </w:tblStylePr>
    <w:tblStylePr w:type="lastRow">
      <w:tblPr/>
      <w:tcPr>
        <w:tcBorders>
          <w:top w:val="single" w:sz="4" w:space="0" w:color="B2A1C7" w:themeColor="accent4" w:themeTint="99"/>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rPr>
      <w:rFonts w:ascii="Cambria" w:hAnsi="Cambria"/>
    </w:rPr>
    <w:tblPr>
      <w:tblStyleRowBandSize w:val="1"/>
      <w:tblStyleColBandSize w:val="1"/>
    </w:tblPr>
    <w:tblStylePr w:type="firstRow">
      <w:tblPr/>
      <w:tcPr>
        <w:tcBorders>
          <w:bottom w:val="single" w:sz="4" w:space="0" w:color="92CDDC" w:themeColor="accent5" w:themeTint="99"/>
        </w:tcBorders>
      </w:tcPr>
    </w:tblStylePr>
    <w:tblStylePr w:type="lastRow">
      <w:tblPr/>
      <w:tcPr>
        <w:tcBorders>
          <w:top w:val="single" w:sz="4" w:space="0" w:color="92CDDC" w:themeColor="accent5" w:themeTint="99"/>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rPr>
      <w:rFonts w:ascii="Cambria" w:hAnsi="Cambria"/>
    </w:rPr>
    <w:tblPr>
      <w:tblStyleRowBandSize w:val="1"/>
      <w:tblStyleColBandSize w:val="1"/>
    </w:tblPr>
    <w:tblStylePr w:type="firstRow">
      <w:tblPr/>
      <w:tcPr>
        <w:tcBorders>
          <w:bottom w:val="single" w:sz="4" w:space="0" w:color="FABF8F" w:themeColor="accent6" w:themeTint="99"/>
        </w:tcBorders>
      </w:tcPr>
    </w:tblStylePr>
    <w:tblStylePr w:type="lastRow">
      <w:tblPr/>
      <w:tcPr>
        <w:tcBorders>
          <w:top w:val="single" w:sz="4" w:space="0" w:color="FABF8F" w:themeColor="accent6" w:themeTint="99"/>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rPr>
      <w:rFonts w:ascii="Cambria" w:hAnsi="Cambri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rPr>
      <w:rFonts w:ascii="Cambria" w:hAnsi="Cambria"/>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rPr>
      <w:rFonts w:ascii="Cambria" w:hAnsi="Cambria"/>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rPr>
      <w:rFonts w:ascii="Cambria" w:hAnsi="Cambria"/>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rPr>
      <w:rFonts w:ascii="Cambria" w:hAnsi="Cambria"/>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rPr>
      <w:rFonts w:ascii="Cambria" w:hAnsi="Cambria"/>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rPr>
      <w:rFonts w:ascii="Cambria" w:hAnsi="Cambria"/>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rPr>
      <w:rFonts w:ascii="Cambria" w:hAnsi="Cambri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tblPr/>
      <w:tcPr>
        <w:shd w:val="clear" w:color="auto" w:fill="000000" w:themeFill="text1"/>
      </w:tcPr>
    </w:tblStylePr>
    <w:tblStylePr w:type="lastRow">
      <w:tblPr/>
      <w:tcPr>
        <w:tcBorders>
          <w:top w:val="double" w:sz="4" w:space="0" w:color="000000" w:themeColor="text1"/>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rPr>
      <w:rFonts w:ascii="Cambria" w:hAnsi="Cambria"/>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tblPr/>
      <w:tcPr>
        <w:shd w:val="clear" w:color="auto" w:fill="4F81BD" w:themeFill="accent1"/>
      </w:tcPr>
    </w:tblStylePr>
    <w:tblStylePr w:type="lastRow">
      <w:tblPr/>
      <w:tcPr>
        <w:tcBorders>
          <w:top w:val="double" w:sz="4" w:space="0" w:color="4F81BD" w:themeColor="accent1"/>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rPr>
      <w:rFonts w:ascii="Cambria" w:hAnsi="Cambria"/>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tblPr/>
      <w:tcPr>
        <w:shd w:val="clear" w:color="auto" w:fill="C0504D" w:themeFill="accent2"/>
      </w:tcPr>
    </w:tblStylePr>
    <w:tblStylePr w:type="lastRow">
      <w:tblPr/>
      <w:tcPr>
        <w:tcBorders>
          <w:top w:val="double" w:sz="4" w:space="0" w:color="C0504D" w:themeColor="accent2"/>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rPr>
      <w:rFonts w:ascii="Cambria" w:hAnsi="Cambria"/>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tblPr/>
      <w:tcPr>
        <w:shd w:val="clear" w:color="auto" w:fill="9BBB59" w:themeFill="accent3"/>
      </w:tcPr>
    </w:tblStylePr>
    <w:tblStylePr w:type="lastRow">
      <w:tblPr/>
      <w:tcPr>
        <w:tcBorders>
          <w:top w:val="double" w:sz="4" w:space="0" w:color="9BBB59" w:themeColor="accent3"/>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rPr>
      <w:rFonts w:ascii="Cambria" w:hAnsi="Cambria"/>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tblPr/>
      <w:tcPr>
        <w:shd w:val="clear" w:color="auto" w:fill="8064A2" w:themeFill="accent4"/>
      </w:tcPr>
    </w:tblStylePr>
    <w:tblStylePr w:type="lastRow">
      <w:tblPr/>
      <w:tcPr>
        <w:tcBorders>
          <w:top w:val="double" w:sz="4" w:space="0" w:color="8064A2" w:themeColor="accent4"/>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rPr>
      <w:rFonts w:ascii="Cambria" w:hAnsi="Cambria"/>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tblPr/>
      <w:tcPr>
        <w:shd w:val="clear" w:color="auto" w:fill="4BACC6" w:themeFill="accent5"/>
      </w:tcPr>
    </w:tblStylePr>
    <w:tblStylePr w:type="lastRow">
      <w:tblPr/>
      <w:tcPr>
        <w:tcBorders>
          <w:top w:val="double" w:sz="4" w:space="0" w:color="4BACC6" w:themeColor="accent5"/>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rPr>
      <w:rFonts w:ascii="Cambria" w:hAnsi="Cambria"/>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tblPr/>
      <w:tcPr>
        <w:shd w:val="clear" w:color="auto" w:fill="F79646" w:themeFill="accent6"/>
      </w:tcPr>
    </w:tblStylePr>
    <w:tblStylePr w:type="lastRow">
      <w:tblPr/>
      <w:tcPr>
        <w:tcBorders>
          <w:top w:val="double" w:sz="4" w:space="0" w:color="F79646" w:themeColor="accent6"/>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rPr>
      <w:rFonts w:ascii="Cambria" w:hAnsi="Cambri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tblPr/>
      <w:tcPr>
        <w:tcBorders>
          <w:top w:val="doub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rPr>
      <w:rFonts w:ascii="Cambria" w:hAnsi="Cambri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tblPr/>
      <w:tcPr>
        <w:tcBorders>
          <w:top w:val="double" w:sz="4" w:space="0" w:color="95B3D7" w:themeColor="accent1" w:themeTint="99"/>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rPr>
      <w:rFonts w:ascii="Cambria" w:hAnsi="Cambri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tblPr/>
      <w:tcPr>
        <w:tcBorders>
          <w:top w:val="double" w:sz="4" w:space="0" w:color="D99594" w:themeColor="accent2" w:themeTint="99"/>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rPr>
      <w:rFonts w:ascii="Cambria" w:hAnsi="Cambri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tblPr/>
      <w:tcPr>
        <w:tcBorders>
          <w:top w:val="double" w:sz="4" w:space="0" w:color="C2D69B" w:themeColor="accent3" w:themeTint="99"/>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rPr>
      <w:rFonts w:ascii="Cambria" w:hAnsi="Cambri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tblPr/>
      <w:tcPr>
        <w:tcBorders>
          <w:top w:val="double" w:sz="4" w:space="0" w:color="B2A1C7" w:themeColor="accent4" w:themeTint="99"/>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rPr>
      <w:rFonts w:ascii="Cambria" w:hAnsi="Cambri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tblPr/>
      <w:tcPr>
        <w:tcBorders>
          <w:top w:val="double" w:sz="4" w:space="0" w:color="92CDDC" w:themeColor="accent5" w:themeTint="99"/>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rPr>
      <w:rFonts w:ascii="Cambria" w:hAnsi="Cambri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tblPr/>
      <w:tcPr>
        <w:tcBorders>
          <w:top w:val="double" w:sz="4" w:space="0" w:color="FABF8F" w:themeColor="accent6" w:themeTint="99"/>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tblPr/>
      <w:tcPr>
        <w:tcBorders>
          <w:bottom w:val="single" w:sz="4" w:space="0" w:color="000000" w:themeColor="text1"/>
        </w:tcBorders>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tblPr/>
      <w:tcPr>
        <w:tcBorders>
          <w:bottom w:val="single" w:sz="4" w:space="0" w:color="4F81BD" w:themeColor="accent1"/>
        </w:tcBorders>
      </w:tcPr>
    </w:tblStylePr>
    <w:tblStylePr w:type="lastRow">
      <w:tblPr/>
      <w:tcPr>
        <w:tcBorders>
          <w:top w:val="double" w:sz="4" w:space="0" w:color="4F81BD" w:themeColor="accent1"/>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tblPr/>
      <w:tcPr>
        <w:tcBorders>
          <w:bottom w:val="single" w:sz="4" w:space="0" w:color="C0504D" w:themeColor="accent2"/>
        </w:tcBorders>
      </w:tcPr>
    </w:tblStylePr>
    <w:tblStylePr w:type="lastRow">
      <w:tblPr/>
      <w:tcPr>
        <w:tcBorders>
          <w:top w:val="double" w:sz="4" w:space="0" w:color="C0504D" w:themeColor="accent2"/>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tblPr/>
      <w:tcPr>
        <w:tcBorders>
          <w:bottom w:val="single" w:sz="4" w:space="0" w:color="9BBB59" w:themeColor="accent3"/>
        </w:tcBorders>
      </w:tcPr>
    </w:tblStylePr>
    <w:tblStylePr w:type="lastRow">
      <w:tblPr/>
      <w:tcPr>
        <w:tcBorders>
          <w:top w:val="double" w:sz="4" w:space="0" w:color="9BBB59" w:themeColor="accent3"/>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tblPr/>
      <w:tcPr>
        <w:tcBorders>
          <w:bottom w:val="single" w:sz="4" w:space="0" w:color="8064A2" w:themeColor="accent4"/>
        </w:tcBorders>
      </w:tcPr>
    </w:tblStylePr>
    <w:tblStylePr w:type="lastRow">
      <w:tblPr/>
      <w:tcPr>
        <w:tcBorders>
          <w:top w:val="double" w:sz="4" w:space="0" w:color="8064A2" w:themeColor="accent4"/>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tblPr/>
      <w:tcPr>
        <w:tcBorders>
          <w:bottom w:val="single" w:sz="4" w:space="0" w:color="4BACC6" w:themeColor="accent5"/>
        </w:tcBorders>
      </w:tcPr>
    </w:tblStylePr>
    <w:tblStylePr w:type="lastRow">
      <w:tblPr/>
      <w:tcPr>
        <w:tcBorders>
          <w:top w:val="double" w:sz="4" w:space="0" w:color="4BACC6" w:themeColor="accent5"/>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tblPr/>
      <w:tcPr>
        <w:tcBorders>
          <w:bottom w:val="single" w:sz="4" w:space="0" w:color="F79646" w:themeColor="accent6"/>
        </w:tcBorders>
      </w:tcPr>
    </w:tblStylePr>
    <w:tblStylePr w:type="lastRow">
      <w:tblPr/>
      <w:tcPr>
        <w:tcBorders>
          <w:top w:val="double" w:sz="4" w:space="0" w:color="F79646" w:themeColor="accent6"/>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tblPr/>
      <w:tcPr>
        <w:tcBorders>
          <w:bottom w:val="single" w:sz="4" w:space="0" w:color="000000" w:themeColor="text1"/>
        </w:tcBorders>
        <w:shd w:val="clear" w:color="auto" w:fill="FFFFFF" w:themeFill="background1"/>
      </w:tcPr>
    </w:tblStylePr>
    <w:tblStylePr w:type="lastRow">
      <w:tblPr/>
      <w:tcPr>
        <w:tcBorders>
          <w:top w:val="single" w:sz="4" w:space="0" w:color="000000" w:themeColor="text1"/>
        </w:tcBorders>
        <w:shd w:val="clear" w:color="auto" w:fill="FFFFFF" w:themeFill="background1"/>
      </w:tcPr>
    </w:tblStylePr>
    <w:tblStylePr w:type="firstCol">
      <w:pPr>
        <w:jc w:val="right"/>
      </w:pPr>
      <w:tblPr/>
      <w:tcPr>
        <w:tcBorders>
          <w:right w:val="single" w:sz="4" w:space="0" w:color="000000" w:themeColor="text1"/>
        </w:tcBorders>
        <w:shd w:val="clear" w:color="auto" w:fill="FFFFFF" w:themeFill="background1"/>
      </w:tcPr>
    </w:tblStylePr>
    <w:tblStylePr w:type="lastCol">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tblPr/>
      <w:tcPr>
        <w:tcBorders>
          <w:bottom w:val="single" w:sz="4" w:space="0" w:color="4F81BD" w:themeColor="accent1"/>
        </w:tcBorders>
        <w:shd w:val="clear" w:color="auto" w:fill="FFFFFF" w:themeFill="background1"/>
      </w:tcPr>
    </w:tblStylePr>
    <w:tblStylePr w:type="lastRow">
      <w:tblPr/>
      <w:tcPr>
        <w:tcBorders>
          <w:top w:val="single" w:sz="4" w:space="0" w:color="4F81BD" w:themeColor="accent1"/>
        </w:tcBorders>
        <w:shd w:val="clear" w:color="auto" w:fill="FFFFFF" w:themeFill="background1"/>
      </w:tcPr>
    </w:tblStylePr>
    <w:tblStylePr w:type="firstCol">
      <w:pPr>
        <w:jc w:val="right"/>
      </w:pPr>
      <w:tblPr/>
      <w:tcPr>
        <w:tcBorders>
          <w:right w:val="single" w:sz="4" w:space="0" w:color="4F81BD" w:themeColor="accent1"/>
        </w:tcBorders>
        <w:shd w:val="clear" w:color="auto" w:fill="FFFFFF" w:themeFill="background1"/>
      </w:tcPr>
    </w:tblStylePr>
    <w:tblStylePr w:type="lastCol">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tblPr/>
      <w:tcPr>
        <w:tcBorders>
          <w:bottom w:val="single" w:sz="4" w:space="0" w:color="C0504D" w:themeColor="accent2"/>
        </w:tcBorders>
        <w:shd w:val="clear" w:color="auto" w:fill="FFFFFF" w:themeFill="background1"/>
      </w:tcPr>
    </w:tblStylePr>
    <w:tblStylePr w:type="lastRow">
      <w:tblPr/>
      <w:tcPr>
        <w:tcBorders>
          <w:top w:val="single" w:sz="4" w:space="0" w:color="C0504D" w:themeColor="accent2"/>
        </w:tcBorders>
        <w:shd w:val="clear" w:color="auto" w:fill="FFFFFF" w:themeFill="background1"/>
      </w:tcPr>
    </w:tblStylePr>
    <w:tblStylePr w:type="firstCol">
      <w:pPr>
        <w:jc w:val="right"/>
      </w:pPr>
      <w:tblPr/>
      <w:tcPr>
        <w:tcBorders>
          <w:right w:val="single" w:sz="4" w:space="0" w:color="C0504D" w:themeColor="accent2"/>
        </w:tcBorders>
        <w:shd w:val="clear" w:color="auto" w:fill="FFFFFF" w:themeFill="background1"/>
      </w:tcPr>
    </w:tblStylePr>
    <w:tblStylePr w:type="lastCol">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tblPr/>
      <w:tcPr>
        <w:tcBorders>
          <w:bottom w:val="single" w:sz="4" w:space="0" w:color="9BBB59" w:themeColor="accent3"/>
        </w:tcBorders>
        <w:shd w:val="clear" w:color="auto" w:fill="FFFFFF" w:themeFill="background1"/>
      </w:tcPr>
    </w:tblStylePr>
    <w:tblStylePr w:type="lastRow">
      <w:tblPr/>
      <w:tcPr>
        <w:tcBorders>
          <w:top w:val="single" w:sz="4" w:space="0" w:color="9BBB59" w:themeColor="accent3"/>
        </w:tcBorders>
        <w:shd w:val="clear" w:color="auto" w:fill="FFFFFF" w:themeFill="background1"/>
      </w:tcPr>
    </w:tblStylePr>
    <w:tblStylePr w:type="firstCol">
      <w:pPr>
        <w:jc w:val="right"/>
      </w:pPr>
      <w:tblPr/>
      <w:tcPr>
        <w:tcBorders>
          <w:right w:val="single" w:sz="4" w:space="0" w:color="9BBB59" w:themeColor="accent3"/>
        </w:tcBorders>
        <w:shd w:val="clear" w:color="auto" w:fill="FFFFFF" w:themeFill="background1"/>
      </w:tcPr>
    </w:tblStylePr>
    <w:tblStylePr w:type="lastCol">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tblPr/>
      <w:tcPr>
        <w:tcBorders>
          <w:bottom w:val="single" w:sz="4" w:space="0" w:color="8064A2" w:themeColor="accent4"/>
        </w:tcBorders>
        <w:shd w:val="clear" w:color="auto" w:fill="FFFFFF" w:themeFill="background1"/>
      </w:tcPr>
    </w:tblStylePr>
    <w:tblStylePr w:type="lastRow">
      <w:tblPr/>
      <w:tcPr>
        <w:tcBorders>
          <w:top w:val="single" w:sz="4" w:space="0" w:color="8064A2" w:themeColor="accent4"/>
        </w:tcBorders>
        <w:shd w:val="clear" w:color="auto" w:fill="FFFFFF" w:themeFill="background1"/>
      </w:tcPr>
    </w:tblStylePr>
    <w:tblStylePr w:type="firstCol">
      <w:pPr>
        <w:jc w:val="right"/>
      </w:pPr>
      <w:tblPr/>
      <w:tcPr>
        <w:tcBorders>
          <w:right w:val="single" w:sz="4" w:space="0" w:color="8064A2" w:themeColor="accent4"/>
        </w:tcBorders>
        <w:shd w:val="clear" w:color="auto" w:fill="FFFFFF" w:themeFill="background1"/>
      </w:tcPr>
    </w:tblStylePr>
    <w:tblStylePr w:type="lastCol">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tblPr/>
      <w:tcPr>
        <w:tcBorders>
          <w:bottom w:val="single" w:sz="4" w:space="0" w:color="4BACC6" w:themeColor="accent5"/>
        </w:tcBorders>
        <w:shd w:val="clear" w:color="auto" w:fill="FFFFFF" w:themeFill="background1"/>
      </w:tcPr>
    </w:tblStylePr>
    <w:tblStylePr w:type="lastRow">
      <w:tblPr/>
      <w:tcPr>
        <w:tcBorders>
          <w:top w:val="single" w:sz="4" w:space="0" w:color="4BACC6" w:themeColor="accent5"/>
        </w:tcBorders>
        <w:shd w:val="clear" w:color="auto" w:fill="FFFFFF" w:themeFill="background1"/>
      </w:tcPr>
    </w:tblStylePr>
    <w:tblStylePr w:type="firstCol">
      <w:pPr>
        <w:jc w:val="right"/>
      </w:pPr>
      <w:tblPr/>
      <w:tcPr>
        <w:tcBorders>
          <w:right w:val="single" w:sz="4" w:space="0" w:color="4BACC6" w:themeColor="accent5"/>
        </w:tcBorders>
        <w:shd w:val="clear" w:color="auto" w:fill="FFFFFF" w:themeFill="background1"/>
      </w:tcPr>
    </w:tblStylePr>
    <w:tblStylePr w:type="lastCol">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tblPr/>
      <w:tcPr>
        <w:tcBorders>
          <w:bottom w:val="single" w:sz="4" w:space="0" w:color="F79646" w:themeColor="accent6"/>
        </w:tcBorders>
        <w:shd w:val="clear" w:color="auto" w:fill="FFFFFF" w:themeFill="background1"/>
      </w:tcPr>
    </w:tblStylePr>
    <w:tblStylePr w:type="lastRow">
      <w:tblPr/>
      <w:tcPr>
        <w:tcBorders>
          <w:top w:val="single" w:sz="4" w:space="0" w:color="F79646" w:themeColor="accent6"/>
        </w:tcBorders>
        <w:shd w:val="clear" w:color="auto" w:fill="FFFFFF" w:themeFill="background1"/>
      </w:tcPr>
    </w:tblStylePr>
    <w:tblStylePr w:type="firstCol">
      <w:pPr>
        <w:jc w:val="right"/>
      </w:pPr>
      <w:tblPr/>
      <w:tcPr>
        <w:tcBorders>
          <w:right w:val="single" w:sz="4" w:space="0" w:color="F79646" w:themeColor="accent6"/>
        </w:tcBorders>
        <w:shd w:val="clear" w:color="auto" w:fill="FFFFFF" w:themeFill="background1"/>
      </w:tcPr>
    </w:tblStylePr>
    <w:tblStylePr w:type="lastCol">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rPr>
  </w:style>
  <w:style w:type="table" w:styleId="MediumGrid1">
    <w:name w:val="Medium Grid 1"/>
    <w:basedOn w:val="TableNormal"/>
    <w:uiPriority w:val="67"/>
    <w:semiHidden/>
    <w:unhideWhenUsed/>
    <w:rsid w:val="00A111D1"/>
    <w:rPr>
      <w:rFonts w:ascii="Cambria" w:hAnsi="Cambr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lastRow">
      <w:tblPr/>
      <w:tcPr>
        <w:tcBorders>
          <w:top w:val="single" w:sz="18" w:space="0" w:color="404040" w:themeColor="text1" w:themeTint="BF"/>
        </w:tcBorders>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rPr>
      <w:rFonts w:ascii="Cambria" w:hAnsi="Cambria"/>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lastRow">
      <w:tblPr/>
      <w:tcPr>
        <w:tcBorders>
          <w:top w:val="single" w:sz="18" w:space="0" w:color="7BA0CD" w:themeColor="accent1" w:themeTint="BF"/>
        </w:tcBorders>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rPr>
      <w:rFonts w:ascii="Cambria" w:hAnsi="Cambria"/>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rPr>
      <w:rFonts w:ascii="Cambria" w:hAnsi="Cambria"/>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lastRow">
      <w:tblPr/>
      <w:tcPr>
        <w:tcBorders>
          <w:top w:val="single" w:sz="18" w:space="0" w:color="B3CC82" w:themeColor="accent3" w:themeTint="BF"/>
        </w:tcBorders>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rPr>
      <w:rFonts w:ascii="Cambria" w:hAnsi="Cambria"/>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lastRow">
      <w:tblPr/>
      <w:tcPr>
        <w:tcBorders>
          <w:top w:val="single" w:sz="18" w:space="0" w:color="9F8AB9" w:themeColor="accent4" w:themeTint="BF"/>
        </w:tcBorders>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rPr>
      <w:rFonts w:ascii="Cambria" w:hAnsi="Cambria"/>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lastRow">
      <w:tblPr/>
      <w:tcPr>
        <w:tcBorders>
          <w:top w:val="single" w:sz="18" w:space="0" w:color="78C0D4" w:themeColor="accent5" w:themeTint="BF"/>
        </w:tcBorders>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rPr>
      <w:rFonts w:ascii="Cambria" w:hAnsi="Cambria"/>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lastRow">
      <w:tblPr/>
      <w:tcPr>
        <w:tcBorders>
          <w:top w:val="single" w:sz="18" w:space="0" w:color="F9B074" w:themeColor="accent6" w:themeTint="BF"/>
        </w:tcBorders>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tblPr/>
      <w:tcPr>
        <w:shd w:val="clear" w:color="auto" w:fill="EDF2F8" w:themeFill="accen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tblPr/>
      <w:tcPr>
        <w:shd w:val="clear" w:color="auto" w:fill="F8EDED" w:themeFill="accent2"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tblPr/>
      <w:tcPr>
        <w:shd w:val="clear" w:color="auto" w:fill="F5F8EE" w:themeFill="accent3"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tblPr/>
      <w:tcPr>
        <w:shd w:val="clear" w:color="auto" w:fill="F2EFF6" w:themeFill="accent4"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tblPr/>
      <w:tcPr>
        <w:shd w:val="clear" w:color="auto" w:fill="EDF6F9" w:themeFill="accent5"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tblPr/>
      <w:tcPr>
        <w:shd w:val="clear" w:color="auto" w:fill="FEF4EC" w:themeFill="accent6"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tblPr/>
      <w:tcPr>
        <w:tcBorders>
          <w:top w:val="nil"/>
          <w:bottom w:val="single" w:sz="8" w:space="0" w:color="000000" w:themeColor="text1"/>
        </w:tcBorders>
      </w:tcPr>
    </w:tblStylePr>
    <w:tblStylePr w:type="lastRow">
      <w:tblPr/>
      <w:tcPr>
        <w:tcBorders>
          <w:top w:val="single" w:sz="8" w:space="0" w:color="000000" w:themeColor="text1"/>
          <w:bottom w:val="single" w:sz="8" w:space="0" w:color="000000" w:themeColor="text1"/>
        </w:tcBorders>
      </w:tcPr>
    </w:tblStylePr>
    <w:tblStylePr w:type="lastCol">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tblPr/>
      <w:tcPr>
        <w:tcBorders>
          <w:top w:val="nil"/>
          <w:bottom w:val="single" w:sz="8" w:space="0" w:color="4F81BD" w:themeColor="accent1"/>
        </w:tcBorders>
      </w:tcPr>
    </w:tblStylePr>
    <w:tblStylePr w:type="lastRow">
      <w:tblPr/>
      <w:tcPr>
        <w:tcBorders>
          <w:top w:val="single" w:sz="8" w:space="0" w:color="4F81BD" w:themeColor="accent1"/>
          <w:bottom w:val="single" w:sz="8" w:space="0" w:color="4F81BD" w:themeColor="accent1"/>
        </w:tcBorders>
      </w:tcPr>
    </w:tblStylePr>
    <w:tblStylePr w:type="lastCol">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tblPr/>
      <w:tcPr>
        <w:tcBorders>
          <w:top w:val="nil"/>
          <w:bottom w:val="single" w:sz="8" w:space="0" w:color="C0504D" w:themeColor="accent2"/>
        </w:tcBorders>
      </w:tcPr>
    </w:tblStylePr>
    <w:tblStylePr w:type="lastRow">
      <w:tblPr/>
      <w:tcPr>
        <w:tcBorders>
          <w:top w:val="single" w:sz="8" w:space="0" w:color="C0504D" w:themeColor="accent2"/>
          <w:bottom w:val="single" w:sz="8" w:space="0" w:color="C0504D" w:themeColor="accent2"/>
        </w:tcBorders>
      </w:tcPr>
    </w:tblStylePr>
    <w:tblStylePr w:type="lastCol">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tblPr/>
      <w:tcPr>
        <w:tcBorders>
          <w:top w:val="nil"/>
          <w:bottom w:val="single" w:sz="8" w:space="0" w:color="9BBB59" w:themeColor="accent3"/>
        </w:tcBorders>
      </w:tcPr>
    </w:tblStylePr>
    <w:tblStylePr w:type="lastRow">
      <w:tblPr/>
      <w:tcPr>
        <w:tcBorders>
          <w:top w:val="single" w:sz="8" w:space="0" w:color="9BBB59" w:themeColor="accent3"/>
          <w:bottom w:val="single" w:sz="8" w:space="0" w:color="9BBB59" w:themeColor="accent3"/>
        </w:tcBorders>
      </w:tcPr>
    </w:tblStylePr>
    <w:tblStylePr w:type="lastCol">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tblPr/>
      <w:tcPr>
        <w:tcBorders>
          <w:top w:val="nil"/>
          <w:bottom w:val="single" w:sz="8" w:space="0" w:color="8064A2" w:themeColor="accent4"/>
        </w:tcBorders>
      </w:tcPr>
    </w:tblStylePr>
    <w:tblStylePr w:type="lastRow">
      <w:tblPr/>
      <w:tcPr>
        <w:tcBorders>
          <w:top w:val="single" w:sz="8" w:space="0" w:color="8064A2" w:themeColor="accent4"/>
          <w:bottom w:val="single" w:sz="8" w:space="0" w:color="8064A2" w:themeColor="accent4"/>
        </w:tcBorders>
      </w:tcPr>
    </w:tblStylePr>
    <w:tblStylePr w:type="lastCol">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tblPr/>
      <w:tcPr>
        <w:tcBorders>
          <w:top w:val="nil"/>
          <w:bottom w:val="single" w:sz="8" w:space="0" w:color="4BACC6" w:themeColor="accent5"/>
        </w:tcBorders>
      </w:tcPr>
    </w:tblStylePr>
    <w:tblStylePr w:type="lastRow">
      <w:tblPr/>
      <w:tcPr>
        <w:tcBorders>
          <w:top w:val="single" w:sz="8" w:space="0" w:color="4BACC6" w:themeColor="accent5"/>
          <w:bottom w:val="single" w:sz="8" w:space="0" w:color="4BACC6" w:themeColor="accent5"/>
        </w:tcBorders>
      </w:tcPr>
    </w:tblStylePr>
    <w:tblStylePr w:type="lastCol">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tblPr/>
      <w:tcPr>
        <w:tcBorders>
          <w:top w:val="nil"/>
          <w:bottom w:val="single" w:sz="8" w:space="0" w:color="F79646" w:themeColor="accent6"/>
        </w:tcBorders>
      </w:tcPr>
    </w:tblStylePr>
    <w:tblStylePr w:type="lastRow">
      <w:tblPr/>
      <w:tcPr>
        <w:tcBorders>
          <w:top w:val="single" w:sz="8" w:space="0" w:color="F79646" w:themeColor="accent6"/>
          <w:bottom w:val="single" w:sz="8" w:space="0" w:color="F79646" w:themeColor="accent6"/>
        </w:tcBorders>
      </w:tcPr>
    </w:tblStylePr>
    <w:tblStylePr w:type="lastCol">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rPr>
      <w:rFonts w:ascii="Cambria" w:hAnsi="Cambr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rPr>
      <w:rFonts w:ascii="Cambria" w:hAnsi="Cambria"/>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rPr>
      <w:rFonts w:ascii="Cambria" w:hAnsi="Cambria"/>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rPr>
      <w:rFonts w:ascii="Cambria" w:hAnsi="Cambria"/>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rPr>
      <w:rFonts w:ascii="Cambria" w:hAnsi="Cambria"/>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rPr>
      <w:rFonts w:ascii="Cambria" w:hAnsi="Cambria"/>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rPr>
      <w:rFonts w:ascii="Cambria" w:hAnsi="Cambria"/>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000000" w:themeFill="text1"/>
      </w:tcPr>
    </w:tblStylePr>
    <w:tblStylePr w:type="lastCol">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F81BD" w:themeFill="accent1"/>
      </w:tcPr>
    </w:tblStylePr>
    <w:tblStylePr w:type="lastCol">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C0504D" w:themeFill="accent2"/>
      </w:tcPr>
    </w:tblStylePr>
    <w:tblStylePr w:type="lastCol">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9BBB59" w:themeFill="accent3"/>
      </w:tcPr>
    </w:tblStylePr>
    <w:tblStylePr w:type="lastCol">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8064A2" w:themeFill="accent4"/>
      </w:tcPr>
    </w:tblStylePr>
    <w:tblStylePr w:type="lastCol">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BACC6" w:themeFill="accent5"/>
      </w:tcPr>
    </w:tblStylePr>
    <w:tblStylePr w:type="lastCol">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F79646" w:themeFill="accent6"/>
      </w:tcPr>
    </w:tblStylePr>
    <w:tblStylePr w:type="lastCol">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rPr>
  </w:style>
  <w:style w:type="table" w:styleId="PlainTable1">
    <w:name w:val="Plain Table 1"/>
    <w:basedOn w:val="TableNormal"/>
    <w:uiPriority w:val="41"/>
    <w:rsid w:val="00A111D1"/>
    <w:rPr>
      <w:rFonts w:ascii="Cambria" w:hAnsi="Cambri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lastRow">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rPr>
      <w:rFonts w:ascii="Cambria" w:hAnsi="Cambria"/>
    </w:rPr>
    <w:tblPr>
      <w:tblStyleRowBandSize w:val="1"/>
      <w:tblStyleColBandSize w:val="1"/>
      <w:tblBorders>
        <w:top w:val="single" w:sz="4" w:space="0" w:color="7F7F7F" w:themeColor="text1" w:themeTint="80"/>
        <w:bottom w:val="single" w:sz="4" w:space="0" w:color="7F7F7F" w:themeColor="text1" w:themeTint="80"/>
      </w:tblBorders>
    </w:tblPr>
    <w:tblStylePr w:type="firstRow">
      <w:tblPr/>
      <w:tcPr>
        <w:tcBorders>
          <w:bottom w:val="single" w:sz="4" w:space="0" w:color="7F7F7F" w:themeColor="text1" w:themeTint="80"/>
        </w:tcBorders>
      </w:tcPr>
    </w:tblStylePr>
    <w:tblStylePr w:type="lastRow">
      <w:tblPr/>
      <w:tcPr>
        <w:tcBorders>
          <w:top w:val="single" w:sz="4" w:space="0" w:color="7F7F7F" w:themeColor="text1" w:themeTint="80"/>
        </w:tcBorders>
      </w:tc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rPr>
      <w:rFonts w:ascii="Cambria" w:hAnsi="Cambria"/>
    </w:rPr>
    <w:tblPr>
      <w:tblStyleRowBandSize w:val="1"/>
      <w:tblStyleColBandSize w:val="1"/>
    </w:tblPr>
    <w:tblStylePr w:type="firstRow">
      <w:tblPr/>
      <w:tcPr>
        <w:tcBorders>
          <w:bottom w:val="single" w:sz="4" w:space="0" w:color="7F7F7F" w:themeColor="text1" w:themeTint="80"/>
        </w:tcBorders>
      </w:tcPr>
    </w:tblStylePr>
    <w:tblStylePr w:type="lastRow">
      <w:tblPr/>
      <w:tcPr>
        <w:tcBorders>
          <w:top w:val="nil"/>
        </w:tcBorders>
      </w:tcPr>
    </w:tblStylePr>
    <w:tblStylePr w:type="firstCol">
      <w:tblPr/>
      <w:tcPr>
        <w:tcBorders>
          <w:right w:val="single" w:sz="4" w:space="0" w:color="7F7F7F" w:themeColor="text1" w:themeTint="80"/>
        </w:tcBorders>
      </w:tcPr>
    </w:tblStylePr>
    <w:tblStylePr w:type="lastCol">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rPr>
      <w:rFonts w:ascii="Cambria" w:hAnsi="Cambria"/>
    </w:rPr>
    <w:tblPr>
      <w:tblStyleRowBandSize w:val="1"/>
      <w:tblStyleColBandSize w:val="1"/>
    </w:tbl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rPr>
      <w:rFonts w:ascii="Cambria" w:hAnsi="Cambria"/>
    </w:rPr>
    <w:tblPr>
      <w:tblStyleRowBandSize w:val="1"/>
      <w:tblStyleColBandSize w:val="1"/>
    </w:tblPr>
    <w:tblStylePr w:type="firstRow">
      <w:tblPr/>
      <w:tcPr>
        <w:tcBorders>
          <w:bottom w:val="single" w:sz="4" w:space="0" w:color="7F7F7F" w:themeColor="text1" w:themeTint="80"/>
        </w:tcBorders>
        <w:shd w:val="clear" w:color="auto" w:fill="FFFFFF" w:themeFill="background1"/>
      </w:tcPr>
    </w:tblStylePr>
    <w:tblStylePr w:type="lastRow">
      <w:tblPr/>
      <w:tcPr>
        <w:tcBorders>
          <w:top w:val="single" w:sz="4" w:space="0" w:color="7F7F7F" w:themeColor="text1" w:themeTint="80"/>
        </w:tcBorders>
        <w:shd w:val="clear" w:color="auto" w:fill="FFFFFF" w:themeFill="background1"/>
      </w:tcPr>
    </w:tblStylePr>
    <w:tblStylePr w:type="firstCol">
      <w:pPr>
        <w:jc w:val="right"/>
      </w:pPr>
      <w:tblPr/>
      <w:tcPr>
        <w:tcBorders>
          <w:right w:val="single" w:sz="4" w:space="0" w:color="7F7F7F" w:themeColor="text1" w:themeTint="80"/>
        </w:tcBorders>
        <w:shd w:val="clear" w:color="auto" w:fill="FFFFFF" w:themeFill="background1"/>
      </w:tcPr>
    </w:tblStylePr>
    <w:tblStylePr w:type="lastCol">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rPr>
  </w:style>
  <w:style w:type="character" w:styleId="SmartHyperlink">
    <w:name w:val="Smart Hyperlink"/>
    <w:basedOn w:val="DefaultParagraphFont"/>
    <w:uiPriority w:val="99"/>
    <w:semiHidden/>
    <w:unhideWhenUsed/>
    <w:rsid w:val="00A111D1"/>
    <w:rPr>
      <w:u w:val="dotted"/>
    </w:rPr>
  </w:style>
  <w:style w:type="character" w:styleId="SmartLink">
    <w:name w:val="Smart Link"/>
    <w:basedOn w:val="DefaultParagraphFont"/>
    <w:uiPriority w:val="99"/>
    <w:semiHidden/>
    <w:unhideWhenUsed/>
    <w:rsid w:val="00A111D1"/>
    <w:rPr>
      <w:color w:val="0000FF"/>
      <w:u w:val="single"/>
      <w:shd w:val="clear" w:color="auto" w:fill="F3F2F1"/>
    </w:rPr>
  </w:style>
  <w:style w:type="character" w:styleId="Strong">
    <w:name w:val="Strong"/>
    <w:basedOn w:val="DefaultParagraphFont"/>
    <w:uiPriority w:val="22"/>
    <w:qFormat/>
    <w:rsid w:val="00A111D1"/>
    <w:rPr>
      <w:b/>
      <w:bCs/>
    </w:rPr>
  </w:style>
  <w:style w:type="character" w:styleId="SubtleEmphasis">
    <w:name w:val="Subtle Emphasis"/>
    <w:basedOn w:val="DefaultParagraphFont"/>
    <w:uiPriority w:val="19"/>
    <w:qFormat/>
    <w:rsid w:val="00A111D1"/>
    <w:rPr>
      <w:i/>
      <w:iCs/>
      <w:color w:val="404040" w:themeColor="text1" w:themeTint="BF"/>
    </w:rPr>
  </w:style>
  <w:style w:type="character" w:styleId="SubtleReference">
    <w:name w:val="Subtle Reference"/>
    <w:basedOn w:val="DefaultParagraphFont"/>
    <w:uiPriority w:val="31"/>
    <w:qFormat/>
    <w:rsid w:val="00A111D1"/>
    <w:rPr>
      <w:smallCaps/>
      <w:color w:val="5A5A5A" w:themeColor="text1" w:themeTint="A5"/>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rPr>
      <w:rFonts w:ascii="Cambria" w:hAnsi="Cambria"/>
    </w:rPr>
    <w:tblPr/>
    <w:tcPr>
      <w:shd w:val="solid" w:color="C0C0C0" w:fill="FFFFFF"/>
    </w:tc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Pr>
    <w:tcPr>
      <w:shd w:val="solid" w:color="C0C0C0" w:fill="FFFFFF"/>
    </w:tc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StyleColBandSize w:val="1"/>
    </w:tbl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shd w:val="solid" w:color="C0C0C0" w:fill="FFFFFF"/>
      </w:tcPr>
    </w:tblStylePr>
    <w:tblStylePr w:type="neCell">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tblPr/>
      <w:tcPr>
        <w:tcBorders>
          <w:tl2br w:val="none" w:sz="0" w:space="0" w:color="auto"/>
          <w:tr2bl w:val="none" w:sz="0" w:space="0" w:color="auto"/>
        </w:tcBorders>
      </w:tcPr>
    </w:tblStylePr>
    <w:tblStylePr w:type="nw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tblPr/>
      <w:tcPr>
        <w:tcBorders>
          <w:tl2br w:val="none" w:sz="0" w:space="0" w:color="auto"/>
          <w:tr2bl w:val="none" w:sz="0" w:space="0" w:color="auto"/>
        </w:tcBorders>
        <w:shd w:val="solid" w:color="000000" w:fill="FFFFFF"/>
      </w:tcPr>
    </w:tblStylePr>
    <w:tblStylePr w:type="firstCol">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bottom w:val="single" w:sz="12" w:space="0" w:color="000000"/>
      </w:tblBorders>
    </w:tblPr>
    <w:tcPr>
      <w:shd w:val="pct20" w:color="FFFF00" w:fill="FFFFFF"/>
    </w:tcPr>
    <w:tblStylePr w:type="firstRow">
      <w:tblPr/>
      <w:tcPr>
        <w:tcBorders>
          <w:bottom w:val="single" w:sz="12" w:space="0" w:color="000000"/>
          <w:tl2br w:val="none" w:sz="0" w:space="0" w:color="auto"/>
          <w:tr2bl w:val="none" w:sz="0" w:space="0" w:color="auto"/>
        </w:tcBorders>
        <w:shd w:val="solid" w:color="800000" w:fill="FFFFFF"/>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op w:val="single" w:sz="6" w:space="0" w:color="000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ColBandSize w:val="1"/>
    </w:tblPr>
    <w:tblStylePr w:type="firstRow">
      <w:tblPr/>
      <w:tcPr>
        <w:tcBorders>
          <w:tl2br w:val="none" w:sz="0" w:space="0" w:color="auto"/>
          <w:tr2bl w:val="none" w:sz="0" w:space="0" w:color="auto"/>
        </w:tcBorders>
        <w:shd w:val="solid" w:color="0000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808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insideH w:val="single" w:sz="18" w:space="0" w:color="FFFFFF"/>
        <w:insideV w:val="single" w:sz="18" w:space="0" w:color="FFFFFF"/>
      </w:tblBorders>
    </w:tblPr>
    <w:tblStylePr w:type="firstRow">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op w:val="single" w:sz="6" w:space="0" w:color="000000"/>
          <w:tl2br w:val="none" w:sz="0" w:space="0" w:color="auto"/>
          <w:tr2bl w:val="none" w:sz="0" w:space="0" w:color="auto"/>
        </w:tcBorders>
        <w:shd w:val="pct30" w:color="FFFF00" w:fill="FFFFFF"/>
      </w:tcPr>
    </w:tblStylePr>
    <w:tblStylePr w:type="lastCol">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Light">
    <w:name w:val="Grid Table Light"/>
    <w:basedOn w:val="TableNormal"/>
    <w:uiPriority w:val="40"/>
    <w:rsid w:val="00A111D1"/>
    <w:rPr>
      <w:rFonts w:ascii="Cambria" w:hAnsi="Cambr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top w:val="single" w:sz="12" w:space="0" w:color="008080"/>
        <w:left w:val="single" w:sz="6" w:space="0" w:color="008080"/>
        <w:bottom w:val="single" w:sz="12" w:space="0" w:color="008080"/>
        <w:right w:val="single" w:sz="6" w:space="0" w:color="008080"/>
      </w:tblBorders>
    </w:tblPr>
    <w:tblStylePr w:type="firstRow">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2"/>
      <w:tblBorders>
        <w:bottom w:val="single" w:sz="12" w:space="0" w:color="808080"/>
      </w:tblBorders>
    </w:tblPr>
    <w:tblStylePr w:type="firstRow">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bottom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tblPr/>
      <w:tcPr>
        <w:tcBorders>
          <w:bottom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tblPr/>
      <w:tcPr>
        <w:tcBorders>
          <w:bottom w:val="single" w:sz="12" w:space="0" w:color="008000"/>
          <w:tl2br w:val="none" w:sz="0" w:space="0" w:color="auto"/>
          <w:tr2bl w:val="none" w:sz="0" w:space="0" w:color="auto"/>
        </w:tcBorders>
        <w:shd w:val="solid" w:color="C0C0C0" w:fill="FFFFFF"/>
      </w:tcPr>
    </w:tblStylePr>
    <w:tblStylePr w:type="lastRow">
      <w:tblPr/>
      <w:tcPr>
        <w:tcBorders>
          <w:top w:val="single" w:sz="12" w:space="0" w:color="008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solid" w:color="FFFF0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6"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rPr>
      <w:rFonts w:ascii="Cambria" w:hAnsi="Cambri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rPr>
      <w:rFonts w:ascii="Cambria" w:hAnsi="Cambri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rPr>
      <w:rFonts w:ascii="Cambria" w:hAnsi="Cambri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unhideWhenUsed/>
    <w:rsid w:val="00A111D1"/>
    <w:rPr>
      <w:color w:val="605E5C"/>
      <w:shd w:val="clear" w:color="auto" w:fill="E1DFDD"/>
    </w:rPr>
  </w:style>
  <w:style w:type="paragraph" w:customStyle="1" w:styleId="CBDAgendaItemReport">
    <w:name w:val="CBD_AgendaItem_Report"/>
    <w:basedOn w:val="Normal"/>
    <w:qFormat/>
    <w:rsid w:val="009C500D"/>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CommentReference1">
    <w:name w:val="Comment Reference1"/>
    <w:basedOn w:val="DefaultParagraphFont"/>
    <w:uiPriority w:val="99"/>
    <w:semiHidden/>
    <w:unhideWhenUsed/>
    <w:rsid w:val="00C32188"/>
    <w:rPr>
      <w:sz w:val="16"/>
      <w:szCs w:val="16"/>
    </w:rPr>
  </w:style>
  <w:style w:type="paragraph" w:customStyle="1" w:styleId="CommentText1">
    <w:name w:val="Comment Text1"/>
    <w:basedOn w:val="Normal"/>
    <w:uiPriority w:val="99"/>
    <w:semiHidden/>
    <w:rsid w:val="00C32188"/>
    <w:rPr>
      <w:sz w:val="20"/>
      <w:szCs w:val="20"/>
    </w:rPr>
  </w:style>
  <w:style w:type="paragraph" w:customStyle="1" w:styleId="CBDprov-agendaItem">
    <w:name w:val="CBD_prov-agenda_Item"/>
    <w:basedOn w:val="CBDNormalNumber"/>
    <w:qFormat/>
    <w:rsid w:val="009C500D"/>
  </w:style>
  <w:style w:type="paragraph" w:customStyle="1" w:styleId="CBDpara-item">
    <w:name w:val="CBD_para-item"/>
    <w:basedOn w:val="Normal"/>
    <w:qFormat/>
    <w:rsid w:val="009C500D"/>
    <w:pPr>
      <w:tabs>
        <w:tab w:val="clear" w:pos="567"/>
      </w:tabs>
      <w:spacing w:before="120" w:after="120"/>
      <w:ind w:left="1134" w:hanging="567"/>
      <w:jc w:val="left"/>
    </w:pPr>
  </w:style>
  <w:style w:type="paragraph" w:customStyle="1" w:styleId="CBDsubpara-item">
    <w:name w:val="CBD_subpara-item"/>
    <w:basedOn w:val="CBDpara-item"/>
    <w:qFormat/>
    <w:rsid w:val="009C500D"/>
    <w:pPr>
      <w:tabs>
        <w:tab w:val="clear" w:pos="1134"/>
      </w:tabs>
      <w:ind w:left="1701"/>
    </w:pPr>
  </w:style>
  <w:style w:type="paragraph" w:customStyle="1" w:styleId="CBDRecommendText">
    <w:name w:val="CBD_RecommendText"/>
    <w:basedOn w:val="Normal"/>
    <w:qFormat/>
    <w:rsid w:val="009C500D"/>
    <w:pPr>
      <w:spacing w:after="120"/>
      <w:ind w:left="567"/>
    </w:pPr>
  </w:style>
  <w:style w:type="paragraph" w:customStyle="1" w:styleId="CBDAgendaItem-1">
    <w:name w:val="CBD_AgendaItem-1"/>
    <w:basedOn w:val="Normal"/>
    <w:qFormat/>
    <w:rsid w:val="009C500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9C500D"/>
    <w:pPr>
      <w:ind w:left="567" w:hanging="567"/>
    </w:pPr>
    <w:rPr>
      <w:sz w:val="22"/>
    </w:rPr>
  </w:style>
  <w:style w:type="paragraph" w:customStyle="1" w:styleId="CBDAgendaItem-3">
    <w:name w:val="CBD_AgendaItem-3"/>
    <w:basedOn w:val="CBDAgendaItem-1"/>
    <w:qFormat/>
    <w:rsid w:val="009C500D"/>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535840">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notifications/2024-116" TargetMode="External"/><Relationship Id="rId26" Type="http://schemas.openxmlformats.org/officeDocument/2006/relationships/hyperlink" Target="https://www.cbd.int/notifications/2025-043" TargetMode="External"/><Relationship Id="rId39" Type="http://schemas.openxmlformats.org/officeDocument/2006/relationships/footer" Target="footer1.xml"/><Relationship Id="rId21" Type="http://schemas.openxmlformats.org/officeDocument/2006/relationships/hyperlink" Target="https://www.cbd.int/notifications/2024-113" TargetMode="External"/><Relationship Id="rId34" Type="http://schemas.openxmlformats.org/officeDocument/2006/relationships/hyperlink" Target="https://www.cbd.int/decisions/cop/?m=cop-16" TargetMode="External"/><Relationship Id="rId42"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notifications/2024/ntf-2024-113-dsi-en.pdf" TargetMode="External"/><Relationship Id="rId32" Type="http://schemas.openxmlformats.org/officeDocument/2006/relationships/hyperlink" Target="https://www.cbd.int/documents/CBD/SBI/7/INF/9"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oc/decisions/cop-16/cop-16-dec-02-fr.pdf" TargetMode="External"/><Relationship Id="rId23" Type="http://schemas.openxmlformats.org/officeDocument/2006/relationships/hyperlink" Target="https://www.cbd.int/doc/notifications/2025/ntf-2025-073-dsi-ahteg-en.pdf" TargetMode="External"/><Relationship Id="rId28" Type="http://schemas.openxmlformats.org/officeDocument/2006/relationships/hyperlink" Target="https://www.cbd.int/conferences/dsi-sc" TargetMode="External"/><Relationship Id="rId36"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hyperlink" Target="https://www.cbd.int/notifications/2026-050" TargetMode="External"/><Relationship Id="rId31" Type="http://schemas.openxmlformats.org/officeDocument/2006/relationships/hyperlink" Target="https://www.cbd.int/notifications/2024-11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notifications/2025-028" TargetMode="External"/><Relationship Id="rId27" Type="http://schemas.openxmlformats.org/officeDocument/2006/relationships/hyperlink" Target="https://www.cbd.int/notifications/2025-091" TargetMode="External"/><Relationship Id="rId30" Type="http://schemas.openxmlformats.org/officeDocument/2006/relationships/hyperlink" Target="https://www.cbd.int/decisions/cop/?m=cop-15" TargetMode="External"/><Relationship Id="rId35" Type="http://schemas.openxmlformats.org/officeDocument/2006/relationships/hyperlink" Target="https://www.cbd.int/notifications/2024-115" TargetMode="External"/><Relationship Id="rId43"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notifications/2025-013" TargetMode="External"/><Relationship Id="rId33" Type="http://schemas.openxmlformats.org/officeDocument/2006/relationships/hyperlink" Target="https://www.cbd.int/doc/decisions/cop-15/cop-15-dec-09-fr.pdf" TargetMode="External"/><Relationship Id="rId38"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DSI-AHTEG-2026-01"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conferences/dsi-sc" TargetMode="External"/><Relationship Id="rId4" Type="http://schemas.openxmlformats.org/officeDocument/2006/relationships/hyperlink" Target="https://www.cbd.int/meetings/DSI-AHTEG-2026-0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C6EA53AD5944E288ECDFBD85FC5E02"/>
        <w:category>
          <w:name w:val="General"/>
          <w:gallery w:val="placeholder"/>
        </w:category>
        <w:types>
          <w:type w:val="bbPlcHdr"/>
        </w:types>
        <w:behaviors>
          <w:behavior w:val="content"/>
        </w:behaviors>
        <w:guid w:val="{6BD8C394-7B7A-4332-962D-0BB8ADCF05CC}"/>
      </w:docPartPr>
      <w:docPartBody>
        <w:p w:rsidR="00E11181" w:rsidRDefault="006D174C">
          <w:pPr>
            <w:pStyle w:val="7EC6EA53AD5944E288ECDFBD85FC5E02"/>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FE6"/>
    <w:rsid w:val="00047C57"/>
    <w:rsid w:val="0005526B"/>
    <w:rsid w:val="000647D0"/>
    <w:rsid w:val="00082950"/>
    <w:rsid w:val="000D23F5"/>
    <w:rsid w:val="00106FE6"/>
    <w:rsid w:val="00127A1D"/>
    <w:rsid w:val="001337AE"/>
    <w:rsid w:val="001369D3"/>
    <w:rsid w:val="001B077D"/>
    <w:rsid w:val="001C43EE"/>
    <w:rsid w:val="001C5AA7"/>
    <w:rsid w:val="001D4FBD"/>
    <w:rsid w:val="00200B1D"/>
    <w:rsid w:val="00294B9C"/>
    <w:rsid w:val="002B062B"/>
    <w:rsid w:val="002D3AC5"/>
    <w:rsid w:val="00331D61"/>
    <w:rsid w:val="00391C7D"/>
    <w:rsid w:val="003C5525"/>
    <w:rsid w:val="00400D45"/>
    <w:rsid w:val="00413A97"/>
    <w:rsid w:val="0043066E"/>
    <w:rsid w:val="00431140"/>
    <w:rsid w:val="00451C74"/>
    <w:rsid w:val="00454AEE"/>
    <w:rsid w:val="004862AA"/>
    <w:rsid w:val="004B41E2"/>
    <w:rsid w:val="004C07FA"/>
    <w:rsid w:val="004F0DC1"/>
    <w:rsid w:val="00523F09"/>
    <w:rsid w:val="00536164"/>
    <w:rsid w:val="00572239"/>
    <w:rsid w:val="005755A3"/>
    <w:rsid w:val="005A4479"/>
    <w:rsid w:val="005F3040"/>
    <w:rsid w:val="00605428"/>
    <w:rsid w:val="006507B8"/>
    <w:rsid w:val="00652B79"/>
    <w:rsid w:val="006650A3"/>
    <w:rsid w:val="00670ECE"/>
    <w:rsid w:val="006807A1"/>
    <w:rsid w:val="00684F58"/>
    <w:rsid w:val="006A6E63"/>
    <w:rsid w:val="006B0536"/>
    <w:rsid w:val="006B0583"/>
    <w:rsid w:val="006C285D"/>
    <w:rsid w:val="006D174C"/>
    <w:rsid w:val="006E1E1A"/>
    <w:rsid w:val="006E4EF4"/>
    <w:rsid w:val="00724CC3"/>
    <w:rsid w:val="007756D3"/>
    <w:rsid w:val="007B0F38"/>
    <w:rsid w:val="007B31B1"/>
    <w:rsid w:val="00821DFB"/>
    <w:rsid w:val="00847124"/>
    <w:rsid w:val="00861A2B"/>
    <w:rsid w:val="008B1054"/>
    <w:rsid w:val="008B33EB"/>
    <w:rsid w:val="008E1D62"/>
    <w:rsid w:val="0098010B"/>
    <w:rsid w:val="009B5285"/>
    <w:rsid w:val="009E74F3"/>
    <w:rsid w:val="00A02F37"/>
    <w:rsid w:val="00A47144"/>
    <w:rsid w:val="00A7114D"/>
    <w:rsid w:val="00A74BEC"/>
    <w:rsid w:val="00A82B79"/>
    <w:rsid w:val="00A8672E"/>
    <w:rsid w:val="00A969D1"/>
    <w:rsid w:val="00AC3B9D"/>
    <w:rsid w:val="00B04AFC"/>
    <w:rsid w:val="00B61D00"/>
    <w:rsid w:val="00BB3C99"/>
    <w:rsid w:val="00C051B9"/>
    <w:rsid w:val="00C5353A"/>
    <w:rsid w:val="00C71459"/>
    <w:rsid w:val="00CC3018"/>
    <w:rsid w:val="00CE42DB"/>
    <w:rsid w:val="00CF0F37"/>
    <w:rsid w:val="00D035E0"/>
    <w:rsid w:val="00D3434A"/>
    <w:rsid w:val="00D432F4"/>
    <w:rsid w:val="00D7641D"/>
    <w:rsid w:val="00D848B4"/>
    <w:rsid w:val="00D87F86"/>
    <w:rsid w:val="00E11181"/>
    <w:rsid w:val="00E117C6"/>
    <w:rsid w:val="00E26AB5"/>
    <w:rsid w:val="00E50CD2"/>
    <w:rsid w:val="00E63927"/>
    <w:rsid w:val="00EB4AD2"/>
    <w:rsid w:val="00EC4A3E"/>
    <w:rsid w:val="00EE25A1"/>
    <w:rsid w:val="00EE7989"/>
    <w:rsid w:val="00F275A1"/>
    <w:rsid w:val="00FB52EE"/>
    <w:rsid w:val="00FF5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051B9"/>
    <w:rPr>
      <w:color w:val="808080"/>
    </w:rPr>
  </w:style>
  <w:style w:type="paragraph" w:customStyle="1" w:styleId="7EC6EA53AD5944E288ECDFBD85FC5E02">
    <w:name w:val="7EC6EA53AD5944E288ECDFBD85FC5E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121CFCD5-709A-47DC-9CFB-128EB96050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45</TotalTime>
  <Pages>13</Pages>
  <Words>6464</Words>
  <Characters>39111</Characters>
  <Application>Microsoft Office Word</Application>
  <DocSecurity>0</DocSecurity>
  <Lines>630</Lines>
  <Paragraphs>227</Paragraphs>
  <ScaleCrop>false</ScaleCrop>
  <HeadingPairs>
    <vt:vector size="2" baseType="variant">
      <vt:variant>
        <vt:lpstr>Titre</vt:lpstr>
      </vt:variant>
      <vt:variant>
        <vt:i4>1</vt:i4>
      </vt:variant>
    </vt:vector>
  </HeadingPairs>
  <TitlesOfParts>
    <vt:vector size="1" baseType="lpstr">
      <vt:lpstr>Digital sequence information on genetic resources</vt:lpstr>
    </vt:vector>
  </TitlesOfParts>
  <Company>SCBD</Company>
  <LinksUpToDate>false</LinksUpToDate>
  <CharactersWithSpaces>45348</CharactersWithSpaces>
  <SharedDoc>false</SharedDoc>
  <HLinks>
    <vt:vector size="162" baseType="variant">
      <vt:variant>
        <vt:i4>7209057</vt:i4>
      </vt:variant>
      <vt:variant>
        <vt:i4>66</vt:i4>
      </vt:variant>
      <vt:variant>
        <vt:i4>0</vt:i4>
      </vt:variant>
      <vt:variant>
        <vt:i4>5</vt:i4>
      </vt:variant>
      <vt:variant>
        <vt:lpwstr>https://www.cbd.int/decisions/cop/?m=cop-16</vt:lpwstr>
      </vt:variant>
      <vt:variant>
        <vt:lpwstr/>
      </vt:variant>
      <vt:variant>
        <vt:i4>6488113</vt:i4>
      </vt:variant>
      <vt:variant>
        <vt:i4>63</vt:i4>
      </vt:variant>
      <vt:variant>
        <vt:i4>0</vt:i4>
      </vt:variant>
      <vt:variant>
        <vt:i4>5</vt:i4>
      </vt:variant>
      <vt:variant>
        <vt:lpwstr>https://www.cbd.int/notifications/2024-115</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458827</vt:i4>
      </vt:variant>
      <vt:variant>
        <vt:i4>57</vt:i4>
      </vt:variant>
      <vt:variant>
        <vt:i4>0</vt:i4>
      </vt:variant>
      <vt:variant>
        <vt:i4>5</vt:i4>
      </vt:variant>
      <vt:variant>
        <vt:lpwstr>https://www.cbd.int/doc/decisions/cop-15/cop-15-dec-09-en.pdf</vt:lpwstr>
      </vt:variant>
      <vt:variant>
        <vt:lpwstr/>
      </vt:variant>
      <vt:variant>
        <vt:i4>983048</vt:i4>
      </vt:variant>
      <vt:variant>
        <vt:i4>54</vt:i4>
      </vt:variant>
      <vt:variant>
        <vt:i4>0</vt:i4>
      </vt:variant>
      <vt:variant>
        <vt:i4>5</vt:i4>
      </vt:variant>
      <vt:variant>
        <vt:lpwstr>https://www.cbd.int/documents/CBD/SBI/7/INF/9</vt:lpwstr>
      </vt:variant>
      <vt:variant>
        <vt:lpwstr/>
      </vt:variant>
      <vt:variant>
        <vt:i4>6422577</vt:i4>
      </vt:variant>
      <vt:variant>
        <vt:i4>51</vt:i4>
      </vt:variant>
      <vt:variant>
        <vt:i4>0</vt:i4>
      </vt:variant>
      <vt:variant>
        <vt:i4>5</vt:i4>
      </vt:variant>
      <vt:variant>
        <vt:lpwstr>https://www.cbd.int/notifications/2024-114</vt:lpwstr>
      </vt:variant>
      <vt:variant>
        <vt:lpwstr/>
      </vt:variant>
      <vt:variant>
        <vt:i4>7209057</vt:i4>
      </vt:variant>
      <vt:variant>
        <vt:i4>48</vt:i4>
      </vt:variant>
      <vt:variant>
        <vt:i4>0</vt:i4>
      </vt:variant>
      <vt:variant>
        <vt:i4>5</vt:i4>
      </vt:variant>
      <vt:variant>
        <vt:lpwstr>https://www.cbd.int/decisions/cop/?m=cop-15</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2555961</vt:i4>
      </vt:variant>
      <vt:variant>
        <vt:i4>42</vt:i4>
      </vt:variant>
      <vt:variant>
        <vt:i4>0</vt:i4>
      </vt:variant>
      <vt:variant>
        <vt:i4>5</vt:i4>
      </vt:variant>
      <vt:variant>
        <vt:lpwstr>https://www.cbd.int/conferences/dsi-sc</vt:lpwstr>
      </vt:variant>
      <vt:variant>
        <vt:lpwstr/>
      </vt:variant>
      <vt:variant>
        <vt:i4>6750265</vt:i4>
      </vt:variant>
      <vt:variant>
        <vt:i4>39</vt:i4>
      </vt:variant>
      <vt:variant>
        <vt:i4>0</vt:i4>
      </vt:variant>
      <vt:variant>
        <vt:i4>5</vt:i4>
      </vt:variant>
      <vt:variant>
        <vt:lpwstr>https://www.cbd.int/notifications/2025-091</vt:lpwstr>
      </vt:variant>
      <vt:variant>
        <vt:lpwstr/>
      </vt:variant>
      <vt:variant>
        <vt:i4>6619188</vt:i4>
      </vt:variant>
      <vt:variant>
        <vt:i4>36</vt:i4>
      </vt:variant>
      <vt:variant>
        <vt:i4>0</vt:i4>
      </vt:variant>
      <vt:variant>
        <vt:i4>5</vt:i4>
      </vt:variant>
      <vt:variant>
        <vt:lpwstr>https://www.cbd.int/notifications/2025-043</vt:lpwstr>
      </vt:variant>
      <vt:variant>
        <vt:lpwstr/>
      </vt:variant>
      <vt:variant>
        <vt:i4>6619185</vt:i4>
      </vt:variant>
      <vt:variant>
        <vt:i4>33</vt:i4>
      </vt:variant>
      <vt:variant>
        <vt:i4>0</vt:i4>
      </vt:variant>
      <vt:variant>
        <vt:i4>5</vt:i4>
      </vt:variant>
      <vt:variant>
        <vt:lpwstr>https://www.cbd.int/notifications/2025-013</vt:lpwstr>
      </vt:variant>
      <vt:variant>
        <vt:lpwstr/>
      </vt:variant>
      <vt:variant>
        <vt:i4>3670136</vt:i4>
      </vt:variant>
      <vt:variant>
        <vt:i4>30</vt:i4>
      </vt:variant>
      <vt:variant>
        <vt:i4>0</vt:i4>
      </vt:variant>
      <vt:variant>
        <vt:i4>5</vt:i4>
      </vt:variant>
      <vt:variant>
        <vt:lpwstr>https://www.cbd.int/doc/notifications/2024/ntf-2024-113-dsi-en.pdf</vt:lpwstr>
      </vt:variant>
      <vt:variant>
        <vt:lpwstr/>
      </vt:variant>
      <vt:variant>
        <vt:i4>2031626</vt:i4>
      </vt:variant>
      <vt:variant>
        <vt:i4>21</vt:i4>
      </vt:variant>
      <vt:variant>
        <vt:i4>0</vt:i4>
      </vt:variant>
      <vt:variant>
        <vt:i4>5</vt:i4>
      </vt:variant>
      <vt:variant>
        <vt:lpwstr>https://www.cbd.int/doc/notifications/2025/ntf-2025-073-dsi-ahteg-en.pdf</vt:lpwstr>
      </vt:variant>
      <vt:variant>
        <vt:lpwstr/>
      </vt:variant>
      <vt:variant>
        <vt:i4>7209010</vt:i4>
      </vt:variant>
      <vt:variant>
        <vt:i4>18</vt:i4>
      </vt:variant>
      <vt:variant>
        <vt:i4>0</vt:i4>
      </vt:variant>
      <vt:variant>
        <vt:i4>5</vt:i4>
      </vt:variant>
      <vt:variant>
        <vt:lpwstr>https://www.cbd.int/notifications/2025-028</vt:lpwstr>
      </vt:variant>
      <vt:variant>
        <vt:lpwstr/>
      </vt:variant>
      <vt:variant>
        <vt:i4>6619185</vt:i4>
      </vt:variant>
      <vt:variant>
        <vt:i4>15</vt:i4>
      </vt:variant>
      <vt:variant>
        <vt:i4>0</vt:i4>
      </vt:variant>
      <vt:variant>
        <vt:i4>5</vt:i4>
      </vt:variant>
      <vt:variant>
        <vt:lpwstr>https://www.cbd.int/notifications/2024-113</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6291505</vt:i4>
      </vt:variant>
      <vt:variant>
        <vt:i4>9</vt:i4>
      </vt:variant>
      <vt:variant>
        <vt:i4>0</vt:i4>
      </vt:variant>
      <vt:variant>
        <vt:i4>5</vt:i4>
      </vt:variant>
      <vt:variant>
        <vt:lpwstr>https://www.cbd.int/notifications/2024-116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983112</vt:i4>
      </vt:variant>
      <vt:variant>
        <vt:i4>0</vt:i4>
      </vt:variant>
      <vt:variant>
        <vt:i4>0</vt:i4>
      </vt:variant>
      <vt:variant>
        <vt:i4>5</vt:i4>
      </vt:variant>
      <vt:variant>
        <vt:lpwstr>https://www.cbd.int/doc/decisions/cop-16/cop-16-dec-02-en.pdf</vt:lpwstr>
      </vt:variant>
      <vt:variant>
        <vt:lpwstr/>
      </vt:variant>
      <vt:variant>
        <vt:i4>7209057</vt:i4>
      </vt:variant>
      <vt:variant>
        <vt:i4>33</vt:i4>
      </vt:variant>
      <vt:variant>
        <vt:i4>0</vt:i4>
      </vt:variant>
      <vt:variant>
        <vt:i4>5</vt:i4>
      </vt:variant>
      <vt:variant>
        <vt:lpwstr>https://www.cbd.int/decisions/cop/?m=cop-15</vt:lpwstr>
      </vt:variant>
      <vt:variant>
        <vt:lpwstr/>
      </vt:variant>
      <vt:variant>
        <vt:i4>2555961</vt:i4>
      </vt:variant>
      <vt:variant>
        <vt:i4>18</vt:i4>
      </vt:variant>
      <vt:variant>
        <vt:i4>0</vt:i4>
      </vt:variant>
      <vt:variant>
        <vt:i4>5</vt:i4>
      </vt:variant>
      <vt:variant>
        <vt:lpwstr>https://www.cbd.int/conferences/dsi-sc</vt:lpwstr>
      </vt:variant>
      <vt:variant>
        <vt:lpwstr/>
      </vt:variant>
      <vt:variant>
        <vt:i4>2687035</vt:i4>
      </vt:variant>
      <vt:variant>
        <vt:i4>15</vt:i4>
      </vt:variant>
      <vt:variant>
        <vt:i4>0</vt:i4>
      </vt:variant>
      <vt:variant>
        <vt:i4>5</vt:i4>
      </vt:variant>
      <vt:variant>
        <vt:lpwstr>https://www.cbd.int/meetings/DSI-AHTEG-2026-02</vt:lpwstr>
      </vt:variant>
      <vt:variant>
        <vt:lpwstr/>
      </vt:variant>
      <vt:variant>
        <vt:i4>2752571</vt:i4>
      </vt:variant>
      <vt:variant>
        <vt:i4>12</vt:i4>
      </vt:variant>
      <vt:variant>
        <vt:i4>0</vt:i4>
      </vt:variant>
      <vt:variant>
        <vt:i4>5</vt:i4>
      </vt:variant>
      <vt:variant>
        <vt:lpwstr>https://www.cbd.int/meetings/DSI-AHTEG-2026-01</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de séquençage numérique sur les ressources génétiques</dc:title>
  <dc:subject>CBD/SBI/7/5</dc:subject>
  <dc:creator>Veronique Lefebvre</dc:creator>
  <cp:keywords>Convention on Biological Diversity</cp:keywords>
  <cp:lastModifiedBy>Veronique Lefebvre</cp:lastModifiedBy>
  <cp:revision>16</cp:revision>
  <cp:lastPrinted>2020-01-21T19:56:00Z</cp:lastPrinted>
  <dcterms:created xsi:type="dcterms:W3CDTF">2026-06-25T14:23:00Z</dcterms:created>
  <dcterms:modified xsi:type="dcterms:W3CDTF">2026-06-25T20:10:00Z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