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2847F8" w14:paraId="2FD00814" w14:textId="77777777" w:rsidTr="00CF1848">
        <w:trPr>
          <w:trHeight w:val="709"/>
        </w:trPr>
        <w:tc>
          <w:tcPr>
            <w:tcW w:w="976" w:type="dxa"/>
            <w:tcBorders>
              <w:bottom w:val="single" w:sz="12" w:space="0" w:color="auto"/>
            </w:tcBorders>
          </w:tcPr>
          <w:p w14:paraId="2FD00811" w14:textId="77777777" w:rsidR="00C9161D" w:rsidRPr="002847F8" w:rsidRDefault="00C9161D">
            <w:pPr>
              <w:rPr>
                <w:kern w:val="22"/>
                <w:lang w:val="es-AR"/>
              </w:rPr>
            </w:pPr>
            <w:bookmarkStart w:id="0" w:name="_GoBack"/>
            <w:r w:rsidRPr="002847F8">
              <w:rPr>
                <w:lang w:val="es-AR"/>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2847F8" w:rsidRDefault="00C9161D">
            <w:pPr>
              <w:rPr>
                <w:kern w:val="22"/>
                <w:lang w:val="es-AR"/>
              </w:rPr>
            </w:pPr>
            <w:r w:rsidRPr="002847F8">
              <w:rPr>
                <w:lang w:val="es-AR"/>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2847F8" w:rsidRDefault="00C9161D" w:rsidP="00C9161D">
            <w:pPr>
              <w:jc w:val="right"/>
              <w:rPr>
                <w:rFonts w:ascii="Arial" w:hAnsi="Arial" w:cs="Arial"/>
                <w:b/>
                <w:kern w:val="22"/>
                <w:sz w:val="32"/>
                <w:szCs w:val="32"/>
                <w:lang w:val="es-AR"/>
              </w:rPr>
            </w:pPr>
            <w:r w:rsidRPr="002847F8">
              <w:rPr>
                <w:rFonts w:ascii="Arial" w:hAnsi="Arial"/>
                <w:b/>
                <w:sz w:val="32"/>
                <w:szCs w:val="32"/>
                <w:lang w:val="es-AR"/>
              </w:rPr>
              <w:t>CBD</w:t>
            </w:r>
          </w:p>
        </w:tc>
      </w:tr>
      <w:tr w:rsidR="00C9161D" w:rsidRPr="002847F8" w14:paraId="2FD0081E" w14:textId="77777777" w:rsidTr="00CF1848">
        <w:tc>
          <w:tcPr>
            <w:tcW w:w="6117" w:type="dxa"/>
            <w:gridSpan w:val="2"/>
            <w:tcBorders>
              <w:top w:val="single" w:sz="12" w:space="0" w:color="auto"/>
              <w:bottom w:val="single" w:sz="36" w:space="0" w:color="auto"/>
            </w:tcBorders>
            <w:vAlign w:val="center"/>
          </w:tcPr>
          <w:p w14:paraId="2FD00815" w14:textId="4210E335" w:rsidR="00C9161D" w:rsidRPr="002847F8" w:rsidRDefault="00E11274" w:rsidP="00C9161D">
            <w:pPr>
              <w:rPr>
                <w:kern w:val="22"/>
                <w:lang w:val="es-AR"/>
              </w:rPr>
            </w:pPr>
            <w:r w:rsidRPr="002847F8">
              <w:rPr>
                <w:lang w:val="es-AR"/>
              </w:rPr>
              <w:drawing>
                <wp:inline distT="0" distB="0" distL="0" distR="0" wp14:anchorId="1451A9EA" wp14:editId="150A2A99">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2847F8" w:rsidRDefault="00C9161D" w:rsidP="00176CEE">
            <w:pPr>
              <w:ind w:left="1215"/>
              <w:rPr>
                <w:kern w:val="22"/>
                <w:szCs w:val="22"/>
                <w:lang w:val="es-AR"/>
              </w:rPr>
            </w:pPr>
            <w:r w:rsidRPr="002847F8">
              <w:rPr>
                <w:lang w:val="es-AR"/>
              </w:rPr>
              <w:t>Distr.</w:t>
            </w:r>
          </w:p>
          <w:p w14:paraId="2FD00817" w14:textId="21B1E1B8" w:rsidR="00C9161D" w:rsidRPr="002847F8" w:rsidRDefault="004352AF" w:rsidP="00176CEE">
            <w:pPr>
              <w:ind w:left="1215"/>
              <w:rPr>
                <w:kern w:val="22"/>
                <w:szCs w:val="22"/>
                <w:lang w:val="es-AR"/>
              </w:rPr>
            </w:pPr>
            <w:sdt>
              <w:sdtPr>
                <w:rPr>
                  <w:caps/>
                  <w:kern w:val="22"/>
                  <w:szCs w:val="22"/>
                  <w:lang w:val="es-A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11274" w:rsidRPr="002847F8">
                  <w:rPr>
                    <w:caps/>
                    <w:kern w:val="22"/>
                    <w:szCs w:val="22"/>
                    <w:lang w:val="es-AR"/>
                  </w:rPr>
                  <w:t>limitada</w:t>
                </w:r>
              </w:sdtContent>
            </w:sdt>
          </w:p>
          <w:p w14:paraId="2FD00818" w14:textId="77777777" w:rsidR="00C9161D" w:rsidRPr="002847F8" w:rsidRDefault="00C9161D" w:rsidP="00176CEE">
            <w:pPr>
              <w:ind w:left="1215"/>
              <w:rPr>
                <w:kern w:val="22"/>
                <w:szCs w:val="22"/>
                <w:lang w:val="es-AR"/>
              </w:rPr>
            </w:pPr>
          </w:p>
          <w:p w14:paraId="2FD00819" w14:textId="23FCFADD" w:rsidR="00C9161D" w:rsidRPr="002847F8" w:rsidRDefault="004352AF" w:rsidP="00176CEE">
            <w:pPr>
              <w:ind w:left="1215"/>
              <w:rPr>
                <w:kern w:val="22"/>
                <w:szCs w:val="22"/>
                <w:lang w:val="es-AR"/>
              </w:rPr>
            </w:pPr>
            <w:sdt>
              <w:sdtPr>
                <w:rPr>
                  <w:kern w:val="22"/>
                  <w:lang w:val="es-A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A2AB0" w:rsidRPr="002847F8">
                  <w:rPr>
                    <w:kern w:val="22"/>
                    <w:lang w:val="es-AR"/>
                  </w:rPr>
                  <w:t>CBD/COP/14/L.6</w:t>
                </w:r>
              </w:sdtContent>
            </w:sdt>
          </w:p>
          <w:p w14:paraId="2FD0081A" w14:textId="4AE2C0CD" w:rsidR="00C9161D" w:rsidRPr="002847F8" w:rsidRDefault="003A2AB0" w:rsidP="00176CEE">
            <w:pPr>
              <w:ind w:left="1215"/>
              <w:rPr>
                <w:kern w:val="22"/>
                <w:szCs w:val="22"/>
                <w:lang w:val="es-AR"/>
              </w:rPr>
            </w:pPr>
            <w:r w:rsidRPr="002847F8">
              <w:rPr>
                <w:lang w:val="es-AR"/>
              </w:rPr>
              <w:t>22 de noviembre de 2018</w:t>
            </w:r>
          </w:p>
          <w:p w14:paraId="2FD0081B" w14:textId="77777777" w:rsidR="00C9161D" w:rsidRPr="002847F8" w:rsidRDefault="00C9161D" w:rsidP="00176CEE">
            <w:pPr>
              <w:ind w:left="1215"/>
              <w:rPr>
                <w:kern w:val="22"/>
                <w:szCs w:val="22"/>
                <w:lang w:val="es-AR"/>
              </w:rPr>
            </w:pPr>
          </w:p>
          <w:p w14:paraId="54AE4147" w14:textId="77777777" w:rsidR="00E11274" w:rsidRPr="002847F8" w:rsidRDefault="006B2290" w:rsidP="00176CEE">
            <w:pPr>
              <w:ind w:left="1215"/>
              <w:rPr>
                <w:lang w:val="es-AR"/>
              </w:rPr>
            </w:pPr>
            <w:r w:rsidRPr="002847F8">
              <w:rPr>
                <w:lang w:val="es-AR"/>
              </w:rPr>
              <w:t>ESPAÑOL</w:t>
            </w:r>
          </w:p>
          <w:p w14:paraId="2FD0081C" w14:textId="70C87144" w:rsidR="00C9161D" w:rsidRPr="002847F8" w:rsidRDefault="006B2290" w:rsidP="00176CEE">
            <w:pPr>
              <w:ind w:left="1215"/>
              <w:rPr>
                <w:kern w:val="22"/>
                <w:szCs w:val="22"/>
                <w:lang w:val="es-AR"/>
              </w:rPr>
            </w:pPr>
            <w:r w:rsidRPr="002847F8">
              <w:rPr>
                <w:lang w:val="es-AR"/>
              </w:rPr>
              <w:t>ORIGINAL:</w:t>
            </w:r>
            <w:r w:rsidR="00E11274" w:rsidRPr="002847F8">
              <w:rPr>
                <w:lang w:val="es-AR"/>
              </w:rPr>
              <w:t xml:space="preserve"> </w:t>
            </w:r>
            <w:r w:rsidRPr="002847F8">
              <w:rPr>
                <w:lang w:val="es-AR"/>
              </w:rPr>
              <w:t>INGLÉS</w:t>
            </w:r>
          </w:p>
          <w:p w14:paraId="2FD0081D" w14:textId="77777777" w:rsidR="00C9161D" w:rsidRPr="002847F8" w:rsidRDefault="00C9161D">
            <w:pPr>
              <w:rPr>
                <w:kern w:val="22"/>
                <w:lang w:val="es-AR"/>
              </w:rPr>
            </w:pPr>
          </w:p>
        </w:tc>
      </w:tr>
    </w:tbl>
    <w:p w14:paraId="25235A27" w14:textId="77777777" w:rsidR="00273079" w:rsidRPr="002847F8" w:rsidRDefault="00273079" w:rsidP="00273079">
      <w:pPr>
        <w:pStyle w:val="Sinespaciado"/>
        <w:ind w:left="142" w:right="4682" w:hanging="142"/>
        <w:rPr>
          <w:rFonts w:ascii="Times New Roman" w:hAnsi="Times New Roman"/>
          <w:kern w:val="22"/>
          <w:lang w:val="es-AR"/>
        </w:rPr>
      </w:pPr>
      <w:bookmarkStart w:id="1" w:name="_Hlk530040340"/>
      <w:r w:rsidRPr="002847F8">
        <w:rPr>
          <w:rFonts w:ascii="Times New Roman" w:hAnsi="Times New Roman"/>
          <w:lang w:val="es-AR"/>
        </w:rPr>
        <w:t>CONFERENCIA DE LAS PARTES EN EL CONVENIO SOBRE LA DIVERSIDAD BIOLÓGICA</w:t>
      </w:r>
    </w:p>
    <w:p w14:paraId="58465C4A" w14:textId="77777777" w:rsidR="00273079" w:rsidRPr="002847F8" w:rsidRDefault="00273079" w:rsidP="00273079">
      <w:pPr>
        <w:pStyle w:val="Sinespaciado"/>
        <w:rPr>
          <w:rFonts w:ascii="Times New Roman" w:hAnsi="Times New Roman"/>
          <w:kern w:val="22"/>
          <w:lang w:val="es-AR"/>
        </w:rPr>
      </w:pPr>
      <w:r w:rsidRPr="002847F8">
        <w:rPr>
          <w:rFonts w:ascii="Times New Roman" w:hAnsi="Times New Roman"/>
          <w:lang w:val="es-AR"/>
        </w:rPr>
        <w:t>Decimocuarta reunión</w:t>
      </w:r>
    </w:p>
    <w:p w14:paraId="1E4F5FB9" w14:textId="77777777" w:rsidR="00273079" w:rsidRPr="002847F8" w:rsidRDefault="00273079" w:rsidP="00273079">
      <w:pPr>
        <w:pStyle w:val="Sinespaciado"/>
        <w:rPr>
          <w:rFonts w:ascii="Times New Roman" w:hAnsi="Times New Roman"/>
          <w:kern w:val="22"/>
          <w:lang w:val="es-AR"/>
        </w:rPr>
      </w:pPr>
      <w:r w:rsidRPr="002847F8">
        <w:rPr>
          <w:rFonts w:ascii="Times New Roman" w:hAnsi="Times New Roman"/>
          <w:lang w:val="es-AR"/>
        </w:rPr>
        <w:t>Sharm el-Sheikh (Egipto), 17 a 29 de noviembre de 2018</w:t>
      </w:r>
    </w:p>
    <w:bookmarkEnd w:id="1"/>
    <w:p w14:paraId="2FD00822" w14:textId="256DEFFA" w:rsidR="00172AF6" w:rsidRPr="002847F8" w:rsidRDefault="003A2AB0" w:rsidP="00172AF6">
      <w:pPr>
        <w:pStyle w:val="Cornernotation"/>
        <w:ind w:right="3973"/>
        <w:rPr>
          <w:kern w:val="22"/>
          <w:lang w:val="es-AR"/>
        </w:rPr>
      </w:pPr>
      <w:r w:rsidRPr="002847F8">
        <w:rPr>
          <w:color w:val="000000"/>
          <w:lang w:val="es-AR"/>
        </w:rPr>
        <w:t>Tema 9 del programa</w:t>
      </w:r>
    </w:p>
    <w:p w14:paraId="2FD00823" w14:textId="77777777" w:rsidR="00C9161D" w:rsidRPr="002847F8" w:rsidRDefault="00C9161D" w:rsidP="00C9161D">
      <w:pPr>
        <w:rPr>
          <w:kern w:val="22"/>
          <w:lang w:val="es-AR"/>
        </w:rPr>
      </w:pPr>
    </w:p>
    <w:p w14:paraId="2FD00824" w14:textId="2E565BF2" w:rsidR="00C9161D" w:rsidRPr="002847F8" w:rsidRDefault="00E11274" w:rsidP="00172AF6">
      <w:pPr>
        <w:spacing w:before="120" w:after="240"/>
        <w:jc w:val="center"/>
        <w:rPr>
          <w:b/>
          <w:kern w:val="22"/>
          <w:szCs w:val="22"/>
          <w:lang w:val="es-AR"/>
        </w:rPr>
      </w:pPr>
      <w:sdt>
        <w:sdtPr>
          <w:rPr>
            <w:b/>
            <w:bCs/>
            <w:iCs/>
            <w:szCs w:val="22"/>
            <w:lang w:val="es-AR"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2847F8">
            <w:rPr>
              <w:b/>
              <w:bCs/>
              <w:iCs/>
              <w:szCs w:val="22"/>
              <w:lang w:val="es-AR" w:eastAsia="en-CA"/>
            </w:rPr>
            <w:t>ORIENTACIÓN METODOLÓGICA RELATIVA A LAS CONTRIBUCIONES DE LOS PUEBLOS INDÍGENAS Y LAS COMUNIDADES LOCALES</w:t>
          </w:r>
        </w:sdtContent>
      </w:sdt>
      <w:r w:rsidR="00602837" w:rsidRPr="002847F8">
        <w:rPr>
          <w:b/>
          <w:szCs w:val="22"/>
          <w:lang w:val="es-AR"/>
        </w:rPr>
        <w:t xml:space="preserve"> </w:t>
      </w:r>
    </w:p>
    <w:p w14:paraId="2FD00825" w14:textId="36E4C99D" w:rsidR="00F6586C" w:rsidRPr="002847F8" w:rsidRDefault="00F6586C" w:rsidP="00F6586C">
      <w:pPr>
        <w:pStyle w:val="Style1"/>
        <w:rPr>
          <w:i w:val="0"/>
          <w:kern w:val="22"/>
          <w:szCs w:val="22"/>
          <w:lang w:val="es-AR"/>
        </w:rPr>
      </w:pPr>
      <w:r w:rsidRPr="002847F8">
        <w:rPr>
          <w:i w:val="0"/>
          <w:szCs w:val="22"/>
          <w:lang w:val="es-AR"/>
        </w:rPr>
        <w:t>Proyecto de decisión presentado por la Presidencia del Grupo de Trabajo</w:t>
      </w:r>
      <w:r w:rsidR="002847F8" w:rsidRPr="002847F8">
        <w:rPr>
          <w:i w:val="0"/>
          <w:szCs w:val="22"/>
          <w:lang w:val="es-AR"/>
        </w:rPr>
        <w:t> </w:t>
      </w:r>
      <w:r w:rsidRPr="002847F8">
        <w:rPr>
          <w:i w:val="0"/>
          <w:szCs w:val="22"/>
          <w:lang w:val="es-AR"/>
        </w:rPr>
        <w:t>xx</w:t>
      </w:r>
    </w:p>
    <w:p w14:paraId="4C169FFD" w14:textId="77777777" w:rsidR="00E11274" w:rsidRPr="002847F8" w:rsidRDefault="00E11274" w:rsidP="00E11274">
      <w:pPr>
        <w:suppressLineNumbers/>
        <w:suppressAutoHyphens/>
        <w:kinsoku w:val="0"/>
        <w:overflowPunct w:val="0"/>
        <w:autoSpaceDE w:val="0"/>
        <w:autoSpaceDN w:val="0"/>
        <w:adjustRightInd w:val="0"/>
        <w:snapToGrid w:val="0"/>
        <w:spacing w:before="120" w:after="120"/>
        <w:ind w:firstLine="720"/>
        <w:rPr>
          <w:i/>
          <w:snapToGrid w:val="0"/>
          <w:kern w:val="22"/>
          <w:szCs w:val="22"/>
          <w:lang w:val="es-AR" w:eastAsia="en-CA"/>
        </w:rPr>
      </w:pPr>
      <w:r w:rsidRPr="002847F8">
        <w:rPr>
          <w:i/>
          <w:snapToGrid w:val="0"/>
          <w:kern w:val="22"/>
          <w:szCs w:val="22"/>
          <w:lang w:val="es-AR" w:eastAsia="en-CA"/>
        </w:rPr>
        <w:t>La Conferencia de las Partes,</w:t>
      </w:r>
    </w:p>
    <w:p w14:paraId="1B048F85" w14:textId="77777777" w:rsidR="00E11274" w:rsidRPr="002847F8" w:rsidRDefault="00E11274" w:rsidP="00E11274">
      <w:pPr>
        <w:suppressLineNumbers/>
        <w:suppressAutoHyphens/>
        <w:kinsoku w:val="0"/>
        <w:overflowPunct w:val="0"/>
        <w:autoSpaceDE w:val="0"/>
        <w:autoSpaceDN w:val="0"/>
        <w:adjustRightInd w:val="0"/>
        <w:snapToGrid w:val="0"/>
        <w:spacing w:before="120" w:after="120"/>
        <w:ind w:firstLine="720"/>
        <w:rPr>
          <w:snapToGrid w:val="0"/>
          <w:kern w:val="22"/>
          <w:szCs w:val="22"/>
          <w:lang w:val="es-AR" w:eastAsia="en-CA"/>
        </w:rPr>
      </w:pPr>
      <w:r w:rsidRPr="002847F8">
        <w:rPr>
          <w:i/>
          <w:snapToGrid w:val="0"/>
          <w:kern w:val="22"/>
          <w:szCs w:val="22"/>
          <w:lang w:val="es-AR" w:eastAsia="en-CA"/>
        </w:rPr>
        <w:t>Recordando</w:t>
      </w:r>
      <w:r w:rsidRPr="002847F8">
        <w:rPr>
          <w:snapToGrid w:val="0"/>
          <w:kern w:val="22"/>
          <w:szCs w:val="22"/>
          <w:lang w:val="es-AR" w:eastAsia="en-CA"/>
        </w:rPr>
        <w:t xml:space="preserve"> la decisión XIII/20, en la que la Conferencia de las Partes pidió al Secretario Ejecutivo que elaborase elementos de orientación metodológica relativos a las contribuciones de los pueblos indígenas y las comunidades locales,</w:t>
      </w:r>
    </w:p>
    <w:p w14:paraId="1902964B" w14:textId="77777777" w:rsidR="00E11274" w:rsidRPr="002847F8" w:rsidRDefault="00E11274" w:rsidP="00E11274">
      <w:pPr>
        <w:suppressLineNumbers/>
        <w:suppressAutoHyphens/>
        <w:kinsoku w:val="0"/>
        <w:overflowPunct w:val="0"/>
        <w:autoSpaceDE w:val="0"/>
        <w:autoSpaceDN w:val="0"/>
        <w:adjustRightInd w:val="0"/>
        <w:snapToGrid w:val="0"/>
        <w:spacing w:before="120" w:after="120"/>
        <w:ind w:firstLine="720"/>
        <w:rPr>
          <w:rFonts w:ascii="MS Mincho" w:eastAsia="MS Mincho"/>
          <w:kern w:val="22"/>
          <w:szCs w:val="22"/>
          <w:lang w:val="es-AR" w:eastAsia="en-CA"/>
        </w:rPr>
      </w:pPr>
      <w:r w:rsidRPr="002847F8">
        <w:rPr>
          <w:i/>
          <w:szCs w:val="22"/>
          <w:lang w:val="es-AR" w:eastAsia="en-CA"/>
        </w:rPr>
        <w:t>Reconociendo</w:t>
      </w:r>
      <w:r w:rsidRPr="002847F8">
        <w:rPr>
          <w:szCs w:val="22"/>
          <w:lang w:val="es-AR" w:eastAsia="en-CA"/>
        </w:rPr>
        <w:t xml:space="preserve"> la importancia de las acciones colectivas holísticas de los pueblos indígenas y las comunidades locales para el logro de los objetivos del Plan Estratégico para la Diversidad Biológica 2011-2020</w:t>
      </w:r>
      <w:r w:rsidRPr="002847F8">
        <w:rPr>
          <w:kern w:val="22"/>
          <w:szCs w:val="22"/>
          <w:vertAlign w:val="superscript"/>
          <w:lang w:val="es-AR" w:eastAsia="en-CA"/>
        </w:rPr>
        <w:footnoteReference w:id="1"/>
      </w:r>
      <w:r w:rsidRPr="002847F8">
        <w:rPr>
          <w:kern w:val="22"/>
          <w:szCs w:val="22"/>
          <w:lang w:val="es-AR" w:eastAsia="en-CA"/>
        </w:rPr>
        <w:t xml:space="preserve"> </w:t>
      </w:r>
      <w:r w:rsidRPr="002847F8">
        <w:rPr>
          <w:szCs w:val="22"/>
          <w:lang w:val="es-AR" w:eastAsia="en-CA"/>
        </w:rPr>
        <w:t>y las Metas de Aichi para la Diversidad Biológica dentro de un marco de derechos, principios y valores éticos, gobernanza y roles diferenciados de mujeres y hombres en los pueblos indígenas y las comunidades locales</w:t>
      </w:r>
      <w:r w:rsidRPr="002847F8">
        <w:rPr>
          <w:kern w:val="22"/>
          <w:szCs w:val="22"/>
          <w:lang w:val="es-AR" w:eastAsia="en-CA"/>
        </w:rPr>
        <w:t>;</w:t>
      </w:r>
    </w:p>
    <w:p w14:paraId="134C7ED6" w14:textId="77777777" w:rsidR="00E11274" w:rsidRPr="002847F8" w:rsidRDefault="00E11274" w:rsidP="00E11274">
      <w:pPr>
        <w:suppressLineNumbers/>
        <w:suppressAutoHyphens/>
        <w:kinsoku w:val="0"/>
        <w:overflowPunct w:val="0"/>
        <w:autoSpaceDE w:val="0"/>
        <w:autoSpaceDN w:val="0"/>
        <w:adjustRightInd w:val="0"/>
        <w:snapToGrid w:val="0"/>
        <w:spacing w:before="120" w:after="120"/>
        <w:ind w:firstLine="720"/>
        <w:rPr>
          <w:i/>
          <w:kern w:val="22"/>
          <w:szCs w:val="22"/>
          <w:lang w:val="es-AR" w:eastAsia="en-CA"/>
        </w:rPr>
      </w:pPr>
      <w:r w:rsidRPr="002847F8">
        <w:rPr>
          <w:iCs/>
          <w:kern w:val="22"/>
          <w:szCs w:val="22"/>
          <w:lang w:val="es-AR" w:eastAsia="en-CA"/>
        </w:rPr>
        <w:t>1.</w:t>
      </w:r>
      <w:r w:rsidRPr="002847F8">
        <w:rPr>
          <w:iCs/>
          <w:kern w:val="22"/>
          <w:szCs w:val="22"/>
          <w:lang w:val="es-AR" w:eastAsia="en-CA"/>
        </w:rPr>
        <w:tab/>
      </w:r>
      <w:r w:rsidRPr="002847F8">
        <w:rPr>
          <w:i/>
          <w:szCs w:val="22"/>
          <w:lang w:val="es-AR" w:eastAsia="en-CA"/>
        </w:rPr>
        <w:t>Toma nota</w:t>
      </w:r>
      <w:r w:rsidRPr="002847F8">
        <w:rPr>
          <w:szCs w:val="22"/>
          <w:lang w:val="es-AR" w:eastAsia="en-CA"/>
        </w:rPr>
        <w:t xml:space="preserve"> de la lista indicativa y no exhaustiva de elementos de orientación metodológica para la determinación, el seguimiento y la evaluación de la contribución de los pueblos indígenas y las comunidades locales a la consecución de los objetivos del Plan Estratégico para la Diversidad Biológica 2011-2020 y el logro de las Metas de Aichi para la Diversidad Biológica, que figura en el anexo de la presente decisión</w:t>
      </w:r>
      <w:r w:rsidRPr="002847F8">
        <w:rPr>
          <w:i/>
          <w:kern w:val="22"/>
          <w:szCs w:val="22"/>
          <w:lang w:val="es-AR" w:eastAsia="en-CA"/>
        </w:rPr>
        <w:t>;</w:t>
      </w:r>
    </w:p>
    <w:p w14:paraId="78AA8512" w14:textId="77777777" w:rsidR="00E11274" w:rsidRPr="002847F8" w:rsidRDefault="00E11274" w:rsidP="00E11274">
      <w:pPr>
        <w:suppressLineNumbers/>
        <w:suppressAutoHyphens/>
        <w:kinsoku w:val="0"/>
        <w:overflowPunct w:val="0"/>
        <w:autoSpaceDE w:val="0"/>
        <w:autoSpaceDN w:val="0"/>
        <w:adjustRightInd w:val="0"/>
        <w:snapToGrid w:val="0"/>
        <w:spacing w:before="120" w:after="120"/>
        <w:ind w:firstLine="720"/>
        <w:rPr>
          <w:kern w:val="22"/>
          <w:szCs w:val="22"/>
          <w:lang w:val="es-AR" w:eastAsia="en-CA"/>
        </w:rPr>
      </w:pPr>
      <w:r w:rsidRPr="002847F8">
        <w:rPr>
          <w:iCs/>
          <w:kern w:val="22"/>
          <w:szCs w:val="22"/>
          <w:lang w:val="es-AR" w:eastAsia="en-CA"/>
        </w:rPr>
        <w:t>2.</w:t>
      </w:r>
      <w:r w:rsidRPr="002847F8">
        <w:rPr>
          <w:iCs/>
          <w:kern w:val="22"/>
          <w:szCs w:val="22"/>
          <w:lang w:val="es-AR" w:eastAsia="en-CA"/>
        </w:rPr>
        <w:tab/>
      </w:r>
      <w:r w:rsidRPr="002847F8">
        <w:rPr>
          <w:i/>
          <w:szCs w:val="22"/>
          <w:lang w:val="es-AR" w:eastAsia="en-CA"/>
        </w:rPr>
        <w:t>Alienta</w:t>
      </w:r>
      <w:r w:rsidRPr="002847F8">
        <w:rPr>
          <w:szCs w:val="22"/>
          <w:lang w:val="es-AR" w:eastAsia="en-CA"/>
        </w:rPr>
        <w:t xml:space="preserve"> a las Partes, otros Gobiernos y organizaciones de interesados directos pertinentes a que hagan uso de los principios rectores para la evaluación de la contribución de la acción colectiva de los pueblos indígenas y las comunidades locales que figuran en el anexo de la decisión XIII/20, y consideren utilizar la lista indicativa y no exhaustiva de elementos de orientación metodológica que figura en el anexo de la presente decisión al diseñar y aplicar enfoques metodológicos para evaluar la contribución de los pueblos indígenas y las comunidades locales a la consecución de los objetivos del Plan Estratégico para la Diversidad Biológica 2011-2020 y el logro de las Metas de Aichi para la Diversidad Biológica y al presentar informes a través del mecanismo de presentación de informes financieros</w:t>
      </w:r>
      <w:r w:rsidRPr="002847F8">
        <w:rPr>
          <w:kern w:val="22"/>
          <w:szCs w:val="22"/>
          <w:lang w:val="es-AR" w:eastAsia="en-CA"/>
        </w:rPr>
        <w:t>.</w:t>
      </w:r>
    </w:p>
    <w:p w14:paraId="40BFFF9F" w14:textId="3B328EFC" w:rsidR="00E11274" w:rsidRPr="002847F8" w:rsidRDefault="00E11274" w:rsidP="00E11274">
      <w:pPr>
        <w:suppressLineNumbers/>
        <w:suppressAutoHyphens/>
        <w:kinsoku w:val="0"/>
        <w:overflowPunct w:val="0"/>
        <w:autoSpaceDE w:val="0"/>
        <w:autoSpaceDN w:val="0"/>
        <w:adjustRightInd w:val="0"/>
        <w:snapToGrid w:val="0"/>
        <w:spacing w:before="120" w:after="120"/>
        <w:ind w:firstLine="720"/>
        <w:rPr>
          <w:kern w:val="22"/>
          <w:szCs w:val="22"/>
          <w:lang w:val="es-AR" w:eastAsia="en-CA"/>
        </w:rPr>
      </w:pPr>
      <w:r w:rsidRPr="002847F8">
        <w:rPr>
          <w:kern w:val="22"/>
          <w:szCs w:val="22"/>
          <w:lang w:val="es-AR" w:eastAsia="en-CA"/>
        </w:rPr>
        <w:t>3.</w:t>
      </w:r>
      <w:r w:rsidR="002847F8" w:rsidRPr="002847F8">
        <w:rPr>
          <w:kern w:val="22"/>
          <w:szCs w:val="22"/>
          <w:lang w:val="es-AR" w:eastAsia="en-CA"/>
        </w:rPr>
        <w:tab/>
      </w:r>
      <w:r w:rsidRPr="002847F8">
        <w:rPr>
          <w:i/>
          <w:kern w:val="22"/>
          <w:szCs w:val="22"/>
          <w:lang w:val="es-AR" w:eastAsia="en-CA"/>
        </w:rPr>
        <w:t>Invita</w:t>
      </w:r>
      <w:r w:rsidRPr="002847F8">
        <w:rPr>
          <w:kern w:val="22"/>
          <w:szCs w:val="22"/>
          <w:lang w:val="es-AR" w:eastAsia="en-CA"/>
        </w:rPr>
        <w:t xml:space="preserve"> a la Plataforma Intergubernamental Científico-Normativa sobre Diversidad Biológica y Servicios de los Ecosistemas (IPBES) a tomar en cuenta la lista de elementos de orientación metodológica que figura en el anexo de la presente decisión.</w:t>
      </w:r>
    </w:p>
    <w:p w14:paraId="20BE48CF" w14:textId="77777777" w:rsidR="00E11274" w:rsidRPr="002847F8" w:rsidRDefault="00E11274" w:rsidP="00E11274">
      <w:pPr>
        <w:keepNext/>
        <w:suppressLineNumbers/>
        <w:suppressAutoHyphens/>
        <w:kinsoku w:val="0"/>
        <w:overflowPunct w:val="0"/>
        <w:autoSpaceDE w:val="0"/>
        <w:autoSpaceDN w:val="0"/>
        <w:adjustRightInd w:val="0"/>
        <w:snapToGrid w:val="0"/>
        <w:spacing w:after="120"/>
        <w:jc w:val="center"/>
        <w:rPr>
          <w:b/>
          <w:kern w:val="22"/>
          <w:szCs w:val="22"/>
          <w:lang w:val="es-AR" w:eastAsia="en-CA"/>
        </w:rPr>
      </w:pPr>
      <w:r w:rsidRPr="002847F8">
        <w:rPr>
          <w:b/>
          <w:i/>
          <w:kern w:val="22"/>
          <w:szCs w:val="22"/>
          <w:lang w:val="es-AR" w:eastAsia="en-CA"/>
        </w:rPr>
        <w:lastRenderedPageBreak/>
        <w:t>Anexo</w:t>
      </w:r>
    </w:p>
    <w:p w14:paraId="3EFC0311" w14:textId="77777777" w:rsidR="00E11274" w:rsidRPr="002847F8" w:rsidRDefault="00E11274" w:rsidP="00E11274">
      <w:pPr>
        <w:keepNext/>
        <w:suppressLineNumbers/>
        <w:suppressAutoHyphens/>
        <w:kinsoku w:val="0"/>
        <w:overflowPunct w:val="0"/>
        <w:autoSpaceDE w:val="0"/>
        <w:autoSpaceDN w:val="0"/>
        <w:adjustRightInd w:val="0"/>
        <w:snapToGrid w:val="0"/>
        <w:jc w:val="center"/>
        <w:rPr>
          <w:b/>
          <w:kern w:val="22"/>
          <w:szCs w:val="22"/>
          <w:lang w:val="es-AR" w:eastAsia="en-CA"/>
        </w:rPr>
      </w:pPr>
      <w:r w:rsidRPr="002847F8">
        <w:rPr>
          <w:b/>
          <w:kern w:val="22"/>
          <w:szCs w:val="22"/>
          <w:lang w:val="es-AR" w:eastAsia="en-CA"/>
        </w:rPr>
        <w:t>LISTA DE ELEMENTOS DE ORIENTACIÓN METODOLÓGICA</w:t>
      </w:r>
    </w:p>
    <w:p w14:paraId="650E8328" w14:textId="77777777" w:rsidR="00E11274" w:rsidRPr="002847F8" w:rsidRDefault="00E11274" w:rsidP="00E11274">
      <w:pPr>
        <w:suppressLineNumbers/>
        <w:suppressAutoHyphens/>
        <w:kinsoku w:val="0"/>
        <w:overflowPunct w:val="0"/>
        <w:autoSpaceDE w:val="0"/>
        <w:autoSpaceDN w:val="0"/>
        <w:adjustRightInd w:val="0"/>
        <w:snapToGrid w:val="0"/>
        <w:spacing w:before="120" w:after="120"/>
        <w:ind w:firstLine="720"/>
        <w:rPr>
          <w:i/>
          <w:kern w:val="22"/>
          <w:szCs w:val="22"/>
          <w:lang w:val="es-AR" w:eastAsia="en-CA"/>
        </w:rPr>
      </w:pPr>
      <w:r w:rsidRPr="002847F8">
        <w:rPr>
          <w:szCs w:val="22"/>
          <w:lang w:val="es-AR" w:eastAsia="en-CA"/>
        </w:rPr>
        <w:t>Se alienta el uso de los principios rectores recogidos en la decisión XIII/20 de la Conferencia de las Partes en el Convenio sobre la Diversidad Biológica en los enfoques metodológicos para la determinación, el seguimiento y la evaluación de la contribución de los pueblos indígenas y las comunidades locales a la consecución de los objetivos del Plan Estratégico para la Diversidad Biológica 2011-2020 y el logro de las Metas de Aichi para la Diversidad Biológica, según las circunstancias nacionales, para enmarcar y orientar el diseño y la aplicación de tales metodologías, y se invita a considerar la siguiente lista indicativa y no exhaustiva de elementos metodológicos en su diseño y aplicación</w:t>
      </w:r>
      <w:r w:rsidRPr="002847F8">
        <w:rPr>
          <w:kern w:val="22"/>
          <w:szCs w:val="22"/>
          <w:lang w:val="es-AR" w:eastAsia="en-CA"/>
        </w:rPr>
        <w:t>:</w:t>
      </w:r>
    </w:p>
    <w:p w14:paraId="78CA8984"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Reconocer e incluir plenamente los conocimientos tradicionales, garantizando la complementariedad de los sistemas de conocimientos, la creación de condiciones para un diálogo eficaz entre los sistemas de conocimientos, incluida la ciencia, y procesos que permitan la creación conjunta de conocimiento desde el principio;</w:t>
      </w:r>
    </w:p>
    <w:p w14:paraId="0D0A940D"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Incluir una amplia variedad de enfoques metodológicos según lo requiera la especificidad de los contextos, teniendo en cuenta la diversidad de circunstancias nacionales y la diversidad cultural de los pueblos indígenas y las comunidades locales, y aplicarlos de manera adaptada a las circunstancias locales;</w:t>
      </w:r>
    </w:p>
    <w:p w14:paraId="69DE7D61"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Reconocer las múltiples perspectivas y cosmovisiones relacionadas con los valores, incluidos los valores sociales, económicos, culturales y espirituales, vinculadas a la conservación y la utilización sostenible de la diversidad biológica, y reflejarlas en la elección de enfoques e instrumentos metodológicos;</w:t>
      </w:r>
    </w:p>
    <w:p w14:paraId="177CD718"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Utilizar métodos combinados para la investigación y otras metodologías que puedan funcionar con distintos tipos de datos, en particular la combinación de información y datos cuantitativos y cualitativos;</w:t>
      </w:r>
    </w:p>
    <w:p w14:paraId="2B5479EE"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Aplicar enfoques, procesos y herramientas de múltiples escalas para captar y evaluar la situación a nivel local y, al mismo tiempo, considerar los vínculos en el paisaje y con marcos de políticas nacionales y subnacionales;</w:t>
      </w:r>
    </w:p>
    <w:p w14:paraId="62D65A81"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Probar y perfeccionar enfoques metodológicos mediante proyectos experimentales, según corresponda, reconociendo que se trata de un campo nuevo y que es necesario desarrollarlos teniendo en cuenta las lecciones aprendidas de la experiencia y de una diversidad de contextos;</w:t>
      </w:r>
    </w:p>
    <w:p w14:paraId="545AE5CC"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Garantizar la participación plena y efectiva de los pueblos indígenas y las comunidades locales en todo el proceso de elaboración y aplicación de los enfoques, prestando especial atención a la participación de las mujeres, los jóvenes, los ancianos y demás grupos que forman parte de las comunidades;</w:t>
      </w:r>
    </w:p>
    <w:p w14:paraId="3E2EA245"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Fomentar las interacciones intergeneracionales en los procesos de evaluación, dando participación a los jóvenes, los ancianos y otros grupos, para estimular el aprendizaje y contribuir a proteger y promover la transferencia intergeneracional de las innovaciones, las prácticas y los conocimientos tradicionales;</w:t>
      </w:r>
    </w:p>
    <w:p w14:paraId="1E13FEC5"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Incluir en las evaluaciones el análisis de los roles diferenciados en función de género y explorar oportunidades y condiciones para fomentar la igualdad de género;</w:t>
      </w:r>
    </w:p>
    <w:p w14:paraId="00218CE8"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Reconocer que las acciones colectivas están relacionadas con la utilización consuetudinaria sostenible y que los resultados pueden ser amplios, abarcando cuestiones tales como los medios de vida y la seguridad alimentaria, así como el bienestar físico y mental;</w:t>
      </w:r>
    </w:p>
    <w:p w14:paraId="222762BF"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lastRenderedPageBreak/>
        <w:t>Procurar contribuir al reconocimiento de derechos, especialmente la tenencia de la tierra</w:t>
      </w:r>
      <w:r w:rsidRPr="002847F8">
        <w:rPr>
          <w:rFonts w:eastAsia="MS Gothic"/>
          <w:snapToGrid w:val="0"/>
          <w:kern w:val="22"/>
          <w:szCs w:val="22"/>
          <w:vertAlign w:val="superscript"/>
          <w:lang w:val="es-AR" w:eastAsia="en-CA"/>
        </w:rPr>
        <w:footnoteReference w:id="2"/>
      </w:r>
      <w:r w:rsidRPr="002847F8">
        <w:rPr>
          <w:snapToGrid w:val="0"/>
          <w:kern w:val="22"/>
          <w:szCs w:val="22"/>
          <w:lang w:val="es-AR" w:eastAsia="en-CA"/>
        </w:rPr>
        <w:t xml:space="preserve"> </w:t>
      </w:r>
      <w:r w:rsidRPr="002847F8">
        <w:rPr>
          <w:snapToGrid w:val="0"/>
          <w:szCs w:val="22"/>
          <w:lang w:val="es-AR" w:eastAsia="en-CA"/>
        </w:rPr>
        <w:t>y el acceso a los recursos consuetudinarios</w:t>
      </w:r>
      <w:r w:rsidRPr="002847F8">
        <w:rPr>
          <w:rFonts w:eastAsia="MS Gothic"/>
          <w:snapToGrid w:val="0"/>
          <w:kern w:val="22"/>
          <w:szCs w:val="22"/>
          <w:vertAlign w:val="superscript"/>
          <w:lang w:val="es-AR" w:eastAsia="en-CA"/>
        </w:rPr>
        <w:footnoteReference w:id="3"/>
      </w:r>
      <w:r w:rsidRPr="002847F8">
        <w:rPr>
          <w:snapToGrid w:val="0"/>
          <w:kern w:val="22"/>
          <w:szCs w:val="22"/>
          <w:lang w:val="es-AR" w:eastAsia="en-CA"/>
        </w:rPr>
        <w:t xml:space="preserve"> </w:t>
      </w:r>
      <w:r w:rsidRPr="002847F8">
        <w:rPr>
          <w:snapToGrid w:val="0"/>
          <w:szCs w:val="22"/>
          <w:lang w:val="es-AR" w:eastAsia="en-CA"/>
        </w:rPr>
        <w:t>y su influencia en la eficacia de las acciones colectivas, así como mediante el empoderamiento comunitario para fomentar la seguridad de la tenencia y el acceso</w:t>
      </w:r>
      <w:r w:rsidRPr="002847F8">
        <w:rPr>
          <w:snapToGrid w:val="0"/>
          <w:kern w:val="22"/>
          <w:szCs w:val="22"/>
          <w:lang w:val="es-AR" w:eastAsia="en-CA"/>
        </w:rPr>
        <w:t>;</w:t>
      </w:r>
    </w:p>
    <w:p w14:paraId="5C03F149"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Incluir otros elementos pertinentes de las evaluaciones de la gobernanza, concretamente la función, las características y la vitalidad de los sistemas de gobernanza consuetudinarios;</w:t>
      </w:r>
    </w:p>
    <w:p w14:paraId="1E4C52B7"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Incluir, en las evaluaciones, la determinación de los conflictos reales o potenciales que afecten a las acciones colectivas, utilizar los procesos de evaluación para fomentar el diálogo entre grupos que puedan tener intereses opuestos, y explorar otras oportunidades para resolver conflictos mediante el diálogo y la cooperación, incluido mediante mecanismos de resolución de conflictos culturalmente apropiados;</w:t>
      </w:r>
    </w:p>
    <w:p w14:paraId="710DFE1C"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Considerar evaluaciones basadas en zonas que se centren en las tierras y los recursos que son propiedad de los pueblos indígenas y las comunidades locales o que están ocupados o son utilizados por ellos, y en componentes específicos de la diversidad biológica, como las especies que están presentes en los hábitats y que son objeto de acciones colectivas;</w:t>
      </w:r>
    </w:p>
    <w:p w14:paraId="40DA6AE3"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szCs w:val="22"/>
          <w:lang w:val="es-AR"/>
        </w:rPr>
        <w:t>Considerar la posibilidad de tomar en cuenta las capacidades nacionales técnicas y de sostenibilidad en el uso de diversas formas de análisis geoespacial para las evaluaciones basadas en zonas, de manera que combinen herramientas tecnológicas con conocimientos tradicionales, y procurar que sean accesibles a las comunidades, con su participación directa;</w:t>
      </w:r>
    </w:p>
    <w:p w14:paraId="164363E7"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Promover la elaboración de conjuntos de indicadores y sistemas de parámetros de medición sólidos para la evaluación de las acciones colectivas, combinando indicadores de distintos tipos (cuantitativos y cualitativos, de proceso y resultado, individuales y agregados, etc.) e integrando indicadores basados en la cultura que reflejen los sistemas de valores de las comunidades y las particularidades de los contextos, observando también que mantener cierta coherencia en los indicadores que se usan a lo largo del tiempo posibilitará comparaciones en escalas temporales y que establecer una base de referencia permite una mayor evaluación de los cambios o las tendencias;</w:t>
      </w:r>
    </w:p>
    <w:p w14:paraId="325C5BCD"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Integrar los enfoques para analizar el estado y las tendencias del cambio en las evaluaciones, así como entender los impulsores de cambios y las condiciones para obtener resultados satisfactorios;</w:t>
      </w:r>
    </w:p>
    <w:p w14:paraId="1C3A9ADF"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Avanzar, según corresponda, en el trabajo sobre metodologías de valoración que sean pertinentes y aplicables a los contextos, garantizando la consideración de toda la gama de valores de la diversidad biológica para las comunidades y sus acciones colectivas, y utilizar los resultados de la valoración para argumentar a favor de un mayor respeto, reconocimiento y apoyo de las acciones colectivas;</w:t>
      </w:r>
    </w:p>
    <w:p w14:paraId="0F5416DC"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Considerar incluir en las evaluaciones un análisis de fortalezas y amenazas en los contextos específicos, con miras a comprender mejor los factores y condiciones que se precise fortalecer o que requieran apoyo adicional;</w:t>
      </w:r>
    </w:p>
    <w:p w14:paraId="27FDB217"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eastAsia="en-CA"/>
        </w:rPr>
      </w:pPr>
      <w:r w:rsidRPr="002847F8">
        <w:rPr>
          <w:snapToGrid w:val="0"/>
          <w:kern w:val="22"/>
          <w:szCs w:val="22"/>
          <w:lang w:val="es-AR" w:eastAsia="en-CA"/>
        </w:rPr>
        <w:t>Alentar la colaboración, el intercambio, el aprendizaje mutuo y la interacción entre los distintos enfoques y procurar mayores sinergias y resultados convergentes.</w:t>
      </w:r>
    </w:p>
    <w:p w14:paraId="4AA5F0B9" w14:textId="77777777" w:rsidR="00E11274" w:rsidRPr="002847F8" w:rsidRDefault="00E11274" w:rsidP="00E11274">
      <w:pPr>
        <w:numPr>
          <w:ilvl w:val="1"/>
          <w:numId w:val="2"/>
        </w:numPr>
        <w:suppressLineNumbers/>
        <w:tabs>
          <w:tab w:val="clear" w:pos="1440"/>
        </w:tabs>
        <w:suppressAutoHyphens/>
        <w:kinsoku w:val="0"/>
        <w:overflowPunct w:val="0"/>
        <w:autoSpaceDE w:val="0"/>
        <w:autoSpaceDN w:val="0"/>
        <w:adjustRightInd w:val="0"/>
        <w:snapToGrid w:val="0"/>
        <w:spacing w:after="120"/>
        <w:rPr>
          <w:snapToGrid w:val="0"/>
          <w:kern w:val="22"/>
          <w:szCs w:val="22"/>
          <w:lang w:val="es-AR"/>
        </w:rPr>
      </w:pPr>
      <w:r w:rsidRPr="002847F8">
        <w:rPr>
          <w:snapToGrid w:val="0"/>
          <w:szCs w:val="22"/>
          <w:lang w:val="es-AR"/>
        </w:rPr>
        <w:t xml:space="preserve">Considerar, según proceda, la creación de capacidad y la transferencia de tecnología para garantizar que la información nueva, </w:t>
      </w:r>
      <w:r w:rsidRPr="002847F8">
        <w:rPr>
          <w:snapToGrid w:val="0"/>
          <w:kern w:val="22"/>
          <w:szCs w:val="22"/>
          <w:lang w:val="es-AR" w:eastAsia="en-CA"/>
        </w:rPr>
        <w:t>incluida</w:t>
      </w:r>
      <w:r w:rsidRPr="002847F8">
        <w:rPr>
          <w:snapToGrid w:val="0"/>
          <w:szCs w:val="22"/>
          <w:lang w:val="es-AR"/>
        </w:rPr>
        <w:t xml:space="preserve"> aquella de la ciencia y la tecnología, contribuya al empoderamiento, la resiliencia y la autosuficiencia de los pueblos indígenas y las comunidades locales.</w:t>
      </w:r>
    </w:p>
    <w:p w14:paraId="301F921D" w14:textId="77777777" w:rsidR="00E11274" w:rsidRPr="002847F8" w:rsidRDefault="00E11274" w:rsidP="00E11274">
      <w:pPr>
        <w:jc w:val="center"/>
        <w:rPr>
          <w:kern w:val="22"/>
          <w:szCs w:val="22"/>
          <w:lang w:val="es-AR"/>
        </w:rPr>
      </w:pPr>
      <w:r w:rsidRPr="002847F8">
        <w:rPr>
          <w:kern w:val="22"/>
          <w:szCs w:val="22"/>
          <w:lang w:val="es-AR"/>
        </w:rPr>
        <w:t>__________</w:t>
      </w:r>
      <w:bookmarkEnd w:id="0"/>
    </w:p>
    <w:sectPr w:rsidR="00E11274" w:rsidRPr="002847F8"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8388D2" w14:textId="77777777" w:rsidR="004352AF" w:rsidRDefault="004352AF" w:rsidP="00CF1848">
      <w:r>
        <w:separator/>
      </w:r>
    </w:p>
  </w:endnote>
  <w:endnote w:type="continuationSeparator" w:id="0">
    <w:p w14:paraId="6B7824FA" w14:textId="77777777" w:rsidR="004352AF" w:rsidRDefault="004352A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9F7BA" w14:textId="77777777" w:rsidR="004352AF" w:rsidRDefault="004352AF" w:rsidP="00CF1848">
      <w:r>
        <w:separator/>
      </w:r>
    </w:p>
  </w:footnote>
  <w:footnote w:type="continuationSeparator" w:id="0">
    <w:p w14:paraId="50FD1C8D" w14:textId="77777777" w:rsidR="004352AF" w:rsidRDefault="004352AF" w:rsidP="00CF1848">
      <w:r>
        <w:continuationSeparator/>
      </w:r>
    </w:p>
  </w:footnote>
  <w:footnote w:id="1">
    <w:p w14:paraId="46353BC6" w14:textId="77777777" w:rsidR="00E11274" w:rsidRPr="00A32567" w:rsidRDefault="00E11274" w:rsidP="00E11274">
      <w:pPr>
        <w:pStyle w:val="Textonotapie"/>
        <w:kinsoku w:val="0"/>
        <w:overflowPunct w:val="0"/>
        <w:autoSpaceDE w:val="0"/>
        <w:autoSpaceDN w:val="0"/>
        <w:ind w:firstLine="0"/>
        <w:rPr>
          <w:szCs w:val="18"/>
          <w:lang w:val="es-AR"/>
        </w:rPr>
      </w:pPr>
      <w:r w:rsidRPr="00972B48">
        <w:rPr>
          <w:rStyle w:val="Refdenotaalpie"/>
          <w:kern w:val="18"/>
          <w:szCs w:val="18"/>
        </w:rPr>
        <w:footnoteRef/>
      </w:r>
      <w:r w:rsidRPr="00A32567">
        <w:rPr>
          <w:kern w:val="18"/>
          <w:szCs w:val="18"/>
          <w:lang w:val="es-AR"/>
        </w:rPr>
        <w:t xml:space="preserve"> Decisión X/2, anexo.</w:t>
      </w:r>
    </w:p>
  </w:footnote>
  <w:footnote w:id="2">
    <w:p w14:paraId="03430196" w14:textId="77777777" w:rsidR="00E11274" w:rsidRPr="002847F8" w:rsidRDefault="00E11274" w:rsidP="00E11274">
      <w:pPr>
        <w:pStyle w:val="NormalWeb"/>
        <w:keepLines/>
        <w:kinsoku w:val="0"/>
        <w:overflowPunct w:val="0"/>
        <w:autoSpaceDE w:val="0"/>
        <w:autoSpaceDN w:val="0"/>
        <w:adjustRightInd w:val="0"/>
        <w:snapToGrid w:val="0"/>
        <w:spacing w:after="60"/>
        <w:textAlignment w:val="baseline"/>
        <w:rPr>
          <w:kern w:val="18"/>
          <w:sz w:val="18"/>
          <w:szCs w:val="18"/>
          <w:lang w:val="es-AR"/>
        </w:rPr>
      </w:pPr>
      <w:r w:rsidRPr="00972B48">
        <w:rPr>
          <w:rStyle w:val="Refdenotaalpie"/>
          <w:kern w:val="18"/>
        </w:rPr>
        <w:footnoteRef/>
      </w:r>
      <w:r w:rsidRPr="00A32567">
        <w:rPr>
          <w:kern w:val="18"/>
          <w:lang w:val="es-AR"/>
        </w:rPr>
        <w:t> </w:t>
      </w:r>
      <w:r w:rsidRPr="002847F8">
        <w:rPr>
          <w:kern w:val="18"/>
          <w:sz w:val="18"/>
          <w:szCs w:val="18"/>
          <w:lang w:val="es-AR"/>
        </w:rPr>
        <w:t>En la decisión X/43, la Conferencia de las Partes adoptó las “tendencias de los cambios en la utilización y la tenencia de la tierra en los territorios tradicionales de las comunidades indígenas y locales” como uno de los cuatro indicadores mundiales para los conocimientos tradicionales, en el marco del Convenio sobre la Diversidad Biológica. La “tenencia” de los territorios tradicionales de los pueblos indígenas y las comunidades locales puede incluir tierras y aguas.</w:t>
      </w:r>
    </w:p>
  </w:footnote>
  <w:footnote w:id="3">
    <w:p w14:paraId="3CA08520" w14:textId="77777777" w:rsidR="00E11274" w:rsidRPr="00A32567" w:rsidRDefault="00E11274" w:rsidP="00E11274">
      <w:pPr>
        <w:pStyle w:val="Textonotapie"/>
        <w:kinsoku w:val="0"/>
        <w:overflowPunct w:val="0"/>
        <w:autoSpaceDE w:val="0"/>
        <w:autoSpaceDN w:val="0"/>
        <w:adjustRightInd w:val="0"/>
        <w:snapToGrid w:val="0"/>
        <w:ind w:firstLine="0"/>
        <w:rPr>
          <w:szCs w:val="18"/>
          <w:lang w:val="es-AR"/>
        </w:rPr>
      </w:pPr>
      <w:r w:rsidRPr="00972B48">
        <w:rPr>
          <w:rStyle w:val="Refdenotaalpie"/>
          <w:rFonts w:eastAsia="MS Gothic"/>
          <w:kern w:val="18"/>
          <w:szCs w:val="18"/>
        </w:rPr>
        <w:footnoteRef/>
      </w:r>
      <w:r w:rsidRPr="00A32567">
        <w:rPr>
          <w:kern w:val="18"/>
          <w:szCs w:val="18"/>
          <w:lang w:val="es-AR"/>
        </w:rPr>
        <w:t> En el anexo de la decisión XII/12 B, la Conferencia de las Partes adoptó un Plan de acción mundial sobre utilización consuetudinaria sostenible de la diversidad biológica.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1AD31D2D" w:rsidR="00534681" w:rsidRPr="007B078D" w:rsidRDefault="003A2AB0" w:rsidP="00534681">
        <w:pPr>
          <w:pStyle w:val="Encabezado"/>
          <w:rPr>
            <w:lang w:val="fr-FR"/>
          </w:rPr>
        </w:pPr>
        <w:r>
          <w:rPr>
            <w:lang w:val="fr-FR"/>
          </w:rPr>
          <w:t>CBD/COP/14/L.6</w:t>
        </w:r>
      </w:p>
    </w:sdtContent>
  </w:sdt>
  <w:p w14:paraId="2FD00833" w14:textId="027C2484" w:rsidR="00534681" w:rsidRPr="007B078D" w:rsidRDefault="00534681" w:rsidP="00534681">
    <w:pPr>
      <w:pStyle w:val="Encabezado"/>
    </w:pPr>
    <w:r>
      <w:t xml:space="preserve">Página </w:t>
    </w:r>
    <w:r>
      <w:fldChar w:fldCharType="begin"/>
    </w:r>
    <w:r w:rsidRPr="007B078D">
      <w:instrText xml:space="preserve"> PAGE   \* MERGEFORMAT </w:instrText>
    </w:r>
    <w:r>
      <w:fldChar w:fldCharType="separate"/>
    </w:r>
    <w:r w:rsidR="00602837">
      <w:t>2</w:t>
    </w:r>
    <w:r>
      <w:fldChar w:fldCharType="end"/>
    </w:r>
  </w:p>
  <w:p w14:paraId="2FD00834" w14:textId="77777777" w:rsidR="00534681" w:rsidRPr="007B078D" w:rsidRDefault="00534681">
    <w:pPr>
      <w:pStyle w:val="Encabezado"/>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28558791" w:rsidR="009505C9" w:rsidRPr="007B078D" w:rsidRDefault="003A2AB0" w:rsidP="009505C9">
        <w:pPr>
          <w:pStyle w:val="Encabezado"/>
          <w:jc w:val="right"/>
          <w:rPr>
            <w:lang w:val="fr-FR"/>
          </w:rPr>
        </w:pPr>
        <w:r>
          <w:rPr>
            <w:lang w:val="fr-FR"/>
          </w:rPr>
          <w:t>CBD/COP/14/L.6</w:t>
        </w:r>
      </w:p>
    </w:sdtContent>
  </w:sdt>
  <w:p w14:paraId="2FD00836" w14:textId="5D10D432" w:rsidR="009505C9" w:rsidRPr="007B078D" w:rsidRDefault="009505C9" w:rsidP="009505C9">
    <w:pPr>
      <w:pStyle w:val="Encabezado"/>
      <w:jc w:val="right"/>
    </w:pPr>
    <w:r>
      <w:t xml:space="preserve">Página </w:t>
    </w:r>
    <w:r>
      <w:fldChar w:fldCharType="begin"/>
    </w:r>
    <w:r w:rsidRPr="007B078D">
      <w:instrText xml:space="preserve"> PAGE   \* MERGEFORMAT </w:instrText>
    </w:r>
    <w:r>
      <w:fldChar w:fldCharType="separate"/>
    </w:r>
    <w:r w:rsidR="00602837">
      <w:t>3</w:t>
    </w:r>
    <w:r>
      <w:fldChar w:fldCharType="end"/>
    </w:r>
  </w:p>
  <w:p w14:paraId="2FD00837" w14:textId="77777777" w:rsidR="009505C9" w:rsidRPr="007B078D" w:rsidRDefault="009505C9">
    <w:pPr>
      <w:pStyle w:val="Encabezado"/>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37D4224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s-AR" w:vendorID="64" w:dllVersion="0" w:nlCheck="1" w:checkStyle="0"/>
  <w:proofState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E673A"/>
    <w:rsid w:val="000F4914"/>
    <w:rsid w:val="000F74F5"/>
    <w:rsid w:val="00105372"/>
    <w:rsid w:val="00131E7A"/>
    <w:rsid w:val="001571F7"/>
    <w:rsid w:val="00172AF6"/>
    <w:rsid w:val="00176CEE"/>
    <w:rsid w:val="00186DD8"/>
    <w:rsid w:val="00273079"/>
    <w:rsid w:val="002847F8"/>
    <w:rsid w:val="00372F74"/>
    <w:rsid w:val="003A2AB0"/>
    <w:rsid w:val="003D6DF7"/>
    <w:rsid w:val="003F7224"/>
    <w:rsid w:val="004003A5"/>
    <w:rsid w:val="00427D21"/>
    <w:rsid w:val="004352AF"/>
    <w:rsid w:val="004644C2"/>
    <w:rsid w:val="00467F9C"/>
    <w:rsid w:val="004E2AAE"/>
    <w:rsid w:val="00534681"/>
    <w:rsid w:val="00602837"/>
    <w:rsid w:val="006122BA"/>
    <w:rsid w:val="0068672C"/>
    <w:rsid w:val="006B2290"/>
    <w:rsid w:val="006C6B9C"/>
    <w:rsid w:val="00717D88"/>
    <w:rsid w:val="007942D3"/>
    <w:rsid w:val="007B078D"/>
    <w:rsid w:val="007B6C09"/>
    <w:rsid w:val="007E09DA"/>
    <w:rsid w:val="007E0CB1"/>
    <w:rsid w:val="008178B6"/>
    <w:rsid w:val="00865B74"/>
    <w:rsid w:val="008E5943"/>
    <w:rsid w:val="00911DD6"/>
    <w:rsid w:val="00930BA1"/>
    <w:rsid w:val="0093169E"/>
    <w:rsid w:val="009505C9"/>
    <w:rsid w:val="00A455D7"/>
    <w:rsid w:val="00A91D4C"/>
    <w:rsid w:val="00AB3B56"/>
    <w:rsid w:val="00B3369F"/>
    <w:rsid w:val="00C16501"/>
    <w:rsid w:val="00C443BD"/>
    <w:rsid w:val="00C9161D"/>
    <w:rsid w:val="00CF1848"/>
    <w:rsid w:val="00D12044"/>
    <w:rsid w:val="00D76A18"/>
    <w:rsid w:val="00DB124A"/>
    <w:rsid w:val="00DB57BF"/>
    <w:rsid w:val="00DD118C"/>
    <w:rsid w:val="00DE5AC9"/>
    <w:rsid w:val="00E11274"/>
    <w:rsid w:val="00E44AAB"/>
    <w:rsid w:val="00E66235"/>
    <w:rsid w:val="00E83C24"/>
    <w:rsid w:val="00E9318D"/>
    <w:rsid w:val="00E94B3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s-ES"/>
    </w:rPr>
  </w:style>
  <w:style w:type="paragraph" w:styleId="NormalWeb">
    <w:name w:val="Normal (Web)"/>
    <w:basedOn w:val="Normal"/>
    <w:uiPriority w:val="99"/>
    <w:unhideWhenUsed/>
    <w:rsid w:val="00911DD6"/>
    <w:rPr>
      <w:sz w:val="24"/>
    </w:rPr>
  </w:style>
  <w:style w:type="paragraph" w:styleId="Asuntodelcomentario">
    <w:name w:val="annotation subject"/>
    <w:basedOn w:val="Textocomentario"/>
    <w:next w:val="Textocomentario"/>
    <w:link w:val="AsuntodelcomentarioCar"/>
    <w:uiPriority w:val="99"/>
    <w:semiHidden/>
    <w:unhideWhenUsed/>
    <w:rsid w:val="008E5943"/>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8E5943"/>
    <w:rPr>
      <w:rFonts w:ascii="Times New Roman" w:eastAsia="Times New Roman" w:hAnsi="Times New Roman" w:cs="Times New Roman"/>
      <w:b/>
      <w:bCs/>
      <w:sz w:val="20"/>
      <w:szCs w:val="20"/>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E11274"/>
    <w:pPr>
      <w:spacing w:after="160" w:line="240" w:lineRule="exact"/>
    </w:pPr>
    <w:rPr>
      <w:rFonts w:asciiTheme="minorHAnsi" w:eastAsiaTheme="minorEastAsia"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801B3"/>
    <w:rsid w:val="00810A55"/>
    <w:rsid w:val="008C6619"/>
    <w:rsid w:val="008D420E"/>
    <w:rsid w:val="0098642F"/>
    <w:rsid w:val="00F5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C8DCBB-3210-43BA-9F11-15E962BE0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1479</Words>
  <Characters>8139</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Methodological guidance concerning the contributions of indigenous peoples and local communities</vt:lpstr>
      <vt:lpstr>Methodological guidance concerning the contributions of indigenous peoples and local communities</vt:lpstr>
    </vt:vector>
  </TitlesOfParts>
  <Company>SCBD</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ORIENTACIÓN METODOLÓGICA RELATIVA A LAS CONTRIBUCIONES DE LOS PUEBLOS INDÍGENAS Y LAS COMUNIDADES LOCALES</dc:title>
  <dc:subject>CBD/COP/14/L.6</dc:subject>
  <dc:creator>COP 14</dc:creator>
  <cp:keywords>Resource mobilization and the financial mechanism</cp:keywords>
  <cp:lastModifiedBy>Maria Troitino</cp:lastModifiedBy>
  <cp:revision>4</cp:revision>
  <cp:lastPrinted>2018-11-22T15:29:00Z</cp:lastPrinted>
  <dcterms:created xsi:type="dcterms:W3CDTF">2018-11-22T17:36:00Z</dcterms:created>
  <dcterms:modified xsi:type="dcterms:W3CDTF">2018-11-22T17:50:00Z</dcterms:modified>
  <cp:contentStatus>limitada</cp:contentStatus>
</cp:coreProperties>
</file>