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F1FEA" w:rsidTr="00CF1848">
        <w:trPr>
          <w:trHeight w:val="709"/>
        </w:trPr>
        <w:tc>
          <w:tcPr>
            <w:tcW w:w="976" w:type="dxa"/>
            <w:tcBorders>
              <w:bottom w:val="single" w:sz="12" w:space="0" w:color="auto"/>
            </w:tcBorders>
          </w:tcPr>
          <w:p w:rsidR="00C9161D" w:rsidRPr="00A21C4F" w:rsidRDefault="00C9161D" w:rsidP="001838BA">
            <w:pPr>
              <w:suppressLineNumbers/>
              <w:suppressAutoHyphens/>
              <w:kinsoku w:val="0"/>
              <w:overflowPunct w:val="0"/>
              <w:autoSpaceDE w:val="0"/>
              <w:autoSpaceDN w:val="0"/>
              <w:adjustRightInd w:val="0"/>
              <w:snapToGrid w:val="0"/>
              <w:rPr>
                <w:kern w:val="22"/>
              </w:rPr>
            </w:pPr>
            <w:r w:rsidRPr="00CF1FEA">
              <w:rPr>
                <w:noProof/>
                <w:kern w:val="22"/>
                <w:lang w:eastAsia="en-CA"/>
              </w:rPr>
              <w:drawing>
                <wp:inline distT="0" distB="0" distL="0" distR="0" wp14:anchorId="5BD0D707" wp14:editId="75D6064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A21C4F" w:rsidRDefault="00C9161D" w:rsidP="001838BA">
            <w:pPr>
              <w:suppressLineNumbers/>
              <w:suppressAutoHyphens/>
              <w:kinsoku w:val="0"/>
              <w:overflowPunct w:val="0"/>
              <w:autoSpaceDE w:val="0"/>
              <w:autoSpaceDN w:val="0"/>
              <w:adjustRightInd w:val="0"/>
              <w:snapToGrid w:val="0"/>
              <w:rPr>
                <w:kern w:val="22"/>
              </w:rPr>
            </w:pPr>
            <w:r w:rsidRPr="00CF1FEA">
              <w:rPr>
                <w:noProof/>
                <w:kern w:val="22"/>
                <w:lang w:eastAsia="en-CA"/>
              </w:rPr>
              <w:drawing>
                <wp:inline distT="0" distB="0" distL="0" distR="0" wp14:anchorId="2EBAB5DE" wp14:editId="4BDFDFC9">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F24F4A" w:rsidRDefault="00C9161D" w:rsidP="001838BA">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F24F4A">
              <w:rPr>
                <w:rFonts w:ascii="Arial" w:hAnsi="Arial" w:cs="Arial"/>
                <w:b/>
                <w:kern w:val="22"/>
                <w:sz w:val="32"/>
                <w:szCs w:val="32"/>
              </w:rPr>
              <w:t>CBD</w:t>
            </w:r>
          </w:p>
        </w:tc>
      </w:tr>
      <w:tr w:rsidR="00C9161D" w:rsidRPr="00CF1FEA" w:rsidTr="00CF1848">
        <w:tc>
          <w:tcPr>
            <w:tcW w:w="6117" w:type="dxa"/>
            <w:gridSpan w:val="2"/>
            <w:tcBorders>
              <w:top w:val="single" w:sz="12" w:space="0" w:color="auto"/>
              <w:bottom w:val="single" w:sz="36" w:space="0" w:color="auto"/>
            </w:tcBorders>
            <w:vAlign w:val="center"/>
          </w:tcPr>
          <w:p w:rsidR="00C9161D" w:rsidRPr="00A21C4F" w:rsidRDefault="00D2594C" w:rsidP="001838BA">
            <w:pPr>
              <w:suppressLineNumbers/>
              <w:suppressAutoHyphens/>
              <w:kinsoku w:val="0"/>
              <w:overflowPunct w:val="0"/>
              <w:autoSpaceDE w:val="0"/>
              <w:autoSpaceDN w:val="0"/>
              <w:adjustRightInd w:val="0"/>
              <w:snapToGrid w:val="0"/>
              <w:rPr>
                <w:kern w:val="22"/>
              </w:rPr>
            </w:pPr>
            <w:r w:rsidRPr="00CF1FEA">
              <w:rPr>
                <w:noProof/>
                <w:snapToGrid w:val="0"/>
                <w:kern w:val="22"/>
              </w:rPr>
              <w:drawing>
                <wp:inline distT="0" distB="0" distL="0" distR="0" wp14:anchorId="4F3233DB" wp14:editId="53FC44FB">
                  <wp:extent cx="2887853" cy="1080000"/>
                  <wp:effectExtent l="0" t="0" r="8255" b="12700"/>
                  <wp:docPr id="2" name="Picture 2"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F24F4A" w:rsidRDefault="00C9161D" w:rsidP="001838BA">
            <w:pPr>
              <w:suppressLineNumbers/>
              <w:suppressAutoHyphens/>
              <w:kinsoku w:val="0"/>
              <w:overflowPunct w:val="0"/>
              <w:autoSpaceDE w:val="0"/>
              <w:autoSpaceDN w:val="0"/>
              <w:adjustRightInd w:val="0"/>
              <w:snapToGrid w:val="0"/>
              <w:ind w:left="1215"/>
              <w:rPr>
                <w:kern w:val="22"/>
                <w:szCs w:val="22"/>
              </w:rPr>
            </w:pPr>
            <w:r w:rsidRPr="00F24F4A">
              <w:rPr>
                <w:kern w:val="22"/>
                <w:szCs w:val="22"/>
              </w:rPr>
              <w:t>Distr.</w:t>
            </w:r>
          </w:p>
          <w:p w:rsidR="00C9161D" w:rsidRPr="00A21C4F" w:rsidRDefault="00F24F4A" w:rsidP="001838BA">
            <w:pPr>
              <w:suppressLineNumbers/>
              <w:suppressAutoHyphens/>
              <w:kinsoku w:val="0"/>
              <w:overflowPunct w:val="0"/>
              <w:autoSpaceDE w:val="0"/>
              <w:autoSpaceDN w:val="0"/>
              <w:adjustRightInd w:val="0"/>
              <w:snapToGrid w:val="0"/>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172AF6" w:rsidRPr="00A21C4F">
                  <w:rPr>
                    <w:caps/>
                    <w:kern w:val="22"/>
                    <w:szCs w:val="22"/>
                  </w:rPr>
                  <w:t>GENERAL</w:t>
                </w:r>
              </w:sdtContent>
            </w:sdt>
          </w:p>
          <w:p w:rsidR="00C9161D" w:rsidRPr="00F24F4A" w:rsidRDefault="00C9161D" w:rsidP="001838BA">
            <w:pPr>
              <w:suppressLineNumbers/>
              <w:suppressAutoHyphens/>
              <w:kinsoku w:val="0"/>
              <w:overflowPunct w:val="0"/>
              <w:autoSpaceDE w:val="0"/>
              <w:autoSpaceDN w:val="0"/>
              <w:adjustRightInd w:val="0"/>
              <w:snapToGrid w:val="0"/>
              <w:ind w:left="1215"/>
              <w:rPr>
                <w:kern w:val="22"/>
                <w:szCs w:val="22"/>
              </w:rPr>
            </w:pPr>
          </w:p>
          <w:p w:rsidR="00C9161D" w:rsidRPr="00A21C4F" w:rsidRDefault="00F24F4A" w:rsidP="001838BA">
            <w:pPr>
              <w:suppressLineNumbers/>
              <w:suppressAutoHyphens/>
              <w:kinsoku w:val="0"/>
              <w:overflowPunct w:val="0"/>
              <w:autoSpaceDE w:val="0"/>
              <w:autoSpaceDN w:val="0"/>
              <w:adjustRightInd w:val="0"/>
              <w:snapToGrid w:val="0"/>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9B7C1B" w:rsidRPr="00CF1FEA">
                  <w:rPr>
                    <w:kern w:val="22"/>
                  </w:rPr>
                  <w:t>CBD/COP/14/5</w:t>
                </w:r>
              </w:sdtContent>
            </w:sdt>
          </w:p>
          <w:p w:rsidR="00C9161D" w:rsidRPr="00A21C4F" w:rsidRDefault="00F24F4A" w:rsidP="001838BA">
            <w:pPr>
              <w:suppressLineNumbers/>
              <w:suppressAutoHyphens/>
              <w:kinsoku w:val="0"/>
              <w:overflowPunct w:val="0"/>
              <w:autoSpaceDE w:val="0"/>
              <w:autoSpaceDN w:val="0"/>
              <w:adjustRightInd w:val="0"/>
              <w:snapToGrid w:val="0"/>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9-24T00:00:00Z">
                  <w:dateFormat w:val="d MMMM yyyy"/>
                  <w:lid w:val="en-US"/>
                  <w:storeMappedDataAs w:val="dateTime"/>
                  <w:calendar w:val="gregorian"/>
                </w:date>
              </w:sdtPr>
              <w:sdtContent>
                <w:r w:rsidR="009B7C1B" w:rsidRPr="00A21C4F">
                  <w:rPr>
                    <w:kern w:val="22"/>
                    <w:szCs w:val="22"/>
                  </w:rPr>
                  <w:t>24 September 2018</w:t>
                </w:r>
              </w:sdtContent>
            </w:sdt>
          </w:p>
          <w:p w:rsidR="00C9161D" w:rsidRPr="00F24F4A" w:rsidRDefault="00C9161D" w:rsidP="001838BA">
            <w:pPr>
              <w:suppressLineNumbers/>
              <w:suppressAutoHyphens/>
              <w:kinsoku w:val="0"/>
              <w:overflowPunct w:val="0"/>
              <w:autoSpaceDE w:val="0"/>
              <w:autoSpaceDN w:val="0"/>
              <w:adjustRightInd w:val="0"/>
              <w:snapToGrid w:val="0"/>
              <w:ind w:left="1215"/>
              <w:rPr>
                <w:kern w:val="22"/>
                <w:szCs w:val="22"/>
              </w:rPr>
            </w:pPr>
          </w:p>
          <w:p w:rsidR="00C9161D" w:rsidRPr="00E22BDA" w:rsidRDefault="006B2290" w:rsidP="001838BA">
            <w:pPr>
              <w:suppressLineNumbers/>
              <w:suppressAutoHyphens/>
              <w:kinsoku w:val="0"/>
              <w:overflowPunct w:val="0"/>
              <w:autoSpaceDE w:val="0"/>
              <w:autoSpaceDN w:val="0"/>
              <w:adjustRightInd w:val="0"/>
              <w:snapToGrid w:val="0"/>
              <w:ind w:left="1215"/>
              <w:rPr>
                <w:kern w:val="22"/>
                <w:szCs w:val="22"/>
              </w:rPr>
            </w:pPr>
            <w:r w:rsidRPr="00F24F4A">
              <w:rPr>
                <w:kern w:val="22"/>
                <w:szCs w:val="22"/>
              </w:rPr>
              <w:t xml:space="preserve">ORIGINAL: </w:t>
            </w:r>
            <w:r w:rsidR="00C9161D" w:rsidRPr="00E22BDA">
              <w:rPr>
                <w:kern w:val="22"/>
                <w:szCs w:val="22"/>
              </w:rPr>
              <w:t>ENGLISH</w:t>
            </w:r>
          </w:p>
          <w:p w:rsidR="00C9161D" w:rsidRPr="00CF1FEA" w:rsidRDefault="00C9161D" w:rsidP="001838BA">
            <w:pPr>
              <w:suppressLineNumbers/>
              <w:suppressAutoHyphens/>
              <w:kinsoku w:val="0"/>
              <w:overflowPunct w:val="0"/>
              <w:autoSpaceDE w:val="0"/>
              <w:autoSpaceDN w:val="0"/>
              <w:adjustRightInd w:val="0"/>
              <w:snapToGrid w:val="0"/>
              <w:rPr>
                <w:kern w:val="22"/>
              </w:rPr>
            </w:pPr>
          </w:p>
        </w:tc>
      </w:tr>
    </w:tbl>
    <w:p w:rsidR="009B7C1B" w:rsidRPr="00CF1FEA" w:rsidRDefault="009B7C1B" w:rsidP="009B7C1B">
      <w:pPr>
        <w:pStyle w:val="Cornernotation"/>
        <w:suppressLineNumbers/>
        <w:suppressAutoHyphens/>
        <w:kinsoku w:val="0"/>
        <w:overflowPunct w:val="0"/>
        <w:autoSpaceDE w:val="0"/>
        <w:autoSpaceDN w:val="0"/>
        <w:ind w:left="180" w:right="4422" w:hanging="180"/>
        <w:rPr>
          <w:kern w:val="22"/>
        </w:rPr>
      </w:pPr>
      <w:r w:rsidRPr="00CF1FEA">
        <w:rPr>
          <w:kern w:val="22"/>
        </w:rPr>
        <w:t>CONFERENCE OF THE PARTIES TO THE CONVENTION ON BIOLOGICAL DIVERSITY</w:t>
      </w:r>
    </w:p>
    <w:p w:rsidR="009B7C1B" w:rsidRPr="00CF1FEA" w:rsidRDefault="009B7C1B" w:rsidP="009B7C1B">
      <w:pPr>
        <w:pStyle w:val="Cornernotation"/>
        <w:suppressLineNumbers/>
        <w:suppressAutoHyphens/>
        <w:kinsoku w:val="0"/>
        <w:overflowPunct w:val="0"/>
        <w:autoSpaceDE w:val="0"/>
        <w:autoSpaceDN w:val="0"/>
        <w:ind w:left="180" w:right="4422" w:hanging="180"/>
        <w:rPr>
          <w:kern w:val="22"/>
        </w:rPr>
      </w:pPr>
      <w:r w:rsidRPr="00CF1FEA">
        <w:rPr>
          <w:kern w:val="22"/>
        </w:rPr>
        <w:t>Fourteenth meeting</w:t>
      </w:r>
    </w:p>
    <w:p w:rsidR="009B7C1B" w:rsidRPr="00CF1FEA" w:rsidRDefault="009B7C1B" w:rsidP="009B7C1B">
      <w:pPr>
        <w:pStyle w:val="Cornernotation"/>
        <w:suppressLineNumbers/>
        <w:suppressAutoHyphens/>
        <w:kinsoku w:val="0"/>
        <w:overflowPunct w:val="0"/>
        <w:autoSpaceDE w:val="0"/>
        <w:autoSpaceDN w:val="0"/>
        <w:ind w:left="180" w:right="4422" w:hanging="180"/>
        <w:rPr>
          <w:kern w:val="22"/>
        </w:rPr>
      </w:pPr>
      <w:r w:rsidRPr="00CF1FEA">
        <w:rPr>
          <w:kern w:val="22"/>
        </w:rPr>
        <w:t>Sharm El-Sheikh, Egypt, 17-29 November 2018</w:t>
      </w:r>
    </w:p>
    <w:p w:rsidR="009B7C1B" w:rsidRPr="000D4F43" w:rsidRDefault="009B7C1B" w:rsidP="00CF1FEA">
      <w:pPr>
        <w:suppressLineNumbers/>
        <w:suppressAutoHyphens/>
        <w:kinsoku w:val="0"/>
        <w:overflowPunct w:val="0"/>
        <w:autoSpaceDE w:val="0"/>
        <w:autoSpaceDN w:val="0"/>
        <w:adjustRightInd w:val="0"/>
        <w:snapToGrid w:val="0"/>
        <w:spacing w:after="120"/>
        <w:rPr>
          <w:snapToGrid w:val="0"/>
          <w:kern w:val="22"/>
          <w:szCs w:val="22"/>
          <w:lang w:eastAsia="nb-NO"/>
        </w:rPr>
      </w:pPr>
      <w:r w:rsidRPr="00A21C4F">
        <w:rPr>
          <w:snapToGrid w:val="0"/>
          <w:kern w:val="22"/>
          <w:szCs w:val="22"/>
          <w:lang w:eastAsia="nb-NO"/>
        </w:rPr>
        <w:t>Item 8 of the provisional agenda</w:t>
      </w:r>
      <w:r w:rsidRPr="000D4F43">
        <w:rPr>
          <w:rStyle w:val="FootnoteReference"/>
          <w:rFonts w:eastAsiaTheme="majorEastAsia"/>
          <w:snapToGrid w:val="0"/>
          <w:kern w:val="22"/>
          <w:szCs w:val="22"/>
          <w:lang w:eastAsia="nb-NO"/>
        </w:rPr>
        <w:footnoteReference w:customMarkFollows="1" w:id="1"/>
        <w:t>*</w:t>
      </w:r>
    </w:p>
    <w:p w:rsidR="00C9161D" w:rsidRPr="00A21C4F" w:rsidRDefault="00750F2A" w:rsidP="00CF1FEA">
      <w:pPr>
        <w:suppressLineNumbers/>
        <w:suppressAutoHyphens/>
        <w:kinsoku w:val="0"/>
        <w:overflowPunct w:val="0"/>
        <w:autoSpaceDE w:val="0"/>
        <w:autoSpaceDN w:val="0"/>
        <w:adjustRightInd w:val="0"/>
        <w:snapToGrid w:val="0"/>
        <w:spacing w:before="240" w:after="120"/>
        <w:jc w:val="center"/>
        <w:rPr>
          <w:b/>
          <w:caps/>
          <w:kern w:val="22"/>
        </w:rPr>
      </w:pPr>
      <w:sdt>
        <w:sdtPr>
          <w:rPr>
            <w:rStyle w:val="Heading2Char"/>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CF1FEA">
            <w:rPr>
              <w:rStyle w:val="Heading2Char"/>
              <w:caps/>
              <w:kern w:val="22"/>
            </w:rPr>
            <w:t>Progress in the implementation of the Convention and the Strategic Plan for Biodiversity 2011-2020 and towards the achievement of the Aichi Biodiversity Targets</w:t>
          </w:r>
        </w:sdtContent>
      </w:sdt>
    </w:p>
    <w:p w:rsidR="009E4766" w:rsidRPr="000D4F43" w:rsidRDefault="009E4766" w:rsidP="001838BA">
      <w:pPr>
        <w:pStyle w:val="Heading2"/>
        <w:suppressLineNumbers/>
        <w:tabs>
          <w:tab w:val="clear" w:pos="720"/>
        </w:tabs>
        <w:suppressAutoHyphens/>
        <w:kinsoku w:val="0"/>
        <w:overflowPunct w:val="0"/>
        <w:autoSpaceDE w:val="0"/>
        <w:autoSpaceDN w:val="0"/>
        <w:adjustRightInd w:val="0"/>
        <w:snapToGrid w:val="0"/>
        <w:rPr>
          <w:b w:val="0"/>
          <w:i/>
          <w:snapToGrid w:val="0"/>
          <w:kern w:val="22"/>
          <w:szCs w:val="22"/>
        </w:rPr>
      </w:pPr>
      <w:r w:rsidRPr="000D4F43">
        <w:rPr>
          <w:b w:val="0"/>
          <w:i/>
          <w:snapToGrid w:val="0"/>
          <w:kern w:val="22"/>
          <w:szCs w:val="22"/>
        </w:rPr>
        <w:t>Note by the Executive Secretary</w:t>
      </w:r>
    </w:p>
    <w:p w:rsidR="009E4766" w:rsidRPr="00134A2D" w:rsidRDefault="009E4766" w:rsidP="001838BA">
      <w:pPr>
        <w:pStyle w:val="Heading1"/>
        <w:suppressLineNumbers/>
        <w:tabs>
          <w:tab w:val="clear" w:pos="720"/>
        </w:tabs>
        <w:suppressAutoHyphens/>
        <w:kinsoku w:val="0"/>
        <w:overflowPunct w:val="0"/>
        <w:autoSpaceDE w:val="0"/>
        <w:autoSpaceDN w:val="0"/>
        <w:adjustRightInd w:val="0"/>
        <w:snapToGrid w:val="0"/>
        <w:spacing w:before="120"/>
        <w:rPr>
          <w:snapToGrid w:val="0"/>
          <w:kern w:val="22"/>
          <w:szCs w:val="22"/>
        </w:rPr>
      </w:pPr>
      <w:r w:rsidRPr="00134A2D">
        <w:rPr>
          <w:snapToGrid w:val="0"/>
          <w:kern w:val="22"/>
          <w:szCs w:val="22"/>
        </w:rPr>
        <w:t>BACKGROUND</w:t>
      </w:r>
      <w:bookmarkStart w:id="0" w:name="_GoBack"/>
      <w:bookmarkEnd w:id="0"/>
    </w:p>
    <w:p w:rsidR="009E4766" w:rsidRPr="00CF1FEA" w:rsidRDefault="009E4766" w:rsidP="00CF1FEA">
      <w:pPr>
        <w:pStyle w:val="Para1"/>
        <w:numPr>
          <w:ilvl w:val="0"/>
          <w:numId w:val="2"/>
        </w:numPr>
        <w:suppressLineNumbers/>
        <w:tabs>
          <w:tab w:val="clear" w:pos="360"/>
        </w:tabs>
        <w:suppressAutoHyphens/>
        <w:kinsoku w:val="0"/>
        <w:overflowPunct w:val="0"/>
        <w:autoSpaceDE w:val="0"/>
        <w:autoSpaceDN w:val="0"/>
        <w:adjustRightInd w:val="0"/>
        <w:snapToGrid w:val="0"/>
        <w:rPr>
          <w:spacing w:val="-1"/>
          <w:kern w:val="22"/>
          <w:szCs w:val="22"/>
        </w:rPr>
      </w:pPr>
      <w:r w:rsidRPr="00CF1FEA">
        <w:rPr>
          <w:spacing w:val="-1"/>
          <w:kern w:val="22"/>
          <w:szCs w:val="22"/>
        </w:rPr>
        <w:t xml:space="preserve">In decision </w:t>
      </w:r>
      <w:hyperlink r:id="rId12" w:history="1">
        <w:r w:rsidRPr="00CF1FEA">
          <w:rPr>
            <w:rStyle w:val="Hyperlink"/>
            <w:spacing w:val="-1"/>
            <w:kern w:val="22"/>
            <w:sz w:val="22"/>
          </w:rPr>
          <w:t>X/2</w:t>
        </w:r>
      </w:hyperlink>
      <w:r w:rsidRPr="00CF1FEA">
        <w:rPr>
          <w:spacing w:val="-1"/>
          <w:kern w:val="22"/>
          <w:szCs w:val="22"/>
        </w:rPr>
        <w:t xml:space="preserve"> the Conference of the Parties decided that, at its future meetings, it would review progress in the implementation of the </w:t>
      </w:r>
      <w:hyperlink r:id="rId13" w:history="1">
        <w:r w:rsidRPr="00CF1FEA">
          <w:rPr>
            <w:rStyle w:val="Hyperlink"/>
            <w:spacing w:val="-1"/>
            <w:kern w:val="22"/>
            <w:sz w:val="22"/>
            <w:szCs w:val="22"/>
          </w:rPr>
          <w:t>Strategic Plan for Biodiversity 2011-2020</w:t>
        </w:r>
      </w:hyperlink>
      <w:r w:rsidRPr="00CF1FEA">
        <w:rPr>
          <w:spacing w:val="-1"/>
          <w:kern w:val="22"/>
          <w:szCs w:val="22"/>
        </w:rPr>
        <w:t xml:space="preserve"> (para.</w:t>
      </w:r>
      <w:r w:rsidR="00B96B6A" w:rsidRPr="00CF1FEA">
        <w:rPr>
          <w:spacing w:val="-1"/>
          <w:kern w:val="22"/>
          <w:szCs w:val="22"/>
        </w:rPr>
        <w:t> </w:t>
      </w:r>
      <w:r w:rsidRPr="00CF1FEA">
        <w:rPr>
          <w:spacing w:val="-1"/>
          <w:kern w:val="22"/>
          <w:szCs w:val="22"/>
        </w:rPr>
        <w:t>14), and requested the Executive Secretary to prepare an analysis/synthesis of national, regional and other actions, including targets as appropriate, established in accordance with the Strategic Plan (para.</w:t>
      </w:r>
      <w:r w:rsidR="00B96B6A" w:rsidRPr="00CF1FEA">
        <w:rPr>
          <w:spacing w:val="-1"/>
          <w:kern w:val="22"/>
          <w:szCs w:val="22"/>
        </w:rPr>
        <w:t> </w:t>
      </w:r>
      <w:r w:rsidRPr="00CF1FEA">
        <w:rPr>
          <w:spacing w:val="-1"/>
          <w:kern w:val="22"/>
          <w:szCs w:val="22"/>
        </w:rPr>
        <w:t xml:space="preserve">17(b)), to enable the Conference of </w:t>
      </w:r>
      <w:r w:rsidR="00C9756C" w:rsidRPr="00CF1FEA">
        <w:rPr>
          <w:spacing w:val="-1"/>
          <w:kern w:val="22"/>
          <w:szCs w:val="22"/>
        </w:rPr>
        <w:t xml:space="preserve">the </w:t>
      </w:r>
      <w:r w:rsidRPr="00CF1FEA">
        <w:rPr>
          <w:spacing w:val="-1"/>
          <w:kern w:val="22"/>
          <w:szCs w:val="22"/>
        </w:rPr>
        <w:t>Parties to assess the contribution of such national and regional targets to the global targets.</w:t>
      </w:r>
    </w:p>
    <w:p w:rsidR="009E4766" w:rsidRPr="00E22BDA" w:rsidRDefault="009E4766" w:rsidP="00CF1FE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F24F4A">
        <w:rPr>
          <w:kern w:val="22"/>
          <w:szCs w:val="22"/>
        </w:rPr>
        <w:t xml:space="preserve">Further, in decision X/2, paragraph 3, </w:t>
      </w:r>
      <w:r w:rsidRPr="00F24F4A">
        <w:rPr>
          <w:iCs/>
          <w:kern w:val="22"/>
          <w:szCs w:val="22"/>
        </w:rPr>
        <w:t xml:space="preserve">the Conference of the </w:t>
      </w:r>
      <w:r w:rsidRPr="00F24F4A">
        <w:rPr>
          <w:kern w:val="22"/>
          <w:szCs w:val="22"/>
        </w:rPr>
        <w:t>Parties urged Parties to review, a</w:t>
      </w:r>
      <w:r w:rsidRPr="00E22BDA">
        <w:rPr>
          <w:kern w:val="22"/>
          <w:szCs w:val="22"/>
        </w:rPr>
        <w:t xml:space="preserve">nd as appropriate, update and revise, their national biodiversity strategies and action plans (NBSAPs), in line with the Strategic Plan for Biodiversity 2011-2020 and the guidance adopted in decision </w:t>
      </w:r>
      <w:hyperlink r:id="rId14" w:history="1">
        <w:r w:rsidRPr="00CF1FEA">
          <w:rPr>
            <w:rStyle w:val="Hyperlink"/>
            <w:kern w:val="22"/>
            <w:sz w:val="22"/>
          </w:rPr>
          <w:t>IX/9</w:t>
        </w:r>
      </w:hyperlink>
      <w:r w:rsidRPr="00A21C4F">
        <w:rPr>
          <w:kern w:val="22"/>
          <w:szCs w:val="22"/>
        </w:rPr>
        <w:t>, integrating their national targets developed in the framework of the Strategic Plan and its Aichi Biodiversity Targets</w:t>
      </w:r>
      <w:r w:rsidRPr="00F24F4A">
        <w:rPr>
          <w:kern w:val="22"/>
          <w:szCs w:val="22"/>
        </w:rPr>
        <w:t xml:space="preserve"> into their NBSAPs. Subsequently, in decision </w:t>
      </w:r>
      <w:hyperlink r:id="rId15" w:history="1">
        <w:r w:rsidRPr="00CF1FEA">
          <w:rPr>
            <w:rStyle w:val="Hyperlink"/>
            <w:kern w:val="22"/>
            <w:sz w:val="22"/>
          </w:rPr>
          <w:t>XII/2 A</w:t>
        </w:r>
      </w:hyperlink>
      <w:r w:rsidRPr="00A21C4F">
        <w:rPr>
          <w:kern w:val="22"/>
          <w:szCs w:val="22"/>
        </w:rPr>
        <w:t>, paragraph 4, the Conference of the Parties urged</w:t>
      </w:r>
      <w:r w:rsidR="00B96B6A" w:rsidRPr="000D4F43">
        <w:rPr>
          <w:kern w:val="22"/>
          <w:szCs w:val="22"/>
        </w:rPr>
        <w:t xml:space="preserve"> </w:t>
      </w:r>
      <w:r w:rsidRPr="000D4F43">
        <w:rPr>
          <w:kern w:val="22"/>
          <w:szCs w:val="22"/>
        </w:rPr>
        <w:t>those Parties t</w:t>
      </w:r>
      <w:r w:rsidRPr="00F24F4A">
        <w:rPr>
          <w:kern w:val="22"/>
          <w:szCs w:val="22"/>
        </w:rPr>
        <w:t>hat had not yet done so, to review and, as appropriate, update and revise their NBSAPs in line with the Strategic Plan for Biodiversity 2011-2020, to adopt indicators at the national level as soon as possible and, in any event, no later than October 2015, and to submit their fifth national reports.</w:t>
      </w:r>
    </w:p>
    <w:p w:rsidR="009E4766" w:rsidRPr="00CF1FE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E22BDA">
        <w:rPr>
          <w:kern w:val="22"/>
          <w:szCs w:val="22"/>
        </w:rPr>
        <w:t xml:space="preserve">In decision </w:t>
      </w:r>
      <w:hyperlink r:id="rId16" w:history="1">
        <w:r w:rsidRPr="00CF1FEA">
          <w:rPr>
            <w:rStyle w:val="Hyperlink"/>
            <w:kern w:val="22"/>
            <w:sz w:val="22"/>
          </w:rPr>
          <w:t>XII/31</w:t>
        </w:r>
      </w:hyperlink>
      <w:r w:rsidRPr="00A21C4F">
        <w:rPr>
          <w:kern w:val="22"/>
          <w:szCs w:val="22"/>
        </w:rPr>
        <w:t>, the Conference of the Parti</w:t>
      </w:r>
      <w:r w:rsidRPr="000D4F43">
        <w:rPr>
          <w:kern w:val="22"/>
          <w:szCs w:val="22"/>
        </w:rPr>
        <w:t>es reaffirmed that it should review progress in the implementation of the Strategic Plan for Biodiversity 2011-2020 at each of its meetings to 2020, and that the development of further guidance for policy development and to support implementation should be</w:t>
      </w:r>
      <w:r w:rsidRPr="00F24F4A">
        <w:rPr>
          <w:kern w:val="22"/>
          <w:szCs w:val="22"/>
        </w:rPr>
        <w:t xml:space="preserve"> based on this review as well as on information available in national reports and on other information that may become available, including through scientific assessments. Further, </w:t>
      </w:r>
      <w:r w:rsidR="002D79DD" w:rsidRPr="00F24F4A">
        <w:rPr>
          <w:kern w:val="22"/>
          <w:szCs w:val="22"/>
        </w:rPr>
        <w:t xml:space="preserve">according to the </w:t>
      </w:r>
      <w:r w:rsidR="00AC5409" w:rsidRPr="00E22BDA">
        <w:rPr>
          <w:kern w:val="22"/>
          <w:szCs w:val="22"/>
        </w:rPr>
        <w:t>list of issues contain</w:t>
      </w:r>
      <w:r w:rsidR="002D79DD" w:rsidRPr="00E22BDA">
        <w:rPr>
          <w:kern w:val="22"/>
          <w:szCs w:val="22"/>
        </w:rPr>
        <w:t xml:space="preserve">ed in </w:t>
      </w:r>
      <w:r w:rsidRPr="00CF1FEA">
        <w:rPr>
          <w:kern w:val="22"/>
          <w:szCs w:val="22"/>
        </w:rPr>
        <w:t>the annex to this decision, the Conference of the Parties</w:t>
      </w:r>
      <w:r w:rsidR="002D79DD" w:rsidRPr="00CF1FEA">
        <w:rPr>
          <w:kern w:val="22"/>
          <w:szCs w:val="22"/>
        </w:rPr>
        <w:t xml:space="preserve"> at its thirteenth meeting</w:t>
      </w:r>
      <w:r w:rsidRPr="00CF1FEA">
        <w:rPr>
          <w:kern w:val="22"/>
          <w:szCs w:val="22"/>
        </w:rPr>
        <w:t xml:space="preserve"> </w:t>
      </w:r>
      <w:r w:rsidR="002D79DD" w:rsidRPr="00CF1FEA">
        <w:rPr>
          <w:kern w:val="22"/>
          <w:szCs w:val="22"/>
        </w:rPr>
        <w:t xml:space="preserve">was to </w:t>
      </w:r>
      <w:r w:rsidRPr="00CF1FEA">
        <w:rPr>
          <w:kern w:val="22"/>
          <w:szCs w:val="22"/>
        </w:rPr>
        <w:t>undertake</w:t>
      </w:r>
      <w:r w:rsidR="002D79DD" w:rsidRPr="00CF1FEA">
        <w:rPr>
          <w:kern w:val="22"/>
          <w:szCs w:val="22"/>
        </w:rPr>
        <w:t>, among other things,</w:t>
      </w:r>
      <w:r w:rsidRPr="00CF1FEA">
        <w:rPr>
          <w:kern w:val="22"/>
          <w:szCs w:val="22"/>
        </w:rPr>
        <w:t xml:space="preserve"> an interim review of progress towards the implementation of the Strategic Plan for Biodiversity 2011-2020 and the achievement of the Aichi Biodiversity Targets, and related means of implementation.</w:t>
      </w:r>
    </w:p>
    <w:p w:rsidR="009E4766" w:rsidRPr="00F24F4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CF1FEA">
        <w:rPr>
          <w:kern w:val="22"/>
          <w:szCs w:val="22"/>
        </w:rPr>
        <w:t xml:space="preserve">In decision </w:t>
      </w:r>
      <w:hyperlink r:id="rId17" w:history="1">
        <w:r w:rsidRPr="00CF1FEA">
          <w:rPr>
            <w:rStyle w:val="Hyperlink"/>
            <w:kern w:val="22"/>
            <w:sz w:val="22"/>
          </w:rPr>
          <w:t>XIII/1</w:t>
        </w:r>
      </w:hyperlink>
      <w:r w:rsidRPr="00A21C4F">
        <w:rPr>
          <w:kern w:val="22"/>
          <w:szCs w:val="22"/>
        </w:rPr>
        <w:t xml:space="preserve">, the Conference of the Parties </w:t>
      </w:r>
      <w:r w:rsidRPr="000D4F43">
        <w:rPr>
          <w:iCs/>
          <w:kern w:val="22"/>
          <w:szCs w:val="22"/>
        </w:rPr>
        <w:t>took note</w:t>
      </w:r>
      <w:r w:rsidRPr="000D4F43">
        <w:rPr>
          <w:i/>
          <w:kern w:val="22"/>
          <w:szCs w:val="22"/>
        </w:rPr>
        <w:t xml:space="preserve"> </w:t>
      </w:r>
      <w:r w:rsidRPr="00134A2D">
        <w:rPr>
          <w:kern w:val="22"/>
          <w:szCs w:val="22"/>
        </w:rPr>
        <w:t xml:space="preserve">of the analysis of progress towards the implementation of the Strategic Plan for Biodiversity 2011-2020 and the achievement of the Aichi Biodiversity Targets and of the updated report on progress towards the implementation of the </w:t>
      </w:r>
      <w:hyperlink r:id="rId18" w:history="1">
        <w:r w:rsidRPr="00CF1FEA">
          <w:rPr>
            <w:rStyle w:val="Hyperlink"/>
            <w:kern w:val="22"/>
            <w:sz w:val="22"/>
          </w:rPr>
          <w:t>Global Strategy for Plant Conservation</w:t>
        </w:r>
      </w:hyperlink>
      <w:r w:rsidRPr="00A21C4F">
        <w:rPr>
          <w:kern w:val="22"/>
          <w:szCs w:val="22"/>
        </w:rPr>
        <w:t xml:space="preserve">. In the same decision, the Conference of the Parties encouraged Parties, in </w:t>
      </w:r>
      <w:r w:rsidRPr="00A21C4F">
        <w:rPr>
          <w:kern w:val="22"/>
          <w:szCs w:val="22"/>
        </w:rPr>
        <w:lastRenderedPageBreak/>
        <w:t>the proc</w:t>
      </w:r>
      <w:r w:rsidRPr="00134A2D">
        <w:rPr>
          <w:kern w:val="22"/>
          <w:szCs w:val="22"/>
        </w:rPr>
        <w:t xml:space="preserve">ess of updating their </w:t>
      </w:r>
      <w:r w:rsidR="00A5202D" w:rsidRPr="00134A2D">
        <w:rPr>
          <w:kern w:val="22"/>
          <w:szCs w:val="22"/>
        </w:rPr>
        <w:t>NBSAPs</w:t>
      </w:r>
      <w:r w:rsidRPr="00134A2D">
        <w:rPr>
          <w:kern w:val="22"/>
          <w:szCs w:val="22"/>
        </w:rPr>
        <w:t>, to consider, as appropriate, the indicators for the Strategic Plan for Biodiversity 2011-2020 and the indicators for the Sustainable Development Goals.</w:t>
      </w:r>
    </w:p>
    <w:p w:rsidR="009E4766" w:rsidRPr="00F24F4A" w:rsidRDefault="00E14D63"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F24F4A">
        <w:rPr>
          <w:kern w:val="22"/>
          <w:szCs w:val="22"/>
        </w:rPr>
        <w:t>I</w:t>
      </w:r>
      <w:r w:rsidR="009E4766" w:rsidRPr="00E22BDA">
        <w:rPr>
          <w:kern w:val="22"/>
          <w:szCs w:val="22"/>
        </w:rPr>
        <w:t>n the same decision</w:t>
      </w:r>
      <w:r w:rsidRPr="00E22BDA">
        <w:rPr>
          <w:kern w:val="22"/>
          <w:szCs w:val="22"/>
        </w:rPr>
        <w:t>,</w:t>
      </w:r>
      <w:r w:rsidR="009E4766" w:rsidRPr="00E1756B">
        <w:rPr>
          <w:kern w:val="22"/>
          <w:szCs w:val="22"/>
        </w:rPr>
        <w:t xml:space="preserve"> the Conference of the Parties </w:t>
      </w:r>
      <w:r w:rsidRPr="00CF1FEA">
        <w:rPr>
          <w:kern w:val="22"/>
          <w:szCs w:val="22"/>
        </w:rPr>
        <w:t xml:space="preserve">also </w:t>
      </w:r>
      <w:r w:rsidR="009E4766" w:rsidRPr="00CF1FEA">
        <w:rPr>
          <w:kern w:val="22"/>
          <w:szCs w:val="22"/>
        </w:rPr>
        <w:t xml:space="preserve">encouraged Parties to review their </w:t>
      </w:r>
      <w:r w:rsidR="00A5202D" w:rsidRPr="00CF1FEA">
        <w:rPr>
          <w:kern w:val="22"/>
          <w:szCs w:val="22"/>
        </w:rPr>
        <w:t>NBSAPs</w:t>
      </w:r>
      <w:r w:rsidR="009E4766" w:rsidRPr="00CF1FEA">
        <w:rPr>
          <w:kern w:val="22"/>
          <w:szCs w:val="22"/>
        </w:rPr>
        <w:t xml:space="preserve"> periodically, as appropriate and</w:t>
      </w:r>
      <w:r w:rsidRPr="00CF1FEA">
        <w:rPr>
          <w:kern w:val="22"/>
          <w:szCs w:val="22"/>
        </w:rPr>
        <w:t>,</w:t>
      </w:r>
      <w:r w:rsidR="009E4766" w:rsidRPr="00CF1FEA">
        <w:rPr>
          <w:kern w:val="22"/>
          <w:szCs w:val="22"/>
        </w:rPr>
        <w:t xml:space="preserve"> in accordance with national circumstances, priorities and capacities, to consider increasing the level of ambition and/or scope of the national or regional targets to a level that is commensurate with the Aichi Biodiversity Targets and to integrate the targets across different sectors, including in the 2030 Agenda for Sustainable Development</w:t>
      </w:r>
      <w:r w:rsidR="009E4766" w:rsidRPr="00134A2D">
        <w:rPr>
          <w:kern w:val="22"/>
          <w:szCs w:val="22"/>
          <w:vertAlign w:val="superscript"/>
        </w:rPr>
        <w:footnoteReference w:id="2"/>
      </w:r>
      <w:r w:rsidR="009E4766" w:rsidRPr="00134A2D">
        <w:rPr>
          <w:kern w:val="22"/>
          <w:szCs w:val="22"/>
        </w:rPr>
        <w:t xml:space="preserve"> and the Sustainable Development Goals, so as to make a greater contribution to collective global efforts to </w:t>
      </w:r>
      <w:r w:rsidR="009E4766" w:rsidRPr="00F24F4A">
        <w:rPr>
          <w:kern w:val="22"/>
          <w:szCs w:val="22"/>
        </w:rPr>
        <w:t>achieve the global targets.</w:t>
      </w:r>
    </w:p>
    <w:p w:rsidR="009E4766" w:rsidRPr="00134A2D" w:rsidRDefault="00E14D63"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E22BDA">
        <w:rPr>
          <w:kern w:val="22"/>
          <w:szCs w:val="22"/>
        </w:rPr>
        <w:t>T</w:t>
      </w:r>
      <w:r w:rsidR="009E4766" w:rsidRPr="00E22BDA">
        <w:rPr>
          <w:kern w:val="22"/>
          <w:szCs w:val="22"/>
        </w:rPr>
        <w:t xml:space="preserve">he Conference of the Parties </w:t>
      </w:r>
      <w:r w:rsidRPr="00E1756B">
        <w:rPr>
          <w:kern w:val="22"/>
          <w:szCs w:val="22"/>
        </w:rPr>
        <w:t xml:space="preserve">further </w:t>
      </w:r>
      <w:r w:rsidR="009E4766" w:rsidRPr="00CF1FEA">
        <w:rPr>
          <w:kern w:val="22"/>
          <w:szCs w:val="22"/>
        </w:rPr>
        <w:t xml:space="preserve">encouraged Parties to systematically mainstream gender considerations in their </w:t>
      </w:r>
      <w:r w:rsidR="00A5202D" w:rsidRPr="00CF1FEA">
        <w:rPr>
          <w:kern w:val="22"/>
          <w:szCs w:val="22"/>
        </w:rPr>
        <w:t>NBSAPs</w:t>
      </w:r>
      <w:r w:rsidR="009E4766" w:rsidRPr="00CF1FEA">
        <w:rPr>
          <w:kern w:val="22"/>
          <w:szCs w:val="22"/>
        </w:rPr>
        <w:t>, and in associated implementation and reporting mechanisms in line with the 2015–2020 Gender Plan of Action under the Convention</w:t>
      </w:r>
      <w:r w:rsidR="001133C5" w:rsidRPr="00CF1FEA">
        <w:rPr>
          <w:kern w:val="22"/>
          <w:szCs w:val="22"/>
        </w:rPr>
        <w:t>.</w:t>
      </w:r>
      <w:r w:rsidR="009E4766" w:rsidRPr="00134A2D">
        <w:rPr>
          <w:rStyle w:val="FootnoteReference"/>
          <w:kern w:val="22"/>
          <w:szCs w:val="22"/>
        </w:rPr>
        <w:footnoteReference w:id="3"/>
      </w:r>
    </w:p>
    <w:p w:rsidR="009E4766" w:rsidRPr="00CF1FEA"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F23A14">
        <w:rPr>
          <w:rFonts w:eastAsia="Malgun Gothic"/>
          <w:kern w:val="22"/>
          <w:szCs w:val="22"/>
        </w:rPr>
        <w:t xml:space="preserve">The present </w:t>
      </w:r>
      <w:r w:rsidR="00E90AC5" w:rsidRPr="00F24F4A">
        <w:rPr>
          <w:rFonts w:eastAsia="Malgun Gothic"/>
          <w:kern w:val="22"/>
          <w:szCs w:val="22"/>
        </w:rPr>
        <w:t xml:space="preserve">document </w:t>
      </w:r>
      <w:r w:rsidRPr="00F24F4A">
        <w:rPr>
          <w:rFonts w:eastAsia="Malgun Gothic"/>
          <w:kern w:val="22"/>
          <w:szCs w:val="22"/>
        </w:rPr>
        <w:t xml:space="preserve">provides an updated assessment of progress towards </w:t>
      </w:r>
      <w:r w:rsidR="00E90AC5" w:rsidRPr="00E22BDA">
        <w:rPr>
          <w:rFonts w:eastAsia="Malgun Gothic"/>
          <w:kern w:val="22"/>
          <w:szCs w:val="22"/>
        </w:rPr>
        <w:t xml:space="preserve">the </w:t>
      </w:r>
      <w:r w:rsidRPr="00E22BDA">
        <w:rPr>
          <w:rFonts w:eastAsia="Malgun Gothic"/>
          <w:kern w:val="22"/>
          <w:szCs w:val="22"/>
        </w:rPr>
        <w:t>implementation of the Convention and the Strategic Plan for</w:t>
      </w:r>
      <w:r w:rsidRPr="00CF1FEA">
        <w:rPr>
          <w:rFonts w:eastAsia="Malgun Gothic"/>
          <w:kern w:val="22"/>
          <w:szCs w:val="22"/>
        </w:rPr>
        <w:t xml:space="preserve"> Biodiversity 2011-2020 and towards the achievement of the Aichi Biodiversity Targets in line with the above decisions. It is based on information contained in the revised and updated NBSAPs as well as the fifth national reports received by </w:t>
      </w:r>
      <w:r w:rsidR="009B7C1B" w:rsidRPr="00CF1FEA">
        <w:rPr>
          <w:rFonts w:eastAsia="Malgun Gothic"/>
          <w:kern w:val="22"/>
          <w:szCs w:val="22"/>
        </w:rPr>
        <w:t>21 September</w:t>
      </w:r>
      <w:r w:rsidRPr="00CF1FEA">
        <w:rPr>
          <w:rFonts w:eastAsia="Malgun Gothic"/>
          <w:kern w:val="22"/>
          <w:szCs w:val="22"/>
        </w:rPr>
        <w:t xml:space="preserve"> 2018. It is compl</w:t>
      </w:r>
      <w:r w:rsidR="009B7C1B" w:rsidRPr="00CF1FEA">
        <w:rPr>
          <w:rFonts w:eastAsia="Malgun Gothic"/>
          <w:kern w:val="22"/>
          <w:szCs w:val="22"/>
        </w:rPr>
        <w:t>e</w:t>
      </w:r>
      <w:r w:rsidRPr="00CF1FEA">
        <w:rPr>
          <w:rFonts w:eastAsia="Malgun Gothic"/>
          <w:kern w:val="22"/>
          <w:szCs w:val="22"/>
        </w:rPr>
        <w:t>mented by the following addenda:</w:t>
      </w:r>
    </w:p>
    <w:p w:rsidR="009E4766" w:rsidRPr="00CF1FEA" w:rsidRDefault="009E4766" w:rsidP="001838BA">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CF1FEA">
        <w:rPr>
          <w:kern w:val="22"/>
          <w:szCs w:val="22"/>
        </w:rPr>
        <w:t xml:space="preserve">Update </w:t>
      </w:r>
      <w:r w:rsidR="009B7C1B" w:rsidRPr="00CF1FEA">
        <w:rPr>
          <w:kern w:val="22"/>
          <w:szCs w:val="22"/>
        </w:rPr>
        <w:t xml:space="preserve">on progress in revising/updating and implementing </w:t>
      </w:r>
      <w:r w:rsidRPr="00CF1FEA">
        <w:rPr>
          <w:kern w:val="22"/>
          <w:szCs w:val="22"/>
        </w:rPr>
        <w:t>national biodiversity strategies and action</w:t>
      </w:r>
      <w:r w:rsidR="00FA37CC" w:rsidRPr="00CF1FEA">
        <w:rPr>
          <w:kern w:val="22"/>
          <w:szCs w:val="22"/>
        </w:rPr>
        <w:t xml:space="preserve"> plans</w:t>
      </w:r>
      <w:r w:rsidR="009B7C1B" w:rsidRPr="00CF1FEA">
        <w:rPr>
          <w:kern w:val="22"/>
          <w:szCs w:val="22"/>
        </w:rPr>
        <w:t>, including national targets</w:t>
      </w:r>
      <w:r w:rsidRPr="00CF1FEA">
        <w:rPr>
          <w:kern w:val="22"/>
          <w:szCs w:val="22"/>
        </w:rPr>
        <w:t xml:space="preserve"> (CBD/</w:t>
      </w:r>
      <w:r w:rsidR="009B7C1B" w:rsidRPr="00CF1FEA">
        <w:rPr>
          <w:kern w:val="22"/>
          <w:szCs w:val="22"/>
        </w:rPr>
        <w:t>COP/14/5</w:t>
      </w:r>
      <w:r w:rsidRPr="00CF1FEA">
        <w:rPr>
          <w:kern w:val="22"/>
          <w:szCs w:val="22"/>
        </w:rPr>
        <w:t>/Add.1);</w:t>
      </w:r>
    </w:p>
    <w:p w:rsidR="009E4766" w:rsidRPr="00CF1FEA" w:rsidRDefault="009E4766" w:rsidP="001838BA">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rPr>
      </w:pPr>
      <w:r w:rsidRPr="00CF1FEA">
        <w:rPr>
          <w:kern w:val="22"/>
          <w:szCs w:val="22"/>
        </w:rPr>
        <w:t>Analysis of the contribution of targets established by Parties and progress towards the Aichi Biodiversity Targets (CBD/</w:t>
      </w:r>
      <w:r w:rsidR="009B7C1B" w:rsidRPr="00CF1FEA">
        <w:rPr>
          <w:kern w:val="22"/>
          <w:szCs w:val="22"/>
        </w:rPr>
        <w:t>COP/14/5/</w:t>
      </w:r>
      <w:r w:rsidRPr="00CF1FEA">
        <w:rPr>
          <w:kern w:val="22"/>
          <w:szCs w:val="22"/>
        </w:rPr>
        <w:t>Add.2)</w:t>
      </w:r>
      <w:r w:rsidR="009B7C1B" w:rsidRPr="00CF1FEA">
        <w:rPr>
          <w:kern w:val="22"/>
          <w:szCs w:val="22"/>
        </w:rPr>
        <w:t>.</w:t>
      </w:r>
    </w:p>
    <w:p w:rsidR="009E4766" w:rsidRPr="00134A2D" w:rsidRDefault="00D8741A" w:rsidP="00CF1FE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CF1FEA">
        <w:rPr>
          <w:rFonts w:eastAsia="Malgun Gothic"/>
          <w:kern w:val="22"/>
          <w:szCs w:val="22"/>
        </w:rPr>
        <w:t>In addition, a further</w:t>
      </w:r>
      <w:r w:rsidR="009E4766" w:rsidRPr="00CF1FEA">
        <w:rPr>
          <w:rFonts w:eastAsia="Malgun Gothic"/>
          <w:kern w:val="22"/>
          <w:szCs w:val="22"/>
        </w:rPr>
        <w:t xml:space="preserve"> updated analysis of </w:t>
      </w:r>
      <w:r w:rsidRPr="00CF1FEA">
        <w:rPr>
          <w:rFonts w:eastAsia="Malgun Gothic"/>
          <w:kern w:val="22"/>
          <w:szCs w:val="22"/>
        </w:rPr>
        <w:t>information provided through the</w:t>
      </w:r>
      <w:r w:rsidR="009E4766" w:rsidRPr="00CF1FEA">
        <w:rPr>
          <w:rFonts w:eastAsia="Malgun Gothic"/>
          <w:kern w:val="22"/>
          <w:szCs w:val="22"/>
        </w:rPr>
        <w:t xml:space="preserve"> financial reporting framework </w:t>
      </w:r>
      <w:r w:rsidRPr="00134A2D">
        <w:rPr>
          <w:rFonts w:eastAsia="Malgun Gothic"/>
          <w:kern w:val="22"/>
          <w:szCs w:val="22"/>
        </w:rPr>
        <w:t>is provided in CBD/COP/14</w:t>
      </w:r>
      <w:r w:rsidR="00AB183F" w:rsidRPr="00CF1FEA">
        <w:rPr>
          <w:rFonts w:eastAsia="Malgun Gothic"/>
          <w:kern w:val="22"/>
          <w:szCs w:val="22"/>
        </w:rPr>
        <w:t>.</w:t>
      </w:r>
    </w:p>
    <w:p w:rsidR="009E4766" w:rsidRPr="00F24F4A" w:rsidRDefault="009E4766" w:rsidP="00D8741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F23A14">
        <w:rPr>
          <w:rFonts w:eastAsia="Malgun Gothic"/>
          <w:kern w:val="22"/>
          <w:szCs w:val="22"/>
        </w:rPr>
        <w:t xml:space="preserve">These analyses </w:t>
      </w:r>
      <w:r w:rsidRPr="00F24F4A">
        <w:rPr>
          <w:rFonts w:eastAsia="Malgun Gothic"/>
          <w:kern w:val="22"/>
          <w:szCs w:val="22"/>
        </w:rPr>
        <w:t>complement an updated scientific assessment of progress towards selected Aichi Biodiversity Targets (</w:t>
      </w:r>
      <w:hyperlink r:id="rId19" w:history="1">
        <w:r w:rsidRPr="00CF1FEA">
          <w:rPr>
            <w:rStyle w:val="Hyperlink"/>
            <w:kern w:val="22"/>
            <w:sz w:val="22"/>
            <w:szCs w:val="22"/>
          </w:rPr>
          <w:t>CBD/SBSTTA/22/5</w:t>
        </w:r>
      </w:hyperlink>
      <w:r w:rsidRPr="00134A2D">
        <w:rPr>
          <w:kern w:val="22"/>
          <w:szCs w:val="22"/>
        </w:rPr>
        <w:t xml:space="preserve">) </w:t>
      </w:r>
      <w:r w:rsidRPr="00134A2D">
        <w:rPr>
          <w:rFonts w:eastAsia="Malgun Gothic"/>
          <w:kern w:val="22"/>
          <w:szCs w:val="22"/>
        </w:rPr>
        <w:t xml:space="preserve">considered by the </w:t>
      </w:r>
      <w:r w:rsidRPr="00134A2D">
        <w:rPr>
          <w:kern w:val="22"/>
          <w:szCs w:val="22"/>
        </w:rPr>
        <w:t xml:space="preserve">Subsidiary Body on Scientific, Technical and Technological Advice at its twenty-second meeting </w:t>
      </w:r>
      <w:r w:rsidRPr="00F23A14">
        <w:rPr>
          <w:rFonts w:eastAsia="Malgun Gothic"/>
          <w:kern w:val="22"/>
          <w:szCs w:val="22"/>
        </w:rPr>
        <w:t>under agenda item</w:t>
      </w:r>
      <w:r w:rsidR="002F7C2F" w:rsidRPr="00F24F4A">
        <w:rPr>
          <w:rFonts w:eastAsia="Malgun Gothic"/>
          <w:kern w:val="22"/>
          <w:szCs w:val="22"/>
        </w:rPr>
        <w:t> </w:t>
      </w:r>
      <w:r w:rsidRPr="00F24F4A">
        <w:rPr>
          <w:rFonts w:eastAsia="Malgun Gothic"/>
          <w:kern w:val="22"/>
          <w:szCs w:val="22"/>
        </w:rPr>
        <w:t>6.</w:t>
      </w:r>
    </w:p>
    <w:p w:rsidR="009E4766" w:rsidRPr="00E22BDA" w:rsidRDefault="009E4766" w:rsidP="001838BA">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caps w:val="0"/>
          <w:snapToGrid w:val="0"/>
          <w:kern w:val="22"/>
          <w:szCs w:val="22"/>
        </w:rPr>
      </w:pPr>
      <w:r w:rsidRPr="00E22BDA">
        <w:rPr>
          <w:caps w:val="0"/>
          <w:snapToGrid w:val="0"/>
          <w:kern w:val="22"/>
          <w:szCs w:val="22"/>
        </w:rPr>
        <w:t>REVIEW OF IMPLEMENTATION</w:t>
      </w:r>
    </w:p>
    <w:p w:rsidR="009E4766" w:rsidRPr="00E22BDA" w:rsidRDefault="009E4766" w:rsidP="00CF1FE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E22BDA">
        <w:rPr>
          <w:kern w:val="22"/>
          <w:szCs w:val="22"/>
        </w:rPr>
        <w:t>The mid</w:t>
      </w:r>
      <w:r w:rsidR="001133C5" w:rsidRPr="00E1756B">
        <w:rPr>
          <w:kern w:val="22"/>
          <w:szCs w:val="22"/>
        </w:rPr>
        <w:t>-</w:t>
      </w:r>
      <w:r w:rsidRPr="00CF1FEA">
        <w:rPr>
          <w:kern w:val="22"/>
          <w:szCs w:val="22"/>
        </w:rPr>
        <w:t>term review of progress towards the implementation of the Strategic Plan for Biodiversity 2011-2020</w:t>
      </w:r>
      <w:r w:rsidRPr="00134A2D">
        <w:rPr>
          <w:rStyle w:val="FootnoteReference"/>
          <w:kern w:val="22"/>
          <w:szCs w:val="22"/>
        </w:rPr>
        <w:footnoteReference w:id="4"/>
      </w:r>
      <w:r w:rsidRPr="00134A2D">
        <w:rPr>
          <w:kern w:val="22"/>
          <w:szCs w:val="22"/>
        </w:rPr>
        <w:t xml:space="preserve"> concluded that there had been encouraging progress towards meeting some elements of most Aichi Biodiversity Targets</w:t>
      </w:r>
      <w:r w:rsidRPr="00DC7645">
        <w:rPr>
          <w:kern w:val="22"/>
          <w:szCs w:val="22"/>
        </w:rPr>
        <w:t xml:space="preserve">, but, in most cases, this progress would not be sufficient to achieve the </w:t>
      </w:r>
      <w:r w:rsidR="00AA5F32" w:rsidRPr="00DC7645">
        <w:rPr>
          <w:kern w:val="22"/>
          <w:szCs w:val="22"/>
        </w:rPr>
        <w:t>T</w:t>
      </w:r>
      <w:r w:rsidRPr="00DC7645">
        <w:rPr>
          <w:kern w:val="22"/>
          <w:szCs w:val="22"/>
        </w:rPr>
        <w:t xml:space="preserve">argets unless further urgent and effective action </w:t>
      </w:r>
      <w:r w:rsidRPr="00164967">
        <w:rPr>
          <w:kern w:val="22"/>
          <w:szCs w:val="22"/>
        </w:rPr>
        <w:t xml:space="preserve">was taken to reduce the pressures on biodiversity and to prevent its continued decline. Additional information from updated and revised </w:t>
      </w:r>
      <w:r w:rsidR="00AA5F32" w:rsidRPr="00F23A14">
        <w:rPr>
          <w:kern w:val="22"/>
          <w:szCs w:val="22"/>
        </w:rPr>
        <w:t>NBSAPs</w:t>
      </w:r>
      <w:r w:rsidRPr="00F24F4A">
        <w:rPr>
          <w:kern w:val="22"/>
          <w:szCs w:val="22"/>
        </w:rPr>
        <w:t xml:space="preserve"> </w:t>
      </w:r>
      <w:r w:rsidR="00F43118" w:rsidRPr="00F24F4A">
        <w:rPr>
          <w:kern w:val="22"/>
          <w:szCs w:val="22"/>
        </w:rPr>
        <w:t>and from</w:t>
      </w:r>
      <w:r w:rsidRPr="00F24F4A">
        <w:rPr>
          <w:kern w:val="22"/>
          <w:szCs w:val="22"/>
        </w:rPr>
        <w:t xml:space="preserve"> fifth national reports that were not available for consideration in the mid-term review reinforce</w:t>
      </w:r>
      <w:r w:rsidR="001574FC" w:rsidRPr="00E22BDA">
        <w:rPr>
          <w:kern w:val="22"/>
          <w:szCs w:val="22"/>
        </w:rPr>
        <w:t>s</w:t>
      </w:r>
      <w:r w:rsidRPr="00E22BDA">
        <w:rPr>
          <w:kern w:val="22"/>
          <w:szCs w:val="22"/>
        </w:rPr>
        <w:t xml:space="preserve"> this overall conclusion.</w:t>
      </w:r>
    </w:p>
    <w:p w:rsidR="009E4766" w:rsidRPr="00CF1FEA" w:rsidRDefault="009E4766" w:rsidP="001838BA">
      <w:pPr>
        <w:keepNext/>
        <w:numPr>
          <w:ilvl w:val="0"/>
          <w:numId w:val="22"/>
        </w:numPr>
        <w:suppressLineNumbers/>
        <w:suppressAutoHyphens/>
        <w:kinsoku w:val="0"/>
        <w:overflowPunct w:val="0"/>
        <w:autoSpaceDE w:val="0"/>
        <w:autoSpaceDN w:val="0"/>
        <w:adjustRightInd w:val="0"/>
        <w:snapToGrid w:val="0"/>
        <w:spacing w:before="120" w:after="120"/>
        <w:ind w:left="714" w:hanging="357"/>
        <w:jc w:val="center"/>
        <w:outlineLvl w:val="1"/>
        <w:rPr>
          <w:b/>
          <w:bCs/>
          <w:snapToGrid w:val="0"/>
          <w:kern w:val="22"/>
          <w:szCs w:val="22"/>
        </w:rPr>
      </w:pPr>
      <w:r w:rsidRPr="00E1756B">
        <w:rPr>
          <w:b/>
          <w:bCs/>
          <w:snapToGrid w:val="0"/>
          <w:kern w:val="22"/>
          <w:szCs w:val="22"/>
        </w:rPr>
        <w:t>National biodiversity strategie</w:t>
      </w:r>
      <w:r w:rsidRPr="00CF1FEA">
        <w:rPr>
          <w:b/>
          <w:bCs/>
          <w:snapToGrid w:val="0"/>
          <w:kern w:val="22"/>
          <w:szCs w:val="22"/>
        </w:rPr>
        <w:t>s and action plans</w:t>
      </w:r>
    </w:p>
    <w:p w:rsidR="009E4766" w:rsidRPr="00CF1FE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CF1FEA">
        <w:rPr>
          <w:kern w:val="22"/>
          <w:szCs w:val="22"/>
        </w:rPr>
        <w:t>NBSAPs are the principal instrument for implementing the Convention at the national level. Since 1993, 190 Parties have developed at least one NBSAP, while 6 Parties have yet to submit their first.</w:t>
      </w:r>
    </w:p>
    <w:p w:rsidR="009E4766" w:rsidRPr="00CF1FEA" w:rsidRDefault="009E4766" w:rsidP="00CF1FEA">
      <w:pPr>
        <w:pStyle w:val="Para1"/>
        <w:numPr>
          <w:ilvl w:val="0"/>
          <w:numId w:val="2"/>
        </w:numPr>
        <w:suppressLineNumbers/>
        <w:tabs>
          <w:tab w:val="clear" w:pos="360"/>
        </w:tabs>
        <w:suppressAutoHyphens/>
        <w:kinsoku w:val="0"/>
        <w:overflowPunct w:val="0"/>
        <w:autoSpaceDE w:val="0"/>
        <w:autoSpaceDN w:val="0"/>
        <w:adjustRightInd w:val="0"/>
        <w:snapToGrid w:val="0"/>
        <w:rPr>
          <w:spacing w:val="-3"/>
          <w:kern w:val="22"/>
          <w:szCs w:val="22"/>
        </w:rPr>
      </w:pPr>
      <w:r w:rsidRPr="00CF1FEA">
        <w:rPr>
          <w:spacing w:val="-3"/>
          <w:kern w:val="22"/>
          <w:szCs w:val="22"/>
        </w:rPr>
        <w:t>In decision X/2, the Conference of the Parties urged Parties to review, revise and update, as appropriate, their NBSAPs in line with the Strategic Plan for Biodiversity 2011-2020. Aichi Biodiversity Target 17, which had a deadline of 2015, calls on Parties to develop, adopt as a policy instrument, and commence implementing an effective, participatory and updated NBSAP. Parties also committed to establishing national targets, using the Strategic Plan and its Aichi Biodiversity Targets as a flexible framework.</w:t>
      </w:r>
    </w:p>
    <w:p w:rsidR="009E4766" w:rsidRPr="00134A2D"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164967">
        <w:rPr>
          <w:kern w:val="22"/>
          <w:szCs w:val="22"/>
        </w:rPr>
        <w:t xml:space="preserve">Since the tenth meeting of the Conference of the Parties, the majority of Parties have initiated revisions of their NBSAPs in response to decision X/2. A total of 69 Parties met the 2015 deadline, and </w:t>
      </w:r>
      <w:r w:rsidR="00661E07" w:rsidRPr="00F24F4A">
        <w:rPr>
          <w:kern w:val="22"/>
          <w:szCs w:val="22"/>
        </w:rPr>
        <w:t xml:space="preserve">92 </w:t>
      </w:r>
      <w:r w:rsidRPr="00F24F4A">
        <w:rPr>
          <w:kern w:val="22"/>
          <w:szCs w:val="22"/>
        </w:rPr>
        <w:lastRenderedPageBreak/>
        <w:t xml:space="preserve">others submitted their NBSAPs by </w:t>
      </w:r>
      <w:r w:rsidR="00661E07" w:rsidRPr="00E22BDA">
        <w:rPr>
          <w:kern w:val="22"/>
          <w:szCs w:val="22"/>
        </w:rPr>
        <w:t>21 September</w:t>
      </w:r>
      <w:r w:rsidRPr="00E1756B">
        <w:rPr>
          <w:kern w:val="22"/>
          <w:szCs w:val="22"/>
        </w:rPr>
        <w:t xml:space="preserve"> 2018, making a total of </w:t>
      </w:r>
      <w:r w:rsidR="00661E07" w:rsidRPr="00CF1FEA">
        <w:rPr>
          <w:kern w:val="22"/>
          <w:szCs w:val="22"/>
        </w:rPr>
        <w:t>161</w:t>
      </w:r>
      <w:r w:rsidRPr="00134A2D">
        <w:rPr>
          <w:kern w:val="22"/>
          <w:szCs w:val="22"/>
        </w:rPr>
        <w:t xml:space="preserve"> (see annex II for the list of Parties). This represents </w:t>
      </w:r>
      <w:r w:rsidR="00FA37CC" w:rsidRPr="00134A2D">
        <w:rPr>
          <w:kern w:val="22"/>
          <w:szCs w:val="22"/>
        </w:rPr>
        <w:t xml:space="preserve">over </w:t>
      </w:r>
      <w:r w:rsidRPr="00134A2D">
        <w:rPr>
          <w:kern w:val="22"/>
          <w:szCs w:val="22"/>
        </w:rPr>
        <w:t>80 per cent of the Parties to the Convention.</w:t>
      </w:r>
    </w:p>
    <w:p w:rsidR="009E4766" w:rsidRPr="00F24F4A" w:rsidRDefault="000E0202"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134A2D">
        <w:rPr>
          <w:kern w:val="22"/>
          <w:szCs w:val="22"/>
        </w:rPr>
        <w:t xml:space="preserve">The update </w:t>
      </w:r>
      <w:r w:rsidR="00FA37CC" w:rsidRPr="00134A2D">
        <w:rPr>
          <w:kern w:val="22"/>
          <w:szCs w:val="22"/>
        </w:rPr>
        <w:t xml:space="preserve">on progress in revising/updating and implementing </w:t>
      </w:r>
      <w:r w:rsidRPr="00D1784F">
        <w:rPr>
          <w:kern w:val="22"/>
          <w:szCs w:val="22"/>
        </w:rPr>
        <w:t xml:space="preserve">national biodiversity </w:t>
      </w:r>
      <w:r w:rsidRPr="00DC7645">
        <w:rPr>
          <w:kern w:val="22"/>
          <w:szCs w:val="22"/>
        </w:rPr>
        <w:t>strategies and action plans</w:t>
      </w:r>
      <w:r w:rsidRPr="00DC7645" w:rsidDel="000E0202">
        <w:rPr>
          <w:kern w:val="22"/>
          <w:szCs w:val="22"/>
        </w:rPr>
        <w:t xml:space="preserve"> </w:t>
      </w:r>
      <w:r w:rsidRPr="00DC7645">
        <w:rPr>
          <w:kern w:val="22"/>
          <w:szCs w:val="22"/>
        </w:rPr>
        <w:t>(</w:t>
      </w:r>
      <w:r w:rsidR="00FA37CC" w:rsidRPr="00DC7645">
        <w:rPr>
          <w:kern w:val="22"/>
          <w:szCs w:val="22"/>
        </w:rPr>
        <w:t>CBD/COP/14/5</w:t>
      </w:r>
      <w:r w:rsidR="00FA37CC" w:rsidRPr="00164967">
        <w:rPr>
          <w:kern w:val="22"/>
          <w:szCs w:val="22"/>
        </w:rPr>
        <w:t>/Add.1</w:t>
      </w:r>
      <w:r w:rsidRPr="00164967">
        <w:rPr>
          <w:kern w:val="22"/>
          <w:szCs w:val="22"/>
        </w:rPr>
        <w:t>)</w:t>
      </w:r>
      <w:r w:rsidR="009E4766" w:rsidRPr="00F23A14">
        <w:rPr>
          <w:kern w:val="22"/>
          <w:szCs w:val="22"/>
        </w:rPr>
        <w:t xml:space="preserve"> summarizes progress in revising and implementing NBSAPs and national targets and analyses the contents of the post-Nagoya NSBAPs submitted by </w:t>
      </w:r>
      <w:r w:rsidR="00FA37CC" w:rsidRPr="00D508E4">
        <w:rPr>
          <w:kern w:val="22"/>
          <w:szCs w:val="22"/>
        </w:rPr>
        <w:t>21 September</w:t>
      </w:r>
      <w:r w:rsidR="009E4766" w:rsidRPr="00D508E4">
        <w:rPr>
          <w:kern w:val="22"/>
          <w:szCs w:val="22"/>
        </w:rPr>
        <w:t xml:space="preserve"> 2018. This analysis is based on criteria from decision </w:t>
      </w:r>
      <w:hyperlink r:id="rId20" w:history="1">
        <w:r w:rsidR="009E4766" w:rsidRPr="00CF1FEA">
          <w:rPr>
            <w:rStyle w:val="Hyperlink"/>
            <w:kern w:val="22"/>
            <w:sz w:val="22"/>
            <w:szCs w:val="22"/>
          </w:rPr>
          <w:t>IX/8</w:t>
        </w:r>
      </w:hyperlink>
      <w:r w:rsidR="009E4766" w:rsidRPr="00134A2D">
        <w:rPr>
          <w:kern w:val="22"/>
          <w:szCs w:val="22"/>
        </w:rPr>
        <w:t xml:space="preserve"> which provides detailed guidance on the process, contents and components of NBSAPs and subsequent guidance. It indicates that many of the revised</w:t>
      </w:r>
      <w:r w:rsidR="009E4766" w:rsidRPr="00F24F4A">
        <w:rPr>
          <w:kern w:val="22"/>
          <w:szCs w:val="22"/>
        </w:rPr>
        <w:t xml:space="preserve"> NBSAPs show substantial improvement over previous NBSAPs as reflected in the global assessment</w:t>
      </w:r>
      <w:r w:rsidR="008C074D" w:rsidRPr="00F24F4A">
        <w:rPr>
          <w:kern w:val="22"/>
          <w:szCs w:val="22"/>
        </w:rPr>
        <w:t xml:space="preserve"> undertaken in 2010,</w:t>
      </w:r>
      <w:r w:rsidR="009E4766" w:rsidRPr="00134A2D">
        <w:rPr>
          <w:kern w:val="22"/>
          <w:szCs w:val="22"/>
          <w:vertAlign w:val="superscript"/>
        </w:rPr>
        <w:footnoteReference w:id="5"/>
      </w:r>
      <w:r w:rsidR="009E4766" w:rsidRPr="00134A2D">
        <w:rPr>
          <w:kern w:val="22"/>
          <w:szCs w:val="22"/>
        </w:rPr>
        <w:t xml:space="preserve"> in terms of their legal status, their building on assessments of their predecessor documents, the engagement of other government ministries</w:t>
      </w:r>
      <w:r w:rsidR="009E4766" w:rsidRPr="00F24F4A">
        <w:rPr>
          <w:kern w:val="22"/>
          <w:szCs w:val="22"/>
        </w:rPr>
        <w:t xml:space="preserve"> and other criteria.</w:t>
      </w:r>
    </w:p>
    <w:p w:rsidR="009E4766" w:rsidRPr="00F24F4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E22BDA">
        <w:rPr>
          <w:kern w:val="22"/>
          <w:szCs w:val="22"/>
        </w:rPr>
        <w:t>The NBSAP analysis al</w:t>
      </w:r>
      <w:r w:rsidRPr="00E1756B">
        <w:rPr>
          <w:kern w:val="22"/>
          <w:szCs w:val="22"/>
        </w:rPr>
        <w:t xml:space="preserve">so includes a section on Parties’ adoption of the revised NBSAPs as policy instruments as committed in Aichi Biodiversity Target 17. It concludes that </w:t>
      </w:r>
      <w:r w:rsidR="00FA37CC" w:rsidRPr="00CF1FEA">
        <w:rPr>
          <w:kern w:val="22"/>
          <w:szCs w:val="22"/>
        </w:rPr>
        <w:t xml:space="preserve">52 </w:t>
      </w:r>
      <w:r w:rsidRPr="00CF1FEA">
        <w:rPr>
          <w:kern w:val="22"/>
          <w:szCs w:val="22"/>
        </w:rPr>
        <w:t xml:space="preserve">revised NBSAPs have been adopted as “whole-of-government” instruments and another </w:t>
      </w:r>
      <w:r w:rsidR="005976B4" w:rsidRPr="00CF1FEA">
        <w:rPr>
          <w:kern w:val="22"/>
          <w:szCs w:val="22"/>
        </w:rPr>
        <w:t xml:space="preserve">6 </w:t>
      </w:r>
      <w:r w:rsidRPr="00CF1FEA">
        <w:rPr>
          <w:kern w:val="22"/>
          <w:szCs w:val="22"/>
        </w:rPr>
        <w:t>NBSAPs</w:t>
      </w:r>
      <w:r w:rsidRPr="00134A2D">
        <w:rPr>
          <w:kern w:val="22"/>
          <w:szCs w:val="22"/>
        </w:rPr>
        <w:t xml:space="preserve"> have been adopted as instruments applying to the environmental sector. While </w:t>
      </w:r>
      <w:r w:rsidR="00B71867" w:rsidRPr="00134A2D">
        <w:rPr>
          <w:kern w:val="22"/>
          <w:szCs w:val="22"/>
        </w:rPr>
        <w:t xml:space="preserve">17 </w:t>
      </w:r>
      <w:r w:rsidRPr="00134A2D">
        <w:rPr>
          <w:kern w:val="22"/>
          <w:szCs w:val="22"/>
        </w:rPr>
        <w:t>other countries stated their intent to have their NBSAP adopted as a policy instrument</w:t>
      </w:r>
      <w:r w:rsidR="001133C5" w:rsidRPr="00134A2D">
        <w:rPr>
          <w:kern w:val="22"/>
          <w:szCs w:val="22"/>
        </w:rPr>
        <w:t>,</w:t>
      </w:r>
      <w:r w:rsidRPr="00134A2D">
        <w:rPr>
          <w:kern w:val="22"/>
          <w:szCs w:val="22"/>
        </w:rPr>
        <w:t xml:space="preserve"> the majority (</w:t>
      </w:r>
      <w:r w:rsidR="00B71867" w:rsidRPr="00DC7645">
        <w:rPr>
          <w:kern w:val="22"/>
          <w:szCs w:val="22"/>
        </w:rPr>
        <w:t xml:space="preserve">86 </w:t>
      </w:r>
      <w:r w:rsidRPr="00DC7645">
        <w:rPr>
          <w:kern w:val="22"/>
          <w:szCs w:val="22"/>
        </w:rPr>
        <w:t>Parties</w:t>
      </w:r>
      <w:r w:rsidR="005D6B2D" w:rsidRPr="00DC7645">
        <w:rPr>
          <w:kern w:val="22"/>
          <w:szCs w:val="22"/>
        </w:rPr>
        <w:t>,</w:t>
      </w:r>
      <w:r w:rsidRPr="00164967">
        <w:rPr>
          <w:kern w:val="22"/>
          <w:szCs w:val="22"/>
        </w:rPr>
        <w:t xml:space="preserve"> equivalent to </w:t>
      </w:r>
      <w:r w:rsidR="00B71867" w:rsidRPr="00F23A14">
        <w:rPr>
          <w:kern w:val="22"/>
          <w:szCs w:val="22"/>
        </w:rPr>
        <w:t>53 </w:t>
      </w:r>
      <w:r w:rsidR="005D6B2D" w:rsidRPr="00D508E4">
        <w:rPr>
          <w:kern w:val="22"/>
          <w:szCs w:val="22"/>
        </w:rPr>
        <w:t>per cent</w:t>
      </w:r>
      <w:r w:rsidRPr="00D508E4">
        <w:rPr>
          <w:kern w:val="22"/>
          <w:szCs w:val="22"/>
        </w:rPr>
        <w:t>) do not provide sufficient evidence to know if they have been adopted as a policy instrument.</w:t>
      </w:r>
    </w:p>
    <w:p w:rsidR="009E4766" w:rsidRPr="00CF1FE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E22BDA">
        <w:rPr>
          <w:kern w:val="22"/>
          <w:szCs w:val="22"/>
        </w:rPr>
        <w:t>The analysis also shows that few of the revised NBSAPs contain resource mobilization strategies (</w:t>
      </w:r>
      <w:r w:rsidR="00B71867" w:rsidRPr="00CF1FEA">
        <w:rPr>
          <w:kern w:val="22"/>
          <w:szCs w:val="22"/>
        </w:rPr>
        <w:t xml:space="preserve">24 </w:t>
      </w:r>
      <w:r w:rsidRPr="00CF1FEA">
        <w:rPr>
          <w:kern w:val="22"/>
          <w:szCs w:val="22"/>
        </w:rPr>
        <w:t>Parties), communication and public awareness strategies (</w:t>
      </w:r>
      <w:r w:rsidR="00B71867" w:rsidRPr="00CF1FEA">
        <w:rPr>
          <w:kern w:val="22"/>
          <w:szCs w:val="22"/>
        </w:rPr>
        <w:t xml:space="preserve">35 </w:t>
      </w:r>
      <w:r w:rsidRPr="00CF1FEA">
        <w:rPr>
          <w:kern w:val="22"/>
          <w:szCs w:val="22"/>
        </w:rPr>
        <w:t>Parties), or capacity development strategies (</w:t>
      </w:r>
      <w:r w:rsidR="00B71867" w:rsidRPr="00CF1FEA">
        <w:rPr>
          <w:kern w:val="22"/>
          <w:szCs w:val="22"/>
        </w:rPr>
        <w:t xml:space="preserve">19 </w:t>
      </w:r>
      <w:r w:rsidRPr="00CF1FEA">
        <w:rPr>
          <w:kern w:val="22"/>
          <w:szCs w:val="22"/>
        </w:rPr>
        <w:t>Parties) as the NBSAP guidance suggests. Further, only a few NBSAPs demonstrate that biodiversity is being mainstreamed significantly into cross</w:t>
      </w:r>
      <w:r w:rsidR="001133C5" w:rsidRPr="00CF1FEA">
        <w:rPr>
          <w:kern w:val="22"/>
          <w:szCs w:val="22"/>
        </w:rPr>
        <w:t>-</w:t>
      </w:r>
      <w:r w:rsidRPr="00CF1FEA">
        <w:rPr>
          <w:kern w:val="22"/>
          <w:szCs w:val="22"/>
        </w:rPr>
        <w:t>sectoral plans and policies, poverty eradication policies, or even into sustainable development plans. Revised NBSAPs bear little evidence of the use of valuation studies to encourage mainstreaming in countries.</w:t>
      </w:r>
    </w:p>
    <w:p w:rsidR="009E4766" w:rsidRPr="00CF1FEA" w:rsidRDefault="009E4766" w:rsidP="00CF1FEA">
      <w:pPr>
        <w:pStyle w:val="Para1"/>
        <w:numPr>
          <w:ilvl w:val="0"/>
          <w:numId w:val="2"/>
        </w:numPr>
        <w:suppressLineNumbers/>
        <w:tabs>
          <w:tab w:val="clear" w:pos="360"/>
        </w:tabs>
        <w:suppressAutoHyphens/>
        <w:kinsoku w:val="0"/>
        <w:overflowPunct w:val="0"/>
        <w:autoSpaceDE w:val="0"/>
        <w:autoSpaceDN w:val="0"/>
        <w:adjustRightInd w:val="0"/>
        <w:snapToGrid w:val="0"/>
        <w:rPr>
          <w:spacing w:val="-1"/>
          <w:kern w:val="22"/>
          <w:szCs w:val="22"/>
        </w:rPr>
      </w:pPr>
      <w:r w:rsidRPr="00CF1FEA">
        <w:rPr>
          <w:spacing w:val="-1"/>
          <w:kern w:val="22"/>
          <w:szCs w:val="22"/>
        </w:rPr>
        <w:t>These findings contrast significantly with the aspirations communicated in the revised NBSAPs. Many Parties have either set targets or otherwise stated an intent to implement actions on resource mobilization, valuation, establishment of the national clearing-house mechanism, communication and public awareness, capacity development, and development of subnational biodiversity plans, among other topics.</w:t>
      </w:r>
    </w:p>
    <w:p w:rsidR="009E4766" w:rsidRPr="00CF1FE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F24F4A">
        <w:rPr>
          <w:kern w:val="22"/>
          <w:szCs w:val="22"/>
        </w:rPr>
        <w:t>The majority of NBSAPs developed or revised since the tenth meeting of the Conference of the Parties contain targets related to the Aichi Biodiversity Targets, though, for some Aichi Targets, such as Targets 3, 6, 10, 14, 17 and 18, there were many NBSAPs (over 30</w:t>
      </w:r>
      <w:r w:rsidR="00B519A4" w:rsidRPr="00E22BDA">
        <w:rPr>
          <w:kern w:val="22"/>
          <w:szCs w:val="22"/>
        </w:rPr>
        <w:t> </w:t>
      </w:r>
      <w:r w:rsidR="005D6B2D" w:rsidRPr="00E1756B">
        <w:rPr>
          <w:kern w:val="22"/>
          <w:szCs w:val="22"/>
        </w:rPr>
        <w:t>per cent</w:t>
      </w:r>
      <w:r w:rsidRPr="00CF1FEA">
        <w:rPr>
          <w:kern w:val="22"/>
          <w:szCs w:val="22"/>
        </w:rPr>
        <w:t>) without associated national targets or commitments. Aichi Biodiversity Targets 1, 9, 16, 19 and 20 are the Aichi Targets with the greatest number of broadly similar national targets or commitments. However, even in these cases, the number of NBSAPs with targets having a similar scope and level of ambition as the Aichi Targets rarely surpassed 20 per cent. Overall, the majority of national targets and/or commitments contained in the NBSAPs were lower than the Aichi Targets or did not address all of the elements of the Aichi Target. Generally, the national targets that have been set to date are more general than the Aichi Targets. As more NBSAPs are received, this overall picture may change.</w:t>
      </w:r>
    </w:p>
    <w:p w:rsidR="009E4766" w:rsidRPr="00F24F4A"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CF1FEA">
        <w:rPr>
          <w:kern w:val="22"/>
          <w:szCs w:val="22"/>
        </w:rPr>
        <w:t>Many countries have established targets or made commitments within the framework of other international processes, beyond the Convention on Biological Diversity, and many of these targets and commitments may be relevant to the Aichi Biodiversity Targets. For example, as part of the intended nationally determined contributions to the Paris Agreement,</w:t>
      </w:r>
      <w:r w:rsidR="00A06591" w:rsidRPr="00134A2D">
        <w:rPr>
          <w:rStyle w:val="FootnoteReference"/>
          <w:kern w:val="22"/>
          <w:szCs w:val="22"/>
        </w:rPr>
        <w:footnoteReference w:id="6"/>
      </w:r>
      <w:r w:rsidRPr="00134A2D">
        <w:rPr>
          <w:kern w:val="22"/>
          <w:szCs w:val="22"/>
        </w:rPr>
        <w:t xml:space="preserve"> many countries have included targets for reducing deforestation or promoting ecosystem restoration, related to Aichi Biodiversity Targets 5 and 15, respectively. However, such targets are not always reflected in the updated NBSAPs. There is an opportunity, therefore, for Parties, when establishing or reviewing their national targets under the Convention, to take into account relevant targets under other processes.</w:t>
      </w:r>
    </w:p>
    <w:p w:rsidR="009E4766" w:rsidRPr="00D508E4" w:rsidRDefault="00A06591"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kern w:val="22"/>
          <w:szCs w:val="22"/>
        </w:rPr>
      </w:pPr>
      <w:r w:rsidRPr="00E22BDA">
        <w:rPr>
          <w:kern w:val="22"/>
          <w:szCs w:val="22"/>
        </w:rPr>
        <w:t xml:space="preserve">In decision </w:t>
      </w:r>
      <w:r w:rsidR="009E4766" w:rsidRPr="00E1756B">
        <w:rPr>
          <w:kern w:val="22"/>
          <w:szCs w:val="22"/>
        </w:rPr>
        <w:t>X/2</w:t>
      </w:r>
      <w:r w:rsidRPr="00CF1FEA">
        <w:rPr>
          <w:kern w:val="22"/>
          <w:szCs w:val="22"/>
        </w:rPr>
        <w:t>, the Conference of the Parties</w:t>
      </w:r>
      <w:r w:rsidR="009E4766" w:rsidRPr="00CF1FEA">
        <w:rPr>
          <w:kern w:val="22"/>
          <w:szCs w:val="22"/>
        </w:rPr>
        <w:t xml:space="preserve"> urged Parties to develop national and regional targets with a view to contributing to collective global efforts to reach the global Aichi Biodiversity Targets. If the </w:t>
      </w:r>
      <w:r w:rsidR="009E4766" w:rsidRPr="00CF1FEA">
        <w:rPr>
          <w:kern w:val="22"/>
          <w:szCs w:val="22"/>
        </w:rPr>
        <w:lastRenderedPageBreak/>
        <w:t>NBSAPs which are yet to be finalized follow a pattern similar to those already developed, it is unlikely that the aggregation of the additional national commitments will correspond to the scale and level of ambition set out in the global Aichi Targets. Further information on the progress made in developing, revising and updating NBSAPs is contained in documents CBD/</w:t>
      </w:r>
      <w:r w:rsidR="005678DD" w:rsidRPr="00CF1FEA">
        <w:rPr>
          <w:kern w:val="22"/>
          <w:szCs w:val="22"/>
        </w:rPr>
        <w:t>COP</w:t>
      </w:r>
      <w:r w:rsidR="00D508E4">
        <w:rPr>
          <w:kern w:val="22"/>
          <w:szCs w:val="22"/>
        </w:rPr>
        <w:t>/14</w:t>
      </w:r>
      <w:r w:rsidR="005678DD" w:rsidRPr="00D508E4">
        <w:rPr>
          <w:kern w:val="22"/>
          <w:szCs w:val="22"/>
        </w:rPr>
        <w:t>/5</w:t>
      </w:r>
      <w:r w:rsidR="009E4766" w:rsidRPr="00D508E4">
        <w:rPr>
          <w:kern w:val="22"/>
          <w:szCs w:val="22"/>
        </w:rPr>
        <w:t>/Add.1 and Add.2.</w:t>
      </w:r>
    </w:p>
    <w:p w:rsidR="009E4766" w:rsidRPr="00F24F4A" w:rsidRDefault="009E4766" w:rsidP="001838BA">
      <w:pPr>
        <w:keepNext/>
        <w:numPr>
          <w:ilvl w:val="0"/>
          <w:numId w:val="22"/>
        </w:numPr>
        <w:suppressLineNumbers/>
        <w:suppressAutoHyphens/>
        <w:kinsoku w:val="0"/>
        <w:overflowPunct w:val="0"/>
        <w:autoSpaceDE w:val="0"/>
        <w:autoSpaceDN w:val="0"/>
        <w:adjustRightInd w:val="0"/>
        <w:snapToGrid w:val="0"/>
        <w:spacing w:before="120" w:after="120"/>
        <w:jc w:val="center"/>
        <w:outlineLvl w:val="1"/>
        <w:rPr>
          <w:b/>
          <w:bCs/>
          <w:snapToGrid w:val="0"/>
          <w:kern w:val="22"/>
          <w:szCs w:val="22"/>
        </w:rPr>
      </w:pPr>
      <w:r w:rsidRPr="00F24F4A">
        <w:rPr>
          <w:b/>
          <w:bCs/>
          <w:snapToGrid w:val="0"/>
          <w:kern w:val="22"/>
          <w:szCs w:val="22"/>
        </w:rPr>
        <w:t>National reports</w:t>
      </w:r>
    </w:p>
    <w:p w:rsidR="009E4766" w:rsidRPr="00134A2D"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F24F4A">
        <w:rPr>
          <w:rFonts w:eastAsia="Malgun Gothic"/>
          <w:kern w:val="22"/>
          <w:szCs w:val="22"/>
        </w:rPr>
        <w:t>In adopting the Strategic Plan for Biodiversity 2011-2020,</w:t>
      </w:r>
      <w:r w:rsidRPr="00134A2D">
        <w:rPr>
          <w:rStyle w:val="FootnoteReference"/>
          <w:rFonts w:eastAsia="Malgun Gothic"/>
          <w:kern w:val="22"/>
          <w:szCs w:val="22"/>
        </w:rPr>
        <w:footnoteReference w:id="7"/>
      </w:r>
      <w:r w:rsidRPr="00134A2D">
        <w:rPr>
          <w:rFonts w:eastAsia="Malgun Gothic"/>
          <w:kern w:val="22"/>
          <w:szCs w:val="22"/>
        </w:rPr>
        <w:t xml:space="preserve"> the Conference of the Parties noted the need to keep its implementation under review. The national reports are a main source of information for doing this. In decision </w:t>
      </w:r>
      <w:hyperlink r:id="rId21" w:history="1">
        <w:r w:rsidRPr="00CF1FEA">
          <w:rPr>
            <w:rStyle w:val="Hyperlink"/>
            <w:rFonts w:eastAsia="Malgun Gothic"/>
            <w:kern w:val="22"/>
            <w:sz w:val="22"/>
          </w:rPr>
          <w:t>X/10</w:t>
        </w:r>
      </w:hyperlink>
      <w:r w:rsidRPr="00134A2D">
        <w:rPr>
          <w:rFonts w:eastAsia="Malgun Gothic"/>
          <w:kern w:val="22"/>
          <w:szCs w:val="22"/>
        </w:rPr>
        <w:t xml:space="preserve">, the Conference of the Parties requested Parties to submit their fifth national report by 31 March 2014. By </w:t>
      </w:r>
      <w:r w:rsidR="005678DD" w:rsidRPr="00134A2D">
        <w:rPr>
          <w:rFonts w:eastAsia="Malgun Gothic"/>
          <w:kern w:val="22"/>
          <w:szCs w:val="22"/>
        </w:rPr>
        <w:t>21 September</w:t>
      </w:r>
      <w:r w:rsidRPr="00134A2D">
        <w:rPr>
          <w:rFonts w:eastAsia="Malgun Gothic"/>
          <w:kern w:val="22"/>
          <w:szCs w:val="22"/>
        </w:rPr>
        <w:t xml:space="preserve"> 2018, 191 fifth national reports had been received</w:t>
      </w:r>
      <w:r w:rsidR="00DF55CF" w:rsidRPr="00134A2D">
        <w:rPr>
          <w:rFonts w:eastAsia="Malgun Gothic"/>
          <w:kern w:val="22"/>
          <w:szCs w:val="22"/>
        </w:rPr>
        <w:t xml:space="preserve"> (</w:t>
      </w:r>
      <w:r w:rsidR="00AE793F" w:rsidRPr="00D1784F">
        <w:rPr>
          <w:rFonts w:eastAsia="Malgun Gothic"/>
          <w:kern w:val="22"/>
          <w:szCs w:val="22"/>
        </w:rPr>
        <w:t>that is,</w:t>
      </w:r>
      <w:r w:rsidR="00DF55CF" w:rsidRPr="00DC7645">
        <w:rPr>
          <w:rFonts w:eastAsia="Malgun Gothic"/>
          <w:kern w:val="22"/>
          <w:szCs w:val="22"/>
        </w:rPr>
        <w:t xml:space="preserve"> all the Parties except the Bahamas, Gabon, Iceland, Lesotho and Libya</w:t>
      </w:r>
      <w:r w:rsidR="00281BA1" w:rsidRPr="00F24F4A">
        <w:rPr>
          <w:rFonts w:eastAsia="Malgun Gothic"/>
          <w:kern w:val="22"/>
          <w:szCs w:val="22"/>
        </w:rPr>
        <w:t>, or 97 per cent of Parties</w:t>
      </w:r>
      <w:r w:rsidR="00DF55CF" w:rsidRPr="00F24F4A">
        <w:rPr>
          <w:rFonts w:eastAsia="Malgun Gothic"/>
          <w:kern w:val="22"/>
          <w:szCs w:val="22"/>
        </w:rPr>
        <w:t>)</w:t>
      </w:r>
      <w:r w:rsidRPr="00F24F4A">
        <w:rPr>
          <w:rFonts w:eastAsia="Malgun Gothic"/>
          <w:kern w:val="22"/>
          <w:szCs w:val="22"/>
        </w:rPr>
        <w:t>.</w:t>
      </w:r>
      <w:r w:rsidR="00DF55CF" w:rsidRPr="00134A2D">
        <w:rPr>
          <w:rStyle w:val="FootnoteReference"/>
          <w:rFonts w:eastAsia="Malgun Gothic"/>
          <w:kern w:val="22"/>
          <w:szCs w:val="22"/>
        </w:rPr>
        <w:footnoteReference w:id="8"/>
      </w:r>
    </w:p>
    <w:p w:rsidR="009E4766" w:rsidRPr="00CF1FE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F24F4A">
        <w:rPr>
          <w:rFonts w:eastAsia="Malgun Gothic"/>
          <w:kern w:val="22"/>
          <w:szCs w:val="22"/>
        </w:rPr>
        <w:t xml:space="preserve">Information contained in these reports on the status, trends and pressures </w:t>
      </w:r>
      <w:r w:rsidR="000E389B" w:rsidRPr="00F24F4A">
        <w:rPr>
          <w:rFonts w:eastAsia="Malgun Gothic"/>
          <w:kern w:val="22"/>
          <w:szCs w:val="22"/>
        </w:rPr>
        <w:t>related to</w:t>
      </w:r>
      <w:r w:rsidR="00281BA1" w:rsidRPr="00F24F4A">
        <w:rPr>
          <w:rFonts w:eastAsia="Malgun Gothic"/>
          <w:kern w:val="22"/>
          <w:szCs w:val="22"/>
        </w:rPr>
        <w:t xml:space="preserve"> </w:t>
      </w:r>
      <w:r w:rsidRPr="00E22BDA">
        <w:rPr>
          <w:rFonts w:eastAsia="Malgun Gothic"/>
          <w:kern w:val="22"/>
          <w:szCs w:val="22"/>
        </w:rPr>
        <w:t>biodiversity as well as information on the different actions that countries have reported taking or will be taking in the near future was used to determine overall progress towards the Aichi Biodiversity Targets and the Strategic Plan for Biodivers</w:t>
      </w:r>
      <w:r w:rsidRPr="00CF1FEA">
        <w:rPr>
          <w:rFonts w:eastAsia="Malgun Gothic"/>
          <w:kern w:val="22"/>
          <w:szCs w:val="22"/>
        </w:rPr>
        <w:t>ity 2011-2020. The assessment of the information in the national reports indicates that the majority of Parties have made progress towards the Aichi Targets but at a rate that is insufficient to allow the targets to be met by the deadline unless additional actions are taken.</w:t>
      </w:r>
    </w:p>
    <w:p w:rsidR="009E4766" w:rsidRPr="00F23A14"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CF1FEA">
        <w:rPr>
          <w:rFonts w:eastAsia="Malgun Gothic"/>
          <w:kern w:val="22"/>
          <w:szCs w:val="22"/>
        </w:rPr>
        <w:t xml:space="preserve">Across all Aichi Biodiversity Targets, between </w:t>
      </w:r>
      <w:r w:rsidR="00123290" w:rsidRPr="00CF1FEA">
        <w:rPr>
          <w:rFonts w:eastAsia="Malgun Gothic"/>
          <w:kern w:val="22"/>
          <w:szCs w:val="22"/>
        </w:rPr>
        <w:t>one</w:t>
      </w:r>
      <w:r w:rsidRPr="00CF1FEA">
        <w:rPr>
          <w:rFonts w:eastAsia="Malgun Gothic"/>
          <w:kern w:val="22"/>
          <w:szCs w:val="22"/>
        </w:rPr>
        <w:t xml:space="preserve"> third and two thirds of the national reports contain information suggesting that progress towards a given target is being made but at an insufficient rate. Further, across all Aichi Biodiversity Targets, between 7 and 43 per cent of national reports contain information suggesting that either no significant change has occurred or that the country is moving away from a given target. The number of assessments classified as being on track to reach an Aichi Biodiversity Target, or on track to exceed it, ranges between 3 and 29 per cent depending on the target. Overall, the assessment of information in the national reports indicates that between 63 and 86 per cent of Parties are not on track to attain a given Aichi Biodiversity Target. This assessment is consistent with that presented in the fourth edition of the </w:t>
      </w:r>
      <w:r w:rsidRPr="00CF1FEA">
        <w:rPr>
          <w:rFonts w:eastAsia="Malgun Gothic"/>
          <w:i/>
          <w:kern w:val="22"/>
          <w:szCs w:val="22"/>
        </w:rPr>
        <w:t>Global Biodiversity Outlook</w:t>
      </w:r>
      <w:r w:rsidRPr="00CF1FEA">
        <w:rPr>
          <w:rFonts w:eastAsia="Malgun Gothic"/>
          <w:iCs/>
          <w:kern w:val="22"/>
          <w:szCs w:val="22"/>
        </w:rPr>
        <w:t xml:space="preserve">, </w:t>
      </w:r>
      <w:r w:rsidRPr="00CF1FEA">
        <w:rPr>
          <w:rFonts w:eastAsia="Malgun Gothic"/>
          <w:kern w:val="22"/>
          <w:szCs w:val="22"/>
        </w:rPr>
        <w:t>which, based on an assessment of 64 fifth national reports, concluded that between 2 </w:t>
      </w:r>
      <w:r w:rsidR="00623269" w:rsidRPr="00CF1FEA">
        <w:rPr>
          <w:rFonts w:eastAsia="Malgun Gothic"/>
          <w:kern w:val="22"/>
          <w:szCs w:val="22"/>
        </w:rPr>
        <w:t>per</w:t>
      </w:r>
      <w:r w:rsidR="00623269" w:rsidRPr="00CF1FEA">
        <w:rPr>
          <w:kern w:val="22"/>
          <w:szCs w:val="22"/>
        </w:rPr>
        <w:t> </w:t>
      </w:r>
      <w:r w:rsidR="00623269" w:rsidRPr="00CF1FEA">
        <w:rPr>
          <w:rFonts w:eastAsia="Malgun Gothic"/>
          <w:kern w:val="22"/>
          <w:szCs w:val="22"/>
        </w:rPr>
        <w:t xml:space="preserve">cent </w:t>
      </w:r>
      <w:r w:rsidRPr="00CF1FEA">
        <w:rPr>
          <w:rFonts w:eastAsia="Malgun Gothic"/>
          <w:kern w:val="22"/>
          <w:szCs w:val="22"/>
        </w:rPr>
        <w:t>and 42 per</w:t>
      </w:r>
      <w:r w:rsidRPr="00CF1FEA">
        <w:rPr>
          <w:kern w:val="22"/>
          <w:szCs w:val="22"/>
        </w:rPr>
        <w:t> </w:t>
      </w:r>
      <w:r w:rsidRPr="00CF1FEA">
        <w:rPr>
          <w:rFonts w:eastAsia="Malgun Gothic"/>
          <w:kern w:val="22"/>
          <w:szCs w:val="22"/>
        </w:rPr>
        <w:t>cent of Parties were on track to attain or exceed a given Aichi Biodiversity Target. Further information on the progress made reaching the Aichi Biodiversity Targets as presented in the national reports is contained in document CBD/</w:t>
      </w:r>
      <w:r w:rsidR="005678DD" w:rsidRPr="00CF1FEA">
        <w:rPr>
          <w:rFonts w:eastAsia="Malgun Gothic"/>
          <w:kern w:val="22"/>
          <w:szCs w:val="22"/>
        </w:rPr>
        <w:t>COP</w:t>
      </w:r>
      <w:r w:rsidR="00F23A14">
        <w:rPr>
          <w:rFonts w:eastAsia="Malgun Gothic"/>
          <w:kern w:val="22"/>
          <w:szCs w:val="22"/>
        </w:rPr>
        <w:t>/14</w:t>
      </w:r>
      <w:r w:rsidR="005678DD" w:rsidRPr="00F23A14">
        <w:rPr>
          <w:rFonts w:eastAsia="Malgun Gothic"/>
          <w:kern w:val="22"/>
          <w:szCs w:val="22"/>
        </w:rPr>
        <w:t>/5</w:t>
      </w:r>
      <w:r w:rsidRPr="00F23A14">
        <w:rPr>
          <w:rFonts w:eastAsia="Malgun Gothic"/>
          <w:kern w:val="22"/>
          <w:szCs w:val="22"/>
        </w:rPr>
        <w:t>/Add.2.</w:t>
      </w:r>
    </w:p>
    <w:p w:rsidR="009E4766" w:rsidRPr="00134A2D" w:rsidRDefault="009E4766" w:rsidP="001838BA">
      <w:pPr>
        <w:pStyle w:val="Heading1"/>
        <w:numPr>
          <w:ilvl w:val="0"/>
          <w:numId w:val="21"/>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Cs w:val="22"/>
        </w:rPr>
      </w:pPr>
      <w:r w:rsidRPr="00134A2D">
        <w:rPr>
          <w:snapToGrid w:val="0"/>
          <w:kern w:val="22"/>
          <w:szCs w:val="22"/>
        </w:rPr>
        <w:t>CONCLUSION</w:t>
      </w:r>
    </w:p>
    <w:p w:rsidR="009E4766" w:rsidRPr="00CF1FEA" w:rsidRDefault="009E4766" w:rsidP="001838BA">
      <w:pPr>
        <w:pStyle w:val="Para1"/>
        <w:numPr>
          <w:ilvl w:val="0"/>
          <w:numId w:val="2"/>
        </w:numPr>
        <w:suppressLineNumbers/>
        <w:tabs>
          <w:tab w:val="clear" w:pos="360"/>
        </w:tabs>
        <w:suppressAutoHyphens/>
        <w:kinsoku w:val="0"/>
        <w:overflowPunct w:val="0"/>
        <w:autoSpaceDE w:val="0"/>
        <w:autoSpaceDN w:val="0"/>
        <w:adjustRightInd w:val="0"/>
        <w:snapToGrid w:val="0"/>
        <w:rPr>
          <w:rFonts w:eastAsia="Malgun Gothic"/>
          <w:kern w:val="22"/>
          <w:szCs w:val="22"/>
        </w:rPr>
      </w:pPr>
      <w:r w:rsidRPr="00F24F4A">
        <w:rPr>
          <w:rFonts w:eastAsia="Malgun Gothic"/>
          <w:kern w:val="22"/>
          <w:szCs w:val="22"/>
        </w:rPr>
        <w:t xml:space="preserve">While the information from the assessment of NBSAPs relates to commitments and the information from the national reports relates to actions and outcomes, the two sources of information provide a consistent picture. Efforts have been made to translate the Aichi Biodiversity Targets into national commitments, and national actions have been taken to reach the Aichi </w:t>
      </w:r>
      <w:r w:rsidRPr="00E22BDA">
        <w:rPr>
          <w:rFonts w:eastAsia="Malgun Gothic"/>
          <w:kern w:val="22"/>
          <w:szCs w:val="22"/>
        </w:rPr>
        <w:t xml:space="preserve">Targets. However, these commitments and efforts will need to be significantly scaled up if the Aichi Targets </w:t>
      </w:r>
      <w:r w:rsidR="005E540D" w:rsidRPr="00CF1FEA">
        <w:rPr>
          <w:rFonts w:eastAsia="Malgun Gothic"/>
          <w:kern w:val="22"/>
          <w:szCs w:val="22"/>
        </w:rPr>
        <w:t xml:space="preserve">are to be met </w:t>
      </w:r>
      <w:r w:rsidRPr="00CF1FEA">
        <w:rPr>
          <w:rFonts w:eastAsia="Malgun Gothic"/>
          <w:kern w:val="22"/>
          <w:szCs w:val="22"/>
        </w:rPr>
        <w:t>and the Strategic Plan for Biodiversity 2011-2020 more generally</w:t>
      </w:r>
      <w:r w:rsidR="005E540D" w:rsidRPr="00CF1FEA">
        <w:rPr>
          <w:rFonts w:eastAsia="Malgun Gothic"/>
          <w:kern w:val="22"/>
          <w:szCs w:val="22"/>
        </w:rPr>
        <w:t xml:space="preserve"> is to be successfully implemented</w:t>
      </w:r>
      <w:r w:rsidRPr="00CF1FEA">
        <w:rPr>
          <w:rFonts w:eastAsia="Malgun Gothic"/>
          <w:kern w:val="22"/>
          <w:szCs w:val="22"/>
        </w:rPr>
        <w:t>.</w:t>
      </w:r>
    </w:p>
    <w:p w:rsidR="009E4766" w:rsidRPr="00CF1FEA" w:rsidRDefault="009E4766" w:rsidP="001838BA">
      <w:pPr>
        <w:pStyle w:val="Para1"/>
        <w:numPr>
          <w:ilvl w:val="0"/>
          <w:numId w:val="2"/>
        </w:numPr>
        <w:suppressLineNumbers/>
        <w:tabs>
          <w:tab w:val="clear" w:pos="360"/>
          <w:tab w:val="num" w:pos="720"/>
        </w:tabs>
        <w:suppressAutoHyphens/>
        <w:kinsoku w:val="0"/>
        <w:overflowPunct w:val="0"/>
        <w:autoSpaceDE w:val="0"/>
        <w:autoSpaceDN w:val="0"/>
        <w:adjustRightInd w:val="0"/>
        <w:snapToGrid w:val="0"/>
        <w:rPr>
          <w:rFonts w:eastAsia="Malgun Gothic"/>
          <w:kern w:val="22"/>
          <w:szCs w:val="22"/>
        </w:rPr>
      </w:pPr>
      <w:r w:rsidRPr="00CF1FEA">
        <w:rPr>
          <w:rFonts w:eastAsia="Malgun Gothic"/>
          <w:kern w:val="22"/>
          <w:szCs w:val="22"/>
        </w:rPr>
        <w:t xml:space="preserve">The information from this assessment is broadly consistent with the information presented in the fourth edition of the </w:t>
      </w:r>
      <w:r w:rsidRPr="00CF1FEA">
        <w:rPr>
          <w:rFonts w:eastAsia="Malgun Gothic"/>
          <w:i/>
          <w:kern w:val="22"/>
          <w:szCs w:val="22"/>
        </w:rPr>
        <w:t>Global Biodiversity Outlook</w:t>
      </w:r>
      <w:r w:rsidRPr="00CF1FEA">
        <w:rPr>
          <w:rFonts w:eastAsia="Malgun Gothic"/>
          <w:iCs/>
          <w:kern w:val="22"/>
          <w:szCs w:val="22"/>
        </w:rPr>
        <w:t xml:space="preserve">, </w:t>
      </w:r>
      <w:r w:rsidRPr="00CF1FEA">
        <w:rPr>
          <w:rFonts w:eastAsia="Malgun Gothic"/>
          <w:kern w:val="22"/>
          <w:szCs w:val="22"/>
        </w:rPr>
        <w:t>which concluded that, while progress is being made towards the achievement of all targets, progress is not currently sufficient to achieve the Aichi Biodiversity Targets and that additional action is required to keep the Strategic Plan for Biodiversity 2011</w:t>
      </w:r>
      <w:r w:rsidR="00284AD2" w:rsidRPr="00CF1FEA">
        <w:rPr>
          <w:rFonts w:eastAsia="Malgun Gothic"/>
          <w:kern w:val="22"/>
          <w:szCs w:val="22"/>
        </w:rPr>
        <w:t>-</w:t>
      </w:r>
      <w:r w:rsidRPr="00CF1FEA">
        <w:rPr>
          <w:rFonts w:eastAsia="Malgun Gothic"/>
          <w:kern w:val="22"/>
          <w:szCs w:val="22"/>
        </w:rPr>
        <w:t>2020 on course.</w:t>
      </w:r>
    </w:p>
    <w:p w:rsidR="009E4766" w:rsidRPr="00E22BDA" w:rsidRDefault="009E4766" w:rsidP="001838BA">
      <w:pPr>
        <w:suppressLineNumbers/>
        <w:suppressAutoHyphens/>
        <w:kinsoku w:val="0"/>
        <w:overflowPunct w:val="0"/>
        <w:autoSpaceDE w:val="0"/>
        <w:autoSpaceDN w:val="0"/>
        <w:adjustRightInd w:val="0"/>
        <w:snapToGrid w:val="0"/>
        <w:spacing w:after="120"/>
        <w:jc w:val="center"/>
        <w:rPr>
          <w:i/>
          <w:iCs/>
          <w:snapToGrid w:val="0"/>
          <w:kern w:val="22"/>
          <w:szCs w:val="22"/>
        </w:rPr>
      </w:pPr>
      <w:r w:rsidRPr="00F24F4A">
        <w:rPr>
          <w:i/>
          <w:iCs/>
          <w:snapToGrid w:val="0"/>
          <w:kern w:val="22"/>
          <w:szCs w:val="22"/>
        </w:rPr>
        <w:br w:type="page"/>
      </w:r>
      <w:r w:rsidRPr="00F24F4A">
        <w:rPr>
          <w:i/>
          <w:iCs/>
          <w:snapToGrid w:val="0"/>
          <w:kern w:val="22"/>
          <w:szCs w:val="22"/>
        </w:rPr>
        <w:lastRenderedPageBreak/>
        <w:t>Annex I</w:t>
      </w:r>
    </w:p>
    <w:p w:rsidR="009E4766" w:rsidRPr="00CF1FEA" w:rsidRDefault="009E4766" w:rsidP="001838BA">
      <w:pPr>
        <w:pStyle w:val="Heading1"/>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sidRPr="00E22BDA">
        <w:rPr>
          <w:bCs/>
          <w:snapToGrid w:val="0"/>
          <w:kern w:val="22"/>
          <w:szCs w:val="22"/>
        </w:rPr>
        <w:t xml:space="preserve">List of </w:t>
      </w:r>
      <w:r w:rsidR="00D8741A" w:rsidRPr="00E22BDA">
        <w:rPr>
          <w:bCs/>
          <w:snapToGrid w:val="0"/>
          <w:kern w:val="22"/>
          <w:szCs w:val="22"/>
        </w:rPr>
        <w:t xml:space="preserve">FIFTH </w:t>
      </w:r>
      <w:r w:rsidRPr="00CF1FEA">
        <w:rPr>
          <w:bCs/>
          <w:snapToGrid w:val="0"/>
          <w:kern w:val="22"/>
          <w:szCs w:val="22"/>
        </w:rPr>
        <w:t xml:space="preserve">national reports received by the Secretariat of the Convention on Biological Diversity by </w:t>
      </w:r>
      <w:r w:rsidR="005678DD" w:rsidRPr="00CF1FEA">
        <w:rPr>
          <w:bCs/>
          <w:snapToGrid w:val="0"/>
          <w:kern w:val="22"/>
          <w:szCs w:val="22"/>
        </w:rPr>
        <w:t>21 September</w:t>
      </w:r>
      <w:r w:rsidRPr="00CF1FEA">
        <w:rPr>
          <w:bCs/>
          <w:snapToGrid w:val="0"/>
          <w:kern w:val="22"/>
          <w:szCs w:val="22"/>
        </w:rPr>
        <w:t xml:space="preserve"> 2018</w:t>
      </w:r>
    </w:p>
    <w:p w:rsidR="008C5228" w:rsidRPr="00CF1FEA"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Cs w:val="22"/>
        </w:rPr>
        <w:sectPr w:rsidR="008C5228" w:rsidRPr="00CF1FEA" w:rsidSect="00F32057">
          <w:headerReference w:type="even" r:id="rId22"/>
          <w:headerReference w:type="default" r:id="rId23"/>
          <w:pgSz w:w="12240" w:h="15840" w:code="1"/>
          <w:pgMar w:top="1021" w:right="1440" w:bottom="1140" w:left="1440" w:header="454" w:footer="720" w:gutter="0"/>
          <w:cols w:space="720"/>
          <w:titlePg/>
          <w:docGrid w:linePitch="299"/>
        </w:sectPr>
      </w:pPr>
    </w:p>
    <w:p w:rsidR="008C5228" w:rsidRPr="00CF1FEA" w:rsidRDefault="008C5228" w:rsidP="001838BA">
      <w:pPr>
        <w:suppressLineNumbers/>
        <w:suppressAutoHyphens/>
        <w:kinsoku w:val="0"/>
        <w:overflowPunct w:val="0"/>
        <w:autoSpaceDE w:val="0"/>
        <w:autoSpaceDN w:val="0"/>
        <w:adjustRightInd w:val="0"/>
        <w:snapToGrid w:val="0"/>
        <w:spacing w:before="120" w:after="120"/>
        <w:ind w:firstLine="720"/>
        <w:rPr>
          <w:snapToGrid w:val="0"/>
          <w:kern w:val="22"/>
          <w:szCs w:val="22"/>
        </w:rPr>
        <w:sectPr w:rsidR="008C5228" w:rsidRPr="00CF1FEA" w:rsidSect="00F32057">
          <w:type w:val="continuous"/>
          <w:pgSz w:w="12240" w:h="15840" w:code="1"/>
          <w:pgMar w:top="1021" w:right="1440" w:bottom="1140" w:left="1440" w:header="454" w:footer="720" w:gutter="0"/>
          <w:cols w:num="2" w:space="720"/>
          <w:titlePg/>
          <w:docGrid w:linePitch="299"/>
        </w:sectPr>
      </w:pP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CF1FEA">
        <w:rPr>
          <w:snapToGrid w:val="0"/>
          <w:kern w:val="22"/>
          <w:szCs w:val="22"/>
        </w:rPr>
        <w:t>Afghanistan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CF1FEA">
        <w:rPr>
          <w:snapToGrid w:val="0"/>
          <w:kern w:val="22"/>
          <w:szCs w:val="22"/>
        </w:rPr>
        <w:t>Albania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CF1FEA">
        <w:rPr>
          <w:snapToGrid w:val="0"/>
          <w:kern w:val="22"/>
          <w:szCs w:val="22"/>
        </w:rPr>
        <w:t>Algeria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CF1FEA">
        <w:rPr>
          <w:snapToGrid w:val="0"/>
          <w:kern w:val="22"/>
          <w:szCs w:val="22"/>
        </w:rPr>
        <w:t>Andorra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CF1FEA">
        <w:rPr>
          <w:snapToGrid w:val="0"/>
          <w:kern w:val="22"/>
          <w:szCs w:val="22"/>
        </w:rPr>
        <w:t>Angola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jc w:val="left"/>
        <w:rPr>
          <w:snapToGrid w:val="0"/>
          <w:kern w:val="22"/>
          <w:szCs w:val="22"/>
        </w:rPr>
      </w:pPr>
      <w:r w:rsidRPr="00CF1FEA">
        <w:rPr>
          <w:snapToGrid w:val="0"/>
          <w:kern w:val="22"/>
          <w:szCs w:val="22"/>
        </w:rPr>
        <w:t>Antigua and Barbuda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Argentina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Armenia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Australia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Austria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Azerbaijan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Bahrain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Bangladesh</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Barbados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Belarus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Belgium</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Belize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Benin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Bhutan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Bolivia (Plurinational State of)</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Bosnia and Herzegovina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Botswana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Brazil</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Brunei Darussalam</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Bulgaria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Burkina Faso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Burundi</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Cabo Verde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Cambodia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Cameroon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Canada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Central African Republic</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Chad</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Chile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China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Colombia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Comoros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Congo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Cook Islands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Costa Rica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Côte d’Ivoire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Croatia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Cuba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Cyprus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noProof/>
          <w:snapToGrid w:val="0"/>
          <w:kern w:val="22"/>
          <w:szCs w:val="22"/>
        </w:rPr>
      </w:pPr>
      <w:r w:rsidRPr="00CF1FEA">
        <w:rPr>
          <w:noProof/>
          <w:snapToGrid w:val="0"/>
          <w:kern w:val="22"/>
          <w:szCs w:val="22"/>
        </w:rPr>
        <w:t>Czechia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709" w:hanging="709"/>
        <w:rPr>
          <w:noProof/>
          <w:snapToGrid w:val="0"/>
          <w:kern w:val="22"/>
          <w:szCs w:val="22"/>
        </w:rPr>
      </w:pPr>
      <w:r w:rsidRPr="00CF1FEA">
        <w:rPr>
          <w:noProof/>
          <w:snapToGrid w:val="0"/>
          <w:kern w:val="22"/>
          <w:szCs w:val="22"/>
        </w:rPr>
        <w:t>Democratic People</w:t>
      </w:r>
      <w:r w:rsidR="00576A85" w:rsidRPr="00CF1FEA">
        <w:rPr>
          <w:noProof/>
          <w:snapToGrid w:val="0"/>
          <w:kern w:val="22"/>
          <w:szCs w:val="22"/>
        </w:rPr>
        <w:t>’</w:t>
      </w:r>
      <w:r w:rsidRPr="00CF1FEA">
        <w:rPr>
          <w:noProof/>
          <w:snapToGrid w:val="0"/>
          <w:kern w:val="22"/>
          <w:szCs w:val="22"/>
        </w:rPr>
        <w:t>s Republic of Korea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Democratic Republic of the Congo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Denmark</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Djibouti</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Dominica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Dominican Republic</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Ecuador</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Egypt</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El Salvador</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Equatorial Guinea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Eritrea</w:t>
      </w:r>
    </w:p>
    <w:p w:rsidR="00F21B07" w:rsidRPr="00CF1FEA" w:rsidRDefault="00F21B07"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Eswatini</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Estonia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Ethiopia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European Union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Fiji</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Finland</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France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Gambia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Georgia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Germany</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Ghana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Greece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Grenada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Guatemala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Guinea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Guinea-Bissau</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Guyana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Haiti</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Honduras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Hungary</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lastRenderedPageBreak/>
        <w:t>India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Indonesia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Iran (Islamic Republic of)</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Iraq</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Ireland</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Israel</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Italy</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Jamaica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Japan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Jordan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Kazakhstan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Kenya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Kiribati</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Kuwait</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Kyrgyzstan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Lao People’s Democratic Republic</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Latvia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Lebanon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Liberia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Liechtenstein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Lithuania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Luxembourg</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Madagascar</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Malawi</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Malaysia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Maldives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Mali</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Malta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Marshall Islands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Mauritania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Mauritius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Mexico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Micronesia (Federated States of)</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Monaco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Mongolia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Montenegro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Morocco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Mozambique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Myanmar</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Namibia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Nauru</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Nepal</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Netherlands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New Zealand</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Nicaragua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Niger</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Nigeria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Niue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Norway</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Oman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Pakistan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Palau</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Panama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Papua New Guinea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Paraguay</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Peru</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Philippines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Poland</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Portugal</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Qatar</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Republic of Korea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Republic of Moldova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Romania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Russian Federation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Rwanda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Saint Kitts and Nevis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Saint Lucia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Saint Vincent and the Grenadines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Samoa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San Marino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Sao Tome and Principe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Saudi Arabia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Senegal</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Serbia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Seychelles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Sierra Leone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Singapore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Slovakia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Slovenia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Solomon Islands</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Somalia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South Africa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South Sudan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Spain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Sri Lanka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State of Palestine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lastRenderedPageBreak/>
        <w:t>Sudan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Suriname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Sweden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Switzerland</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Syrian Arab Republic</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Tajikistan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Thailand</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720" w:hanging="720"/>
        <w:jc w:val="left"/>
        <w:rPr>
          <w:snapToGrid w:val="0"/>
          <w:kern w:val="22"/>
          <w:szCs w:val="22"/>
        </w:rPr>
      </w:pPr>
      <w:r w:rsidRPr="00CF1FEA">
        <w:rPr>
          <w:snapToGrid w:val="0"/>
          <w:kern w:val="22"/>
          <w:szCs w:val="22"/>
        </w:rPr>
        <w:t>The former Yugoslav Republic of Macedonia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Timor-Leste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Togo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Tonga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Trinidad and Tobago</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Tunisia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Turkey</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Turkmenistan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Tuvalu</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Uganda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Ukraine</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United Arab Emirates</w:t>
      </w:r>
    </w:p>
    <w:p w:rsidR="009E4766" w:rsidRPr="00CF1FEA" w:rsidRDefault="009E4766" w:rsidP="00CF1FEA">
      <w:pPr>
        <w:numPr>
          <w:ilvl w:val="0"/>
          <w:numId w:val="19"/>
        </w:numPr>
        <w:suppressLineNumbers/>
        <w:suppressAutoHyphens/>
        <w:kinsoku w:val="0"/>
        <w:overflowPunct w:val="0"/>
        <w:autoSpaceDE w:val="0"/>
        <w:autoSpaceDN w:val="0"/>
        <w:adjustRightInd w:val="0"/>
        <w:snapToGrid w:val="0"/>
        <w:spacing w:before="60" w:after="60"/>
        <w:ind w:left="720" w:hanging="720"/>
        <w:jc w:val="left"/>
        <w:rPr>
          <w:snapToGrid w:val="0"/>
          <w:kern w:val="22"/>
          <w:szCs w:val="22"/>
        </w:rPr>
      </w:pPr>
      <w:r w:rsidRPr="00CF1FEA">
        <w:rPr>
          <w:snapToGrid w:val="0"/>
          <w:kern w:val="22"/>
          <w:szCs w:val="22"/>
        </w:rPr>
        <w:t>United Kingdom of Great Britain and Northern Ireland</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United Republic of Tanzania</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Uruguay</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Uzbekistan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Vanuatu</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Venezuela (Bolivarian Republic of)</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Viet Nam</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Yemen</w:t>
      </w:r>
    </w:p>
    <w:p w:rsidR="009E4766"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pPr>
      <w:r w:rsidRPr="00CF1FEA">
        <w:rPr>
          <w:snapToGrid w:val="0"/>
          <w:kern w:val="22"/>
          <w:szCs w:val="22"/>
        </w:rPr>
        <w:t>Zambia</w:t>
      </w:r>
    </w:p>
    <w:p w:rsidR="008C5228" w:rsidRPr="00CF1FEA" w:rsidRDefault="009E4766" w:rsidP="001838BA">
      <w:pPr>
        <w:numPr>
          <w:ilvl w:val="0"/>
          <w:numId w:val="19"/>
        </w:numPr>
        <w:suppressLineNumbers/>
        <w:suppressAutoHyphens/>
        <w:kinsoku w:val="0"/>
        <w:overflowPunct w:val="0"/>
        <w:autoSpaceDE w:val="0"/>
        <w:autoSpaceDN w:val="0"/>
        <w:adjustRightInd w:val="0"/>
        <w:snapToGrid w:val="0"/>
        <w:spacing w:before="60" w:after="60"/>
        <w:ind w:left="0" w:firstLine="0"/>
        <w:rPr>
          <w:snapToGrid w:val="0"/>
          <w:kern w:val="22"/>
          <w:szCs w:val="22"/>
        </w:rPr>
        <w:sectPr w:rsidR="008C5228" w:rsidRPr="00CF1FEA" w:rsidSect="00F32057">
          <w:type w:val="continuous"/>
          <w:pgSz w:w="12240" w:h="15840" w:code="1"/>
          <w:pgMar w:top="1021" w:right="1440" w:bottom="1140" w:left="1440" w:header="454" w:footer="720" w:gutter="0"/>
          <w:cols w:num="2" w:space="720"/>
          <w:titlePg/>
          <w:docGrid w:linePitch="299"/>
        </w:sectPr>
      </w:pPr>
      <w:r w:rsidRPr="00CF1FEA">
        <w:rPr>
          <w:snapToGrid w:val="0"/>
          <w:kern w:val="22"/>
          <w:szCs w:val="22"/>
        </w:rPr>
        <w:t>Zimbabwe</w:t>
      </w:r>
    </w:p>
    <w:p w:rsidR="009E4766" w:rsidRPr="00CF1FEA" w:rsidRDefault="009E4766" w:rsidP="001838BA">
      <w:pPr>
        <w:suppressLineNumbers/>
        <w:tabs>
          <w:tab w:val="left" w:pos="450"/>
        </w:tabs>
        <w:suppressAutoHyphens/>
        <w:kinsoku w:val="0"/>
        <w:overflowPunct w:val="0"/>
        <w:autoSpaceDE w:val="0"/>
        <w:autoSpaceDN w:val="0"/>
        <w:adjustRightInd w:val="0"/>
        <w:snapToGrid w:val="0"/>
        <w:spacing w:before="60" w:after="60"/>
        <w:rPr>
          <w:snapToGrid w:val="0"/>
          <w:kern w:val="22"/>
          <w:szCs w:val="22"/>
        </w:rPr>
      </w:pPr>
    </w:p>
    <w:p w:rsidR="008C5228" w:rsidRPr="00CF1FEA" w:rsidRDefault="008C5228" w:rsidP="001838BA">
      <w:pPr>
        <w:suppressLineNumbers/>
        <w:suppressAutoHyphens/>
        <w:kinsoku w:val="0"/>
        <w:overflowPunct w:val="0"/>
        <w:autoSpaceDE w:val="0"/>
        <w:autoSpaceDN w:val="0"/>
        <w:adjustRightInd w:val="0"/>
        <w:snapToGrid w:val="0"/>
        <w:spacing w:before="100" w:beforeAutospacing="1" w:after="100" w:afterAutospacing="1"/>
        <w:ind w:firstLine="720"/>
        <w:rPr>
          <w:b/>
          <w:bCs/>
          <w:snapToGrid w:val="0"/>
          <w:kern w:val="22"/>
          <w:szCs w:val="22"/>
        </w:rPr>
        <w:sectPr w:rsidR="008C5228" w:rsidRPr="00CF1FEA" w:rsidSect="00F32057">
          <w:type w:val="continuous"/>
          <w:pgSz w:w="12240" w:h="15840" w:code="1"/>
          <w:pgMar w:top="1021" w:right="1440" w:bottom="1140" w:left="1440" w:header="454" w:footer="720" w:gutter="0"/>
          <w:cols w:num="3" w:space="720"/>
          <w:titlePg/>
          <w:docGrid w:linePitch="299"/>
        </w:sectPr>
      </w:pPr>
    </w:p>
    <w:p w:rsidR="009A720E" w:rsidRPr="00CF1FEA" w:rsidRDefault="009A720E" w:rsidP="001838BA">
      <w:pPr>
        <w:suppressLineNumbers/>
        <w:suppressAutoHyphens/>
        <w:kinsoku w:val="0"/>
        <w:overflowPunct w:val="0"/>
        <w:autoSpaceDE w:val="0"/>
        <w:autoSpaceDN w:val="0"/>
        <w:adjustRightInd w:val="0"/>
        <w:snapToGrid w:val="0"/>
        <w:jc w:val="left"/>
        <w:rPr>
          <w:b/>
          <w:bCs/>
          <w:snapToGrid w:val="0"/>
          <w:kern w:val="22"/>
          <w:szCs w:val="22"/>
        </w:rPr>
      </w:pPr>
      <w:r w:rsidRPr="00CF1FEA">
        <w:rPr>
          <w:b/>
          <w:bCs/>
          <w:snapToGrid w:val="0"/>
          <w:kern w:val="22"/>
          <w:szCs w:val="22"/>
        </w:rPr>
        <w:br w:type="page"/>
      </w:r>
    </w:p>
    <w:p w:rsidR="009E4766" w:rsidRPr="00CF1FEA" w:rsidRDefault="009E4766">
      <w:pPr>
        <w:suppressLineNumbers/>
        <w:suppressAutoHyphens/>
        <w:kinsoku w:val="0"/>
        <w:overflowPunct w:val="0"/>
        <w:autoSpaceDE w:val="0"/>
        <w:autoSpaceDN w:val="0"/>
        <w:adjustRightInd w:val="0"/>
        <w:snapToGrid w:val="0"/>
        <w:jc w:val="center"/>
        <w:rPr>
          <w:i/>
          <w:iCs/>
          <w:snapToGrid w:val="0"/>
          <w:kern w:val="22"/>
          <w:szCs w:val="22"/>
        </w:rPr>
      </w:pPr>
      <w:r w:rsidRPr="00CF1FEA">
        <w:rPr>
          <w:i/>
          <w:iCs/>
          <w:snapToGrid w:val="0"/>
          <w:kern w:val="22"/>
          <w:szCs w:val="22"/>
        </w:rPr>
        <w:lastRenderedPageBreak/>
        <w:t>Annex II</w:t>
      </w:r>
    </w:p>
    <w:p w:rsidR="001622FF" w:rsidRPr="00CF1FEA" w:rsidRDefault="009E4766" w:rsidP="001838BA">
      <w:pPr>
        <w:pStyle w:val="Heading1"/>
        <w:suppressLineNumbers/>
        <w:suppressAutoHyphens/>
        <w:kinsoku w:val="0"/>
        <w:overflowPunct w:val="0"/>
        <w:autoSpaceDE w:val="0"/>
        <w:autoSpaceDN w:val="0"/>
        <w:adjustRightInd w:val="0"/>
        <w:snapToGrid w:val="0"/>
        <w:spacing w:before="120"/>
        <w:rPr>
          <w:bCs/>
          <w:snapToGrid w:val="0"/>
          <w:kern w:val="22"/>
          <w:szCs w:val="22"/>
        </w:rPr>
      </w:pPr>
      <w:r w:rsidRPr="00CF1FEA">
        <w:rPr>
          <w:bCs/>
          <w:snapToGrid w:val="0"/>
          <w:kern w:val="22"/>
          <w:szCs w:val="22"/>
        </w:rPr>
        <w:t xml:space="preserve">List of national biodiversity strategies and action plans received by the Secretariat of the Convention on Biological Diversity between October 2010 and </w:t>
      </w:r>
      <w:r w:rsidR="005678DD" w:rsidRPr="00CF1FEA">
        <w:rPr>
          <w:bCs/>
          <w:snapToGrid w:val="0"/>
          <w:kern w:val="22"/>
          <w:szCs w:val="22"/>
        </w:rPr>
        <w:t>21 September</w:t>
      </w:r>
      <w:r w:rsidRPr="00CF1FEA">
        <w:rPr>
          <w:bCs/>
          <w:snapToGrid w:val="0"/>
          <w:kern w:val="22"/>
          <w:szCs w:val="22"/>
        </w:rPr>
        <w:t xml:space="preserve"> 2018</w:t>
      </w:r>
    </w:p>
    <w:p w:rsidR="008C5228" w:rsidRPr="00CF1FEA" w:rsidRDefault="008C5228" w:rsidP="001838BA">
      <w:pPr>
        <w:pStyle w:val="Heading2"/>
        <w:suppressLineNumbers/>
        <w:suppressAutoHyphens/>
        <w:kinsoku w:val="0"/>
        <w:overflowPunct w:val="0"/>
        <w:autoSpaceDE w:val="0"/>
        <w:autoSpaceDN w:val="0"/>
        <w:adjustRightInd w:val="0"/>
        <w:snapToGrid w:val="0"/>
        <w:rPr>
          <w:kern w:val="22"/>
        </w:rPr>
        <w:sectPr w:rsidR="008C5228" w:rsidRPr="00CF1FEA" w:rsidSect="00CF1FEA">
          <w:type w:val="continuous"/>
          <w:pgSz w:w="12240" w:h="15840" w:code="1"/>
          <w:pgMar w:top="567" w:right="1389" w:bottom="1021" w:left="1389" w:header="459" w:footer="624" w:gutter="0"/>
          <w:cols w:space="708"/>
          <w:docGrid w:linePitch="360"/>
        </w:sectPr>
      </w:pPr>
    </w:p>
    <w:p w:rsidR="009E4766" w:rsidRPr="00134A2D"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134A2D">
        <w:rPr>
          <w:snapToGrid w:val="0"/>
          <w:kern w:val="22"/>
          <w:szCs w:val="22"/>
        </w:rPr>
        <w:t>Afghanistan</w:t>
      </w:r>
    </w:p>
    <w:p w:rsidR="009E4766" w:rsidRPr="00E22BD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F24F4A">
        <w:rPr>
          <w:snapToGrid w:val="0"/>
          <w:kern w:val="22"/>
          <w:szCs w:val="22"/>
        </w:rPr>
        <w:t>Albania</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Algeria</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Andorra</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Antigua and Barbuda</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Argentina</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Armenia</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Australia</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Austria</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Azerbaijan</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Bahrain</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Bangladesh</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Belarus</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Belgium</w:t>
      </w:r>
    </w:p>
    <w:p w:rsidR="009E4766" w:rsidRPr="00CF1FEA" w:rsidRDefault="009E4766" w:rsidP="00CF1FEA">
      <w:pPr>
        <w:numPr>
          <w:ilvl w:val="0"/>
          <w:numId w:val="20"/>
        </w:numPr>
        <w:suppressLineNumbers/>
        <w:tabs>
          <w:tab w:val="left" w:pos="72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Belize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Benin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Bhutan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Bosnia and Herzegovina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Botswana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Brazil</w:t>
      </w:r>
    </w:p>
    <w:p w:rsidR="009E4766" w:rsidRPr="00CF1FEA" w:rsidRDefault="009E4766" w:rsidP="00CF1FEA">
      <w:pPr>
        <w:numPr>
          <w:ilvl w:val="0"/>
          <w:numId w:val="20"/>
        </w:numPr>
        <w:suppressLineNumber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Brunei Darussalam</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Burkina Faso</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Burundi</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Cabo Verde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Cambodia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Cameroon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Canada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Chad</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Chile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China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Colombia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Comoros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Congo</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Costa Rica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Côte d’Ivoire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noProof/>
          <w:snapToGrid w:val="0"/>
          <w:kern w:val="22"/>
          <w:szCs w:val="22"/>
        </w:rPr>
      </w:pPr>
      <w:r w:rsidRPr="00CF1FEA">
        <w:rPr>
          <w:snapToGrid w:val="0"/>
          <w:kern w:val="22"/>
          <w:szCs w:val="18"/>
        </w:rPr>
        <w:t>Croatia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noProof/>
          <w:snapToGrid w:val="0"/>
          <w:kern w:val="22"/>
          <w:szCs w:val="22"/>
        </w:rPr>
      </w:pPr>
      <w:r w:rsidRPr="00CF1FEA">
        <w:rPr>
          <w:noProof/>
          <w:snapToGrid w:val="0"/>
          <w:kern w:val="22"/>
          <w:szCs w:val="22"/>
        </w:rPr>
        <w:t>Cuba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noProof/>
          <w:snapToGrid w:val="0"/>
          <w:kern w:val="22"/>
          <w:szCs w:val="22"/>
        </w:rPr>
      </w:pPr>
      <w:r w:rsidRPr="00CF1FEA">
        <w:rPr>
          <w:noProof/>
          <w:snapToGrid w:val="0"/>
          <w:kern w:val="22"/>
          <w:szCs w:val="22"/>
        </w:rPr>
        <w:t>Czech</w:t>
      </w:r>
      <w:r w:rsidR="00D02ED1" w:rsidRPr="00CF1FEA">
        <w:rPr>
          <w:noProof/>
          <w:snapToGrid w:val="0"/>
          <w:kern w:val="22"/>
          <w:szCs w:val="22"/>
        </w:rPr>
        <w:t>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Democratic People’s Republic of Korea</w:t>
      </w:r>
    </w:p>
    <w:p w:rsidR="009E4766" w:rsidRPr="00CF1FEA" w:rsidRDefault="009E4766" w:rsidP="00CF1FEA">
      <w:pPr>
        <w:numPr>
          <w:ilvl w:val="0"/>
          <w:numId w:val="20"/>
        </w:numPr>
        <w:suppressLineNumber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Democratic Republic of the Congo</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Denmark</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Djibouti</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Dominica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Dominican Republic</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Ecuador</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Egypt</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El Salvador</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Equatorial Guinea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Eritrea</w:t>
      </w:r>
    </w:p>
    <w:p w:rsidR="00F21B07" w:rsidRPr="00CF1FEA" w:rsidRDefault="00F21B0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Eswatini</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Estonia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Ethiopia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European Union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Finland</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France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Gambia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Georgia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Germany</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Ghana</w:t>
      </w:r>
    </w:p>
    <w:p w:rsidR="00661E07" w:rsidRPr="00CF1FEA" w:rsidRDefault="00661E0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Greece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Grenada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Guatemala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Guinea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Guinea-Bissau</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Guyana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Honduras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Hungary</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India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Indonesia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Iran (Islamic Republic of)</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Iraq</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Ireland</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Italy</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Jamaica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Japan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Jordan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Kiribati</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Kyrgyzstan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Lao People’s Democratic Republic</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Latvia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Lebanon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Liberia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Liechtenstein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Lithuania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lastRenderedPageBreak/>
        <w:t>Luxembourg</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Madagascar</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Malawi</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Malaysia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Maldives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Mali</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Malta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Mauritania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Mauritius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Mexico</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Mongolia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Montenegro</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Morocco</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Mozambique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Myanmar</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Namibia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Nauru</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Nepal</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Netherlands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New Zealand</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Nicaragua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Niger</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Nigeria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Niue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Norway</w:t>
      </w:r>
    </w:p>
    <w:p w:rsidR="00661E07" w:rsidRPr="00CF1FEA" w:rsidRDefault="00661E0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Pakistan</w:t>
      </w:r>
    </w:p>
    <w:p w:rsidR="00661E07" w:rsidRPr="00CF1FEA" w:rsidRDefault="00661E0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Palau</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Paraguay</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Peru</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Philippines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Poland</w:t>
      </w:r>
    </w:p>
    <w:p w:rsidR="00661E07" w:rsidRPr="00CF1FEA" w:rsidRDefault="00661E0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Portugal</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Qatar</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Republic of Korea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Republic of Moldova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Romania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Russian Federation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Rwanda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Saint Kitts and Nevis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Samoa</w:t>
      </w:r>
    </w:p>
    <w:p w:rsidR="00661E07" w:rsidRPr="00CF1FEA" w:rsidRDefault="00661E0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Saint Vincent and the Grenadines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San Marino</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Sao Tome and Principe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Senegal</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Serbia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Seychelles</w:t>
      </w:r>
    </w:p>
    <w:p w:rsidR="00661E07" w:rsidRPr="00CF1FEA" w:rsidRDefault="00661E07"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Sierra Leone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Slovakia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Solomon Islands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Somalia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South Africa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Spain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Sri Lanka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Sudan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Suriname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Sweden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Switzerland</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Tajikistan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Thailand</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Timor-Leste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Togo</w:t>
      </w:r>
    </w:p>
    <w:p w:rsidR="00F65BD5" w:rsidRPr="00CF1FEA" w:rsidRDefault="00F65BD5"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Trinidad and Tobago</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Tunisia</w:t>
      </w:r>
    </w:p>
    <w:p w:rsidR="00F65BD5" w:rsidRPr="00CF1FEA" w:rsidRDefault="00F65BD5"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Turkmenistan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Tuvalu</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Uganda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Ukraine</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United Arab Emirates</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hanging="720"/>
        <w:jc w:val="left"/>
        <w:rPr>
          <w:snapToGrid w:val="0"/>
          <w:kern w:val="22"/>
          <w:szCs w:val="22"/>
        </w:rPr>
      </w:pPr>
      <w:r w:rsidRPr="00CF1FEA">
        <w:rPr>
          <w:snapToGrid w:val="0"/>
          <w:kern w:val="22"/>
          <w:szCs w:val="22"/>
        </w:rPr>
        <w:t>United Kingdom of Great Britain and Northern Ireland</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United Republic of Tanzania</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Uruguay</w:t>
      </w:r>
    </w:p>
    <w:p w:rsidR="00F65BD5" w:rsidRPr="00CF1FEA" w:rsidRDefault="00F65BD5"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Vanuatu</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Venezuela (Bolivarian Republic of)</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Viet Nam</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18"/>
        </w:rPr>
        <w:t>Yemen</w:t>
      </w:r>
    </w:p>
    <w:p w:rsidR="009E4766"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Zambia</w:t>
      </w:r>
    </w:p>
    <w:p w:rsidR="008C5228" w:rsidRPr="00CF1FEA" w:rsidRDefault="009E4766" w:rsidP="00CF1FEA">
      <w:pPr>
        <w:numPr>
          <w:ilvl w:val="0"/>
          <w:numId w:val="20"/>
        </w:numPr>
        <w:suppressLineNumbers/>
        <w:tabs>
          <w:tab w:val="left" w:pos="270"/>
        </w:tabs>
        <w:suppressAutoHyphens/>
        <w:kinsoku w:val="0"/>
        <w:overflowPunct w:val="0"/>
        <w:autoSpaceDE w:val="0"/>
        <w:autoSpaceDN w:val="0"/>
        <w:adjustRightInd w:val="0"/>
        <w:snapToGrid w:val="0"/>
        <w:spacing w:before="40" w:after="40"/>
        <w:ind w:left="0" w:firstLine="0"/>
        <w:jc w:val="left"/>
        <w:rPr>
          <w:snapToGrid w:val="0"/>
          <w:kern w:val="22"/>
          <w:szCs w:val="22"/>
        </w:rPr>
      </w:pPr>
      <w:r w:rsidRPr="00CF1FEA">
        <w:rPr>
          <w:snapToGrid w:val="0"/>
          <w:kern w:val="22"/>
          <w:szCs w:val="22"/>
        </w:rPr>
        <w:t>Zimbabwe</w:t>
      </w:r>
    </w:p>
    <w:p w:rsidR="002C2464" w:rsidRPr="00CF1FEA" w:rsidRDefault="002C2464" w:rsidP="00CF1FEA">
      <w:pPr>
        <w:numPr>
          <w:ilvl w:val="0"/>
          <w:numId w:val="20"/>
        </w:numPr>
        <w:suppressLineNumbers/>
        <w:tabs>
          <w:tab w:val="left" w:pos="270"/>
        </w:tabs>
        <w:suppressAutoHyphens/>
        <w:kinsoku w:val="0"/>
        <w:overflowPunct w:val="0"/>
        <w:autoSpaceDE w:val="0"/>
        <w:autoSpaceDN w:val="0"/>
        <w:adjustRightInd w:val="0"/>
        <w:snapToGrid w:val="0"/>
        <w:spacing w:before="60"/>
        <w:ind w:left="0" w:firstLine="0"/>
        <w:jc w:val="left"/>
        <w:rPr>
          <w:snapToGrid w:val="0"/>
          <w:kern w:val="22"/>
          <w:szCs w:val="22"/>
        </w:rPr>
        <w:sectPr w:rsidR="002C2464" w:rsidRPr="00CF1FEA" w:rsidSect="00CF1FEA">
          <w:headerReference w:type="default" r:id="rId24"/>
          <w:type w:val="continuous"/>
          <w:pgSz w:w="12240" w:h="15840" w:code="1"/>
          <w:pgMar w:top="567" w:right="1183" w:bottom="1134" w:left="1389" w:header="709" w:footer="709" w:gutter="0"/>
          <w:cols w:num="2" w:space="708"/>
          <w:docGrid w:linePitch="360"/>
        </w:sectPr>
      </w:pPr>
    </w:p>
    <w:p w:rsidR="00B3369F" w:rsidRPr="00CF1FEA" w:rsidRDefault="002C2464">
      <w:pPr>
        <w:suppressLineNumbers/>
        <w:tabs>
          <w:tab w:val="left" w:pos="270"/>
        </w:tabs>
        <w:suppressAutoHyphens/>
        <w:kinsoku w:val="0"/>
        <w:overflowPunct w:val="0"/>
        <w:autoSpaceDE w:val="0"/>
        <w:autoSpaceDN w:val="0"/>
        <w:adjustRightInd w:val="0"/>
        <w:snapToGrid w:val="0"/>
        <w:spacing w:before="40" w:after="40"/>
        <w:jc w:val="center"/>
        <w:rPr>
          <w:kern w:val="22"/>
        </w:rPr>
      </w:pPr>
      <w:r w:rsidRPr="00CF1FEA">
        <w:rPr>
          <w:kern w:val="22"/>
        </w:rPr>
        <w:t>__________</w:t>
      </w:r>
    </w:p>
    <w:sectPr w:rsidR="00B3369F" w:rsidRPr="00CF1FEA" w:rsidSect="001622FF">
      <w:type w:val="continuous"/>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F4A" w:rsidRDefault="00F24F4A" w:rsidP="00CF1848">
      <w:r>
        <w:separator/>
      </w:r>
    </w:p>
  </w:endnote>
  <w:endnote w:type="continuationSeparator" w:id="0">
    <w:p w:rsidR="00F24F4A" w:rsidRDefault="00F24F4A"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F4A" w:rsidRDefault="00F24F4A" w:rsidP="00CF1848">
      <w:r>
        <w:separator/>
      </w:r>
    </w:p>
  </w:footnote>
  <w:footnote w:type="continuationSeparator" w:id="0">
    <w:p w:rsidR="00F24F4A" w:rsidRDefault="00F24F4A" w:rsidP="00CF1848">
      <w:r>
        <w:continuationSeparator/>
      </w:r>
    </w:p>
  </w:footnote>
  <w:footnote w:id="1">
    <w:p w:rsidR="00F24F4A" w:rsidRPr="00CF1FEA"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CF1FEA">
        <w:rPr>
          <w:rStyle w:val="FootnoteReference"/>
          <w:rFonts w:eastAsiaTheme="majorEastAsia"/>
          <w:snapToGrid w:val="0"/>
          <w:kern w:val="18"/>
          <w:sz w:val="18"/>
          <w:szCs w:val="18"/>
        </w:rPr>
        <w:t>*</w:t>
      </w:r>
      <w:r w:rsidRPr="00CF1FEA">
        <w:rPr>
          <w:snapToGrid w:val="0"/>
          <w:kern w:val="18"/>
          <w:szCs w:val="18"/>
        </w:rPr>
        <w:t xml:space="preserve"> CBD/COP/14/1.</w:t>
      </w:r>
    </w:p>
  </w:footnote>
  <w:footnote w:id="2">
    <w:p w:rsidR="00F24F4A" w:rsidRPr="00134A2D"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34A2D">
        <w:rPr>
          <w:rStyle w:val="FootnoteReference"/>
          <w:snapToGrid w:val="0"/>
          <w:kern w:val="18"/>
          <w:sz w:val="18"/>
          <w:szCs w:val="18"/>
        </w:rPr>
        <w:footnoteRef/>
      </w:r>
      <w:r w:rsidRPr="00134A2D">
        <w:rPr>
          <w:rStyle w:val="FootnoteReference"/>
          <w:snapToGrid w:val="0"/>
          <w:kern w:val="18"/>
          <w:sz w:val="18"/>
          <w:szCs w:val="18"/>
        </w:rPr>
        <w:t xml:space="preserve"> </w:t>
      </w:r>
      <w:hyperlink r:id="rId1" w:history="1">
        <w:r w:rsidRPr="00CF1FEA">
          <w:rPr>
            <w:rStyle w:val="Hyperlink"/>
            <w:snapToGrid w:val="0"/>
            <w:kern w:val="18"/>
            <w:szCs w:val="18"/>
          </w:rPr>
          <w:t>General Assembly resolution 70/1</w:t>
        </w:r>
      </w:hyperlink>
      <w:r w:rsidRPr="00134A2D">
        <w:rPr>
          <w:snapToGrid w:val="0"/>
          <w:kern w:val="18"/>
          <w:szCs w:val="18"/>
        </w:rPr>
        <w:t>, annex.</w:t>
      </w:r>
    </w:p>
  </w:footnote>
  <w:footnote w:id="3">
    <w:p w:rsidR="00F24F4A" w:rsidRPr="00134A2D"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34A2D">
        <w:rPr>
          <w:rStyle w:val="FootnoteReference"/>
          <w:snapToGrid w:val="0"/>
          <w:kern w:val="18"/>
          <w:sz w:val="18"/>
          <w:szCs w:val="18"/>
        </w:rPr>
        <w:footnoteRef/>
      </w:r>
      <w:r w:rsidRPr="00134A2D">
        <w:rPr>
          <w:snapToGrid w:val="0"/>
          <w:kern w:val="18"/>
          <w:szCs w:val="18"/>
        </w:rPr>
        <w:t xml:space="preserve"> Decision </w:t>
      </w:r>
      <w:hyperlink r:id="rId2" w:history="1">
        <w:r w:rsidRPr="00CF1FEA">
          <w:rPr>
            <w:rStyle w:val="Hyperlink"/>
            <w:snapToGrid w:val="0"/>
            <w:kern w:val="18"/>
            <w:szCs w:val="18"/>
          </w:rPr>
          <w:t>XII/7</w:t>
        </w:r>
      </w:hyperlink>
      <w:r w:rsidRPr="00134A2D">
        <w:rPr>
          <w:snapToGrid w:val="0"/>
          <w:kern w:val="18"/>
          <w:szCs w:val="18"/>
        </w:rPr>
        <w:t>.</w:t>
      </w:r>
    </w:p>
  </w:footnote>
  <w:footnote w:id="4">
    <w:p w:rsidR="00F24F4A" w:rsidRPr="00134A2D"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34A2D">
        <w:rPr>
          <w:rStyle w:val="FootnoteReference"/>
          <w:snapToGrid w:val="0"/>
          <w:kern w:val="18"/>
          <w:sz w:val="18"/>
          <w:szCs w:val="18"/>
        </w:rPr>
        <w:footnoteRef/>
      </w:r>
      <w:r w:rsidRPr="00134A2D">
        <w:rPr>
          <w:snapToGrid w:val="0"/>
          <w:kern w:val="18"/>
          <w:szCs w:val="18"/>
        </w:rPr>
        <w:t xml:space="preserve"> The midterm review of progress was supported by the fourth edition of the </w:t>
      </w:r>
      <w:r w:rsidRPr="00134A2D">
        <w:rPr>
          <w:i/>
          <w:snapToGrid w:val="0"/>
          <w:kern w:val="18"/>
          <w:szCs w:val="18"/>
        </w:rPr>
        <w:t>Global Biodiversity Outlook</w:t>
      </w:r>
      <w:r w:rsidRPr="00134A2D">
        <w:rPr>
          <w:snapToGrid w:val="0"/>
          <w:kern w:val="18"/>
          <w:szCs w:val="18"/>
        </w:rPr>
        <w:t xml:space="preserve"> and led to the adoption of decision XII/1.</w:t>
      </w:r>
    </w:p>
  </w:footnote>
  <w:footnote w:id="5">
    <w:p w:rsidR="00F24F4A" w:rsidRPr="00134A2D"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34A2D">
        <w:rPr>
          <w:rStyle w:val="FootnoteReference"/>
          <w:snapToGrid w:val="0"/>
          <w:kern w:val="18"/>
          <w:sz w:val="18"/>
          <w:szCs w:val="18"/>
        </w:rPr>
        <w:footnoteRef/>
      </w:r>
      <w:r w:rsidRPr="00134A2D">
        <w:rPr>
          <w:snapToGrid w:val="0"/>
          <w:kern w:val="18"/>
          <w:szCs w:val="18"/>
        </w:rPr>
        <w:t xml:space="preserve"> </w:t>
      </w:r>
      <w:hyperlink r:id="rId3" w:history="1">
        <w:r w:rsidRPr="00CF1FEA">
          <w:rPr>
            <w:rStyle w:val="Hyperlink"/>
            <w:noProof/>
            <w:snapToGrid w:val="0"/>
            <w:kern w:val="18"/>
            <w:szCs w:val="18"/>
          </w:rPr>
          <w:t>Prip, C; Gross, T; Johnston, S; Vierros, M</w:t>
        </w:r>
        <w:r w:rsidRPr="00CF1FEA">
          <w:rPr>
            <w:rStyle w:val="Hyperlink"/>
            <w:snapToGrid w:val="0"/>
            <w:kern w:val="18"/>
            <w:szCs w:val="18"/>
          </w:rPr>
          <w:t xml:space="preserve"> (2010). </w:t>
        </w:r>
        <w:r w:rsidRPr="00CF1FEA">
          <w:rPr>
            <w:rStyle w:val="Hyperlink"/>
            <w:i/>
            <w:iCs/>
            <w:snapToGrid w:val="0"/>
            <w:kern w:val="18"/>
            <w:szCs w:val="18"/>
          </w:rPr>
          <w:t>Biodiversity Planning: An Assessment of National Biodiversity Strategies and Action Plans</w:t>
        </w:r>
        <w:r w:rsidRPr="00CF1FEA">
          <w:rPr>
            <w:rStyle w:val="Hyperlink"/>
            <w:snapToGrid w:val="0"/>
            <w:kern w:val="18"/>
            <w:szCs w:val="18"/>
          </w:rPr>
          <w:t>, United Nations University Institute of Advanced Studies, Yokohama, Japan</w:t>
        </w:r>
      </w:hyperlink>
      <w:r w:rsidRPr="00134A2D">
        <w:rPr>
          <w:snapToGrid w:val="0"/>
          <w:kern w:val="18"/>
          <w:szCs w:val="18"/>
        </w:rPr>
        <w:t>.</w:t>
      </w:r>
    </w:p>
  </w:footnote>
  <w:footnote w:id="6">
    <w:p w:rsidR="00F24F4A" w:rsidRPr="00134A2D"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34A2D">
        <w:rPr>
          <w:rStyle w:val="FootnoteReference"/>
          <w:snapToGrid w:val="0"/>
          <w:kern w:val="18"/>
          <w:sz w:val="18"/>
          <w:szCs w:val="18"/>
        </w:rPr>
        <w:footnoteRef/>
      </w:r>
      <w:r w:rsidRPr="00134A2D">
        <w:rPr>
          <w:snapToGrid w:val="0"/>
          <w:kern w:val="18"/>
          <w:szCs w:val="18"/>
        </w:rPr>
        <w:t xml:space="preserve"> United Nations Framework Convention on Climate Change, Conference of the Parties, twenty-first session, </w:t>
      </w:r>
      <w:hyperlink r:id="rId4" w:history="1">
        <w:r w:rsidRPr="00CF1FEA">
          <w:rPr>
            <w:rStyle w:val="Hyperlink"/>
            <w:snapToGrid w:val="0"/>
            <w:kern w:val="18"/>
            <w:szCs w:val="18"/>
          </w:rPr>
          <w:t>decision 1/CP.21</w:t>
        </w:r>
      </w:hyperlink>
      <w:r w:rsidRPr="00134A2D">
        <w:rPr>
          <w:snapToGrid w:val="0"/>
          <w:kern w:val="18"/>
          <w:szCs w:val="18"/>
        </w:rPr>
        <w:t>.</w:t>
      </w:r>
    </w:p>
  </w:footnote>
  <w:footnote w:id="7">
    <w:p w:rsidR="00F24F4A" w:rsidRPr="00134A2D"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34A2D">
        <w:rPr>
          <w:rStyle w:val="FootnoteReference"/>
          <w:snapToGrid w:val="0"/>
          <w:kern w:val="18"/>
          <w:sz w:val="18"/>
          <w:szCs w:val="18"/>
        </w:rPr>
        <w:footnoteRef/>
      </w:r>
      <w:r w:rsidRPr="00134A2D">
        <w:rPr>
          <w:snapToGrid w:val="0"/>
          <w:kern w:val="18"/>
          <w:szCs w:val="18"/>
        </w:rPr>
        <w:t xml:space="preserve"> </w:t>
      </w:r>
      <w:r w:rsidRPr="00134A2D">
        <w:rPr>
          <w:rFonts w:eastAsia="Malgun Gothic"/>
          <w:snapToGrid w:val="0"/>
          <w:kern w:val="18"/>
          <w:szCs w:val="18"/>
        </w:rPr>
        <w:t>Decision X/2.</w:t>
      </w:r>
    </w:p>
  </w:footnote>
  <w:footnote w:id="8">
    <w:p w:rsidR="00F24F4A" w:rsidRPr="00134A2D" w:rsidRDefault="00F24F4A" w:rsidP="00CF1FE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134A2D">
        <w:rPr>
          <w:rStyle w:val="FootnoteReference"/>
          <w:snapToGrid w:val="0"/>
          <w:kern w:val="18"/>
          <w:sz w:val="18"/>
          <w:szCs w:val="18"/>
        </w:rPr>
        <w:footnoteRef/>
      </w:r>
      <w:r w:rsidRPr="00134A2D">
        <w:rPr>
          <w:snapToGrid w:val="0"/>
          <w:kern w:val="18"/>
          <w:szCs w:val="18"/>
        </w:rPr>
        <w:t xml:space="preserve"> </w:t>
      </w:r>
      <w:r w:rsidRPr="00134A2D">
        <w:rPr>
          <w:rFonts w:eastAsia="Malgun Gothic"/>
          <w:snapToGrid w:val="0"/>
          <w:kern w:val="18"/>
          <w:szCs w:val="18"/>
        </w:rPr>
        <w:t>See annex I for the list of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2036152591"/>
      <w:placeholder>
        <w:docPart w:val="DFAE873E751A4EEA8B9B7F5860A74AE0"/>
      </w:placeholder>
      <w:dataBinding w:prefixMappings="xmlns:ns0='http://purl.org/dc/elements/1.1/' xmlns:ns1='http://schemas.openxmlformats.org/package/2006/metadata/core-properties' " w:xpath="/ns1:coreProperties[1]/ns0:subject[1]" w:storeItemID="{6C3C8BC8-F283-45AE-878A-BAB7291924A1}"/>
      <w:text/>
    </w:sdtPr>
    <w:sdtContent>
      <w:p w:rsidR="00F24F4A" w:rsidRPr="00134A2D" w:rsidRDefault="00F24F4A" w:rsidP="00F32057">
        <w:pPr>
          <w:suppressLineNumbers/>
          <w:suppressAutoHyphens/>
          <w:jc w:val="left"/>
          <w:rPr>
            <w:noProof/>
            <w:kern w:val="22"/>
          </w:rPr>
        </w:pPr>
        <w:r w:rsidRPr="00134A2D">
          <w:rPr>
            <w:noProof/>
            <w:kern w:val="22"/>
          </w:rPr>
          <w:t>CBD/COP/14/5</w:t>
        </w:r>
      </w:p>
    </w:sdtContent>
  </w:sdt>
  <w:p w:rsidR="00F24F4A" w:rsidRPr="00134A2D" w:rsidRDefault="00F24F4A" w:rsidP="00CF1FEA">
    <w:pPr>
      <w:pStyle w:val="Header"/>
      <w:suppressLineNumbers/>
      <w:tabs>
        <w:tab w:val="clear" w:pos="4320"/>
        <w:tab w:val="clear" w:pos="8640"/>
      </w:tabs>
      <w:suppressAutoHyphens/>
      <w:spacing w:after="240"/>
      <w:jc w:val="left"/>
      <w:rPr>
        <w:noProof/>
        <w:kern w:val="22"/>
      </w:rPr>
    </w:pPr>
    <w:r w:rsidRPr="00134A2D">
      <w:rPr>
        <w:noProof/>
        <w:kern w:val="22"/>
      </w:rPr>
      <w:t xml:space="preserve">Page </w:t>
    </w:r>
    <w:r w:rsidRPr="00134A2D">
      <w:rPr>
        <w:noProof/>
        <w:kern w:val="22"/>
      </w:rPr>
      <w:fldChar w:fldCharType="begin"/>
    </w:r>
    <w:r w:rsidRPr="00CF1FEA">
      <w:rPr>
        <w:noProof/>
        <w:kern w:val="22"/>
      </w:rPr>
      <w:instrText xml:space="preserve"> PAGE   \* MERGEFORMAT </w:instrText>
    </w:r>
    <w:r w:rsidRPr="00CF1FEA">
      <w:rPr>
        <w:noProof/>
        <w:kern w:val="22"/>
      </w:rPr>
      <w:fldChar w:fldCharType="separate"/>
    </w:r>
    <w:r w:rsidRPr="00CF1FEA">
      <w:rPr>
        <w:noProof/>
        <w:kern w:val="22"/>
      </w:rPr>
      <w:t>12</w:t>
    </w:r>
    <w:r w:rsidRPr="00CF1FE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658074425"/>
      <w:placeholder>
        <w:docPart w:val="7AD16DBD8B2141C9981B52A7F2FBA83E"/>
      </w:placeholder>
      <w:dataBinding w:prefixMappings="xmlns:ns0='http://purl.org/dc/elements/1.1/' xmlns:ns1='http://schemas.openxmlformats.org/package/2006/metadata/core-properties' " w:xpath="/ns1:coreProperties[1]/ns0:subject[1]" w:storeItemID="{6C3C8BC8-F283-45AE-878A-BAB7291924A1}"/>
      <w:text/>
    </w:sdtPr>
    <w:sdtContent>
      <w:p w:rsidR="00F24F4A" w:rsidRPr="00134A2D" w:rsidRDefault="00F24F4A" w:rsidP="00F32057">
        <w:pPr>
          <w:suppressLineNumbers/>
          <w:suppressAutoHyphens/>
          <w:jc w:val="right"/>
          <w:rPr>
            <w:noProof/>
            <w:kern w:val="22"/>
          </w:rPr>
        </w:pPr>
        <w:r w:rsidRPr="00134A2D">
          <w:rPr>
            <w:noProof/>
            <w:kern w:val="22"/>
          </w:rPr>
          <w:t>CBD/COP/14/5</w:t>
        </w:r>
      </w:p>
    </w:sdtContent>
  </w:sdt>
  <w:p w:rsidR="00F24F4A" w:rsidRPr="00134A2D" w:rsidRDefault="00F24F4A" w:rsidP="00F32057">
    <w:pPr>
      <w:pStyle w:val="Header"/>
      <w:suppressLineNumbers/>
      <w:tabs>
        <w:tab w:val="clear" w:pos="4320"/>
        <w:tab w:val="clear" w:pos="8640"/>
      </w:tabs>
      <w:suppressAutoHyphens/>
      <w:jc w:val="right"/>
      <w:rPr>
        <w:noProof/>
        <w:kern w:val="22"/>
      </w:rPr>
    </w:pPr>
    <w:r w:rsidRPr="00134A2D">
      <w:rPr>
        <w:noProof/>
        <w:kern w:val="22"/>
      </w:rPr>
      <w:t xml:space="preserve">Page </w:t>
    </w:r>
    <w:r w:rsidRPr="00134A2D">
      <w:rPr>
        <w:noProof/>
        <w:kern w:val="22"/>
      </w:rPr>
      <w:fldChar w:fldCharType="begin"/>
    </w:r>
    <w:r w:rsidRPr="00CF1FEA">
      <w:rPr>
        <w:noProof/>
        <w:kern w:val="22"/>
      </w:rPr>
      <w:instrText xml:space="preserve"> PAGE   \* MERGEFORMAT </w:instrText>
    </w:r>
    <w:r w:rsidRPr="00CF1FEA">
      <w:rPr>
        <w:noProof/>
        <w:kern w:val="22"/>
      </w:rPr>
      <w:fldChar w:fldCharType="separate"/>
    </w:r>
    <w:r w:rsidRPr="00CF1FEA">
      <w:rPr>
        <w:noProof/>
        <w:kern w:val="22"/>
      </w:rPr>
      <w:t>11</w:t>
    </w:r>
    <w:r w:rsidRPr="00CF1FEA">
      <w:rPr>
        <w:noProof/>
        <w:kern w:val="22"/>
      </w:rPr>
      <w:fldChar w:fldCharType="end"/>
    </w:r>
  </w:p>
  <w:p w:rsidR="00F24F4A" w:rsidRPr="00134A2D" w:rsidRDefault="00F24F4A" w:rsidP="00F32057">
    <w:pPr>
      <w:pStyle w:val="Header"/>
      <w:suppressLineNumbers/>
      <w:tabs>
        <w:tab w:val="clear" w:pos="4320"/>
        <w:tab w:val="clear" w:pos="8640"/>
      </w:tabs>
      <w:suppressAutoHyphen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987974297"/>
      <w:dataBinding w:prefixMappings="xmlns:ns0='http://purl.org/dc/elements/1.1/' xmlns:ns1='http://schemas.openxmlformats.org/package/2006/metadata/core-properties' " w:xpath="/ns1:coreProperties[1]/ns0:subject[1]" w:storeItemID="{6C3C8BC8-F283-45AE-878A-BAB7291924A1}"/>
      <w:text/>
    </w:sdtPr>
    <w:sdtContent>
      <w:p w:rsidR="00F24F4A" w:rsidRDefault="00F24F4A" w:rsidP="009505C9">
        <w:pPr>
          <w:pStyle w:val="Header"/>
          <w:jc w:val="right"/>
        </w:pPr>
        <w:r>
          <w:rPr>
            <w:lang w:val="en-CA"/>
          </w:rPr>
          <w:t>CBD/COP/14/5</w:t>
        </w:r>
      </w:p>
    </w:sdtContent>
  </w:sdt>
  <w:p w:rsidR="00F24F4A" w:rsidRDefault="00F24F4A" w:rsidP="00CF1FEA">
    <w:pPr>
      <w:pStyle w:val="Header"/>
      <w:spacing w:after="240"/>
      <w:jc w:val="right"/>
    </w:pPr>
    <w:r>
      <w:t xml:space="preserve">Page </w:t>
    </w:r>
    <w:r>
      <w:fldChar w:fldCharType="begin"/>
    </w:r>
    <w:r>
      <w:instrText xml:space="preserve"> PAGE   \* MERGEFORMAT </w:instrText>
    </w:r>
    <w:r>
      <w:fldChar w:fldCharType="separate"/>
    </w:r>
    <w:r>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E3861"/>
    <w:multiLevelType w:val="hybridMultilevel"/>
    <w:tmpl w:val="5B98569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55F1B79"/>
    <w:multiLevelType w:val="hybridMultilevel"/>
    <w:tmpl w:val="47167C8A"/>
    <w:lvl w:ilvl="0" w:tplc="1FF68F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62B99"/>
    <w:multiLevelType w:val="hybridMultilevel"/>
    <w:tmpl w:val="829AE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9"/>
  </w:num>
  <w:num w:numId="5">
    <w:abstractNumId w:val="8"/>
  </w:num>
  <w:num w:numId="6">
    <w:abstractNumId w:val="0"/>
  </w:num>
  <w:num w:numId="7">
    <w:abstractNumId w:val="4"/>
  </w:num>
  <w:num w:numId="8">
    <w:abstractNumId w:val="6"/>
    <w:lvlOverride w:ilvl="0">
      <w:startOverride w:val="1"/>
    </w:lvlOverride>
  </w:num>
  <w:num w:numId="9">
    <w:abstractNumId w:val="13"/>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2"/>
  </w:num>
  <w:num w:numId="20">
    <w:abstractNumId w:val="3"/>
  </w:num>
  <w:num w:numId="21">
    <w:abstractNumId w:val="7"/>
  </w:num>
  <w:num w:numId="22">
    <w:abstractNumId w:val="1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visionView w:markup="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3917"/>
    <w:rsid w:val="00020778"/>
    <w:rsid w:val="000842C2"/>
    <w:rsid w:val="000A5ADD"/>
    <w:rsid w:val="000A5E1B"/>
    <w:rsid w:val="000B13F9"/>
    <w:rsid w:val="000B682B"/>
    <w:rsid w:val="000D4F43"/>
    <w:rsid w:val="000D676E"/>
    <w:rsid w:val="000E0202"/>
    <w:rsid w:val="000E389B"/>
    <w:rsid w:val="000E673A"/>
    <w:rsid w:val="000F74F5"/>
    <w:rsid w:val="00103C1F"/>
    <w:rsid w:val="00105372"/>
    <w:rsid w:val="001073B0"/>
    <w:rsid w:val="001133C5"/>
    <w:rsid w:val="00123290"/>
    <w:rsid w:val="00126394"/>
    <w:rsid w:val="00131E7A"/>
    <w:rsid w:val="00134A2D"/>
    <w:rsid w:val="00145180"/>
    <w:rsid w:val="001574FC"/>
    <w:rsid w:val="001622FF"/>
    <w:rsid w:val="00164967"/>
    <w:rsid w:val="00172AF6"/>
    <w:rsid w:val="00176CEE"/>
    <w:rsid w:val="001838BA"/>
    <w:rsid w:val="00186DD8"/>
    <w:rsid w:val="001919E2"/>
    <w:rsid w:val="00196DF6"/>
    <w:rsid w:val="001A4731"/>
    <w:rsid w:val="001C2E16"/>
    <w:rsid w:val="001D1F36"/>
    <w:rsid w:val="0024504E"/>
    <w:rsid w:val="002644FE"/>
    <w:rsid w:val="00281BA1"/>
    <w:rsid w:val="00284AD2"/>
    <w:rsid w:val="00297762"/>
    <w:rsid w:val="002C048D"/>
    <w:rsid w:val="002C2464"/>
    <w:rsid w:val="002D79DD"/>
    <w:rsid w:val="002F7C2F"/>
    <w:rsid w:val="00301637"/>
    <w:rsid w:val="0033448F"/>
    <w:rsid w:val="003362BA"/>
    <w:rsid w:val="00354D98"/>
    <w:rsid w:val="003623AE"/>
    <w:rsid w:val="00372F74"/>
    <w:rsid w:val="003B0E8D"/>
    <w:rsid w:val="003B41D3"/>
    <w:rsid w:val="003D38C0"/>
    <w:rsid w:val="003D3D56"/>
    <w:rsid w:val="003F7224"/>
    <w:rsid w:val="004007D7"/>
    <w:rsid w:val="00427D21"/>
    <w:rsid w:val="004644C2"/>
    <w:rsid w:val="00467F9C"/>
    <w:rsid w:val="00474BB9"/>
    <w:rsid w:val="00480F8C"/>
    <w:rsid w:val="004A21D1"/>
    <w:rsid w:val="004C2683"/>
    <w:rsid w:val="004C4E04"/>
    <w:rsid w:val="00501F2A"/>
    <w:rsid w:val="00504441"/>
    <w:rsid w:val="005245F5"/>
    <w:rsid w:val="00534681"/>
    <w:rsid w:val="00560749"/>
    <w:rsid w:val="00565E1B"/>
    <w:rsid w:val="005678DD"/>
    <w:rsid w:val="00576A85"/>
    <w:rsid w:val="00591018"/>
    <w:rsid w:val="00593971"/>
    <w:rsid w:val="005976B4"/>
    <w:rsid w:val="005A6CD5"/>
    <w:rsid w:val="005B206A"/>
    <w:rsid w:val="005D6B2D"/>
    <w:rsid w:val="005E540D"/>
    <w:rsid w:val="005F5109"/>
    <w:rsid w:val="00602355"/>
    <w:rsid w:val="006122BA"/>
    <w:rsid w:val="00623269"/>
    <w:rsid w:val="00626ADC"/>
    <w:rsid w:val="0063202A"/>
    <w:rsid w:val="00661E07"/>
    <w:rsid w:val="00686293"/>
    <w:rsid w:val="006A1A1B"/>
    <w:rsid w:val="006B2290"/>
    <w:rsid w:val="006D1747"/>
    <w:rsid w:val="006D3187"/>
    <w:rsid w:val="006D5CE9"/>
    <w:rsid w:val="006E5292"/>
    <w:rsid w:val="00705A6C"/>
    <w:rsid w:val="00717D88"/>
    <w:rsid w:val="00735B46"/>
    <w:rsid w:val="00750A63"/>
    <w:rsid w:val="00750F2A"/>
    <w:rsid w:val="007731E5"/>
    <w:rsid w:val="007942D3"/>
    <w:rsid w:val="007B6C09"/>
    <w:rsid w:val="007E09DA"/>
    <w:rsid w:val="007F5BA8"/>
    <w:rsid w:val="008178B6"/>
    <w:rsid w:val="0082572E"/>
    <w:rsid w:val="00865B74"/>
    <w:rsid w:val="008C074D"/>
    <w:rsid w:val="008C1BF3"/>
    <w:rsid w:val="008C3030"/>
    <w:rsid w:val="008C5228"/>
    <w:rsid w:val="009237EF"/>
    <w:rsid w:val="00923BDA"/>
    <w:rsid w:val="009240D8"/>
    <w:rsid w:val="00930BA1"/>
    <w:rsid w:val="0093169E"/>
    <w:rsid w:val="00945290"/>
    <w:rsid w:val="009505C9"/>
    <w:rsid w:val="009758E5"/>
    <w:rsid w:val="00992BEE"/>
    <w:rsid w:val="009A720E"/>
    <w:rsid w:val="009B7C1B"/>
    <w:rsid w:val="009E4766"/>
    <w:rsid w:val="009F5689"/>
    <w:rsid w:val="00A06591"/>
    <w:rsid w:val="00A21C4F"/>
    <w:rsid w:val="00A5202D"/>
    <w:rsid w:val="00A65E02"/>
    <w:rsid w:val="00AA5F32"/>
    <w:rsid w:val="00AB183F"/>
    <w:rsid w:val="00AC5409"/>
    <w:rsid w:val="00AE793F"/>
    <w:rsid w:val="00B03CD7"/>
    <w:rsid w:val="00B3369F"/>
    <w:rsid w:val="00B4170C"/>
    <w:rsid w:val="00B519A4"/>
    <w:rsid w:val="00B71867"/>
    <w:rsid w:val="00B96B6A"/>
    <w:rsid w:val="00BC1C6B"/>
    <w:rsid w:val="00BD7B3F"/>
    <w:rsid w:val="00C443BD"/>
    <w:rsid w:val="00C45CC8"/>
    <w:rsid w:val="00C52E97"/>
    <w:rsid w:val="00C835ED"/>
    <w:rsid w:val="00C835F9"/>
    <w:rsid w:val="00C9161D"/>
    <w:rsid w:val="00C925E9"/>
    <w:rsid w:val="00C9756C"/>
    <w:rsid w:val="00CD7A42"/>
    <w:rsid w:val="00CE411F"/>
    <w:rsid w:val="00CF1848"/>
    <w:rsid w:val="00CF1FEA"/>
    <w:rsid w:val="00D02ED1"/>
    <w:rsid w:val="00D0779A"/>
    <w:rsid w:val="00D12044"/>
    <w:rsid w:val="00D1784F"/>
    <w:rsid w:val="00D20006"/>
    <w:rsid w:val="00D2594C"/>
    <w:rsid w:val="00D508E4"/>
    <w:rsid w:val="00D5591A"/>
    <w:rsid w:val="00D7100B"/>
    <w:rsid w:val="00D76A18"/>
    <w:rsid w:val="00D8741A"/>
    <w:rsid w:val="00DC7645"/>
    <w:rsid w:val="00DD118C"/>
    <w:rsid w:val="00DF55CF"/>
    <w:rsid w:val="00E13495"/>
    <w:rsid w:val="00E14D63"/>
    <w:rsid w:val="00E1756B"/>
    <w:rsid w:val="00E20A41"/>
    <w:rsid w:val="00E22BDA"/>
    <w:rsid w:val="00E246CE"/>
    <w:rsid w:val="00E608FD"/>
    <w:rsid w:val="00E66235"/>
    <w:rsid w:val="00E83C24"/>
    <w:rsid w:val="00E90AC5"/>
    <w:rsid w:val="00E9318D"/>
    <w:rsid w:val="00ED4413"/>
    <w:rsid w:val="00EE4C28"/>
    <w:rsid w:val="00F1118A"/>
    <w:rsid w:val="00F21B07"/>
    <w:rsid w:val="00F23A14"/>
    <w:rsid w:val="00F24F4A"/>
    <w:rsid w:val="00F3010C"/>
    <w:rsid w:val="00F32057"/>
    <w:rsid w:val="00F43118"/>
    <w:rsid w:val="00F51F6D"/>
    <w:rsid w:val="00F634CD"/>
    <w:rsid w:val="00F65BD5"/>
    <w:rsid w:val="00F77C86"/>
    <w:rsid w:val="00F863D7"/>
    <w:rsid w:val="00F94774"/>
    <w:rsid w:val="00FA37CC"/>
    <w:rsid w:val="00FB5378"/>
    <w:rsid w:val="00FC53DB"/>
    <w:rsid w:val="00FD5AA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79C495"/>
  <w15:docId w15:val="{9565DCC4-6635-4379-A29E-4CE16CA7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rmalWeb">
    <w:name w:val="Normal (Web)"/>
    <w:basedOn w:val="Normal"/>
    <w:uiPriority w:val="99"/>
    <w:rsid w:val="009E4766"/>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Default">
    <w:name w:val="Default"/>
    <w:rsid w:val="001133C5"/>
    <w:pPr>
      <w:autoSpaceDE w:val="0"/>
      <w:autoSpaceDN w:val="0"/>
      <w:adjustRightInd w:val="0"/>
    </w:pPr>
    <w:rPr>
      <w:rFonts w:ascii="Times New Roman" w:eastAsia="Calibri" w:hAnsi="Times New Roman" w:cs="Times New Roman"/>
      <w:color w:val="000000"/>
      <w:lang w:val="pt-BR"/>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1133C5"/>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1133C5"/>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074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C074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02-en.pdf" TargetMode="External"/><Relationship Id="rId18" Type="http://schemas.openxmlformats.org/officeDocument/2006/relationships/hyperlink" Target="https://www.cbd.int/doc/decisions/cop-10/cop-10-dec-17-en.pdf"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cbd.int/doc/decisions/cop-10/cop-10-dec-10-en.pdf" TargetMode="External"/><Relationship Id="rId7" Type="http://schemas.openxmlformats.org/officeDocument/2006/relationships/footnotes" Target="footnotes.xml"/><Relationship Id="rId12" Type="http://schemas.openxmlformats.org/officeDocument/2006/relationships/hyperlink" Target="https://www.cbd.int/doc/decisions/cop-10/cop-10-dec-02-en.pdf" TargetMode="External"/><Relationship Id="rId17" Type="http://schemas.openxmlformats.org/officeDocument/2006/relationships/hyperlink" Target="https://www.cbd.int/doc/decisions/cop-13/cop-13-dec-01-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2/cop-12-dec-31-en.pdf" TargetMode="External"/><Relationship Id="rId20" Type="http://schemas.openxmlformats.org/officeDocument/2006/relationships/hyperlink" Target="https://www.cbd.int/doc/decisions/cop-09/cop-09-dec-08-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cbd.int/doc/decisions/cop-12/cop-12-dec-02-en.pdf" TargetMode="External"/><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hyperlink" Target="https://www.cbd.int/doc/c/c75f/06b1/6fc465496044698feacc47ba/sbstta-22-05-en.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09/cop-09-dec-09-en.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rchive.ias.unu.edu/resource_centre/UNU-IAS_Biodiversity_Planning_NBSAPs_Assessment_final_web_Oct_2010.pdf" TargetMode="External"/><Relationship Id="rId2" Type="http://schemas.openxmlformats.org/officeDocument/2006/relationships/hyperlink" Target="https://www.cbd.int/doc/decisions/cop-12/cop-12-dec-07-en.pdf" TargetMode="External"/><Relationship Id="rId1" Type="http://schemas.openxmlformats.org/officeDocument/2006/relationships/hyperlink" Target="http://www.un.org/en/ga/search/view_doc.asp?symbol=A/RES/70/1" TargetMode="External"/><Relationship Id="rId4" Type="http://schemas.openxmlformats.org/officeDocument/2006/relationships/hyperlink" Target="https://unfccc.int/sites/default/files/resource/docs/2015/cop21/eng/10a0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DFAE873E751A4EEA8B9B7F5860A74AE0"/>
        <w:category>
          <w:name w:val="General"/>
          <w:gallery w:val="placeholder"/>
        </w:category>
        <w:types>
          <w:type w:val="bbPlcHdr"/>
        </w:types>
        <w:behaviors>
          <w:behavior w:val="content"/>
        </w:behaviors>
        <w:guid w:val="{8D3E1A49-4963-42F0-9744-CE0A3D1F9832}"/>
      </w:docPartPr>
      <w:docPartBody>
        <w:p w:rsidR="0087299E" w:rsidRDefault="00101ADA">
          <w:r w:rsidRPr="00053DD5">
            <w:rPr>
              <w:rStyle w:val="PlaceholderText"/>
            </w:rPr>
            <w:t>[Subject]</w:t>
          </w:r>
        </w:p>
      </w:docPartBody>
    </w:docPart>
    <w:docPart>
      <w:docPartPr>
        <w:name w:val="7AD16DBD8B2141C9981B52A7F2FBA83E"/>
        <w:category>
          <w:name w:val="General"/>
          <w:gallery w:val="placeholder"/>
        </w:category>
        <w:types>
          <w:type w:val="bbPlcHdr"/>
        </w:types>
        <w:behaviors>
          <w:behavior w:val="content"/>
        </w:behaviors>
        <w:guid w:val="{C52A2133-DA5D-408F-A137-88FC3697C654}"/>
      </w:docPartPr>
      <w:docPartBody>
        <w:p w:rsidR="0087299E" w:rsidRDefault="00101ADA">
          <w:r w:rsidRPr="00053DD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0D42"/>
    <w:rsid w:val="00101ADA"/>
    <w:rsid w:val="00151327"/>
    <w:rsid w:val="00500A2B"/>
    <w:rsid w:val="0058288D"/>
    <w:rsid w:val="006801B3"/>
    <w:rsid w:val="00810A55"/>
    <w:rsid w:val="0087299E"/>
    <w:rsid w:val="008C6619"/>
    <w:rsid w:val="008D420E"/>
    <w:rsid w:val="0098642F"/>
    <w:rsid w:val="00C25A74"/>
    <w:rsid w:val="00C7512E"/>
    <w:rsid w:val="00EB5C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A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09E748-E3E3-4EC6-AA58-06352AF5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Progress in the implementation of the Convention and the Strategic Plan for Biodiversity 2011-2020 and towards the achievement of the Aichi Biodiversity Targets</vt:lpstr>
    </vt:vector>
  </TitlesOfParts>
  <Company>SCBD</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the implementation of the Convention and the Strategic Plan for Biodiversity 2011-2020 and towards the achievement of the Aichi Biodiversity Targets</dc:title>
  <dc:subject>CBD/COP/14/5</dc:subject>
  <dc:creator>SCBD</dc:creator>
  <cp:lastModifiedBy>Orestes Plasencia</cp:lastModifiedBy>
  <cp:revision>2</cp:revision>
  <cp:lastPrinted>2018-09-24T16:44:00Z</cp:lastPrinted>
  <dcterms:created xsi:type="dcterms:W3CDTF">2018-09-27T22:05:00Z</dcterms:created>
  <dcterms:modified xsi:type="dcterms:W3CDTF">2018-09-27T22:05:00Z</dcterms:modified>
  <cp:contentStatus>GENERAL</cp:contentStatus>
</cp:coreProperties>
</file>