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357E" w14:textId="46E0901A" w:rsidR="00CC2EA4" w:rsidRPr="00340751" w:rsidRDefault="00A57649" w:rsidP="00F168C0">
      <w:pPr>
        <w:jc w:val="center"/>
        <w:rPr>
          <w:rFonts w:ascii="Times New Roman" w:hAnsi="Times New Roman" w:cs="Times New Roman"/>
          <w:b/>
          <w:sz w:val="22"/>
          <w:szCs w:val="22"/>
          <w:lang w:val="en-CA"/>
        </w:rPr>
      </w:pPr>
      <w:bookmarkStart w:id="0" w:name="_GoBack"/>
      <w:r w:rsidRPr="00340751">
        <w:rPr>
          <w:rFonts w:ascii="Times New Roman" w:hAnsi="Times New Roman" w:cs="Times New Roman"/>
          <w:b/>
          <w:sz w:val="22"/>
          <w:szCs w:val="22"/>
          <w:lang w:val="en-CA"/>
        </w:rPr>
        <w:t>USE OF INDICATORS FOR TRACKING PROGRESS</w:t>
      </w:r>
    </w:p>
    <w:bookmarkEnd w:id="0"/>
    <w:p w14:paraId="79F00991" w14:textId="77777777" w:rsidR="001272FA" w:rsidRPr="00340751" w:rsidRDefault="001272FA" w:rsidP="00F168C0">
      <w:pPr>
        <w:jc w:val="center"/>
        <w:rPr>
          <w:rFonts w:ascii="Times New Roman" w:hAnsi="Times New Roman" w:cs="Times New Roman"/>
          <w:b/>
          <w:sz w:val="22"/>
          <w:szCs w:val="22"/>
          <w:lang w:val="en-CA"/>
        </w:rPr>
      </w:pPr>
    </w:p>
    <w:p w14:paraId="115FF007" w14:textId="77777777" w:rsidR="00FC1B8A" w:rsidRPr="00340751" w:rsidRDefault="00FC1B8A" w:rsidP="00FC1B8A">
      <w:pPr>
        <w:jc w:val="center"/>
        <w:rPr>
          <w:rFonts w:ascii="Times New Roman" w:hAnsi="Times New Roman" w:cs="Times New Roman"/>
          <w:b/>
          <w:sz w:val="22"/>
          <w:szCs w:val="22"/>
          <w:lang w:val="en-CA"/>
        </w:rPr>
      </w:pPr>
      <w:r w:rsidRPr="00340751">
        <w:rPr>
          <w:rFonts w:ascii="Times New Roman" w:hAnsi="Times New Roman" w:cs="Times New Roman"/>
          <w:b/>
          <w:sz w:val="22"/>
          <w:szCs w:val="22"/>
          <w:lang w:val="en-CA"/>
        </w:rPr>
        <w:t>~ Issue Brief ~</w:t>
      </w:r>
    </w:p>
    <w:p w14:paraId="039F4F84" w14:textId="77777777" w:rsidR="00FC1B8A" w:rsidRPr="00340751" w:rsidRDefault="00FC1B8A" w:rsidP="007C4AAB">
      <w:pPr>
        <w:rPr>
          <w:rFonts w:ascii="Times New Roman" w:hAnsi="Times New Roman" w:cs="Times New Roman"/>
          <w:b/>
          <w:sz w:val="22"/>
          <w:szCs w:val="22"/>
        </w:rPr>
      </w:pPr>
      <w:r w:rsidRPr="00340751">
        <w:rPr>
          <w:rFonts w:ascii="Times New Roman" w:hAnsi="Times New Roman" w:cs="Times New Roman"/>
          <w:b/>
          <w:sz w:val="22"/>
          <w:szCs w:val="22"/>
        </w:rPr>
        <w:t>Background</w:t>
      </w:r>
    </w:p>
    <w:p w14:paraId="11BA309B" w14:textId="2D6C3544" w:rsidR="00FC1B8A" w:rsidRPr="00340751" w:rsidRDefault="00FC1B8A" w:rsidP="007C4AAB">
      <w:pPr>
        <w:rPr>
          <w:rFonts w:ascii="Times New Roman" w:hAnsi="Times New Roman" w:cs="Times New Roman"/>
          <w:sz w:val="22"/>
          <w:szCs w:val="22"/>
        </w:rPr>
      </w:pPr>
    </w:p>
    <w:p w14:paraId="2B443CDC" w14:textId="4500E9BD" w:rsidR="002025BB" w:rsidRPr="00340751" w:rsidRDefault="002025BB" w:rsidP="007C4AAB">
      <w:pPr>
        <w:rPr>
          <w:rFonts w:ascii="Times New Roman" w:hAnsi="Times New Roman" w:cs="Times New Roman"/>
          <w:i/>
          <w:iCs/>
          <w:sz w:val="22"/>
          <w:szCs w:val="22"/>
        </w:rPr>
      </w:pPr>
      <w:r w:rsidRPr="00340751">
        <w:rPr>
          <w:rFonts w:ascii="Times New Roman" w:hAnsi="Times New Roman" w:cs="Times New Roman"/>
          <w:i/>
          <w:iCs/>
          <w:sz w:val="22"/>
          <w:szCs w:val="22"/>
        </w:rPr>
        <w:t>Use of Indicators for Tracking National and Global Targets</w:t>
      </w:r>
    </w:p>
    <w:p w14:paraId="4F13C3DD" w14:textId="77777777" w:rsidR="002025BB" w:rsidRPr="00340751" w:rsidRDefault="002025BB" w:rsidP="007C4AAB">
      <w:pPr>
        <w:rPr>
          <w:rFonts w:ascii="Times New Roman" w:hAnsi="Times New Roman" w:cs="Times New Roman"/>
          <w:i/>
          <w:iCs/>
          <w:sz w:val="22"/>
          <w:szCs w:val="22"/>
        </w:rPr>
      </w:pPr>
    </w:p>
    <w:p w14:paraId="64C19EB9" w14:textId="28B0CA45" w:rsidR="00ED16DE" w:rsidRPr="00340751" w:rsidRDefault="005753AB" w:rsidP="00340751">
      <w:pPr>
        <w:jc w:val="both"/>
        <w:rPr>
          <w:rFonts w:ascii="Times New Roman" w:hAnsi="Times New Roman" w:cs="Times New Roman"/>
          <w:sz w:val="22"/>
          <w:szCs w:val="22"/>
        </w:rPr>
      </w:pPr>
      <w:r w:rsidRPr="00340751">
        <w:rPr>
          <w:rFonts w:ascii="Times New Roman" w:hAnsi="Times New Roman" w:cs="Times New Roman"/>
          <w:sz w:val="22"/>
          <w:szCs w:val="22"/>
        </w:rPr>
        <w:t xml:space="preserve">Indicators are currently used to track progress towards </w:t>
      </w:r>
      <w:r w:rsidR="00AF5102" w:rsidRPr="00340751">
        <w:rPr>
          <w:rFonts w:ascii="Times New Roman" w:hAnsi="Times New Roman" w:cs="Times New Roman"/>
          <w:sz w:val="22"/>
          <w:szCs w:val="22"/>
        </w:rPr>
        <w:t>the Aichi Biodiversity Targets at both national and global scales.</w:t>
      </w:r>
      <w:r w:rsidR="00C94589" w:rsidRPr="00340751">
        <w:rPr>
          <w:rFonts w:ascii="Times New Roman" w:hAnsi="Times New Roman" w:cs="Times New Roman"/>
          <w:sz w:val="22"/>
          <w:szCs w:val="22"/>
        </w:rPr>
        <w:t xml:space="preserve"> </w:t>
      </w:r>
      <w:proofErr w:type="gramStart"/>
      <w:r w:rsidR="00ED16DE" w:rsidRPr="00340751">
        <w:rPr>
          <w:rFonts w:ascii="Times New Roman" w:hAnsi="Times New Roman" w:cs="Times New Roman"/>
          <w:sz w:val="22"/>
          <w:szCs w:val="22"/>
        </w:rPr>
        <w:t>A number of</w:t>
      </w:r>
      <w:proofErr w:type="gramEnd"/>
      <w:r w:rsidR="00ED16DE" w:rsidRPr="00340751">
        <w:rPr>
          <w:rFonts w:ascii="Times New Roman" w:hAnsi="Times New Roman" w:cs="Times New Roman"/>
          <w:sz w:val="22"/>
          <w:szCs w:val="22"/>
        </w:rPr>
        <w:t xml:space="preserve"> global scale indicators are used to track the Aichi Targets, as set out in </w:t>
      </w:r>
      <w:r w:rsidR="00340751">
        <w:rPr>
          <w:rFonts w:ascii="Times New Roman" w:hAnsi="Times New Roman" w:cs="Times New Roman"/>
          <w:sz w:val="22"/>
          <w:szCs w:val="22"/>
        </w:rPr>
        <w:t>d</w:t>
      </w:r>
      <w:r w:rsidR="00ED16DE" w:rsidRPr="00340751">
        <w:rPr>
          <w:rFonts w:ascii="Times New Roman" w:hAnsi="Times New Roman" w:cs="Times New Roman"/>
          <w:sz w:val="22"/>
          <w:szCs w:val="22"/>
        </w:rPr>
        <w:t>ecision</w:t>
      </w:r>
      <w:r w:rsidR="00340751">
        <w:rPr>
          <w:rFonts w:ascii="Times New Roman" w:hAnsi="Times New Roman" w:cs="Times New Roman"/>
          <w:sz w:val="22"/>
          <w:szCs w:val="22"/>
        </w:rPr>
        <w:t> </w:t>
      </w:r>
      <w:r w:rsidR="00ED16DE" w:rsidRPr="00340751">
        <w:rPr>
          <w:rFonts w:ascii="Times New Roman" w:hAnsi="Times New Roman" w:cs="Times New Roman"/>
          <w:sz w:val="22"/>
          <w:szCs w:val="22"/>
        </w:rPr>
        <w:t>XIII/28 (</w:t>
      </w:r>
      <w:r w:rsidR="00ED16DE" w:rsidRPr="00340751">
        <w:rPr>
          <w:rFonts w:ascii="Times New Roman" w:hAnsi="Times New Roman" w:cs="Times New Roman"/>
          <w:i/>
          <w:sz w:val="22"/>
          <w:szCs w:val="22"/>
        </w:rPr>
        <w:t>Indicators for the Strategic Plan for Biodiversity 2011 – 2020 and the Aichi Biodiversity Targets</w:t>
      </w:r>
      <w:r w:rsidR="00ED16DE" w:rsidRPr="00340751">
        <w:rPr>
          <w:rFonts w:ascii="Times New Roman" w:hAnsi="Times New Roman" w:cs="Times New Roman"/>
          <w:sz w:val="22"/>
          <w:szCs w:val="22"/>
        </w:rPr>
        <w:t>). This decision includes a list of global indicators, which provide a framework, for assessing progress towards the Aichi Biodiversity Targets at the global level an</w:t>
      </w:r>
      <w:r w:rsidR="00FC4DE1" w:rsidRPr="00340751">
        <w:rPr>
          <w:rFonts w:ascii="Times New Roman" w:hAnsi="Times New Roman" w:cs="Times New Roman"/>
          <w:sz w:val="22"/>
          <w:szCs w:val="22"/>
        </w:rPr>
        <w:t xml:space="preserve">d by Parties, other Governments </w:t>
      </w:r>
      <w:r w:rsidR="00ED16DE" w:rsidRPr="00340751">
        <w:rPr>
          <w:rFonts w:ascii="Times New Roman" w:hAnsi="Times New Roman" w:cs="Times New Roman"/>
          <w:sz w:val="22"/>
          <w:szCs w:val="22"/>
        </w:rPr>
        <w:t xml:space="preserve">and international organizations. The list </w:t>
      </w:r>
      <w:proofErr w:type="gramStart"/>
      <w:r w:rsidR="00ED16DE" w:rsidRPr="00340751">
        <w:rPr>
          <w:rFonts w:ascii="Times New Roman" w:hAnsi="Times New Roman" w:cs="Times New Roman"/>
          <w:sz w:val="22"/>
          <w:szCs w:val="22"/>
        </w:rPr>
        <w:t>can be seen as</w:t>
      </w:r>
      <w:proofErr w:type="gramEnd"/>
      <w:r w:rsidR="00ED16DE" w:rsidRPr="00340751">
        <w:rPr>
          <w:rFonts w:ascii="Times New Roman" w:hAnsi="Times New Roman" w:cs="Times New Roman"/>
          <w:sz w:val="22"/>
          <w:szCs w:val="22"/>
        </w:rPr>
        <w:t xml:space="preserve"> a flexible framework for Parties to adapt, as appropriate, according to</w:t>
      </w:r>
      <w:r w:rsidR="0093277C" w:rsidRPr="00340751">
        <w:rPr>
          <w:rFonts w:ascii="Times New Roman" w:hAnsi="Times New Roman" w:cs="Times New Roman"/>
          <w:sz w:val="22"/>
          <w:szCs w:val="22"/>
        </w:rPr>
        <w:t xml:space="preserve"> their</w:t>
      </w:r>
      <w:r w:rsidR="00ED16DE" w:rsidRPr="00340751">
        <w:rPr>
          <w:rFonts w:ascii="Times New Roman" w:hAnsi="Times New Roman" w:cs="Times New Roman"/>
          <w:sz w:val="22"/>
          <w:szCs w:val="22"/>
        </w:rPr>
        <w:t xml:space="preserve"> national priorities and circumstances. </w:t>
      </w:r>
      <w:r w:rsidR="00AA11A4" w:rsidRPr="00340751">
        <w:rPr>
          <w:rFonts w:ascii="Times New Roman" w:hAnsi="Times New Roman" w:cs="Times New Roman"/>
          <w:sz w:val="22"/>
          <w:szCs w:val="22"/>
        </w:rPr>
        <w:t xml:space="preserve">Some of the indicators listed in this Decision can be disaggregated to the national scale, and some use methodologies that can be adapted for national application. </w:t>
      </w:r>
      <w:r w:rsidR="00ED16DE" w:rsidRPr="00340751">
        <w:rPr>
          <w:rFonts w:ascii="Times New Roman" w:hAnsi="Times New Roman" w:cs="Times New Roman"/>
          <w:sz w:val="22"/>
          <w:szCs w:val="22"/>
        </w:rPr>
        <w:t xml:space="preserve">The list contained in the COP </w:t>
      </w:r>
      <w:r w:rsidR="00340751">
        <w:rPr>
          <w:rFonts w:ascii="Times New Roman" w:hAnsi="Times New Roman" w:cs="Times New Roman"/>
          <w:sz w:val="22"/>
          <w:szCs w:val="22"/>
        </w:rPr>
        <w:t>d</w:t>
      </w:r>
      <w:r w:rsidR="00ED16DE" w:rsidRPr="00340751">
        <w:rPr>
          <w:rFonts w:ascii="Times New Roman" w:hAnsi="Times New Roman" w:cs="Times New Roman"/>
          <w:sz w:val="22"/>
          <w:szCs w:val="22"/>
        </w:rPr>
        <w:t xml:space="preserve">ecision is kept under </w:t>
      </w:r>
      <w:r w:rsidR="00AA11A4" w:rsidRPr="00340751">
        <w:rPr>
          <w:rFonts w:ascii="Times New Roman" w:hAnsi="Times New Roman" w:cs="Times New Roman"/>
          <w:sz w:val="22"/>
          <w:szCs w:val="22"/>
        </w:rPr>
        <w:t>review</w:t>
      </w:r>
      <w:r w:rsidR="00ED16DE" w:rsidRPr="00340751">
        <w:rPr>
          <w:rFonts w:ascii="Times New Roman" w:hAnsi="Times New Roman" w:cs="Times New Roman"/>
          <w:sz w:val="22"/>
          <w:szCs w:val="22"/>
        </w:rPr>
        <w:t xml:space="preserve">, in order to incorporate other </w:t>
      </w:r>
      <w:r w:rsidR="00AA11A4" w:rsidRPr="00340751">
        <w:rPr>
          <w:rFonts w:ascii="Times New Roman" w:hAnsi="Times New Roman" w:cs="Times New Roman"/>
          <w:sz w:val="22"/>
          <w:szCs w:val="22"/>
        </w:rPr>
        <w:t>relevant</w:t>
      </w:r>
      <w:r w:rsidR="00ED16DE" w:rsidRPr="00340751">
        <w:rPr>
          <w:rFonts w:ascii="Times New Roman" w:hAnsi="Times New Roman" w:cs="Times New Roman"/>
          <w:sz w:val="22"/>
          <w:szCs w:val="22"/>
        </w:rPr>
        <w:t xml:space="preserve"> indicators, as they become available. </w:t>
      </w:r>
    </w:p>
    <w:p w14:paraId="70263D8F" w14:textId="77777777" w:rsidR="00ED16DE" w:rsidRPr="00340751" w:rsidRDefault="00ED16DE" w:rsidP="007C4AAB">
      <w:pPr>
        <w:rPr>
          <w:rFonts w:ascii="Times New Roman" w:hAnsi="Times New Roman" w:cs="Times New Roman"/>
          <w:sz w:val="22"/>
          <w:szCs w:val="22"/>
        </w:rPr>
      </w:pPr>
    </w:p>
    <w:p w14:paraId="2EFD29D4" w14:textId="10EEE87E" w:rsidR="00B52CC6" w:rsidRPr="00340751" w:rsidRDefault="00630D3B" w:rsidP="00340751">
      <w:pPr>
        <w:jc w:val="both"/>
        <w:rPr>
          <w:rFonts w:ascii="Times New Roman" w:hAnsi="Times New Roman" w:cs="Times New Roman"/>
          <w:sz w:val="22"/>
          <w:szCs w:val="22"/>
        </w:rPr>
      </w:pPr>
      <w:r w:rsidRPr="00340751">
        <w:rPr>
          <w:rFonts w:ascii="Times New Roman" w:hAnsi="Times New Roman" w:cs="Times New Roman"/>
          <w:sz w:val="22"/>
          <w:szCs w:val="22"/>
        </w:rPr>
        <w:t xml:space="preserve">While the use of indicators in </w:t>
      </w:r>
      <w:r w:rsidR="00340751">
        <w:rPr>
          <w:rFonts w:ascii="Times New Roman" w:hAnsi="Times New Roman" w:cs="Times New Roman"/>
          <w:sz w:val="22"/>
          <w:szCs w:val="22"/>
        </w:rPr>
        <w:t>n</w:t>
      </w:r>
      <w:r w:rsidRPr="00340751">
        <w:rPr>
          <w:rFonts w:ascii="Times New Roman" w:hAnsi="Times New Roman" w:cs="Times New Roman"/>
          <w:sz w:val="22"/>
          <w:szCs w:val="22"/>
        </w:rPr>
        <w:t xml:space="preserve">ational </w:t>
      </w:r>
      <w:r w:rsidR="00340751">
        <w:rPr>
          <w:rFonts w:ascii="Times New Roman" w:hAnsi="Times New Roman" w:cs="Times New Roman"/>
          <w:sz w:val="22"/>
          <w:szCs w:val="22"/>
        </w:rPr>
        <w:t>r</w:t>
      </w:r>
      <w:r w:rsidRPr="00340751">
        <w:rPr>
          <w:rFonts w:ascii="Times New Roman" w:hAnsi="Times New Roman" w:cs="Times New Roman"/>
          <w:sz w:val="22"/>
          <w:szCs w:val="22"/>
        </w:rPr>
        <w:t xml:space="preserve">eports has </w:t>
      </w:r>
      <w:r w:rsidR="003F7671" w:rsidRPr="00340751">
        <w:rPr>
          <w:rFonts w:ascii="Times New Roman" w:hAnsi="Times New Roman" w:cs="Times New Roman"/>
          <w:sz w:val="22"/>
          <w:szCs w:val="22"/>
        </w:rPr>
        <w:t xml:space="preserve">generally </w:t>
      </w:r>
      <w:r w:rsidRPr="00340751">
        <w:rPr>
          <w:rFonts w:ascii="Times New Roman" w:hAnsi="Times New Roman" w:cs="Times New Roman"/>
          <w:sz w:val="22"/>
          <w:szCs w:val="22"/>
        </w:rPr>
        <w:t>increased in the past decade</w:t>
      </w:r>
      <w:r w:rsidR="007C4A91" w:rsidRPr="00340751">
        <w:rPr>
          <w:rFonts w:ascii="Times New Roman" w:hAnsi="Times New Roman" w:cs="Times New Roman"/>
          <w:sz w:val="22"/>
          <w:szCs w:val="22"/>
        </w:rPr>
        <w:t>,</w:t>
      </w:r>
      <w:r w:rsidR="00AF5102" w:rsidRPr="00340751">
        <w:rPr>
          <w:rFonts w:ascii="Times New Roman" w:hAnsi="Times New Roman" w:cs="Times New Roman"/>
          <w:sz w:val="22"/>
          <w:szCs w:val="22"/>
        </w:rPr>
        <w:t xml:space="preserve"> </w:t>
      </w:r>
      <w:r w:rsidR="00ED616F" w:rsidRPr="00340751">
        <w:rPr>
          <w:rFonts w:ascii="Times New Roman" w:hAnsi="Times New Roman" w:cs="Times New Roman"/>
          <w:sz w:val="22"/>
          <w:szCs w:val="22"/>
        </w:rPr>
        <w:t xml:space="preserve">significant inconsistency </w:t>
      </w:r>
      <w:r w:rsidR="00222F00" w:rsidRPr="00340751">
        <w:rPr>
          <w:rFonts w:ascii="Times New Roman" w:hAnsi="Times New Roman" w:cs="Times New Roman"/>
          <w:sz w:val="22"/>
          <w:szCs w:val="22"/>
        </w:rPr>
        <w:t>in</w:t>
      </w:r>
      <w:r w:rsidR="00ED616F" w:rsidRPr="00340751">
        <w:rPr>
          <w:rFonts w:ascii="Times New Roman" w:hAnsi="Times New Roman" w:cs="Times New Roman"/>
          <w:sz w:val="22"/>
          <w:szCs w:val="22"/>
        </w:rPr>
        <w:t xml:space="preserve"> </w:t>
      </w:r>
      <w:r w:rsidR="00763510" w:rsidRPr="00340751">
        <w:rPr>
          <w:rFonts w:ascii="Times New Roman" w:hAnsi="Times New Roman" w:cs="Times New Roman"/>
          <w:sz w:val="22"/>
          <w:szCs w:val="22"/>
        </w:rPr>
        <w:t xml:space="preserve">the </w:t>
      </w:r>
      <w:r w:rsidR="00ED616F" w:rsidRPr="00340751">
        <w:rPr>
          <w:rFonts w:ascii="Times New Roman" w:hAnsi="Times New Roman" w:cs="Times New Roman"/>
          <w:sz w:val="22"/>
          <w:szCs w:val="22"/>
        </w:rPr>
        <w:t>use of indicators</w:t>
      </w:r>
      <w:r w:rsidR="00651129" w:rsidRPr="00340751">
        <w:rPr>
          <w:rFonts w:ascii="Times New Roman" w:hAnsi="Times New Roman" w:cs="Times New Roman"/>
          <w:sz w:val="22"/>
          <w:szCs w:val="22"/>
        </w:rPr>
        <w:t xml:space="preserve"> for tracking targets</w:t>
      </w:r>
      <w:r w:rsidR="00ED616F" w:rsidRPr="00340751">
        <w:rPr>
          <w:rFonts w:ascii="Times New Roman" w:hAnsi="Times New Roman" w:cs="Times New Roman"/>
          <w:sz w:val="22"/>
          <w:szCs w:val="22"/>
        </w:rPr>
        <w:t xml:space="preserve"> </w:t>
      </w:r>
      <w:r w:rsidR="009A164A" w:rsidRPr="00340751">
        <w:rPr>
          <w:rFonts w:ascii="Times New Roman" w:hAnsi="Times New Roman" w:cs="Times New Roman"/>
          <w:sz w:val="22"/>
          <w:szCs w:val="22"/>
        </w:rPr>
        <w:t>remains</w:t>
      </w:r>
      <w:r w:rsidR="0099200F" w:rsidRPr="00340751">
        <w:rPr>
          <w:rFonts w:ascii="Times New Roman" w:hAnsi="Times New Roman" w:cs="Times New Roman"/>
          <w:sz w:val="22"/>
          <w:szCs w:val="22"/>
        </w:rPr>
        <w:t>,</w:t>
      </w:r>
      <w:r w:rsidR="009A164A" w:rsidRPr="00340751">
        <w:rPr>
          <w:rFonts w:ascii="Times New Roman" w:hAnsi="Times New Roman" w:cs="Times New Roman"/>
          <w:sz w:val="22"/>
          <w:szCs w:val="22"/>
        </w:rPr>
        <w:t xml:space="preserve"> </w:t>
      </w:r>
      <w:r w:rsidR="00ED16DE" w:rsidRPr="00340751">
        <w:rPr>
          <w:rFonts w:ascii="Times New Roman" w:hAnsi="Times New Roman" w:cs="Times New Roman"/>
          <w:sz w:val="22"/>
          <w:szCs w:val="22"/>
        </w:rPr>
        <w:t xml:space="preserve">and there is limited </w:t>
      </w:r>
      <w:r w:rsidR="00855151" w:rsidRPr="00340751">
        <w:rPr>
          <w:rFonts w:ascii="Times New Roman" w:hAnsi="Times New Roman" w:cs="Times New Roman"/>
          <w:sz w:val="22"/>
          <w:szCs w:val="22"/>
        </w:rPr>
        <w:t>alignment</w:t>
      </w:r>
      <w:r w:rsidR="00ED16DE" w:rsidRPr="00340751">
        <w:rPr>
          <w:rFonts w:ascii="Times New Roman" w:hAnsi="Times New Roman" w:cs="Times New Roman"/>
          <w:sz w:val="22"/>
          <w:szCs w:val="22"/>
        </w:rPr>
        <w:t xml:space="preserve"> with</w:t>
      </w:r>
      <w:r w:rsidR="00DA38CC" w:rsidRPr="00340751">
        <w:rPr>
          <w:rFonts w:ascii="Times New Roman" w:hAnsi="Times New Roman" w:cs="Times New Roman"/>
          <w:sz w:val="22"/>
          <w:szCs w:val="22"/>
        </w:rPr>
        <w:t xml:space="preserve"> </w:t>
      </w:r>
      <w:r w:rsidR="00ED16DE" w:rsidRPr="00340751">
        <w:rPr>
          <w:rFonts w:ascii="Times New Roman" w:hAnsi="Times New Roman" w:cs="Times New Roman"/>
          <w:sz w:val="22"/>
          <w:szCs w:val="22"/>
        </w:rPr>
        <w:t xml:space="preserve">the </w:t>
      </w:r>
      <w:r w:rsidR="00484FE4" w:rsidRPr="00340751">
        <w:rPr>
          <w:rFonts w:ascii="Times New Roman" w:hAnsi="Times New Roman" w:cs="Times New Roman"/>
          <w:sz w:val="22"/>
          <w:szCs w:val="22"/>
        </w:rPr>
        <w:t xml:space="preserve">list of indicators welcomed in </w:t>
      </w:r>
      <w:r w:rsidR="00340751">
        <w:rPr>
          <w:rFonts w:ascii="Times New Roman" w:hAnsi="Times New Roman" w:cs="Times New Roman"/>
          <w:sz w:val="22"/>
          <w:szCs w:val="22"/>
        </w:rPr>
        <w:t>d</w:t>
      </w:r>
      <w:r w:rsidR="0003664D" w:rsidRPr="00340751">
        <w:rPr>
          <w:rFonts w:ascii="Times New Roman" w:hAnsi="Times New Roman" w:cs="Times New Roman"/>
          <w:sz w:val="22"/>
          <w:szCs w:val="22"/>
        </w:rPr>
        <w:t>ecision XIII/28</w:t>
      </w:r>
      <w:r w:rsidR="00340751">
        <w:rPr>
          <w:rFonts w:ascii="Times New Roman" w:hAnsi="Times New Roman" w:cs="Times New Roman"/>
          <w:sz w:val="22"/>
          <w:szCs w:val="22"/>
        </w:rPr>
        <w:t>.</w:t>
      </w:r>
      <w:r w:rsidR="009A6D0A" w:rsidRPr="00340751">
        <w:rPr>
          <w:rStyle w:val="FootnoteReference"/>
          <w:rFonts w:ascii="Times New Roman" w:hAnsi="Times New Roman" w:cs="Times New Roman"/>
          <w:sz w:val="22"/>
          <w:szCs w:val="22"/>
        </w:rPr>
        <w:footnoteReference w:id="1"/>
      </w:r>
      <w:r w:rsidR="008852AD" w:rsidRPr="00340751">
        <w:rPr>
          <w:rFonts w:ascii="Times New Roman" w:hAnsi="Times New Roman" w:cs="Times New Roman"/>
          <w:sz w:val="22"/>
          <w:szCs w:val="22"/>
        </w:rPr>
        <w:t xml:space="preserve">  </w:t>
      </w:r>
      <w:r w:rsidR="00935D98" w:rsidRPr="00340751">
        <w:rPr>
          <w:rFonts w:ascii="Times New Roman" w:hAnsi="Times New Roman" w:cs="Times New Roman"/>
          <w:sz w:val="22"/>
          <w:szCs w:val="22"/>
        </w:rPr>
        <w:t>An analysis</w:t>
      </w:r>
      <w:r w:rsidR="00B37FBD" w:rsidRPr="00340751">
        <w:rPr>
          <w:rStyle w:val="FootnoteReference"/>
          <w:rFonts w:ascii="Times New Roman" w:hAnsi="Times New Roman" w:cs="Times New Roman"/>
          <w:sz w:val="22"/>
          <w:szCs w:val="22"/>
        </w:rPr>
        <w:footnoteReference w:id="2"/>
      </w:r>
      <w:r w:rsidR="00935D98" w:rsidRPr="00340751">
        <w:rPr>
          <w:rFonts w:ascii="Times New Roman" w:hAnsi="Times New Roman" w:cs="Times New Roman"/>
          <w:sz w:val="22"/>
          <w:szCs w:val="22"/>
        </w:rPr>
        <w:t xml:space="preserve"> of the use of indicators in 5</w:t>
      </w:r>
      <w:r w:rsidR="00935D98" w:rsidRPr="00340751">
        <w:rPr>
          <w:rFonts w:ascii="Times New Roman" w:hAnsi="Times New Roman" w:cs="Times New Roman"/>
          <w:sz w:val="22"/>
          <w:szCs w:val="22"/>
          <w:vertAlign w:val="superscript"/>
        </w:rPr>
        <w:t>th</w:t>
      </w:r>
      <w:r w:rsidR="00935D98" w:rsidRPr="00340751">
        <w:rPr>
          <w:rFonts w:ascii="Times New Roman" w:hAnsi="Times New Roman" w:cs="Times New Roman"/>
          <w:sz w:val="22"/>
          <w:szCs w:val="22"/>
        </w:rPr>
        <w:t xml:space="preserve"> </w:t>
      </w:r>
      <w:r w:rsidR="00340751">
        <w:rPr>
          <w:rFonts w:ascii="Times New Roman" w:hAnsi="Times New Roman" w:cs="Times New Roman"/>
          <w:sz w:val="22"/>
          <w:szCs w:val="22"/>
        </w:rPr>
        <w:t>n</w:t>
      </w:r>
      <w:r w:rsidR="00935D98" w:rsidRPr="00340751">
        <w:rPr>
          <w:rFonts w:ascii="Times New Roman" w:hAnsi="Times New Roman" w:cs="Times New Roman"/>
          <w:sz w:val="22"/>
          <w:szCs w:val="22"/>
        </w:rPr>
        <w:t xml:space="preserve">ational </w:t>
      </w:r>
      <w:r w:rsidR="00340751">
        <w:rPr>
          <w:rFonts w:ascii="Times New Roman" w:hAnsi="Times New Roman" w:cs="Times New Roman"/>
          <w:sz w:val="22"/>
          <w:szCs w:val="22"/>
        </w:rPr>
        <w:t>r</w:t>
      </w:r>
      <w:r w:rsidR="00935D98" w:rsidRPr="00340751">
        <w:rPr>
          <w:rFonts w:ascii="Times New Roman" w:hAnsi="Times New Roman" w:cs="Times New Roman"/>
          <w:sz w:val="22"/>
          <w:szCs w:val="22"/>
        </w:rPr>
        <w:t xml:space="preserve">eports </w:t>
      </w:r>
      <w:r w:rsidR="00483359" w:rsidRPr="00340751">
        <w:rPr>
          <w:rFonts w:ascii="Times New Roman" w:hAnsi="Times New Roman" w:cs="Times New Roman"/>
          <w:sz w:val="22"/>
          <w:szCs w:val="22"/>
        </w:rPr>
        <w:t xml:space="preserve">showed a wide range in the number </w:t>
      </w:r>
      <w:r w:rsidR="00B04394" w:rsidRPr="00340751">
        <w:rPr>
          <w:rFonts w:ascii="Times New Roman" w:hAnsi="Times New Roman" w:cs="Times New Roman"/>
          <w:sz w:val="22"/>
          <w:szCs w:val="22"/>
        </w:rPr>
        <w:t xml:space="preserve">and application </w:t>
      </w:r>
      <w:r w:rsidR="00483359" w:rsidRPr="00340751">
        <w:rPr>
          <w:rFonts w:ascii="Times New Roman" w:hAnsi="Times New Roman" w:cs="Times New Roman"/>
          <w:sz w:val="22"/>
          <w:szCs w:val="22"/>
        </w:rPr>
        <w:t xml:space="preserve">of quantifiable, </w:t>
      </w:r>
      <w:r w:rsidR="00245260" w:rsidRPr="00340751">
        <w:rPr>
          <w:rFonts w:ascii="Times New Roman" w:hAnsi="Times New Roman" w:cs="Times New Roman"/>
          <w:sz w:val="22"/>
          <w:szCs w:val="22"/>
        </w:rPr>
        <w:t>evidence-based</w:t>
      </w:r>
      <w:r w:rsidR="00483359" w:rsidRPr="00340751">
        <w:rPr>
          <w:rFonts w:ascii="Times New Roman" w:hAnsi="Times New Roman" w:cs="Times New Roman"/>
          <w:sz w:val="22"/>
          <w:szCs w:val="22"/>
        </w:rPr>
        <w:t xml:space="preserve"> indicators</w:t>
      </w:r>
      <w:r w:rsidR="00B04394" w:rsidRPr="00340751">
        <w:rPr>
          <w:rFonts w:ascii="Times New Roman" w:hAnsi="Times New Roman" w:cs="Times New Roman"/>
          <w:sz w:val="22"/>
          <w:szCs w:val="22"/>
        </w:rPr>
        <w:t xml:space="preserve"> for tracking national targets</w:t>
      </w:r>
      <w:r w:rsidR="00D91E68" w:rsidRPr="00340751">
        <w:rPr>
          <w:rFonts w:ascii="Times New Roman" w:hAnsi="Times New Roman" w:cs="Times New Roman"/>
          <w:sz w:val="22"/>
          <w:szCs w:val="22"/>
        </w:rPr>
        <w:t xml:space="preserve"> with significant bias towards use of indicators for tracking targets </w:t>
      </w:r>
      <w:r w:rsidR="008E79E0" w:rsidRPr="00340751">
        <w:rPr>
          <w:rFonts w:ascii="Times New Roman" w:hAnsi="Times New Roman" w:cs="Times New Roman"/>
          <w:sz w:val="22"/>
          <w:szCs w:val="22"/>
        </w:rPr>
        <w:t>relating to</w:t>
      </w:r>
      <w:r w:rsidR="00D91E68" w:rsidRPr="00340751">
        <w:rPr>
          <w:rFonts w:ascii="Times New Roman" w:hAnsi="Times New Roman" w:cs="Times New Roman"/>
          <w:sz w:val="22"/>
          <w:szCs w:val="22"/>
        </w:rPr>
        <w:t xml:space="preserve"> Goals</w:t>
      </w:r>
      <w:r w:rsidR="008E79E0" w:rsidRPr="00340751">
        <w:rPr>
          <w:rFonts w:ascii="Times New Roman" w:hAnsi="Times New Roman" w:cs="Times New Roman"/>
          <w:sz w:val="22"/>
          <w:szCs w:val="22"/>
        </w:rPr>
        <w:t xml:space="preserve"> B</w:t>
      </w:r>
      <w:r w:rsidR="00D91E68" w:rsidRPr="00340751">
        <w:rPr>
          <w:rFonts w:ascii="Times New Roman" w:hAnsi="Times New Roman" w:cs="Times New Roman"/>
          <w:sz w:val="22"/>
          <w:szCs w:val="22"/>
        </w:rPr>
        <w:t xml:space="preserve"> and C</w:t>
      </w:r>
      <w:r w:rsidR="008E79E0" w:rsidRPr="00340751">
        <w:rPr>
          <w:rFonts w:ascii="Times New Roman" w:hAnsi="Times New Roman" w:cs="Times New Roman"/>
          <w:sz w:val="22"/>
          <w:szCs w:val="22"/>
        </w:rPr>
        <w:t xml:space="preserve"> in the Strategic Plan for Biodiversity 2011-2020</w:t>
      </w:r>
      <w:r w:rsidR="00D91E68" w:rsidRPr="00340751">
        <w:rPr>
          <w:rFonts w:ascii="Times New Roman" w:hAnsi="Times New Roman" w:cs="Times New Roman"/>
          <w:sz w:val="22"/>
          <w:szCs w:val="22"/>
        </w:rPr>
        <w:t xml:space="preserve"> with limited coverage for Goals A, D and E</w:t>
      </w:r>
      <w:r w:rsidR="00B04394" w:rsidRPr="00340751">
        <w:rPr>
          <w:rFonts w:ascii="Times New Roman" w:hAnsi="Times New Roman" w:cs="Times New Roman"/>
          <w:sz w:val="22"/>
          <w:szCs w:val="22"/>
        </w:rPr>
        <w:t>.</w:t>
      </w:r>
      <w:r w:rsidR="00D91E68" w:rsidRPr="00340751">
        <w:rPr>
          <w:rFonts w:ascii="Times New Roman" w:hAnsi="Times New Roman" w:cs="Times New Roman"/>
          <w:sz w:val="22"/>
          <w:szCs w:val="22"/>
        </w:rPr>
        <w:t xml:space="preserve">  </w:t>
      </w:r>
      <w:r w:rsidR="00ED16DE" w:rsidRPr="00340751">
        <w:rPr>
          <w:rFonts w:ascii="Times New Roman" w:hAnsi="Times New Roman" w:cs="Times New Roman"/>
          <w:sz w:val="22"/>
          <w:szCs w:val="22"/>
        </w:rPr>
        <w:t xml:space="preserve">This analysis found that </w:t>
      </w:r>
      <w:r w:rsidR="00C604D0" w:rsidRPr="00340751">
        <w:rPr>
          <w:rFonts w:ascii="Times New Roman" w:hAnsi="Times New Roman" w:cs="Times New Roman"/>
          <w:sz w:val="22"/>
          <w:szCs w:val="22"/>
        </w:rPr>
        <w:t xml:space="preserve">nationally generated indicators </w:t>
      </w:r>
      <w:r w:rsidR="00ED16DE" w:rsidRPr="00340751">
        <w:rPr>
          <w:rFonts w:ascii="Times New Roman" w:hAnsi="Times New Roman" w:cs="Times New Roman"/>
          <w:sz w:val="22"/>
          <w:szCs w:val="22"/>
        </w:rPr>
        <w:t xml:space="preserve">are </w:t>
      </w:r>
      <w:r w:rsidR="00C604D0" w:rsidRPr="00340751">
        <w:rPr>
          <w:rFonts w:ascii="Times New Roman" w:hAnsi="Times New Roman" w:cs="Times New Roman"/>
          <w:sz w:val="22"/>
          <w:szCs w:val="22"/>
        </w:rPr>
        <w:t>used 11 times more frequently than indicators produced from global sources</w:t>
      </w:r>
      <w:r w:rsidR="003B169E" w:rsidRPr="00340751">
        <w:rPr>
          <w:rFonts w:ascii="Times New Roman" w:hAnsi="Times New Roman" w:cs="Times New Roman"/>
          <w:sz w:val="22"/>
          <w:szCs w:val="22"/>
        </w:rPr>
        <w:t xml:space="preserve"> </w:t>
      </w:r>
      <w:r w:rsidR="008E79E0" w:rsidRPr="00340751">
        <w:rPr>
          <w:rFonts w:ascii="Times New Roman" w:hAnsi="Times New Roman" w:cs="Times New Roman"/>
          <w:sz w:val="22"/>
          <w:szCs w:val="22"/>
        </w:rPr>
        <w:t>and</w:t>
      </w:r>
      <w:r w:rsidR="003B169E" w:rsidRPr="00340751">
        <w:rPr>
          <w:rFonts w:ascii="Times New Roman" w:hAnsi="Times New Roman" w:cs="Times New Roman"/>
          <w:sz w:val="22"/>
          <w:szCs w:val="22"/>
        </w:rPr>
        <w:t xml:space="preserve"> </w:t>
      </w:r>
      <w:r w:rsidR="00BE5727" w:rsidRPr="00340751">
        <w:rPr>
          <w:rFonts w:ascii="Times New Roman" w:hAnsi="Times New Roman" w:cs="Times New Roman"/>
          <w:sz w:val="22"/>
          <w:szCs w:val="22"/>
        </w:rPr>
        <w:t xml:space="preserve">only </w:t>
      </w:r>
      <w:r w:rsidR="00552CBC" w:rsidRPr="00340751">
        <w:rPr>
          <w:rFonts w:ascii="Times New Roman" w:hAnsi="Times New Roman" w:cs="Times New Roman"/>
          <w:sz w:val="22"/>
          <w:szCs w:val="22"/>
        </w:rPr>
        <w:t>a small proportion</w:t>
      </w:r>
      <w:r w:rsidR="003B169E" w:rsidRPr="00340751">
        <w:rPr>
          <w:rFonts w:ascii="Times New Roman" w:hAnsi="Times New Roman" w:cs="Times New Roman"/>
          <w:sz w:val="22"/>
          <w:szCs w:val="22"/>
        </w:rPr>
        <w:t xml:space="preserve"> of these</w:t>
      </w:r>
      <w:r w:rsidR="006E1B9B" w:rsidRPr="00340751">
        <w:rPr>
          <w:rFonts w:ascii="Times New Roman" w:hAnsi="Times New Roman" w:cs="Times New Roman"/>
          <w:sz w:val="22"/>
          <w:szCs w:val="22"/>
        </w:rPr>
        <w:t xml:space="preserve"> nationally</w:t>
      </w:r>
      <w:r w:rsidR="00D8170C" w:rsidRPr="00340751">
        <w:rPr>
          <w:rFonts w:ascii="Times New Roman" w:hAnsi="Times New Roman" w:cs="Times New Roman"/>
          <w:sz w:val="22"/>
          <w:szCs w:val="22"/>
        </w:rPr>
        <w:t xml:space="preserve"> </w:t>
      </w:r>
      <w:r w:rsidR="006E1B9B" w:rsidRPr="00340751">
        <w:rPr>
          <w:rFonts w:ascii="Times New Roman" w:hAnsi="Times New Roman" w:cs="Times New Roman"/>
          <w:sz w:val="22"/>
          <w:szCs w:val="22"/>
        </w:rPr>
        <w:t>generated</w:t>
      </w:r>
      <w:r w:rsidR="003B169E" w:rsidRPr="00340751">
        <w:rPr>
          <w:rFonts w:ascii="Times New Roman" w:hAnsi="Times New Roman" w:cs="Times New Roman"/>
          <w:sz w:val="22"/>
          <w:szCs w:val="22"/>
        </w:rPr>
        <w:t xml:space="preserve"> indicators (22%) </w:t>
      </w:r>
      <w:r w:rsidR="003E6D3D" w:rsidRPr="00340751">
        <w:rPr>
          <w:rFonts w:ascii="Times New Roman" w:hAnsi="Times New Roman" w:cs="Times New Roman"/>
          <w:sz w:val="22"/>
          <w:szCs w:val="22"/>
        </w:rPr>
        <w:t xml:space="preserve">showing alignment with the indicators found within the </w:t>
      </w:r>
      <w:r w:rsidR="00C7513D" w:rsidRPr="00340751">
        <w:rPr>
          <w:rFonts w:ascii="Times New Roman" w:hAnsi="Times New Roman" w:cs="Times New Roman"/>
          <w:sz w:val="22"/>
          <w:szCs w:val="22"/>
        </w:rPr>
        <w:t>abovementioned</w:t>
      </w:r>
      <w:r w:rsidR="003E6D3D" w:rsidRPr="00340751">
        <w:rPr>
          <w:rFonts w:ascii="Times New Roman" w:hAnsi="Times New Roman" w:cs="Times New Roman"/>
          <w:sz w:val="22"/>
          <w:szCs w:val="22"/>
        </w:rPr>
        <w:t xml:space="preserve"> list.</w:t>
      </w:r>
      <w:r w:rsidR="00DE5164" w:rsidRPr="00340751">
        <w:rPr>
          <w:rFonts w:ascii="Times New Roman" w:hAnsi="Times New Roman" w:cs="Times New Roman"/>
          <w:sz w:val="22"/>
          <w:szCs w:val="22"/>
        </w:rPr>
        <w:t xml:space="preserve">  </w:t>
      </w:r>
      <w:r w:rsidR="001F166E" w:rsidRPr="00340751">
        <w:rPr>
          <w:rFonts w:ascii="Times New Roman" w:hAnsi="Times New Roman" w:cs="Times New Roman"/>
          <w:sz w:val="22"/>
          <w:szCs w:val="22"/>
        </w:rPr>
        <w:t>T</w:t>
      </w:r>
      <w:r w:rsidR="00B4746D" w:rsidRPr="00340751">
        <w:rPr>
          <w:rFonts w:ascii="Times New Roman" w:hAnsi="Times New Roman" w:cs="Times New Roman"/>
          <w:sz w:val="22"/>
          <w:szCs w:val="22"/>
        </w:rPr>
        <w:t xml:space="preserve">he lack of </w:t>
      </w:r>
      <w:r w:rsidR="00EA1417" w:rsidRPr="00340751">
        <w:rPr>
          <w:rFonts w:ascii="Times New Roman" w:hAnsi="Times New Roman" w:cs="Times New Roman"/>
          <w:sz w:val="22"/>
          <w:szCs w:val="22"/>
        </w:rPr>
        <w:t>data coverage</w:t>
      </w:r>
      <w:r w:rsidR="00257AB8" w:rsidRPr="00340751">
        <w:rPr>
          <w:rStyle w:val="FootnoteReference"/>
          <w:rFonts w:ascii="Times New Roman" w:hAnsi="Times New Roman" w:cs="Times New Roman"/>
          <w:sz w:val="22"/>
          <w:szCs w:val="22"/>
        </w:rPr>
        <w:footnoteReference w:id="3"/>
      </w:r>
      <w:r w:rsidR="00603367" w:rsidRPr="00340751">
        <w:rPr>
          <w:rStyle w:val="FootnoteReference"/>
          <w:rFonts w:ascii="Times New Roman" w:hAnsi="Times New Roman" w:cs="Times New Roman"/>
          <w:sz w:val="22"/>
          <w:szCs w:val="22"/>
        </w:rPr>
        <w:footnoteReference w:id="4"/>
      </w:r>
      <w:r w:rsidR="00EA1417" w:rsidRPr="00340751">
        <w:rPr>
          <w:rFonts w:ascii="Times New Roman" w:hAnsi="Times New Roman" w:cs="Times New Roman"/>
          <w:sz w:val="22"/>
          <w:szCs w:val="22"/>
        </w:rPr>
        <w:t xml:space="preserve"> (e.g. </w:t>
      </w:r>
      <w:r w:rsidR="00002FC7" w:rsidRPr="00340751">
        <w:rPr>
          <w:rFonts w:ascii="Times New Roman" w:hAnsi="Times New Roman" w:cs="Times New Roman"/>
          <w:sz w:val="22"/>
          <w:szCs w:val="22"/>
        </w:rPr>
        <w:t xml:space="preserve">thematic, </w:t>
      </w:r>
      <w:r w:rsidR="00EA1417" w:rsidRPr="00340751">
        <w:rPr>
          <w:rFonts w:ascii="Times New Roman" w:hAnsi="Times New Roman" w:cs="Times New Roman"/>
          <w:sz w:val="22"/>
          <w:szCs w:val="22"/>
        </w:rPr>
        <w:t xml:space="preserve">temporal and spatial) </w:t>
      </w:r>
      <w:r w:rsidR="00002FC7" w:rsidRPr="00340751">
        <w:rPr>
          <w:rFonts w:ascii="Times New Roman" w:hAnsi="Times New Roman" w:cs="Times New Roman"/>
          <w:sz w:val="22"/>
          <w:szCs w:val="22"/>
        </w:rPr>
        <w:t xml:space="preserve">to ensure </w:t>
      </w:r>
      <w:r w:rsidR="00E4552E" w:rsidRPr="00340751">
        <w:rPr>
          <w:rFonts w:ascii="Times New Roman" w:hAnsi="Times New Roman" w:cs="Times New Roman"/>
          <w:sz w:val="22"/>
          <w:szCs w:val="22"/>
        </w:rPr>
        <w:t xml:space="preserve">reliable production of indicators </w:t>
      </w:r>
      <w:r w:rsidR="008568BD" w:rsidRPr="00340751">
        <w:rPr>
          <w:rFonts w:ascii="Times New Roman" w:hAnsi="Times New Roman" w:cs="Times New Roman"/>
          <w:sz w:val="22"/>
          <w:szCs w:val="22"/>
        </w:rPr>
        <w:t>across all biomes and countries</w:t>
      </w:r>
      <w:r w:rsidR="002962F4" w:rsidRPr="00340751">
        <w:rPr>
          <w:rFonts w:ascii="Times New Roman" w:hAnsi="Times New Roman" w:cs="Times New Roman"/>
          <w:sz w:val="22"/>
          <w:szCs w:val="22"/>
        </w:rPr>
        <w:t xml:space="preserve"> further limits full and effective use of indicators for target tracking</w:t>
      </w:r>
      <w:r w:rsidR="008568BD" w:rsidRPr="00340751">
        <w:rPr>
          <w:rFonts w:ascii="Times New Roman" w:hAnsi="Times New Roman" w:cs="Times New Roman"/>
          <w:sz w:val="22"/>
          <w:szCs w:val="22"/>
        </w:rPr>
        <w:t>.</w:t>
      </w:r>
      <w:r w:rsidR="00DC0D16" w:rsidRPr="00340751">
        <w:rPr>
          <w:rFonts w:ascii="Times New Roman" w:hAnsi="Times New Roman" w:cs="Times New Roman"/>
          <w:sz w:val="22"/>
          <w:szCs w:val="22"/>
        </w:rPr>
        <w:t xml:space="preserve">  Th</w:t>
      </w:r>
      <w:r w:rsidR="00A8699F" w:rsidRPr="00340751">
        <w:rPr>
          <w:rFonts w:ascii="Times New Roman" w:hAnsi="Times New Roman" w:cs="Times New Roman"/>
          <w:sz w:val="22"/>
          <w:szCs w:val="22"/>
        </w:rPr>
        <w:t>is variable use and limited alignment of indicators has</w:t>
      </w:r>
      <w:r w:rsidR="00DC0D16" w:rsidRPr="00340751">
        <w:rPr>
          <w:rFonts w:ascii="Times New Roman" w:hAnsi="Times New Roman" w:cs="Times New Roman"/>
          <w:sz w:val="22"/>
          <w:szCs w:val="22"/>
        </w:rPr>
        <w:t xml:space="preserve"> led to:</w:t>
      </w:r>
    </w:p>
    <w:p w14:paraId="1D24E11C" w14:textId="77777777" w:rsidR="00F47CF0" w:rsidRPr="00340751" w:rsidRDefault="00F47CF0" w:rsidP="007C4AAB">
      <w:pPr>
        <w:rPr>
          <w:rFonts w:ascii="Times New Roman" w:hAnsi="Times New Roman" w:cs="Times New Roman"/>
          <w:sz w:val="22"/>
          <w:szCs w:val="22"/>
        </w:rPr>
      </w:pPr>
    </w:p>
    <w:p w14:paraId="70B6E3F5" w14:textId="62756031" w:rsidR="00404038" w:rsidRPr="00340751" w:rsidRDefault="00353029" w:rsidP="00340751">
      <w:pPr>
        <w:pStyle w:val="ListParagraph"/>
        <w:numPr>
          <w:ilvl w:val="0"/>
          <w:numId w:val="10"/>
        </w:numPr>
        <w:jc w:val="both"/>
        <w:rPr>
          <w:rFonts w:ascii="Times New Roman" w:hAnsi="Times New Roman" w:cs="Times New Roman"/>
          <w:sz w:val="22"/>
          <w:szCs w:val="22"/>
        </w:rPr>
      </w:pPr>
      <w:r w:rsidRPr="00340751">
        <w:rPr>
          <w:rFonts w:ascii="Times New Roman" w:hAnsi="Times New Roman" w:cs="Times New Roman"/>
          <w:sz w:val="22"/>
          <w:szCs w:val="22"/>
        </w:rPr>
        <w:t xml:space="preserve">Limitations in consistent reporting </w:t>
      </w:r>
      <w:r w:rsidR="00C5465B" w:rsidRPr="00340751">
        <w:rPr>
          <w:rFonts w:ascii="Times New Roman" w:hAnsi="Times New Roman" w:cs="Times New Roman"/>
          <w:sz w:val="22"/>
          <w:szCs w:val="22"/>
        </w:rPr>
        <w:t xml:space="preserve">of target progress constraining </w:t>
      </w:r>
      <w:r w:rsidR="008E79E0" w:rsidRPr="00340751">
        <w:rPr>
          <w:rFonts w:ascii="Times New Roman" w:hAnsi="Times New Roman" w:cs="Times New Roman"/>
          <w:sz w:val="22"/>
          <w:szCs w:val="22"/>
        </w:rPr>
        <w:t xml:space="preserve">the </w:t>
      </w:r>
      <w:r w:rsidR="00C5465B" w:rsidRPr="00340751">
        <w:rPr>
          <w:rFonts w:ascii="Times New Roman" w:hAnsi="Times New Roman" w:cs="Times New Roman"/>
          <w:sz w:val="22"/>
          <w:szCs w:val="22"/>
        </w:rPr>
        <w:t xml:space="preserve">ability to </w:t>
      </w:r>
      <w:r w:rsidR="00FC644E" w:rsidRPr="00340751">
        <w:rPr>
          <w:rFonts w:ascii="Times New Roman" w:hAnsi="Times New Roman" w:cs="Times New Roman"/>
          <w:sz w:val="22"/>
          <w:szCs w:val="22"/>
        </w:rPr>
        <w:t xml:space="preserve">align </w:t>
      </w:r>
      <w:r w:rsidR="003C5D99" w:rsidRPr="00340751">
        <w:rPr>
          <w:rFonts w:ascii="Times New Roman" w:hAnsi="Times New Roman" w:cs="Times New Roman"/>
          <w:sz w:val="22"/>
          <w:szCs w:val="22"/>
        </w:rPr>
        <w:t xml:space="preserve">national and global target tracking and </w:t>
      </w:r>
      <w:r w:rsidR="008E79E0" w:rsidRPr="00340751">
        <w:rPr>
          <w:rFonts w:ascii="Times New Roman" w:hAnsi="Times New Roman" w:cs="Times New Roman"/>
          <w:sz w:val="22"/>
          <w:szCs w:val="22"/>
        </w:rPr>
        <w:t xml:space="preserve">to </w:t>
      </w:r>
      <w:r w:rsidR="00C514FC" w:rsidRPr="00340751">
        <w:rPr>
          <w:rFonts w:ascii="Times New Roman" w:hAnsi="Times New Roman" w:cs="Times New Roman"/>
          <w:sz w:val="22"/>
          <w:szCs w:val="22"/>
        </w:rPr>
        <w:t>quantify national</w:t>
      </w:r>
      <w:r w:rsidR="008E79E0" w:rsidRPr="00340751">
        <w:rPr>
          <w:rFonts w:ascii="Times New Roman" w:hAnsi="Times New Roman" w:cs="Times New Roman"/>
          <w:sz w:val="22"/>
          <w:szCs w:val="22"/>
        </w:rPr>
        <w:t xml:space="preserve"> progress</w:t>
      </w:r>
      <w:r w:rsidR="00C514FC" w:rsidRPr="00340751">
        <w:rPr>
          <w:rFonts w:ascii="Times New Roman" w:hAnsi="Times New Roman" w:cs="Times New Roman"/>
          <w:sz w:val="22"/>
          <w:szCs w:val="22"/>
        </w:rPr>
        <w:t xml:space="preserve"> </w:t>
      </w:r>
      <w:r w:rsidR="00135DD8" w:rsidRPr="00340751">
        <w:rPr>
          <w:rFonts w:ascii="Times New Roman" w:hAnsi="Times New Roman" w:cs="Times New Roman"/>
          <w:sz w:val="22"/>
          <w:szCs w:val="22"/>
        </w:rPr>
        <w:t xml:space="preserve">as a contribution </w:t>
      </w:r>
      <w:r w:rsidR="00CF545D" w:rsidRPr="00340751">
        <w:rPr>
          <w:rFonts w:ascii="Times New Roman" w:hAnsi="Times New Roman" w:cs="Times New Roman"/>
          <w:sz w:val="22"/>
          <w:szCs w:val="22"/>
        </w:rPr>
        <w:t>towards global targets</w:t>
      </w:r>
      <w:r w:rsidR="000C03D9" w:rsidRPr="00340751">
        <w:rPr>
          <w:rFonts w:ascii="Times New Roman" w:hAnsi="Times New Roman" w:cs="Times New Roman"/>
          <w:sz w:val="22"/>
          <w:szCs w:val="22"/>
        </w:rPr>
        <w:t>;</w:t>
      </w:r>
    </w:p>
    <w:p w14:paraId="10FAD5FB" w14:textId="3D9A9CA5" w:rsidR="000C03D9" w:rsidRPr="00340751" w:rsidRDefault="000F3D44" w:rsidP="00340751">
      <w:pPr>
        <w:pStyle w:val="ListParagraph"/>
        <w:numPr>
          <w:ilvl w:val="0"/>
          <w:numId w:val="10"/>
        </w:numPr>
        <w:jc w:val="both"/>
        <w:rPr>
          <w:rFonts w:ascii="Times New Roman" w:hAnsi="Times New Roman" w:cs="Times New Roman"/>
          <w:sz w:val="22"/>
          <w:szCs w:val="22"/>
        </w:rPr>
      </w:pPr>
      <w:r w:rsidRPr="00340751">
        <w:rPr>
          <w:rFonts w:ascii="Times New Roman" w:hAnsi="Times New Roman" w:cs="Times New Roman"/>
          <w:sz w:val="22"/>
          <w:szCs w:val="22"/>
        </w:rPr>
        <w:t>Challenges in identifying priority actions needed to address shortfalls in progress towards achieving targets</w:t>
      </w:r>
      <w:r w:rsidR="00505D99" w:rsidRPr="00340751">
        <w:rPr>
          <w:rFonts w:ascii="Times New Roman" w:hAnsi="Times New Roman" w:cs="Times New Roman"/>
          <w:sz w:val="22"/>
          <w:szCs w:val="22"/>
        </w:rPr>
        <w:t>; and,</w:t>
      </w:r>
    </w:p>
    <w:p w14:paraId="6F783AFC" w14:textId="5DFBAF51" w:rsidR="00505D99" w:rsidRPr="00340751" w:rsidRDefault="00505D99" w:rsidP="00340751">
      <w:pPr>
        <w:pStyle w:val="ListParagraph"/>
        <w:numPr>
          <w:ilvl w:val="0"/>
          <w:numId w:val="10"/>
        </w:numPr>
        <w:jc w:val="both"/>
        <w:rPr>
          <w:rFonts w:ascii="Times New Roman" w:hAnsi="Times New Roman" w:cs="Times New Roman"/>
          <w:sz w:val="22"/>
          <w:szCs w:val="22"/>
        </w:rPr>
      </w:pPr>
      <w:r w:rsidRPr="00340751">
        <w:rPr>
          <w:rFonts w:ascii="Times New Roman" w:hAnsi="Times New Roman" w:cs="Times New Roman"/>
          <w:sz w:val="22"/>
          <w:szCs w:val="22"/>
        </w:rPr>
        <w:t xml:space="preserve">Inefficiencies in </w:t>
      </w:r>
      <w:r w:rsidR="002F23CB" w:rsidRPr="00340751">
        <w:rPr>
          <w:rFonts w:ascii="Times New Roman" w:hAnsi="Times New Roman" w:cs="Times New Roman"/>
          <w:sz w:val="22"/>
          <w:szCs w:val="22"/>
        </w:rPr>
        <w:t xml:space="preserve">reporting </w:t>
      </w:r>
      <w:r w:rsidR="00901578" w:rsidRPr="00340751">
        <w:rPr>
          <w:rFonts w:ascii="Times New Roman" w:hAnsi="Times New Roman" w:cs="Times New Roman"/>
          <w:sz w:val="22"/>
          <w:szCs w:val="22"/>
        </w:rPr>
        <w:t xml:space="preserve">due to multiple, overlapping efforts and methodologies for tracking and reporting on </w:t>
      </w:r>
      <w:r w:rsidR="008E79E0" w:rsidRPr="00340751">
        <w:rPr>
          <w:rFonts w:ascii="Times New Roman" w:hAnsi="Times New Roman" w:cs="Times New Roman"/>
          <w:sz w:val="22"/>
          <w:szCs w:val="22"/>
        </w:rPr>
        <w:t xml:space="preserve">national and global </w:t>
      </w:r>
      <w:r w:rsidR="00901578" w:rsidRPr="00340751">
        <w:rPr>
          <w:rFonts w:ascii="Times New Roman" w:hAnsi="Times New Roman" w:cs="Times New Roman"/>
          <w:sz w:val="22"/>
          <w:szCs w:val="22"/>
        </w:rPr>
        <w:t>target progress.</w:t>
      </w:r>
    </w:p>
    <w:p w14:paraId="3CAE0E30" w14:textId="1B819A9C" w:rsidR="00901578" w:rsidRPr="00340751" w:rsidRDefault="00901578" w:rsidP="007C4AAB">
      <w:pPr>
        <w:rPr>
          <w:rFonts w:ascii="Times New Roman" w:hAnsi="Times New Roman" w:cs="Times New Roman"/>
          <w:sz w:val="22"/>
          <w:szCs w:val="22"/>
        </w:rPr>
      </w:pPr>
    </w:p>
    <w:p w14:paraId="56150087" w14:textId="39495BCF" w:rsidR="008E79E0" w:rsidRPr="00340751" w:rsidRDefault="008E79E0" w:rsidP="00340751">
      <w:pPr>
        <w:jc w:val="both"/>
        <w:rPr>
          <w:rFonts w:ascii="Times New Roman" w:hAnsi="Times New Roman" w:cs="Times New Roman"/>
          <w:sz w:val="22"/>
          <w:szCs w:val="22"/>
        </w:rPr>
      </w:pPr>
      <w:r w:rsidRPr="00340751">
        <w:rPr>
          <w:rFonts w:ascii="Times New Roman" w:hAnsi="Times New Roman" w:cs="Times New Roman"/>
          <w:sz w:val="22"/>
          <w:szCs w:val="22"/>
        </w:rPr>
        <w:t>Decision X/2, which ad</w:t>
      </w:r>
      <w:r w:rsidR="0071134B" w:rsidRPr="00340751">
        <w:rPr>
          <w:rFonts w:ascii="Times New Roman" w:hAnsi="Times New Roman" w:cs="Times New Roman"/>
          <w:sz w:val="22"/>
          <w:szCs w:val="22"/>
        </w:rPr>
        <w:t>o</w:t>
      </w:r>
      <w:r w:rsidRPr="00340751">
        <w:rPr>
          <w:rFonts w:ascii="Times New Roman" w:hAnsi="Times New Roman" w:cs="Times New Roman"/>
          <w:sz w:val="22"/>
          <w:szCs w:val="22"/>
        </w:rPr>
        <w:t xml:space="preserve">pted the Strategic Plan for Biodiversity 2011-2020, requested Parties to set national targets within the flexible framework of the Aichi </w:t>
      </w:r>
      <w:r w:rsidR="00763510" w:rsidRPr="00340751">
        <w:rPr>
          <w:rFonts w:ascii="Times New Roman" w:hAnsi="Times New Roman" w:cs="Times New Roman"/>
          <w:sz w:val="22"/>
          <w:szCs w:val="22"/>
        </w:rPr>
        <w:t xml:space="preserve">Biodiversity </w:t>
      </w:r>
      <w:r w:rsidRPr="00340751">
        <w:rPr>
          <w:rFonts w:ascii="Times New Roman" w:hAnsi="Times New Roman" w:cs="Times New Roman"/>
          <w:sz w:val="22"/>
          <w:szCs w:val="22"/>
        </w:rPr>
        <w:t xml:space="preserve">Targets.  Most Parties have complied with this decision resulting in </w:t>
      </w:r>
      <w:proofErr w:type="gramStart"/>
      <w:r w:rsidRPr="00340751">
        <w:rPr>
          <w:rFonts w:ascii="Times New Roman" w:hAnsi="Times New Roman" w:cs="Times New Roman"/>
          <w:sz w:val="22"/>
          <w:szCs w:val="22"/>
        </w:rPr>
        <w:t>a large number of</w:t>
      </w:r>
      <w:proofErr w:type="gramEnd"/>
      <w:r w:rsidRPr="00340751">
        <w:rPr>
          <w:rFonts w:ascii="Times New Roman" w:hAnsi="Times New Roman" w:cs="Times New Roman"/>
          <w:sz w:val="22"/>
          <w:szCs w:val="22"/>
        </w:rPr>
        <w:t xml:space="preserve"> national targets adopted, with a wide variation in degree of alignment in scope, specificity and ambition with the Aichi Biodiversity Targets. As is requested in the National Reporting guidance, Parties are reporting progress towards both national targets and global targets. However, the inconsistent alignment of national targets with global targets compound the difficulties </w:t>
      </w:r>
      <w:r w:rsidRPr="00340751">
        <w:rPr>
          <w:rFonts w:ascii="Times New Roman" w:hAnsi="Times New Roman" w:cs="Times New Roman"/>
          <w:sz w:val="22"/>
          <w:szCs w:val="22"/>
        </w:rPr>
        <w:lastRenderedPageBreak/>
        <w:t>presented by the above</w:t>
      </w:r>
      <w:r w:rsidR="00763510" w:rsidRPr="00340751">
        <w:rPr>
          <w:rFonts w:ascii="Times New Roman" w:hAnsi="Times New Roman" w:cs="Times New Roman"/>
          <w:sz w:val="22"/>
          <w:szCs w:val="22"/>
        </w:rPr>
        <w:t>-</w:t>
      </w:r>
      <w:r w:rsidRPr="00340751">
        <w:rPr>
          <w:rFonts w:ascii="Times New Roman" w:hAnsi="Times New Roman" w:cs="Times New Roman"/>
          <w:sz w:val="22"/>
          <w:szCs w:val="22"/>
        </w:rPr>
        <w:t xml:space="preserve">mentioned issues in indicator use, when tracking collective progress to global targets. </w:t>
      </w:r>
    </w:p>
    <w:p w14:paraId="4565DF65" w14:textId="7037FFFA" w:rsidR="00D3367C" w:rsidRPr="00340751" w:rsidRDefault="00D3367C" w:rsidP="007C4AAB">
      <w:pPr>
        <w:rPr>
          <w:rFonts w:ascii="Times New Roman" w:hAnsi="Times New Roman" w:cs="Times New Roman"/>
          <w:sz w:val="22"/>
          <w:szCs w:val="22"/>
        </w:rPr>
      </w:pPr>
    </w:p>
    <w:p w14:paraId="2F64154E" w14:textId="71871771" w:rsidR="00D3367C" w:rsidRPr="00340751" w:rsidRDefault="00D3367C" w:rsidP="00340751">
      <w:pPr>
        <w:jc w:val="both"/>
        <w:rPr>
          <w:rFonts w:ascii="Times New Roman" w:hAnsi="Times New Roman" w:cs="Times New Roman"/>
          <w:sz w:val="22"/>
          <w:szCs w:val="22"/>
        </w:rPr>
      </w:pPr>
      <w:r w:rsidRPr="00340751">
        <w:rPr>
          <w:rFonts w:ascii="Times New Roman" w:hAnsi="Times New Roman" w:cs="Times New Roman"/>
          <w:sz w:val="22"/>
          <w:szCs w:val="22"/>
        </w:rPr>
        <w:t>At the global level, indicators produced from global sources, including those welcome</w:t>
      </w:r>
      <w:r w:rsidR="00763510" w:rsidRPr="00340751">
        <w:rPr>
          <w:rFonts w:ascii="Times New Roman" w:hAnsi="Times New Roman" w:cs="Times New Roman"/>
          <w:sz w:val="22"/>
          <w:szCs w:val="22"/>
        </w:rPr>
        <w:t>d</w:t>
      </w:r>
      <w:r w:rsidRPr="00340751">
        <w:rPr>
          <w:rFonts w:ascii="Times New Roman" w:hAnsi="Times New Roman" w:cs="Times New Roman"/>
          <w:sz w:val="22"/>
          <w:szCs w:val="22"/>
        </w:rPr>
        <w:t xml:space="preserve"> in </w:t>
      </w:r>
      <w:r w:rsidR="00340751">
        <w:rPr>
          <w:rFonts w:ascii="Times New Roman" w:hAnsi="Times New Roman" w:cs="Times New Roman"/>
          <w:sz w:val="22"/>
          <w:szCs w:val="22"/>
        </w:rPr>
        <w:t>d</w:t>
      </w:r>
      <w:r w:rsidRPr="00340751">
        <w:rPr>
          <w:rFonts w:ascii="Times New Roman" w:hAnsi="Times New Roman" w:cs="Times New Roman"/>
          <w:sz w:val="22"/>
          <w:szCs w:val="22"/>
        </w:rPr>
        <w:t xml:space="preserve">ecision XIII/28, are used to track progress </w:t>
      </w:r>
      <w:r w:rsidR="006546C8" w:rsidRPr="00340751">
        <w:rPr>
          <w:rFonts w:ascii="Times New Roman" w:hAnsi="Times New Roman" w:cs="Times New Roman"/>
          <w:sz w:val="22"/>
          <w:szCs w:val="22"/>
        </w:rPr>
        <w:t xml:space="preserve">towards the Aichi Biodiversity Targets (i.e. in </w:t>
      </w:r>
      <w:r w:rsidR="00763510" w:rsidRPr="00340751">
        <w:rPr>
          <w:rFonts w:ascii="Times New Roman" w:hAnsi="Times New Roman" w:cs="Times New Roman"/>
          <w:sz w:val="22"/>
          <w:szCs w:val="22"/>
        </w:rPr>
        <w:t>the 5</w:t>
      </w:r>
      <w:r w:rsidR="00763510" w:rsidRPr="00340751">
        <w:rPr>
          <w:rFonts w:ascii="Times New Roman" w:hAnsi="Times New Roman" w:cs="Times New Roman"/>
          <w:sz w:val="22"/>
          <w:szCs w:val="22"/>
          <w:vertAlign w:val="superscript"/>
        </w:rPr>
        <w:t>th</w:t>
      </w:r>
      <w:r w:rsidR="00763510" w:rsidRPr="00340751">
        <w:rPr>
          <w:rFonts w:ascii="Times New Roman" w:hAnsi="Times New Roman" w:cs="Times New Roman"/>
          <w:sz w:val="22"/>
          <w:szCs w:val="22"/>
        </w:rPr>
        <w:t xml:space="preserve"> Edition of the </w:t>
      </w:r>
      <w:r w:rsidR="006546C8" w:rsidRPr="00340751">
        <w:rPr>
          <w:rFonts w:ascii="Times New Roman" w:hAnsi="Times New Roman" w:cs="Times New Roman"/>
          <w:i/>
          <w:iCs/>
          <w:sz w:val="22"/>
          <w:szCs w:val="22"/>
        </w:rPr>
        <w:t>G</w:t>
      </w:r>
      <w:r w:rsidR="00763510" w:rsidRPr="00340751">
        <w:rPr>
          <w:rFonts w:ascii="Times New Roman" w:hAnsi="Times New Roman" w:cs="Times New Roman"/>
          <w:i/>
          <w:iCs/>
          <w:sz w:val="22"/>
          <w:szCs w:val="22"/>
        </w:rPr>
        <w:t xml:space="preserve">lobal </w:t>
      </w:r>
      <w:r w:rsidR="006546C8" w:rsidRPr="00340751">
        <w:rPr>
          <w:rFonts w:ascii="Times New Roman" w:hAnsi="Times New Roman" w:cs="Times New Roman"/>
          <w:i/>
          <w:iCs/>
          <w:sz w:val="22"/>
          <w:szCs w:val="22"/>
        </w:rPr>
        <w:t>B</w:t>
      </w:r>
      <w:r w:rsidR="00763510" w:rsidRPr="00340751">
        <w:rPr>
          <w:rFonts w:ascii="Times New Roman" w:hAnsi="Times New Roman" w:cs="Times New Roman"/>
          <w:i/>
          <w:iCs/>
          <w:sz w:val="22"/>
          <w:szCs w:val="22"/>
        </w:rPr>
        <w:t xml:space="preserve">iodiversity </w:t>
      </w:r>
      <w:r w:rsidR="006546C8" w:rsidRPr="00340751">
        <w:rPr>
          <w:rFonts w:ascii="Times New Roman" w:hAnsi="Times New Roman" w:cs="Times New Roman"/>
          <w:i/>
          <w:iCs/>
          <w:sz w:val="22"/>
          <w:szCs w:val="22"/>
        </w:rPr>
        <w:t>O</w:t>
      </w:r>
      <w:r w:rsidR="00763510" w:rsidRPr="00340751">
        <w:rPr>
          <w:rFonts w:ascii="Times New Roman" w:hAnsi="Times New Roman" w:cs="Times New Roman"/>
          <w:i/>
          <w:iCs/>
          <w:sz w:val="22"/>
          <w:szCs w:val="22"/>
        </w:rPr>
        <w:t>utlook</w:t>
      </w:r>
      <w:r w:rsidR="00763510" w:rsidRPr="00340751">
        <w:rPr>
          <w:rFonts w:ascii="Times New Roman" w:hAnsi="Times New Roman" w:cs="Times New Roman"/>
          <w:sz w:val="22"/>
          <w:szCs w:val="22"/>
        </w:rPr>
        <w:t xml:space="preserve"> report</w:t>
      </w:r>
      <w:r w:rsidR="006546C8" w:rsidRPr="00340751">
        <w:rPr>
          <w:rFonts w:ascii="Times New Roman" w:hAnsi="Times New Roman" w:cs="Times New Roman"/>
          <w:sz w:val="22"/>
          <w:szCs w:val="22"/>
        </w:rPr>
        <w:t>) and to track biodiversity status and trends (i</w:t>
      </w:r>
      <w:r w:rsidR="00763510" w:rsidRPr="00340751">
        <w:rPr>
          <w:rFonts w:ascii="Times New Roman" w:hAnsi="Times New Roman" w:cs="Times New Roman"/>
          <w:sz w:val="22"/>
          <w:szCs w:val="22"/>
        </w:rPr>
        <w:t>.</w:t>
      </w:r>
      <w:r w:rsidR="006546C8" w:rsidRPr="00340751">
        <w:rPr>
          <w:rFonts w:ascii="Times New Roman" w:hAnsi="Times New Roman" w:cs="Times New Roman"/>
          <w:sz w:val="22"/>
          <w:szCs w:val="22"/>
        </w:rPr>
        <w:t>e</w:t>
      </w:r>
      <w:r w:rsidR="00763510" w:rsidRPr="00340751">
        <w:rPr>
          <w:rFonts w:ascii="Times New Roman" w:hAnsi="Times New Roman" w:cs="Times New Roman"/>
          <w:sz w:val="22"/>
          <w:szCs w:val="22"/>
        </w:rPr>
        <w:t>.</w:t>
      </w:r>
      <w:r w:rsidR="006546C8" w:rsidRPr="00340751">
        <w:rPr>
          <w:rFonts w:ascii="Times New Roman" w:hAnsi="Times New Roman" w:cs="Times New Roman"/>
          <w:sz w:val="22"/>
          <w:szCs w:val="22"/>
        </w:rPr>
        <w:t xml:space="preserve"> </w:t>
      </w:r>
      <w:r w:rsidR="008147FF" w:rsidRPr="00340751">
        <w:rPr>
          <w:rFonts w:ascii="Times New Roman" w:hAnsi="Times New Roman" w:cs="Times New Roman"/>
          <w:sz w:val="22"/>
          <w:szCs w:val="22"/>
        </w:rPr>
        <w:t xml:space="preserve">for the </w:t>
      </w:r>
      <w:r w:rsidR="006546C8" w:rsidRPr="00340751">
        <w:rPr>
          <w:rFonts w:ascii="Times New Roman" w:hAnsi="Times New Roman" w:cs="Times New Roman"/>
          <w:sz w:val="22"/>
          <w:szCs w:val="22"/>
        </w:rPr>
        <w:t>I</w:t>
      </w:r>
      <w:r w:rsidR="00763510" w:rsidRPr="00340751">
        <w:rPr>
          <w:rFonts w:ascii="Times New Roman" w:hAnsi="Times New Roman" w:cs="Times New Roman"/>
          <w:sz w:val="22"/>
          <w:szCs w:val="22"/>
        </w:rPr>
        <w:t xml:space="preserve">ntergovernmental </w:t>
      </w:r>
      <w:r w:rsidR="008147FF" w:rsidRPr="00340751">
        <w:rPr>
          <w:rFonts w:ascii="Times New Roman" w:hAnsi="Times New Roman" w:cs="Times New Roman"/>
          <w:sz w:val="22"/>
          <w:szCs w:val="22"/>
        </w:rPr>
        <w:t>Science-Policy Platform</w:t>
      </w:r>
      <w:r w:rsidR="00763510" w:rsidRPr="00340751">
        <w:rPr>
          <w:rFonts w:ascii="Times New Roman" w:hAnsi="Times New Roman" w:cs="Times New Roman"/>
          <w:sz w:val="22"/>
          <w:szCs w:val="22"/>
        </w:rPr>
        <w:t xml:space="preserve"> on </w:t>
      </w:r>
      <w:r w:rsidR="006546C8" w:rsidRPr="00340751">
        <w:rPr>
          <w:rFonts w:ascii="Times New Roman" w:hAnsi="Times New Roman" w:cs="Times New Roman"/>
          <w:sz w:val="22"/>
          <w:szCs w:val="22"/>
        </w:rPr>
        <w:t>B</w:t>
      </w:r>
      <w:r w:rsidR="00763510" w:rsidRPr="00340751">
        <w:rPr>
          <w:rFonts w:ascii="Times New Roman" w:hAnsi="Times New Roman" w:cs="Times New Roman"/>
          <w:sz w:val="22"/>
          <w:szCs w:val="22"/>
        </w:rPr>
        <w:t xml:space="preserve">iodiversity and </w:t>
      </w:r>
      <w:r w:rsidR="006546C8" w:rsidRPr="00340751">
        <w:rPr>
          <w:rFonts w:ascii="Times New Roman" w:hAnsi="Times New Roman" w:cs="Times New Roman"/>
          <w:sz w:val="22"/>
          <w:szCs w:val="22"/>
        </w:rPr>
        <w:t>E</w:t>
      </w:r>
      <w:r w:rsidR="00763510" w:rsidRPr="00340751">
        <w:rPr>
          <w:rFonts w:ascii="Times New Roman" w:hAnsi="Times New Roman" w:cs="Times New Roman"/>
          <w:sz w:val="22"/>
          <w:szCs w:val="22"/>
        </w:rPr>
        <w:t xml:space="preserve">cosystem </w:t>
      </w:r>
      <w:r w:rsidR="006546C8" w:rsidRPr="00340751">
        <w:rPr>
          <w:rFonts w:ascii="Times New Roman" w:hAnsi="Times New Roman" w:cs="Times New Roman"/>
          <w:sz w:val="22"/>
          <w:szCs w:val="22"/>
        </w:rPr>
        <w:t>S</w:t>
      </w:r>
      <w:r w:rsidR="00763510" w:rsidRPr="00340751">
        <w:rPr>
          <w:rFonts w:ascii="Times New Roman" w:hAnsi="Times New Roman" w:cs="Times New Roman"/>
          <w:sz w:val="22"/>
          <w:szCs w:val="22"/>
        </w:rPr>
        <w:t>ervices assessments</w:t>
      </w:r>
      <w:r w:rsidR="008147FF" w:rsidRPr="00340751">
        <w:rPr>
          <w:rFonts w:ascii="Times New Roman" w:hAnsi="Times New Roman" w:cs="Times New Roman"/>
          <w:sz w:val="22"/>
          <w:szCs w:val="22"/>
        </w:rPr>
        <w:t xml:space="preserve"> and for tracking progress in some of the Sustainable Development Goals</w:t>
      </w:r>
      <w:r w:rsidR="006546C8" w:rsidRPr="00340751">
        <w:rPr>
          <w:rFonts w:ascii="Times New Roman" w:hAnsi="Times New Roman" w:cs="Times New Roman"/>
          <w:sz w:val="22"/>
          <w:szCs w:val="22"/>
        </w:rPr>
        <w:t>). Many, but not all, of these indicators have global coverage and can be disaggregated to the national level.</w:t>
      </w:r>
    </w:p>
    <w:p w14:paraId="3999CF4F" w14:textId="77777777" w:rsidR="008E79E0" w:rsidRPr="00340751" w:rsidRDefault="008E79E0" w:rsidP="007C4AAB">
      <w:pPr>
        <w:rPr>
          <w:rFonts w:ascii="Times New Roman" w:hAnsi="Times New Roman" w:cs="Times New Roman"/>
          <w:sz w:val="22"/>
          <w:szCs w:val="22"/>
        </w:rPr>
      </w:pPr>
    </w:p>
    <w:p w14:paraId="76804245" w14:textId="60F48CFD" w:rsidR="002025BB" w:rsidRPr="00340751" w:rsidRDefault="0042548C" w:rsidP="007C4AAB">
      <w:pPr>
        <w:rPr>
          <w:rFonts w:ascii="Times New Roman" w:hAnsi="Times New Roman" w:cs="Times New Roman"/>
          <w:i/>
          <w:iCs/>
          <w:sz w:val="22"/>
          <w:szCs w:val="22"/>
        </w:rPr>
      </w:pPr>
      <w:r w:rsidRPr="00340751">
        <w:rPr>
          <w:rFonts w:ascii="Times New Roman" w:hAnsi="Times New Roman" w:cs="Times New Roman"/>
          <w:i/>
          <w:iCs/>
          <w:sz w:val="22"/>
          <w:szCs w:val="22"/>
        </w:rPr>
        <w:t>Global Monitoring and Tracking on Target Progress</w:t>
      </w:r>
    </w:p>
    <w:p w14:paraId="24D82C2C" w14:textId="77777777" w:rsidR="007E5D11" w:rsidRPr="00340751" w:rsidRDefault="007E5D11" w:rsidP="007C4AAB">
      <w:pPr>
        <w:rPr>
          <w:rFonts w:ascii="Times New Roman" w:hAnsi="Times New Roman" w:cs="Times New Roman"/>
          <w:i/>
          <w:iCs/>
          <w:sz w:val="22"/>
          <w:szCs w:val="22"/>
        </w:rPr>
      </w:pPr>
    </w:p>
    <w:p w14:paraId="1C2B3031" w14:textId="03856C9B" w:rsidR="00B53C8F" w:rsidRPr="00340751" w:rsidRDefault="00B53C8F" w:rsidP="00340751">
      <w:pPr>
        <w:jc w:val="both"/>
        <w:rPr>
          <w:rFonts w:ascii="Times New Roman" w:hAnsi="Times New Roman" w:cs="Times New Roman"/>
          <w:sz w:val="22"/>
          <w:szCs w:val="22"/>
        </w:rPr>
      </w:pPr>
      <w:r w:rsidRPr="00340751">
        <w:rPr>
          <w:rFonts w:ascii="Times New Roman" w:hAnsi="Times New Roman" w:cs="Times New Roman"/>
          <w:sz w:val="22"/>
          <w:szCs w:val="22"/>
        </w:rPr>
        <w:t xml:space="preserve">At each of its meetings, the Conference of the Parties considers a compilation, synthesis and analysis of data from </w:t>
      </w:r>
      <w:r w:rsidR="00340751">
        <w:rPr>
          <w:rFonts w:ascii="Times New Roman" w:hAnsi="Times New Roman" w:cs="Times New Roman"/>
          <w:sz w:val="22"/>
          <w:szCs w:val="22"/>
        </w:rPr>
        <w:t>n</w:t>
      </w:r>
      <w:r w:rsidRPr="00340751">
        <w:rPr>
          <w:rFonts w:ascii="Times New Roman" w:hAnsi="Times New Roman" w:cs="Times New Roman"/>
          <w:sz w:val="22"/>
          <w:szCs w:val="22"/>
        </w:rPr>
        <w:t xml:space="preserve">ational </w:t>
      </w:r>
      <w:r w:rsidR="00340751">
        <w:rPr>
          <w:rFonts w:ascii="Times New Roman" w:hAnsi="Times New Roman" w:cs="Times New Roman"/>
          <w:sz w:val="22"/>
          <w:szCs w:val="22"/>
        </w:rPr>
        <w:t>r</w:t>
      </w:r>
      <w:r w:rsidRPr="00340751">
        <w:rPr>
          <w:rFonts w:ascii="Times New Roman" w:hAnsi="Times New Roman" w:cs="Times New Roman"/>
          <w:sz w:val="22"/>
          <w:szCs w:val="22"/>
        </w:rPr>
        <w:t>eports, NBSAPs and other sources to produce a global scale review of progress in implementation. This has allowed for the mid-term assessment and will allow for a final assessment of the Aichi Biodiversity Targets.  The periodic and backward looking nature of this exercise (e.g. national and global reports can only draw from dated information due to the length of the publication process) has limited the opportunity to forecast and track progress in real-time to facilitate more timely policy actions, and to respond to emerging issues and trends.</w:t>
      </w:r>
    </w:p>
    <w:p w14:paraId="6311517A" w14:textId="77777777" w:rsidR="00B53C8F" w:rsidRPr="00340751" w:rsidRDefault="00B53C8F" w:rsidP="007C4AAB">
      <w:pPr>
        <w:rPr>
          <w:rFonts w:ascii="Times New Roman" w:hAnsi="Times New Roman" w:cs="Times New Roman"/>
          <w:sz w:val="22"/>
          <w:szCs w:val="22"/>
        </w:rPr>
      </w:pPr>
    </w:p>
    <w:p w14:paraId="2AC8A0AA" w14:textId="77777777" w:rsidR="00BC7D49" w:rsidRPr="00340751" w:rsidRDefault="00BC7D49">
      <w:pPr>
        <w:rPr>
          <w:rFonts w:ascii="Times New Roman" w:hAnsi="Times New Roman" w:cs="Times New Roman"/>
          <w:b/>
          <w:sz w:val="22"/>
          <w:szCs w:val="22"/>
        </w:rPr>
      </w:pPr>
    </w:p>
    <w:p w14:paraId="0C012EB4" w14:textId="7F1507FE" w:rsidR="00D51828" w:rsidRPr="00340751" w:rsidRDefault="00FC1B8A" w:rsidP="00785523">
      <w:pPr>
        <w:spacing w:after="160" w:line="259" w:lineRule="auto"/>
        <w:rPr>
          <w:rFonts w:ascii="Times New Roman" w:hAnsi="Times New Roman" w:cs="Times New Roman"/>
          <w:sz w:val="22"/>
          <w:szCs w:val="22"/>
        </w:rPr>
      </w:pPr>
      <w:r w:rsidRPr="00340751">
        <w:rPr>
          <w:rFonts w:ascii="Times New Roman" w:hAnsi="Times New Roman" w:cs="Times New Roman"/>
          <w:b/>
          <w:sz w:val="22"/>
          <w:szCs w:val="22"/>
          <w:lang w:val="en-CA"/>
        </w:rPr>
        <w:t>Main issues for discussion</w:t>
      </w:r>
      <w:r w:rsidRPr="00340751">
        <w:rPr>
          <w:rFonts w:ascii="Times New Roman" w:hAnsi="Times New Roman" w:cs="Times New Roman"/>
          <w:sz w:val="22"/>
          <w:szCs w:val="22"/>
        </w:rPr>
        <w:t xml:space="preserve"> </w:t>
      </w:r>
    </w:p>
    <w:p w14:paraId="291FC105" w14:textId="730B4386" w:rsidR="000A445C" w:rsidRPr="00340751" w:rsidRDefault="000A445C" w:rsidP="00340751">
      <w:p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u w:val="single"/>
        </w:rPr>
        <w:t>Consistent and effective use of indicators for tracking post-2020 Targets:</w:t>
      </w:r>
      <w:r w:rsidRPr="00340751">
        <w:rPr>
          <w:rFonts w:ascii="Times New Roman" w:hAnsi="Times New Roman" w:cs="Times New Roman"/>
          <w:sz w:val="22"/>
          <w:szCs w:val="22"/>
        </w:rPr>
        <w:t xml:space="preserve"> there is currently a list of available indicators for Parties to use for tracking progress towards national targets, but alignment with national scale measures is limited and is evidenced by limited use in the </w:t>
      </w:r>
      <w:r w:rsidR="00340751">
        <w:rPr>
          <w:rFonts w:ascii="Times New Roman" w:hAnsi="Times New Roman" w:cs="Times New Roman"/>
          <w:sz w:val="22"/>
          <w:szCs w:val="22"/>
        </w:rPr>
        <w:t>n</w:t>
      </w:r>
      <w:r w:rsidRPr="00340751">
        <w:rPr>
          <w:rFonts w:ascii="Times New Roman" w:hAnsi="Times New Roman" w:cs="Times New Roman"/>
          <w:sz w:val="22"/>
          <w:szCs w:val="22"/>
        </w:rPr>
        <w:t xml:space="preserve">ational </w:t>
      </w:r>
      <w:r w:rsidR="00340751">
        <w:rPr>
          <w:rFonts w:ascii="Times New Roman" w:hAnsi="Times New Roman" w:cs="Times New Roman"/>
          <w:sz w:val="22"/>
          <w:szCs w:val="22"/>
        </w:rPr>
        <w:t>r</w:t>
      </w:r>
      <w:r w:rsidRPr="00340751">
        <w:rPr>
          <w:rFonts w:ascii="Times New Roman" w:hAnsi="Times New Roman" w:cs="Times New Roman"/>
          <w:sz w:val="22"/>
          <w:szCs w:val="22"/>
        </w:rPr>
        <w:t>eports. In most instances, Parties have relied on tracking national targets using their own datasets and indicators. This has led to inconsistencies in methodologies, target tracking and reporting amongst and between countries, limiting the ability to conduct an overall assessment of progress based on national contributions and progress.  Further, many current Aichi Biodiversity Targets are not easily measured with few if any fit-for-purpose indicators.</w:t>
      </w:r>
    </w:p>
    <w:p w14:paraId="6F346E68" w14:textId="3859E03F" w:rsidR="000A445C" w:rsidRPr="00340751" w:rsidRDefault="000A445C" w:rsidP="00340751">
      <w:p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 xml:space="preserve">The Subsidiary Body on Scientific, Technical and Technological Advice (SBSTTA), at its </w:t>
      </w:r>
      <w:r w:rsidR="00340751">
        <w:rPr>
          <w:rFonts w:ascii="Times New Roman" w:hAnsi="Times New Roman" w:cs="Times New Roman"/>
          <w:sz w:val="22"/>
          <w:szCs w:val="22"/>
        </w:rPr>
        <w:t>twenty-third</w:t>
      </w:r>
      <w:r w:rsidRPr="00340751">
        <w:rPr>
          <w:rFonts w:ascii="Times New Roman" w:hAnsi="Times New Roman" w:cs="Times New Roman"/>
          <w:sz w:val="22"/>
          <w:szCs w:val="22"/>
        </w:rPr>
        <w:t xml:space="preserve"> meeting, recommended that the Executive Secretary and the Biodiversity Indicators Partnership (BIP) undertake analyses on indicators for the post-2020 global biodiversity framework (see CBD/SBSTTA/REC/23/1 para 13).  While this analysis may provide some insights on the measurability of the draft goals and targets of the draft post-2020 global biodiversity framework at SBSTTA</w:t>
      </w:r>
      <w:r w:rsidR="00340751">
        <w:rPr>
          <w:rFonts w:ascii="Times New Roman" w:hAnsi="Times New Roman" w:cs="Times New Roman"/>
          <w:sz w:val="22"/>
          <w:szCs w:val="22"/>
        </w:rPr>
        <w:t>-</w:t>
      </w:r>
      <w:r w:rsidRPr="00340751">
        <w:rPr>
          <w:rFonts w:ascii="Times New Roman" w:hAnsi="Times New Roman" w:cs="Times New Roman"/>
          <w:sz w:val="22"/>
          <w:szCs w:val="22"/>
        </w:rPr>
        <w:t xml:space="preserve">24, several questions </w:t>
      </w:r>
      <w:proofErr w:type="gramStart"/>
      <w:r w:rsidRPr="00340751">
        <w:rPr>
          <w:rFonts w:ascii="Times New Roman" w:hAnsi="Times New Roman" w:cs="Times New Roman"/>
          <w:sz w:val="22"/>
          <w:szCs w:val="22"/>
        </w:rPr>
        <w:t>still remain</w:t>
      </w:r>
      <w:proofErr w:type="gramEnd"/>
      <w:r w:rsidRPr="00340751">
        <w:rPr>
          <w:rFonts w:ascii="Times New Roman" w:hAnsi="Times New Roman" w:cs="Times New Roman"/>
          <w:sz w:val="22"/>
          <w:szCs w:val="22"/>
        </w:rPr>
        <w:t>:</w:t>
      </w:r>
    </w:p>
    <w:p w14:paraId="497C6C5D" w14:textId="73131681" w:rsidR="000A445C" w:rsidRPr="00340751" w:rsidRDefault="000A445C" w:rsidP="00340751">
      <w:pPr>
        <w:pStyle w:val="ListParagraph"/>
        <w:numPr>
          <w:ilvl w:val="0"/>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How can we ensure that we have fit-for-purpose indicators for targets to ensure targets are measurable and thus, effective for tracking progress at the outset of the implementation of the new Global Biodiversity Framework?</w:t>
      </w:r>
    </w:p>
    <w:p w14:paraId="32691AE2" w14:textId="33401B59" w:rsidR="000A445C" w:rsidRPr="00340751" w:rsidRDefault="000A445C" w:rsidP="00340751">
      <w:pPr>
        <w:pStyle w:val="ListParagraph"/>
        <w:numPr>
          <w:ilvl w:val="0"/>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Considering the limited use of the global indicators by Parties and the diversity of indicators in use at the national scale, how can we structure the Monitoring Framework for the post-2020 global framework to facilitate:</w:t>
      </w:r>
    </w:p>
    <w:p w14:paraId="053915F0" w14:textId="77777777" w:rsidR="000A445C" w:rsidRPr="00340751" w:rsidRDefault="000A445C" w:rsidP="00340751">
      <w:pPr>
        <w:pStyle w:val="ListParagraph"/>
        <w:numPr>
          <w:ilvl w:val="1"/>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consistent translation of global targets to national contexts,</w:t>
      </w:r>
    </w:p>
    <w:p w14:paraId="7A0B56C0" w14:textId="4E8951A4" w:rsidR="000A445C" w:rsidRPr="00340751" w:rsidRDefault="000A445C" w:rsidP="00340751">
      <w:pPr>
        <w:pStyle w:val="ListParagraph"/>
        <w:numPr>
          <w:ilvl w:val="1"/>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consistent use of national and global indicators to ensure consistent and comparable measurement of progress towards the agreed Goals and Targets?</w:t>
      </w:r>
    </w:p>
    <w:p w14:paraId="200BF74B" w14:textId="77777777" w:rsidR="000A445C" w:rsidRPr="00340751" w:rsidRDefault="000A445C" w:rsidP="00340751">
      <w:pPr>
        <w:pStyle w:val="ListParagraph"/>
        <w:numPr>
          <w:ilvl w:val="1"/>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reliable quantification of national commitments and target progress to assess level of ambition and distance to global targets?</w:t>
      </w:r>
    </w:p>
    <w:p w14:paraId="45560ADF" w14:textId="3D6600D2" w:rsidR="000A445C" w:rsidRPr="00340751" w:rsidRDefault="000A445C" w:rsidP="00340751">
      <w:pPr>
        <w:pStyle w:val="ListParagraph"/>
        <w:numPr>
          <w:ilvl w:val="0"/>
          <w:numId w:val="13"/>
        </w:num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rPr>
        <w:t>What processes will be needed to fill gaps in indicator coverage of targets if needed?</w:t>
      </w:r>
    </w:p>
    <w:p w14:paraId="0D3A49D1" w14:textId="2CFF5044" w:rsidR="000A445C" w:rsidRPr="00340751" w:rsidRDefault="000A445C" w:rsidP="000A445C">
      <w:pPr>
        <w:pStyle w:val="ListParagraph"/>
        <w:numPr>
          <w:ilvl w:val="0"/>
          <w:numId w:val="13"/>
        </w:numPr>
        <w:spacing w:after="160" w:line="259" w:lineRule="auto"/>
        <w:rPr>
          <w:rFonts w:ascii="Times New Roman" w:hAnsi="Times New Roman" w:cs="Times New Roman"/>
          <w:sz w:val="22"/>
          <w:szCs w:val="22"/>
        </w:rPr>
      </w:pPr>
      <w:r w:rsidRPr="00340751">
        <w:rPr>
          <w:rFonts w:ascii="Times New Roman" w:hAnsi="Times New Roman" w:cs="Times New Roman"/>
          <w:sz w:val="22"/>
          <w:szCs w:val="22"/>
        </w:rPr>
        <w:lastRenderedPageBreak/>
        <w:t>Should the indicators used in the new global framework be flexible in nature or fixed at the outset?</w:t>
      </w:r>
    </w:p>
    <w:p w14:paraId="4E16723E" w14:textId="5BA2E1F6" w:rsidR="006248D8" w:rsidRPr="00340751" w:rsidRDefault="00E3411A" w:rsidP="00340751">
      <w:pPr>
        <w:spacing w:after="160" w:line="259" w:lineRule="auto"/>
        <w:jc w:val="both"/>
        <w:rPr>
          <w:rFonts w:ascii="Times New Roman" w:hAnsi="Times New Roman" w:cs="Times New Roman"/>
          <w:sz w:val="22"/>
          <w:szCs w:val="22"/>
        </w:rPr>
      </w:pPr>
      <w:r w:rsidRPr="00340751">
        <w:rPr>
          <w:rFonts w:ascii="Times New Roman" w:hAnsi="Times New Roman" w:cs="Times New Roman"/>
          <w:sz w:val="22"/>
          <w:szCs w:val="22"/>
          <w:u w:val="single"/>
        </w:rPr>
        <w:t xml:space="preserve">New means for ensuring timely, forward looking </w:t>
      </w:r>
      <w:r w:rsidR="00C84021" w:rsidRPr="00340751">
        <w:rPr>
          <w:rFonts w:ascii="Times New Roman" w:hAnsi="Times New Roman" w:cs="Times New Roman"/>
          <w:sz w:val="22"/>
          <w:szCs w:val="22"/>
          <w:u w:val="single"/>
        </w:rPr>
        <w:t>monitoring</w:t>
      </w:r>
      <w:r w:rsidRPr="00340751">
        <w:rPr>
          <w:rFonts w:ascii="Times New Roman" w:hAnsi="Times New Roman" w:cs="Times New Roman"/>
          <w:sz w:val="22"/>
          <w:szCs w:val="22"/>
          <w:u w:val="single"/>
        </w:rPr>
        <w:t>:</w:t>
      </w:r>
      <w:r w:rsidR="003B431C" w:rsidRPr="00340751">
        <w:rPr>
          <w:rFonts w:ascii="Times New Roman" w:hAnsi="Times New Roman" w:cs="Times New Roman"/>
          <w:sz w:val="22"/>
          <w:szCs w:val="22"/>
        </w:rPr>
        <w:t xml:space="preserve"> the current process for re</w:t>
      </w:r>
      <w:r w:rsidR="004957D2" w:rsidRPr="00340751">
        <w:rPr>
          <w:rFonts w:ascii="Times New Roman" w:hAnsi="Times New Roman" w:cs="Times New Roman"/>
          <w:sz w:val="22"/>
          <w:szCs w:val="22"/>
        </w:rPr>
        <w:t>porting on target progress is via</w:t>
      </w:r>
      <w:r w:rsidR="00D94C67" w:rsidRPr="00340751">
        <w:rPr>
          <w:rFonts w:ascii="Times New Roman" w:hAnsi="Times New Roman" w:cs="Times New Roman"/>
          <w:sz w:val="22"/>
          <w:szCs w:val="22"/>
        </w:rPr>
        <w:t xml:space="preserve"> the production of</w:t>
      </w:r>
      <w:r w:rsidR="004957D2" w:rsidRPr="00340751">
        <w:rPr>
          <w:rFonts w:ascii="Times New Roman" w:hAnsi="Times New Roman" w:cs="Times New Roman"/>
          <w:sz w:val="22"/>
          <w:szCs w:val="22"/>
        </w:rPr>
        <w:t xml:space="preserve"> </w:t>
      </w:r>
      <w:r w:rsidR="00FA4050" w:rsidRPr="00340751">
        <w:rPr>
          <w:rFonts w:ascii="Times New Roman" w:hAnsi="Times New Roman" w:cs="Times New Roman"/>
          <w:sz w:val="22"/>
          <w:szCs w:val="22"/>
        </w:rPr>
        <w:t xml:space="preserve">periodic </w:t>
      </w:r>
      <w:r w:rsidR="00340751">
        <w:rPr>
          <w:rFonts w:ascii="Times New Roman" w:hAnsi="Times New Roman" w:cs="Times New Roman"/>
          <w:sz w:val="22"/>
          <w:szCs w:val="22"/>
        </w:rPr>
        <w:t>n</w:t>
      </w:r>
      <w:r w:rsidR="004957D2" w:rsidRPr="00340751">
        <w:rPr>
          <w:rFonts w:ascii="Times New Roman" w:hAnsi="Times New Roman" w:cs="Times New Roman"/>
          <w:sz w:val="22"/>
          <w:szCs w:val="22"/>
        </w:rPr>
        <w:t xml:space="preserve">ational </w:t>
      </w:r>
      <w:r w:rsidR="00340751">
        <w:rPr>
          <w:rFonts w:ascii="Times New Roman" w:hAnsi="Times New Roman" w:cs="Times New Roman"/>
          <w:sz w:val="22"/>
          <w:szCs w:val="22"/>
        </w:rPr>
        <w:t>r</w:t>
      </w:r>
      <w:r w:rsidR="004957D2" w:rsidRPr="00340751">
        <w:rPr>
          <w:rFonts w:ascii="Times New Roman" w:hAnsi="Times New Roman" w:cs="Times New Roman"/>
          <w:sz w:val="22"/>
          <w:szCs w:val="22"/>
        </w:rPr>
        <w:t>eports</w:t>
      </w:r>
      <w:r w:rsidR="00D94C67" w:rsidRPr="00340751">
        <w:rPr>
          <w:rFonts w:ascii="Times New Roman" w:hAnsi="Times New Roman" w:cs="Times New Roman"/>
          <w:sz w:val="22"/>
          <w:szCs w:val="22"/>
        </w:rPr>
        <w:t xml:space="preserve"> to the Convention on Biological Diversity</w:t>
      </w:r>
      <w:r w:rsidR="004C4034" w:rsidRPr="00340751">
        <w:rPr>
          <w:rFonts w:ascii="Times New Roman" w:hAnsi="Times New Roman" w:cs="Times New Roman"/>
          <w:sz w:val="22"/>
          <w:szCs w:val="22"/>
        </w:rPr>
        <w:t xml:space="preserve"> and the </w:t>
      </w:r>
      <w:r w:rsidR="004C4034" w:rsidRPr="00340751">
        <w:rPr>
          <w:rFonts w:ascii="Times New Roman" w:hAnsi="Times New Roman" w:cs="Times New Roman"/>
          <w:i/>
          <w:iCs/>
          <w:sz w:val="22"/>
          <w:szCs w:val="22"/>
        </w:rPr>
        <w:t>Global Biodiversity Outlook</w:t>
      </w:r>
      <w:r w:rsidR="00D94C67" w:rsidRPr="00340751">
        <w:rPr>
          <w:rFonts w:ascii="Times New Roman" w:hAnsi="Times New Roman" w:cs="Times New Roman"/>
          <w:sz w:val="22"/>
          <w:szCs w:val="22"/>
        </w:rPr>
        <w:t xml:space="preserve">.  </w:t>
      </w:r>
      <w:r w:rsidR="0065173F" w:rsidRPr="00340751">
        <w:rPr>
          <w:rFonts w:ascii="Times New Roman" w:hAnsi="Times New Roman" w:cs="Times New Roman"/>
          <w:sz w:val="22"/>
          <w:szCs w:val="22"/>
        </w:rPr>
        <w:t>Noting the calls for a</w:t>
      </w:r>
      <w:r w:rsidR="006F3F67" w:rsidRPr="00340751">
        <w:rPr>
          <w:rFonts w:ascii="Times New Roman" w:hAnsi="Times New Roman" w:cs="Times New Roman"/>
          <w:sz w:val="22"/>
          <w:szCs w:val="22"/>
        </w:rPr>
        <w:t xml:space="preserve"> transparent, accountable and </w:t>
      </w:r>
      <w:r w:rsidR="006248D8" w:rsidRPr="00340751">
        <w:rPr>
          <w:rFonts w:ascii="Times New Roman" w:hAnsi="Times New Roman" w:cs="Times New Roman"/>
          <w:sz w:val="22"/>
          <w:szCs w:val="22"/>
        </w:rPr>
        <w:t>responsive</w:t>
      </w:r>
      <w:r w:rsidR="008D138B" w:rsidRPr="00340751">
        <w:rPr>
          <w:rFonts w:ascii="Times New Roman" w:hAnsi="Times New Roman" w:cs="Times New Roman"/>
          <w:sz w:val="22"/>
          <w:szCs w:val="22"/>
        </w:rPr>
        <w:t xml:space="preserve"> tracking o</w:t>
      </w:r>
      <w:r w:rsidR="004D454B" w:rsidRPr="00340751">
        <w:rPr>
          <w:rFonts w:ascii="Times New Roman" w:hAnsi="Times New Roman" w:cs="Times New Roman"/>
          <w:sz w:val="22"/>
          <w:szCs w:val="22"/>
        </w:rPr>
        <w:t xml:space="preserve">f targets in the new </w:t>
      </w:r>
      <w:r w:rsidR="00340751" w:rsidRPr="00340751">
        <w:rPr>
          <w:rFonts w:ascii="Times New Roman" w:hAnsi="Times New Roman" w:cs="Times New Roman"/>
          <w:sz w:val="22"/>
          <w:szCs w:val="22"/>
        </w:rPr>
        <w:t>global biodiversity framework</w:t>
      </w:r>
      <w:r w:rsidR="004D454B" w:rsidRPr="00340751">
        <w:rPr>
          <w:rFonts w:ascii="Times New Roman" w:hAnsi="Times New Roman" w:cs="Times New Roman"/>
          <w:sz w:val="22"/>
          <w:szCs w:val="22"/>
        </w:rPr>
        <w:t>,</w:t>
      </w:r>
      <w:r w:rsidR="006248D8" w:rsidRPr="00340751">
        <w:rPr>
          <w:rFonts w:ascii="Times New Roman" w:hAnsi="Times New Roman" w:cs="Times New Roman"/>
          <w:sz w:val="22"/>
          <w:szCs w:val="22"/>
        </w:rPr>
        <w:t xml:space="preserve"> new processes and technology for more continual, forward looking target tracking could be explored.</w:t>
      </w:r>
    </w:p>
    <w:p w14:paraId="4AE594CF" w14:textId="77777777" w:rsidR="00995D2D" w:rsidRPr="00340751" w:rsidRDefault="003D537E" w:rsidP="00995D2D">
      <w:pPr>
        <w:pStyle w:val="ListParagraph"/>
        <w:numPr>
          <w:ilvl w:val="0"/>
          <w:numId w:val="13"/>
        </w:numPr>
        <w:spacing w:after="160" w:line="259" w:lineRule="auto"/>
        <w:rPr>
          <w:rFonts w:ascii="Times New Roman" w:hAnsi="Times New Roman" w:cs="Times New Roman"/>
          <w:sz w:val="22"/>
          <w:szCs w:val="22"/>
        </w:rPr>
      </w:pPr>
      <w:r w:rsidRPr="00340751">
        <w:rPr>
          <w:rFonts w:ascii="Times New Roman" w:hAnsi="Times New Roman" w:cs="Times New Roman"/>
          <w:sz w:val="22"/>
          <w:szCs w:val="22"/>
        </w:rPr>
        <w:t>Should other, complementary means</w:t>
      </w:r>
      <w:r w:rsidR="003B24A1" w:rsidRPr="00340751">
        <w:rPr>
          <w:rFonts w:ascii="Times New Roman" w:hAnsi="Times New Roman" w:cs="Times New Roman"/>
          <w:sz w:val="22"/>
          <w:szCs w:val="22"/>
        </w:rPr>
        <w:t xml:space="preserve"> for reviewing </w:t>
      </w:r>
      <w:r w:rsidR="006A01BC" w:rsidRPr="00340751">
        <w:rPr>
          <w:rFonts w:ascii="Times New Roman" w:hAnsi="Times New Roman" w:cs="Times New Roman"/>
          <w:sz w:val="22"/>
          <w:szCs w:val="22"/>
        </w:rPr>
        <w:t>progress (such as global monitoring through global real time data) be adopted?</w:t>
      </w:r>
    </w:p>
    <w:p w14:paraId="423F450D" w14:textId="04ED6FCD" w:rsidR="00995D2D" w:rsidRPr="00340751" w:rsidRDefault="00995D2D" w:rsidP="00995D2D">
      <w:pPr>
        <w:spacing w:after="160" w:line="259" w:lineRule="auto"/>
        <w:rPr>
          <w:rFonts w:ascii="Times New Roman" w:hAnsi="Times New Roman" w:cs="Times New Roman"/>
          <w:sz w:val="22"/>
          <w:szCs w:val="22"/>
        </w:rPr>
      </w:pPr>
      <w:r w:rsidRPr="00340751">
        <w:rPr>
          <w:rFonts w:ascii="Times New Roman" w:hAnsi="Times New Roman" w:cs="Times New Roman"/>
          <w:b/>
          <w:sz w:val="22"/>
          <w:szCs w:val="22"/>
        </w:rPr>
        <w:t>Key Mandates</w:t>
      </w:r>
    </w:p>
    <w:p w14:paraId="21F5A2CD" w14:textId="77777777" w:rsidR="00622A29" w:rsidRPr="00340751" w:rsidRDefault="00A57649" w:rsidP="00622A29">
      <w:pPr>
        <w:spacing w:after="120" w:line="259" w:lineRule="auto"/>
        <w:rPr>
          <w:rFonts w:ascii="Times New Roman" w:hAnsi="Times New Roman" w:cs="Times New Roman"/>
          <w:sz w:val="22"/>
          <w:szCs w:val="22"/>
        </w:rPr>
      </w:pPr>
      <w:hyperlink r:id="rId11" w:history="1">
        <w:r w:rsidR="00622A29" w:rsidRPr="00340751">
          <w:rPr>
            <w:rStyle w:val="Hyperlink"/>
            <w:rFonts w:ascii="Times New Roman" w:hAnsi="Times New Roman" w:cs="Times New Roman"/>
            <w:sz w:val="22"/>
            <w:szCs w:val="22"/>
          </w:rPr>
          <w:t>Decision XIII/28</w:t>
        </w:r>
      </w:hyperlink>
      <w:r w:rsidR="00622A29" w:rsidRPr="00340751">
        <w:rPr>
          <w:rFonts w:ascii="Times New Roman" w:hAnsi="Times New Roman" w:cs="Times New Roman"/>
          <w:sz w:val="22"/>
          <w:szCs w:val="22"/>
        </w:rPr>
        <w:t xml:space="preserve"> - Indicators for the Strategic Plan for Biodiversity 2011-2020 and the Aichi Biodiversity Targets</w:t>
      </w:r>
    </w:p>
    <w:p w14:paraId="4D4961B3" w14:textId="713690F0" w:rsidR="00622A29" w:rsidRPr="00340751" w:rsidRDefault="00622A29" w:rsidP="00340751">
      <w:pPr>
        <w:jc w:val="both"/>
        <w:rPr>
          <w:rFonts w:ascii="Times New Roman" w:hAnsi="Times New Roman" w:cs="Times New Roman"/>
          <w:sz w:val="22"/>
          <w:szCs w:val="22"/>
        </w:rPr>
      </w:pPr>
      <w:r w:rsidRPr="00340751">
        <w:rPr>
          <w:rFonts w:ascii="Times New Roman" w:hAnsi="Times New Roman" w:cs="Times New Roman"/>
          <w:sz w:val="22"/>
          <w:szCs w:val="22"/>
          <w:u w:val="single"/>
        </w:rPr>
        <w:t xml:space="preserve">COP14 </w:t>
      </w:r>
      <w:r w:rsidR="00340751">
        <w:rPr>
          <w:rFonts w:ascii="Times New Roman" w:hAnsi="Times New Roman" w:cs="Times New Roman"/>
          <w:sz w:val="22"/>
          <w:szCs w:val="22"/>
          <w:u w:val="single"/>
        </w:rPr>
        <w:t>d</w:t>
      </w:r>
      <w:r w:rsidRPr="00340751">
        <w:rPr>
          <w:rFonts w:ascii="Times New Roman" w:hAnsi="Times New Roman" w:cs="Times New Roman"/>
          <w:sz w:val="22"/>
          <w:szCs w:val="22"/>
          <w:u w:val="single"/>
        </w:rPr>
        <w:t>ecisions:</w:t>
      </w:r>
      <w:r w:rsidRPr="00340751">
        <w:rPr>
          <w:rFonts w:ascii="Times New Roman" w:hAnsi="Times New Roman" w:cs="Times New Roman"/>
          <w:sz w:val="22"/>
          <w:szCs w:val="22"/>
        </w:rPr>
        <w:t xml:space="preserve"> Several decisions made by the Parties at COP14 support the </w:t>
      </w:r>
      <w:r w:rsidRPr="00340751">
        <w:rPr>
          <w:rFonts w:ascii="Times New Roman" w:hAnsi="Times New Roman" w:cs="Times New Roman"/>
          <w:bCs/>
          <w:sz w:val="22"/>
          <w:szCs w:val="22"/>
        </w:rPr>
        <w:t>need for improved indicators and improved access to them. Parties encouraged the development</w:t>
      </w:r>
      <w:r w:rsidRPr="00340751">
        <w:rPr>
          <w:rFonts w:ascii="Times New Roman" w:hAnsi="Times New Roman" w:cs="Times New Roman"/>
          <w:sz w:val="22"/>
          <w:szCs w:val="22"/>
        </w:rPr>
        <w:t xml:space="preserve"> of data sets that can be disaggregated at different geographic scales and to share this information effectively (decision 14/1)</w:t>
      </w:r>
      <w:r w:rsidRPr="00340751">
        <w:rPr>
          <w:rFonts w:ascii="Times New Roman" w:hAnsi="Times New Roman" w:cs="Times New Roman"/>
          <w:kern w:val="22"/>
          <w:sz w:val="22"/>
          <w:szCs w:val="22"/>
        </w:rPr>
        <w:t xml:space="preserve">. They called for guidance on data sources to support analyses of progress used in national reports (decision 14/27) and urged organizations to make relevant trend and projection data openly available (decision 14/35). Finally, the Parties urged coordination with IPBES to </w:t>
      </w:r>
      <w:r w:rsidRPr="00340751">
        <w:rPr>
          <w:rFonts w:ascii="Times New Roman" w:hAnsi="Times New Roman" w:cs="Times New Roman"/>
          <w:sz w:val="22"/>
          <w:szCs w:val="22"/>
        </w:rPr>
        <w:t xml:space="preserve">serve the assessment needs for the post-2020 framework as well as the biodiversity and ecosystem services components of the 2030 Agenda for Sustainable Development </w:t>
      </w:r>
      <w:r w:rsidRPr="00340751">
        <w:rPr>
          <w:rFonts w:ascii="Times New Roman" w:hAnsi="Times New Roman" w:cs="Times New Roman"/>
          <w:kern w:val="22"/>
          <w:sz w:val="22"/>
          <w:szCs w:val="22"/>
        </w:rPr>
        <w:t>(decision 14/36). They emphasized the continued need for work on scenarios and models to assess pathways towards a sustainable future (decision 14/36).</w:t>
      </w:r>
    </w:p>
    <w:p w14:paraId="1335DC28" w14:textId="77777777" w:rsidR="00622A29" w:rsidRPr="00340751" w:rsidRDefault="00622A29" w:rsidP="00622A29">
      <w:pPr>
        <w:rPr>
          <w:rFonts w:ascii="Times New Roman" w:hAnsi="Times New Roman" w:cs="Times New Roman"/>
          <w:sz w:val="22"/>
          <w:szCs w:val="22"/>
        </w:rPr>
      </w:pPr>
    </w:p>
    <w:p w14:paraId="144BB2FD" w14:textId="77777777" w:rsidR="00622A29" w:rsidRPr="00340751" w:rsidRDefault="00A57649" w:rsidP="00622A29">
      <w:pPr>
        <w:spacing w:after="120" w:line="259" w:lineRule="auto"/>
        <w:rPr>
          <w:rFonts w:ascii="Times New Roman" w:hAnsi="Times New Roman" w:cs="Times New Roman"/>
          <w:sz w:val="22"/>
          <w:szCs w:val="22"/>
        </w:rPr>
      </w:pPr>
      <w:hyperlink r:id="rId12" w:history="1">
        <w:r w:rsidR="00622A29" w:rsidRPr="00340751">
          <w:rPr>
            <w:rStyle w:val="Hyperlink"/>
            <w:rFonts w:ascii="Times New Roman" w:hAnsi="Times New Roman" w:cs="Times New Roman"/>
            <w:sz w:val="22"/>
            <w:szCs w:val="22"/>
          </w:rPr>
          <w:t>Decision XIII/31</w:t>
        </w:r>
      </w:hyperlink>
      <w:r w:rsidR="00622A29" w:rsidRPr="00340751">
        <w:rPr>
          <w:rFonts w:ascii="Times New Roman" w:hAnsi="Times New Roman" w:cs="Times New Roman"/>
          <w:sz w:val="22"/>
          <w:szCs w:val="22"/>
        </w:rPr>
        <w:t>, annex - Key scientific and technical needs related to the implementation of the Strategic Plan for Biodiversity 2011-2020 and related research</w:t>
      </w:r>
    </w:p>
    <w:p w14:paraId="371E6030" w14:textId="77777777" w:rsidR="00622A29" w:rsidRPr="00340751" w:rsidRDefault="00A57649" w:rsidP="00622A29">
      <w:pPr>
        <w:spacing w:after="120" w:line="259" w:lineRule="auto"/>
        <w:rPr>
          <w:rFonts w:ascii="Times New Roman" w:hAnsi="Times New Roman" w:cs="Times New Roman"/>
          <w:sz w:val="22"/>
          <w:szCs w:val="22"/>
        </w:rPr>
      </w:pPr>
      <w:hyperlink r:id="rId13" w:history="1">
        <w:r w:rsidR="00622A29" w:rsidRPr="00340751">
          <w:rPr>
            <w:rStyle w:val="Hyperlink"/>
            <w:rFonts w:ascii="Times New Roman" w:hAnsi="Times New Roman" w:cs="Times New Roman"/>
            <w:sz w:val="22"/>
            <w:szCs w:val="22"/>
          </w:rPr>
          <w:t>Decision XII/1</w:t>
        </w:r>
      </w:hyperlink>
      <w:r w:rsidR="00622A29" w:rsidRPr="00340751">
        <w:rPr>
          <w:rFonts w:ascii="Times New Roman" w:hAnsi="Times New Roman" w:cs="Times New Roman"/>
          <w:sz w:val="22"/>
          <w:szCs w:val="22"/>
        </w:rPr>
        <w:t>, para. 20 (b) - Mid-term review of progress in implementation of the Strategic Plan for Biodiversity 2011-2020 including the fourth edition of the Global Biodiversity Outlook, and actions to enhance implementation</w:t>
      </w:r>
    </w:p>
    <w:p w14:paraId="235CE7D5" w14:textId="77777777" w:rsidR="00622A29" w:rsidRPr="00340751" w:rsidRDefault="00A57649" w:rsidP="00622A29">
      <w:pPr>
        <w:spacing w:after="120" w:line="259" w:lineRule="auto"/>
        <w:rPr>
          <w:rFonts w:ascii="Times New Roman" w:hAnsi="Times New Roman" w:cs="Times New Roman"/>
          <w:sz w:val="22"/>
          <w:szCs w:val="22"/>
        </w:rPr>
      </w:pPr>
      <w:hyperlink r:id="rId14" w:history="1">
        <w:r w:rsidR="00622A29" w:rsidRPr="00340751">
          <w:rPr>
            <w:rStyle w:val="Hyperlink"/>
            <w:rFonts w:ascii="Times New Roman" w:hAnsi="Times New Roman" w:cs="Times New Roman"/>
            <w:sz w:val="22"/>
            <w:szCs w:val="22"/>
          </w:rPr>
          <w:t>Decision XII/3</w:t>
        </w:r>
      </w:hyperlink>
      <w:r w:rsidR="00622A29" w:rsidRPr="00340751">
        <w:rPr>
          <w:rFonts w:ascii="Times New Roman" w:hAnsi="Times New Roman" w:cs="Times New Roman"/>
          <w:sz w:val="22"/>
          <w:szCs w:val="22"/>
        </w:rPr>
        <w:t xml:space="preserve"> – Resource mobilization</w:t>
      </w:r>
    </w:p>
    <w:p w14:paraId="3E369A6A" w14:textId="77777777" w:rsidR="00622A29" w:rsidRPr="00340751" w:rsidRDefault="00A57649" w:rsidP="00622A29">
      <w:pPr>
        <w:spacing w:after="120" w:line="259" w:lineRule="auto"/>
        <w:rPr>
          <w:rFonts w:ascii="Times New Roman" w:hAnsi="Times New Roman" w:cs="Times New Roman"/>
          <w:sz w:val="22"/>
          <w:szCs w:val="22"/>
        </w:rPr>
      </w:pPr>
      <w:hyperlink r:id="rId15" w:history="1">
        <w:r w:rsidR="00622A29" w:rsidRPr="00340751">
          <w:rPr>
            <w:rStyle w:val="Hyperlink"/>
            <w:rFonts w:ascii="Times New Roman" w:hAnsi="Times New Roman" w:cs="Times New Roman"/>
            <w:sz w:val="22"/>
            <w:szCs w:val="22"/>
          </w:rPr>
          <w:t>Decision XI/3</w:t>
        </w:r>
      </w:hyperlink>
      <w:r w:rsidR="00622A29" w:rsidRPr="00340751">
        <w:rPr>
          <w:rFonts w:ascii="Times New Roman" w:hAnsi="Times New Roman" w:cs="Times New Roman"/>
          <w:sz w:val="22"/>
          <w:szCs w:val="22"/>
        </w:rPr>
        <w:t xml:space="preserve"> - Monitoring progress in implementation of the Strategic Plan for Biodiversity 2011-2020 and the Aichi Biodiversity Targets</w:t>
      </w:r>
    </w:p>
    <w:p w14:paraId="4FCEABA6" w14:textId="77777777" w:rsidR="00622A29" w:rsidRPr="00340751" w:rsidRDefault="00A57649" w:rsidP="00622A29">
      <w:pPr>
        <w:spacing w:after="120" w:line="259" w:lineRule="auto"/>
        <w:rPr>
          <w:rFonts w:ascii="Times New Roman" w:hAnsi="Times New Roman" w:cs="Times New Roman"/>
          <w:sz w:val="22"/>
          <w:szCs w:val="22"/>
        </w:rPr>
      </w:pPr>
      <w:hyperlink r:id="rId16" w:history="1">
        <w:r w:rsidR="00622A29" w:rsidRPr="00340751">
          <w:rPr>
            <w:rStyle w:val="Hyperlink"/>
            <w:rFonts w:ascii="Times New Roman" w:hAnsi="Times New Roman" w:cs="Times New Roman"/>
            <w:sz w:val="22"/>
            <w:szCs w:val="22"/>
          </w:rPr>
          <w:t>Decision X/43</w:t>
        </w:r>
      </w:hyperlink>
      <w:r w:rsidR="00622A29" w:rsidRPr="00340751">
        <w:rPr>
          <w:rFonts w:ascii="Times New Roman" w:hAnsi="Times New Roman" w:cs="Times New Roman"/>
          <w:sz w:val="22"/>
          <w:szCs w:val="22"/>
        </w:rPr>
        <w:t xml:space="preserve"> - Multi-year </w:t>
      </w:r>
      <w:proofErr w:type="spellStart"/>
      <w:r w:rsidR="00622A29" w:rsidRPr="00340751">
        <w:rPr>
          <w:rFonts w:ascii="Times New Roman" w:hAnsi="Times New Roman" w:cs="Times New Roman"/>
          <w:sz w:val="22"/>
          <w:szCs w:val="22"/>
        </w:rPr>
        <w:t>programme</w:t>
      </w:r>
      <w:proofErr w:type="spellEnd"/>
      <w:r w:rsidR="00622A29" w:rsidRPr="00340751">
        <w:rPr>
          <w:rFonts w:ascii="Times New Roman" w:hAnsi="Times New Roman" w:cs="Times New Roman"/>
          <w:sz w:val="22"/>
          <w:szCs w:val="22"/>
        </w:rPr>
        <w:t xml:space="preserve"> of work on the implementation of Article 8(j) and related provisions of the Convention on Biological Diversity</w:t>
      </w:r>
    </w:p>
    <w:p w14:paraId="469BE2A9" w14:textId="77777777" w:rsidR="00622A29" w:rsidRPr="00340751" w:rsidRDefault="00A57649" w:rsidP="00622A29">
      <w:pPr>
        <w:spacing w:after="120" w:line="259" w:lineRule="auto"/>
        <w:rPr>
          <w:rFonts w:ascii="Times New Roman" w:hAnsi="Times New Roman" w:cs="Times New Roman"/>
          <w:sz w:val="22"/>
          <w:szCs w:val="22"/>
        </w:rPr>
      </w:pPr>
      <w:hyperlink r:id="rId17" w:history="1">
        <w:r w:rsidR="00622A29" w:rsidRPr="00340751">
          <w:rPr>
            <w:rStyle w:val="Hyperlink"/>
            <w:rFonts w:ascii="Times New Roman" w:hAnsi="Times New Roman" w:cs="Times New Roman"/>
            <w:sz w:val="22"/>
            <w:szCs w:val="22"/>
          </w:rPr>
          <w:t>Decision VIII/15</w:t>
        </w:r>
      </w:hyperlink>
      <w:r w:rsidR="00622A29" w:rsidRPr="00340751">
        <w:rPr>
          <w:rFonts w:ascii="Times New Roman" w:hAnsi="Times New Roman" w:cs="Times New Roman"/>
          <w:sz w:val="22"/>
          <w:szCs w:val="22"/>
        </w:rPr>
        <w:t xml:space="preserve"> - Framework for monitoring implementation of the achievement of the 2010 target and integration of targets into the thematic </w:t>
      </w:r>
      <w:proofErr w:type="spellStart"/>
      <w:r w:rsidR="00622A29" w:rsidRPr="00340751">
        <w:rPr>
          <w:rFonts w:ascii="Times New Roman" w:hAnsi="Times New Roman" w:cs="Times New Roman"/>
          <w:sz w:val="22"/>
          <w:szCs w:val="22"/>
        </w:rPr>
        <w:t>programmes</w:t>
      </w:r>
      <w:proofErr w:type="spellEnd"/>
      <w:r w:rsidR="00622A29" w:rsidRPr="00340751">
        <w:rPr>
          <w:rFonts w:ascii="Times New Roman" w:hAnsi="Times New Roman" w:cs="Times New Roman"/>
          <w:sz w:val="22"/>
          <w:szCs w:val="22"/>
        </w:rPr>
        <w:t xml:space="preserve"> of work</w:t>
      </w:r>
    </w:p>
    <w:p w14:paraId="655341B0" w14:textId="77777777" w:rsidR="00622A29" w:rsidRPr="00340751" w:rsidRDefault="00A57649" w:rsidP="00622A29">
      <w:pPr>
        <w:spacing w:after="120" w:line="259" w:lineRule="auto"/>
        <w:rPr>
          <w:rFonts w:ascii="Times New Roman" w:hAnsi="Times New Roman" w:cs="Times New Roman"/>
          <w:sz w:val="22"/>
          <w:szCs w:val="22"/>
        </w:rPr>
      </w:pPr>
      <w:hyperlink r:id="rId18" w:history="1">
        <w:r w:rsidR="00622A29" w:rsidRPr="00340751">
          <w:rPr>
            <w:rStyle w:val="Hyperlink"/>
            <w:rFonts w:ascii="Times New Roman" w:hAnsi="Times New Roman" w:cs="Times New Roman"/>
            <w:sz w:val="22"/>
            <w:szCs w:val="22"/>
          </w:rPr>
          <w:t>Decision VII/30</w:t>
        </w:r>
      </w:hyperlink>
      <w:r w:rsidR="00622A29" w:rsidRPr="00340751">
        <w:rPr>
          <w:rFonts w:ascii="Times New Roman" w:hAnsi="Times New Roman" w:cs="Times New Roman"/>
          <w:sz w:val="22"/>
          <w:szCs w:val="22"/>
        </w:rPr>
        <w:t xml:space="preserve"> - Strategic Plan: future evaluation of progress</w:t>
      </w:r>
    </w:p>
    <w:p w14:paraId="100C81BF" w14:textId="7A01FAAD" w:rsidR="00FC1B8A" w:rsidRPr="00340751" w:rsidRDefault="00FC1B8A" w:rsidP="00FC1B8A">
      <w:pPr>
        <w:autoSpaceDE w:val="0"/>
        <w:autoSpaceDN w:val="0"/>
        <w:adjustRightInd w:val="0"/>
        <w:spacing w:before="240" w:after="120"/>
        <w:rPr>
          <w:rFonts w:ascii="Times New Roman" w:hAnsi="Times New Roman" w:cs="Times New Roman"/>
          <w:b/>
          <w:sz w:val="22"/>
          <w:szCs w:val="22"/>
          <w:lang w:val="en-CA"/>
        </w:rPr>
      </w:pPr>
      <w:r w:rsidRPr="00340751">
        <w:rPr>
          <w:rFonts w:ascii="Times New Roman" w:hAnsi="Times New Roman" w:cs="Times New Roman"/>
          <w:b/>
          <w:sz w:val="22"/>
          <w:szCs w:val="22"/>
          <w:lang w:val="en-CA"/>
        </w:rPr>
        <w:t>Useful documents for further background</w:t>
      </w:r>
    </w:p>
    <w:p w14:paraId="4B02A20A" w14:textId="70E943B9" w:rsidR="00EC3B3E" w:rsidRPr="00340751" w:rsidRDefault="00EC3B3E" w:rsidP="00EC3B3E">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 xml:space="preserve">Preliminary draft monitoring framework for the goals and preliminary draft monitoring framework for targets </w:t>
      </w:r>
      <w:hyperlink r:id="rId19" w:history="1">
        <w:r w:rsidRPr="00340751">
          <w:rPr>
            <w:rStyle w:val="Hyperlink"/>
            <w:rFonts w:ascii="Times New Roman" w:hAnsi="Times New Roman" w:cs="Times New Roman"/>
            <w:sz w:val="22"/>
            <w:szCs w:val="22"/>
            <w:lang w:val="en-CA"/>
          </w:rPr>
          <w:t>CBD/WG2020/2/3/ADD1</w:t>
        </w:r>
      </w:hyperlink>
    </w:p>
    <w:p w14:paraId="50B270C2" w14:textId="2C635E8B" w:rsidR="00012BFD" w:rsidRPr="00340751" w:rsidRDefault="00012BFD"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C</w:t>
      </w:r>
      <w:r w:rsidR="00D12D83" w:rsidRPr="00340751">
        <w:rPr>
          <w:rFonts w:ascii="Times New Roman" w:hAnsi="Times New Roman" w:cs="Times New Roman"/>
          <w:sz w:val="22"/>
          <w:szCs w:val="22"/>
          <w:lang w:val="en-CA"/>
        </w:rPr>
        <w:t>B</w:t>
      </w:r>
      <w:r w:rsidRPr="00340751">
        <w:rPr>
          <w:rFonts w:ascii="Times New Roman" w:hAnsi="Times New Roman" w:cs="Times New Roman"/>
          <w:sz w:val="22"/>
          <w:szCs w:val="22"/>
          <w:lang w:val="en-CA"/>
        </w:rPr>
        <w:t>D website on N</w:t>
      </w:r>
      <w:r w:rsidR="0040023F" w:rsidRPr="00340751">
        <w:rPr>
          <w:rFonts w:ascii="Times New Roman" w:hAnsi="Times New Roman" w:cs="Times New Roman"/>
          <w:sz w:val="22"/>
          <w:szCs w:val="22"/>
          <w:lang w:val="en-CA"/>
        </w:rPr>
        <w:t>ational Reports</w:t>
      </w:r>
      <w:r w:rsidRPr="00340751">
        <w:rPr>
          <w:rFonts w:ascii="Times New Roman" w:hAnsi="Times New Roman" w:cs="Times New Roman"/>
          <w:sz w:val="22"/>
          <w:szCs w:val="22"/>
          <w:lang w:val="en-CA"/>
        </w:rPr>
        <w:t xml:space="preserve">: </w:t>
      </w:r>
      <w:hyperlink r:id="rId20" w:history="1">
        <w:r w:rsidR="007C2C09" w:rsidRPr="00340751">
          <w:rPr>
            <w:rStyle w:val="Hyperlink"/>
            <w:rFonts w:ascii="Times New Roman" w:hAnsi="Times New Roman" w:cs="Times New Roman"/>
            <w:sz w:val="22"/>
            <w:szCs w:val="22"/>
          </w:rPr>
          <w:t>https://www.cbd.int/reports/</w:t>
        </w:r>
      </w:hyperlink>
      <w:r w:rsidR="007C2C09" w:rsidRPr="00340751">
        <w:rPr>
          <w:rFonts w:ascii="Times New Roman" w:hAnsi="Times New Roman" w:cs="Times New Roman"/>
          <w:sz w:val="22"/>
          <w:szCs w:val="22"/>
        </w:rPr>
        <w:t xml:space="preserve"> </w:t>
      </w:r>
    </w:p>
    <w:p w14:paraId="3B93D78A" w14:textId="2AB7849F" w:rsidR="003E1709" w:rsidRPr="00340751" w:rsidRDefault="003E1709"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 xml:space="preserve">Global list of available indicators: </w:t>
      </w:r>
      <w:hyperlink r:id="rId21" w:history="1">
        <w:r w:rsidRPr="00340751">
          <w:rPr>
            <w:rStyle w:val="Hyperlink"/>
            <w:rFonts w:ascii="Times New Roman" w:hAnsi="Times New Roman" w:cs="Times New Roman"/>
            <w:sz w:val="22"/>
            <w:szCs w:val="22"/>
          </w:rPr>
          <w:t>https://www.bipindicators.net/list-of-global-indicators-available-for-review</w:t>
        </w:r>
      </w:hyperlink>
    </w:p>
    <w:p w14:paraId="2F15AA46" w14:textId="5D05F838" w:rsidR="007453AD" w:rsidRPr="00340751" w:rsidRDefault="007453AD"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lastRenderedPageBreak/>
        <w:t>Bhatt, R et al. (2019) Uneven use of biodiversity indicators in 5</w:t>
      </w:r>
      <w:r w:rsidRPr="00340751">
        <w:rPr>
          <w:rFonts w:ascii="Times New Roman" w:hAnsi="Times New Roman" w:cs="Times New Roman"/>
          <w:sz w:val="22"/>
          <w:szCs w:val="22"/>
          <w:vertAlign w:val="superscript"/>
          <w:lang w:val="en-CA"/>
        </w:rPr>
        <w:t>th</w:t>
      </w:r>
      <w:r w:rsidRPr="00340751">
        <w:rPr>
          <w:rFonts w:ascii="Times New Roman" w:hAnsi="Times New Roman" w:cs="Times New Roman"/>
          <w:sz w:val="22"/>
          <w:szCs w:val="22"/>
          <w:lang w:val="en-CA"/>
        </w:rPr>
        <w:t xml:space="preserve"> </w:t>
      </w:r>
      <w:r w:rsidR="00340751">
        <w:rPr>
          <w:rFonts w:ascii="Times New Roman" w:hAnsi="Times New Roman" w:cs="Times New Roman"/>
          <w:sz w:val="22"/>
          <w:szCs w:val="22"/>
          <w:lang w:val="en-CA"/>
        </w:rPr>
        <w:t>n</w:t>
      </w:r>
      <w:r w:rsidRPr="00340751">
        <w:rPr>
          <w:rFonts w:ascii="Times New Roman" w:hAnsi="Times New Roman" w:cs="Times New Roman"/>
          <w:sz w:val="22"/>
          <w:szCs w:val="22"/>
          <w:lang w:val="en-CA"/>
        </w:rPr>
        <w:t xml:space="preserve">ational </w:t>
      </w:r>
      <w:r w:rsidR="00340751">
        <w:rPr>
          <w:rFonts w:ascii="Times New Roman" w:hAnsi="Times New Roman" w:cs="Times New Roman"/>
          <w:sz w:val="22"/>
          <w:szCs w:val="22"/>
          <w:lang w:val="en-CA"/>
        </w:rPr>
        <w:t>r</w:t>
      </w:r>
      <w:r w:rsidRPr="00340751">
        <w:rPr>
          <w:rFonts w:ascii="Times New Roman" w:hAnsi="Times New Roman" w:cs="Times New Roman"/>
          <w:sz w:val="22"/>
          <w:szCs w:val="22"/>
          <w:lang w:val="en-CA"/>
        </w:rPr>
        <w:t>eports to the Convention on Biological Diversity. Environmental Conservation.</w:t>
      </w:r>
      <w:r w:rsidR="004D454B" w:rsidRPr="00340751">
        <w:rPr>
          <w:rFonts w:ascii="Times New Roman" w:hAnsi="Times New Roman" w:cs="Times New Roman"/>
          <w:sz w:val="22"/>
          <w:szCs w:val="22"/>
          <w:lang w:val="en-CA"/>
        </w:rPr>
        <w:t xml:space="preserve"> (NatureServe publication)</w:t>
      </w:r>
    </w:p>
    <w:p w14:paraId="044B3E94" w14:textId="58954E79" w:rsidR="00D34509" w:rsidRPr="00340751" w:rsidRDefault="00D34509"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CBD/SBSTTA/23/INF/3: The post-2020 biodiversity framework: targets, indicators and measurability implications at the global and national levels</w:t>
      </w:r>
    </w:p>
    <w:p w14:paraId="72F067D2" w14:textId="70E154C1" w:rsidR="00D34509" w:rsidRPr="00340751" w:rsidRDefault="00D34509"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 xml:space="preserve">CBD/SBSTTA/23/INF/4: Indicators for global and national biodiversity targets – experience and indicator resources for development of the post-2020 </w:t>
      </w:r>
      <w:r w:rsidR="00AD0A79" w:rsidRPr="00340751">
        <w:rPr>
          <w:rFonts w:ascii="Times New Roman" w:hAnsi="Times New Roman" w:cs="Times New Roman"/>
          <w:sz w:val="22"/>
          <w:szCs w:val="22"/>
          <w:lang w:val="en-CA"/>
        </w:rPr>
        <w:t>global biodiversity framework</w:t>
      </w:r>
    </w:p>
    <w:p w14:paraId="0F7D6E39" w14:textId="17B332EC" w:rsidR="00C93147" w:rsidRPr="00340751" w:rsidRDefault="00C93147" w:rsidP="00C935BF">
      <w:pPr>
        <w:pStyle w:val="ListParagraph"/>
        <w:numPr>
          <w:ilvl w:val="0"/>
          <w:numId w:val="8"/>
        </w:numPr>
        <w:ind w:left="360"/>
        <w:rPr>
          <w:rFonts w:ascii="Times New Roman" w:hAnsi="Times New Roman" w:cs="Times New Roman"/>
          <w:sz w:val="22"/>
          <w:szCs w:val="22"/>
          <w:lang w:val="en-CA"/>
        </w:rPr>
      </w:pPr>
      <w:r w:rsidRPr="00340751">
        <w:rPr>
          <w:rFonts w:ascii="Times New Roman" w:hAnsi="Times New Roman" w:cs="Times New Roman"/>
          <w:sz w:val="22"/>
          <w:szCs w:val="22"/>
          <w:lang w:val="en-CA"/>
        </w:rPr>
        <w:t>CBD/COP/14/INF/40: Developing indicators for the post-2020 global biodiversity framework: lessons from the Biodiversity Indicators Partnership</w:t>
      </w:r>
    </w:p>
    <w:p w14:paraId="781C0370" w14:textId="6153C5EF" w:rsidR="00FC1B8A" w:rsidRPr="00340751" w:rsidRDefault="003E1709" w:rsidP="00A61028">
      <w:pPr>
        <w:pStyle w:val="ListParagraph"/>
        <w:numPr>
          <w:ilvl w:val="0"/>
          <w:numId w:val="8"/>
        </w:numPr>
        <w:ind w:left="360"/>
        <w:rPr>
          <w:rFonts w:ascii="Times New Roman" w:hAnsi="Times New Roman" w:cs="Times New Roman"/>
          <w:b/>
          <w:sz w:val="22"/>
          <w:szCs w:val="22"/>
          <w:lang w:val="en-CA"/>
        </w:rPr>
      </w:pPr>
      <w:r w:rsidRPr="00340751">
        <w:rPr>
          <w:rFonts w:ascii="Times New Roman" w:hAnsi="Times New Roman" w:cs="Times New Roman"/>
          <w:sz w:val="22"/>
          <w:szCs w:val="22"/>
          <w:lang w:val="en-CA"/>
        </w:rPr>
        <w:t xml:space="preserve">Further resources on the application and use of national indicators: </w:t>
      </w:r>
      <w:hyperlink r:id="rId22" w:history="1">
        <w:r w:rsidRPr="00340751">
          <w:rPr>
            <w:rStyle w:val="Hyperlink"/>
            <w:rFonts w:ascii="Times New Roman" w:hAnsi="Times New Roman" w:cs="Times New Roman"/>
            <w:sz w:val="22"/>
            <w:szCs w:val="22"/>
          </w:rPr>
          <w:t>https://www.bipindicators.net/national-indicator-development</w:t>
        </w:r>
      </w:hyperlink>
    </w:p>
    <w:p w14:paraId="65BCD53F" w14:textId="55633CE6" w:rsidR="006515C6" w:rsidRDefault="006515C6" w:rsidP="00C935BF">
      <w:pPr>
        <w:spacing w:line="120" w:lineRule="auto"/>
        <w:ind w:left="-357"/>
        <w:rPr>
          <w:rFonts w:ascii="Times New Roman" w:hAnsi="Times New Roman" w:cs="Times New Roman"/>
          <w:b/>
          <w:sz w:val="22"/>
          <w:szCs w:val="22"/>
          <w:lang w:val="en-CA"/>
        </w:rPr>
      </w:pPr>
    </w:p>
    <w:p w14:paraId="5B242B2E" w14:textId="0C268BB3" w:rsidR="00340751" w:rsidRDefault="00340751" w:rsidP="00340751">
      <w:pPr>
        <w:spacing w:line="120" w:lineRule="auto"/>
        <w:ind w:left="-357"/>
        <w:jc w:val="center"/>
        <w:rPr>
          <w:rFonts w:ascii="Times New Roman" w:hAnsi="Times New Roman" w:cs="Times New Roman"/>
          <w:b/>
          <w:sz w:val="22"/>
          <w:szCs w:val="22"/>
          <w:lang w:val="en-CA"/>
        </w:rPr>
      </w:pPr>
      <w:r>
        <w:rPr>
          <w:rFonts w:ascii="Times New Roman" w:hAnsi="Times New Roman" w:cs="Times New Roman"/>
          <w:b/>
          <w:sz w:val="22"/>
          <w:szCs w:val="22"/>
          <w:lang w:val="en-CA"/>
        </w:rPr>
        <w:t>__________</w:t>
      </w:r>
    </w:p>
    <w:p w14:paraId="3DC9FF96" w14:textId="148D23D3" w:rsidR="00340751" w:rsidRDefault="00340751" w:rsidP="00340751">
      <w:pPr>
        <w:spacing w:line="120" w:lineRule="auto"/>
        <w:ind w:left="-357"/>
        <w:jc w:val="center"/>
        <w:rPr>
          <w:rFonts w:ascii="Times New Roman" w:hAnsi="Times New Roman" w:cs="Times New Roman"/>
          <w:b/>
          <w:sz w:val="22"/>
          <w:szCs w:val="22"/>
          <w:lang w:val="en-CA"/>
        </w:rPr>
      </w:pPr>
    </w:p>
    <w:p w14:paraId="05A415A5" w14:textId="00C0728A" w:rsidR="00340751" w:rsidRPr="00340751" w:rsidRDefault="00340751" w:rsidP="00340751">
      <w:pPr>
        <w:jc w:val="center"/>
      </w:pPr>
      <w:r>
        <w:rPr>
          <w:lang w:val="en-CA"/>
        </w:rPr>
        <w:t>__________</w:t>
      </w:r>
    </w:p>
    <w:p w14:paraId="57773DDD" w14:textId="77777777" w:rsidR="00340751" w:rsidRPr="00340751" w:rsidRDefault="00340751" w:rsidP="00340751">
      <w:pPr>
        <w:spacing w:line="120" w:lineRule="auto"/>
        <w:ind w:left="-357"/>
        <w:jc w:val="center"/>
        <w:rPr>
          <w:rFonts w:ascii="Times New Roman" w:hAnsi="Times New Roman" w:cs="Times New Roman"/>
          <w:b/>
          <w:sz w:val="22"/>
          <w:szCs w:val="22"/>
          <w:lang w:val="en-CA"/>
        </w:rPr>
      </w:pPr>
    </w:p>
    <w:sectPr w:rsidR="00340751" w:rsidRPr="00340751" w:rsidSect="005D320D">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DCCE" w14:textId="77777777" w:rsidR="00251CA6" w:rsidRDefault="00251CA6" w:rsidP="00F168C0">
      <w:r>
        <w:separator/>
      </w:r>
    </w:p>
  </w:endnote>
  <w:endnote w:type="continuationSeparator" w:id="0">
    <w:p w14:paraId="55CAB611" w14:textId="77777777" w:rsidR="00251CA6" w:rsidRDefault="00251CA6" w:rsidP="00F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A76" w14:textId="77777777" w:rsidR="00251CA6" w:rsidRDefault="00251CA6" w:rsidP="00F168C0">
      <w:r>
        <w:separator/>
      </w:r>
    </w:p>
  </w:footnote>
  <w:footnote w:type="continuationSeparator" w:id="0">
    <w:p w14:paraId="73FAF85B" w14:textId="77777777" w:rsidR="00251CA6" w:rsidRDefault="00251CA6" w:rsidP="00F168C0">
      <w:r>
        <w:continuationSeparator/>
      </w:r>
    </w:p>
  </w:footnote>
  <w:footnote w:id="1">
    <w:p w14:paraId="0EB82AE7" w14:textId="5A3137A0" w:rsidR="009A6D0A" w:rsidRPr="00AB2069" w:rsidRDefault="009A6D0A">
      <w:pPr>
        <w:pStyle w:val="FootnoteText"/>
        <w:rPr>
          <w:rFonts w:cstheme="minorHAnsi"/>
          <w:sz w:val="16"/>
          <w:szCs w:val="16"/>
          <w:lang w:val="en-CA"/>
        </w:rPr>
      </w:pPr>
      <w:r>
        <w:rPr>
          <w:rStyle w:val="FootnoteReference"/>
        </w:rPr>
        <w:footnoteRef/>
      </w:r>
      <w:r>
        <w:t xml:space="preserve"> </w:t>
      </w:r>
      <w:hyperlink r:id="rId1" w:history="1">
        <w:r w:rsidR="00BD5597" w:rsidRPr="00AB2069">
          <w:rPr>
            <w:rStyle w:val="Hyperlink"/>
            <w:rFonts w:cstheme="minorHAnsi"/>
            <w:color w:val="auto"/>
            <w:sz w:val="16"/>
            <w:szCs w:val="16"/>
          </w:rPr>
          <w:t>https://www.cbd.int/decisions/cop/?m=cop-13</w:t>
        </w:r>
      </w:hyperlink>
    </w:p>
  </w:footnote>
  <w:footnote w:id="2">
    <w:p w14:paraId="2C26114C" w14:textId="4A35901E" w:rsidR="00B37FBD" w:rsidRPr="00AB2069" w:rsidRDefault="00B37FBD" w:rsidP="00FE0A72">
      <w:pPr>
        <w:autoSpaceDE w:val="0"/>
        <w:autoSpaceDN w:val="0"/>
        <w:adjustRightInd w:val="0"/>
        <w:rPr>
          <w:rFonts w:cstheme="minorHAnsi"/>
          <w:sz w:val="16"/>
          <w:szCs w:val="16"/>
          <w:lang w:val="en-CA"/>
        </w:rPr>
      </w:pPr>
      <w:r w:rsidRPr="00AB2069">
        <w:rPr>
          <w:rStyle w:val="FootnoteReference"/>
          <w:rFonts w:cstheme="minorHAnsi"/>
          <w:sz w:val="16"/>
          <w:szCs w:val="16"/>
        </w:rPr>
        <w:footnoteRef/>
      </w:r>
      <w:r w:rsidRPr="00AB2069">
        <w:rPr>
          <w:rFonts w:cstheme="minorHAnsi"/>
          <w:sz w:val="16"/>
          <w:szCs w:val="16"/>
        </w:rPr>
        <w:t xml:space="preserve"> </w:t>
      </w:r>
      <w:r w:rsidR="00FE0A72" w:rsidRPr="00AB2069">
        <w:rPr>
          <w:rFonts w:cstheme="minorHAnsi"/>
          <w:color w:val="000000"/>
          <w:sz w:val="16"/>
          <w:szCs w:val="16"/>
          <w:lang w:val="en-CA"/>
        </w:rPr>
        <w:t xml:space="preserve">Bhatt R et al. (2019) Uneven use of biodiversity indicators in 5th National Reports to the Convention on Biological Diversity. Environmental Conservation page 1 of 7. </w:t>
      </w:r>
      <w:proofErr w:type="spellStart"/>
      <w:r w:rsidR="00FE0A72" w:rsidRPr="00AB2069">
        <w:rPr>
          <w:rFonts w:cstheme="minorHAnsi"/>
          <w:color w:val="000000"/>
          <w:sz w:val="16"/>
          <w:szCs w:val="16"/>
          <w:lang w:val="en-CA"/>
        </w:rPr>
        <w:t>doi</w:t>
      </w:r>
      <w:proofErr w:type="spellEnd"/>
      <w:r w:rsidR="00FE0A72" w:rsidRPr="00AB2069">
        <w:rPr>
          <w:rFonts w:cstheme="minorHAnsi"/>
          <w:color w:val="000000"/>
          <w:sz w:val="16"/>
          <w:szCs w:val="16"/>
          <w:lang w:val="en-CA"/>
        </w:rPr>
        <w:t xml:space="preserve">: </w:t>
      </w:r>
      <w:r w:rsidR="00FE0A72" w:rsidRPr="00AB2069">
        <w:rPr>
          <w:rFonts w:cstheme="minorHAnsi"/>
          <w:color w:val="0000FF"/>
          <w:sz w:val="16"/>
          <w:szCs w:val="16"/>
          <w:lang w:val="en-CA"/>
        </w:rPr>
        <w:t>10.1017/S0376892919000365</w:t>
      </w:r>
    </w:p>
  </w:footnote>
  <w:footnote w:id="3">
    <w:p w14:paraId="56196234" w14:textId="069FFF3A" w:rsidR="00257AB8" w:rsidRPr="00AB2069" w:rsidRDefault="00257AB8" w:rsidP="00D875F1">
      <w:pPr>
        <w:pStyle w:val="NormalWeb"/>
        <w:spacing w:before="0" w:beforeAutospacing="0" w:after="0" w:afterAutospacing="0"/>
        <w:rPr>
          <w:rFonts w:asciiTheme="minorHAnsi" w:hAnsiTheme="minorHAnsi" w:cstheme="minorHAnsi"/>
          <w:sz w:val="16"/>
          <w:szCs w:val="16"/>
          <w:lang w:val="en-US"/>
        </w:rPr>
      </w:pPr>
      <w:r w:rsidRPr="00AB2069">
        <w:rPr>
          <w:rStyle w:val="FootnoteReference"/>
          <w:rFonts w:asciiTheme="minorHAnsi" w:hAnsiTheme="minorHAnsi" w:cstheme="minorHAnsi"/>
          <w:sz w:val="16"/>
          <w:szCs w:val="16"/>
        </w:rPr>
        <w:footnoteRef/>
      </w:r>
      <w:r w:rsidRPr="00AB2069">
        <w:rPr>
          <w:rFonts w:asciiTheme="minorHAnsi" w:hAnsiTheme="minorHAnsi" w:cstheme="minorHAnsi"/>
          <w:sz w:val="16"/>
          <w:szCs w:val="16"/>
        </w:rPr>
        <w:t xml:space="preserve"> </w:t>
      </w:r>
      <w:r w:rsidR="000F0850" w:rsidRPr="00AB2069">
        <w:rPr>
          <w:rFonts w:asciiTheme="minorHAnsi" w:hAnsiTheme="minorHAnsi" w:cstheme="minorHAnsi"/>
          <w:sz w:val="16"/>
          <w:szCs w:val="16"/>
        </w:rPr>
        <w:t xml:space="preserve">Mihoub J-B, Henle K, </w:t>
      </w:r>
      <w:proofErr w:type="spellStart"/>
      <w:r w:rsidR="000F0850" w:rsidRPr="00AB2069">
        <w:rPr>
          <w:rFonts w:asciiTheme="minorHAnsi" w:hAnsiTheme="minorHAnsi" w:cstheme="minorHAnsi"/>
          <w:sz w:val="16"/>
          <w:szCs w:val="16"/>
        </w:rPr>
        <w:t>Titeux</w:t>
      </w:r>
      <w:proofErr w:type="spellEnd"/>
      <w:r w:rsidR="000F0850" w:rsidRPr="00AB2069">
        <w:rPr>
          <w:rFonts w:asciiTheme="minorHAnsi" w:hAnsiTheme="minorHAnsi" w:cstheme="minorHAnsi"/>
          <w:sz w:val="16"/>
          <w:szCs w:val="16"/>
        </w:rPr>
        <w:t xml:space="preserve"> N, </w:t>
      </w:r>
      <w:proofErr w:type="spellStart"/>
      <w:r w:rsidR="000F0850" w:rsidRPr="00AB2069">
        <w:rPr>
          <w:rFonts w:asciiTheme="minorHAnsi" w:hAnsiTheme="minorHAnsi" w:cstheme="minorHAnsi"/>
          <w:sz w:val="16"/>
          <w:szCs w:val="16"/>
        </w:rPr>
        <w:t>Brotons</w:t>
      </w:r>
      <w:proofErr w:type="spellEnd"/>
      <w:r w:rsidR="000F0850" w:rsidRPr="00AB2069">
        <w:rPr>
          <w:rFonts w:asciiTheme="minorHAnsi" w:hAnsiTheme="minorHAnsi" w:cstheme="minorHAnsi"/>
          <w:sz w:val="16"/>
          <w:szCs w:val="16"/>
        </w:rPr>
        <w:t xml:space="preserve"> L, </w:t>
      </w:r>
      <w:proofErr w:type="spellStart"/>
      <w:r w:rsidR="000F0850" w:rsidRPr="00AB2069">
        <w:rPr>
          <w:rFonts w:asciiTheme="minorHAnsi" w:hAnsiTheme="minorHAnsi" w:cstheme="minorHAnsi"/>
          <w:sz w:val="16"/>
          <w:szCs w:val="16"/>
        </w:rPr>
        <w:t>Brummitt</w:t>
      </w:r>
      <w:proofErr w:type="spellEnd"/>
      <w:r w:rsidR="000F0850" w:rsidRPr="00AB2069">
        <w:rPr>
          <w:rFonts w:asciiTheme="minorHAnsi" w:hAnsiTheme="minorHAnsi" w:cstheme="minorHAnsi"/>
          <w:sz w:val="16"/>
          <w:szCs w:val="16"/>
        </w:rPr>
        <w:t xml:space="preserve"> NA, </w:t>
      </w:r>
      <w:proofErr w:type="spellStart"/>
      <w:r w:rsidR="000F0850" w:rsidRPr="00AB2069">
        <w:rPr>
          <w:rFonts w:asciiTheme="minorHAnsi" w:hAnsiTheme="minorHAnsi" w:cstheme="minorHAnsi"/>
          <w:sz w:val="16"/>
          <w:szCs w:val="16"/>
        </w:rPr>
        <w:t>Schmeller</w:t>
      </w:r>
      <w:proofErr w:type="spellEnd"/>
      <w:r w:rsidR="000F0850" w:rsidRPr="00AB2069">
        <w:rPr>
          <w:rFonts w:asciiTheme="minorHAnsi" w:hAnsiTheme="minorHAnsi" w:cstheme="minorHAnsi"/>
          <w:sz w:val="16"/>
          <w:szCs w:val="16"/>
        </w:rPr>
        <w:t xml:space="preserve"> DS: Setting temporal baselines for biodiversity: the limits of available monitoring data for capturing the full impact of anthropogenic pressures. Sci Rep 2017, </w:t>
      </w:r>
      <w:proofErr w:type="gramStart"/>
      <w:r w:rsidR="000F0850" w:rsidRPr="00AB2069">
        <w:rPr>
          <w:rFonts w:asciiTheme="minorHAnsi" w:hAnsiTheme="minorHAnsi" w:cstheme="minorHAnsi"/>
          <w:sz w:val="16"/>
          <w:szCs w:val="16"/>
        </w:rPr>
        <w:t>7:srep</w:t>
      </w:r>
      <w:proofErr w:type="gramEnd"/>
      <w:r w:rsidR="00D875F1" w:rsidRPr="00AB2069">
        <w:rPr>
          <w:rFonts w:asciiTheme="minorHAnsi" w:hAnsiTheme="minorHAnsi" w:cstheme="minorHAnsi"/>
          <w:sz w:val="16"/>
          <w:szCs w:val="16"/>
        </w:rPr>
        <w:t xml:space="preserve"> </w:t>
      </w:r>
      <w:r w:rsidR="000F0850" w:rsidRPr="00AB2069">
        <w:rPr>
          <w:rFonts w:asciiTheme="minorHAnsi" w:hAnsiTheme="minorHAnsi" w:cstheme="minorHAnsi"/>
          <w:sz w:val="16"/>
          <w:szCs w:val="16"/>
        </w:rPr>
        <w:t>41591.</w:t>
      </w:r>
    </w:p>
  </w:footnote>
  <w:footnote w:id="4">
    <w:p w14:paraId="3271C8F6" w14:textId="5B15C48D" w:rsidR="00603367" w:rsidRPr="00AB2069" w:rsidRDefault="00603367" w:rsidP="00A205EB">
      <w:pPr>
        <w:pStyle w:val="NormalWeb"/>
        <w:spacing w:before="0" w:beforeAutospacing="0" w:after="0" w:afterAutospacing="0"/>
        <w:rPr>
          <w:rFonts w:asciiTheme="minorHAnsi" w:hAnsiTheme="minorHAnsi" w:cstheme="minorHAnsi"/>
          <w:sz w:val="16"/>
          <w:szCs w:val="16"/>
        </w:rPr>
      </w:pPr>
      <w:r w:rsidRPr="00AB2069">
        <w:rPr>
          <w:rStyle w:val="FootnoteReference"/>
          <w:rFonts w:asciiTheme="minorHAnsi" w:hAnsiTheme="minorHAnsi" w:cstheme="minorHAnsi"/>
          <w:sz w:val="16"/>
          <w:szCs w:val="16"/>
        </w:rPr>
        <w:footnoteRef/>
      </w:r>
      <w:r w:rsidRPr="00AB2069">
        <w:rPr>
          <w:rFonts w:asciiTheme="minorHAnsi" w:hAnsiTheme="minorHAnsi" w:cstheme="minorHAnsi"/>
          <w:sz w:val="16"/>
          <w:szCs w:val="16"/>
        </w:rPr>
        <w:t xml:space="preserve"> </w:t>
      </w:r>
      <w:r w:rsidR="00A205EB" w:rsidRPr="00AB2069">
        <w:rPr>
          <w:rFonts w:asciiTheme="minorHAnsi" w:hAnsiTheme="minorHAnsi" w:cstheme="minorHAnsi"/>
          <w:sz w:val="16"/>
          <w:szCs w:val="16"/>
        </w:rPr>
        <w:t xml:space="preserve">Pereira HM, Navarro LM, Martins IS: Global biodiversity change: the bad, the good, and the unknown. </w:t>
      </w:r>
      <w:proofErr w:type="spellStart"/>
      <w:r w:rsidR="00A205EB" w:rsidRPr="00AB2069">
        <w:rPr>
          <w:rFonts w:asciiTheme="minorHAnsi" w:hAnsiTheme="minorHAnsi" w:cstheme="minorHAnsi"/>
          <w:sz w:val="16"/>
          <w:szCs w:val="16"/>
        </w:rPr>
        <w:t>Annu</w:t>
      </w:r>
      <w:proofErr w:type="spellEnd"/>
      <w:r w:rsidR="00A205EB" w:rsidRPr="00AB2069">
        <w:rPr>
          <w:rFonts w:asciiTheme="minorHAnsi" w:hAnsiTheme="minorHAnsi" w:cstheme="minorHAnsi"/>
          <w:sz w:val="16"/>
          <w:szCs w:val="16"/>
        </w:rPr>
        <w:t xml:space="preserve"> Rev Environ </w:t>
      </w:r>
      <w:proofErr w:type="spellStart"/>
      <w:r w:rsidR="00A205EB" w:rsidRPr="00AB2069">
        <w:rPr>
          <w:rFonts w:asciiTheme="minorHAnsi" w:hAnsiTheme="minorHAnsi" w:cstheme="minorHAnsi"/>
          <w:sz w:val="16"/>
          <w:szCs w:val="16"/>
        </w:rPr>
        <w:t>Resour</w:t>
      </w:r>
      <w:proofErr w:type="spellEnd"/>
      <w:r w:rsidR="00A205EB" w:rsidRPr="00AB2069">
        <w:rPr>
          <w:rFonts w:asciiTheme="minorHAnsi" w:hAnsiTheme="minorHAnsi" w:cstheme="minorHAnsi"/>
          <w:sz w:val="16"/>
          <w:szCs w:val="16"/>
        </w:rPr>
        <w:t xml:space="preserve"> 2012, 37:25-50.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6948" w14:textId="77777777" w:rsidR="00F168C0" w:rsidRDefault="00F168C0" w:rsidP="00F168C0">
    <w:pPr>
      <w:jc w:val="center"/>
      <w:rPr>
        <w:rFonts w:ascii="Times New Roman" w:hAnsi="Times New Roman" w:cs="Times New Roman"/>
        <w:b/>
        <w:sz w:val="20"/>
        <w:szCs w:val="20"/>
        <w:lang w:val="en-CA"/>
      </w:rPr>
    </w:pPr>
    <w:r w:rsidRPr="00F168C0">
      <w:rPr>
        <w:rFonts w:ascii="Times New Roman" w:hAnsi="Times New Roman" w:cs="Times New Roman"/>
        <w:b/>
        <w:sz w:val="20"/>
        <w:szCs w:val="20"/>
        <w:lang w:val="en-CA"/>
      </w:rPr>
      <w:t>Post 2020 Thematic Consultation on Transparent Implementation, Monitoring, Reporting and Review</w:t>
    </w:r>
  </w:p>
  <w:p w14:paraId="7657BE94" w14:textId="5D30D901" w:rsidR="00F168C0" w:rsidRPr="00F168C0" w:rsidRDefault="00F168C0" w:rsidP="00F168C0">
    <w:pPr>
      <w:jc w:val="center"/>
      <w:rPr>
        <w:rFonts w:ascii="Times New Roman" w:hAnsi="Times New Roman" w:cs="Times New Roman"/>
        <w:b/>
        <w:sz w:val="20"/>
        <w:szCs w:val="20"/>
        <w:lang w:val="en-CA"/>
      </w:rPr>
    </w:pPr>
    <w:r>
      <w:rPr>
        <w:rFonts w:ascii="Times New Roman" w:hAnsi="Times New Roman" w:cs="Times New Roman"/>
        <w:b/>
        <w:sz w:val="20"/>
        <w:szCs w:val="20"/>
        <w:lang w:val="en-CA"/>
      </w:rPr>
      <w:t>20</w:t>
    </w:r>
    <w:r w:rsidRPr="00F168C0">
      <w:rPr>
        <w:rFonts w:ascii="Times New Roman" w:hAnsi="Times New Roman" w:cs="Times New Roman"/>
        <w:b/>
        <w:sz w:val="20"/>
        <w:szCs w:val="20"/>
        <w:lang w:val="en-CA"/>
      </w:rPr>
      <w:t xml:space="preserve">-22 February 2020, </w:t>
    </w:r>
    <w:r w:rsidR="00AA578C">
      <w:rPr>
        <w:rFonts w:ascii="Times New Roman" w:hAnsi="Times New Roman" w:cs="Times New Roman"/>
        <w:b/>
        <w:sz w:val="20"/>
        <w:szCs w:val="20"/>
        <w:lang w:val="en-CA"/>
      </w:rPr>
      <w:t>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D27"/>
    <w:multiLevelType w:val="hybridMultilevel"/>
    <w:tmpl w:val="09008736"/>
    <w:lvl w:ilvl="0" w:tplc="5F2CAB2A">
      <w:start w:val="2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E1DAF"/>
    <w:multiLevelType w:val="hybridMultilevel"/>
    <w:tmpl w:val="D2CEBCBA"/>
    <w:lvl w:ilvl="0" w:tplc="74D80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D383C"/>
    <w:multiLevelType w:val="hybridMultilevel"/>
    <w:tmpl w:val="1F183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3E4F69"/>
    <w:multiLevelType w:val="hybridMultilevel"/>
    <w:tmpl w:val="478E9028"/>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33E6A"/>
    <w:multiLevelType w:val="hybridMultilevel"/>
    <w:tmpl w:val="5958D89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111CF"/>
    <w:multiLevelType w:val="hybridMultilevel"/>
    <w:tmpl w:val="016847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D92C81"/>
    <w:multiLevelType w:val="hybridMultilevel"/>
    <w:tmpl w:val="9A86703C"/>
    <w:lvl w:ilvl="0" w:tplc="19A091D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5AB75F4"/>
    <w:multiLevelType w:val="hybridMultilevel"/>
    <w:tmpl w:val="BECC2B14"/>
    <w:lvl w:ilvl="0" w:tplc="049C2742">
      <w:start w:val="1"/>
      <w:numFmt w:val="bullet"/>
      <w:lvlText w:val="•"/>
      <w:lvlJc w:val="left"/>
      <w:pPr>
        <w:tabs>
          <w:tab w:val="num" w:pos="720"/>
        </w:tabs>
        <w:ind w:left="720" w:hanging="360"/>
      </w:pPr>
      <w:rPr>
        <w:rFonts w:ascii="Arial" w:hAnsi="Arial" w:hint="default"/>
      </w:rPr>
    </w:lvl>
    <w:lvl w:ilvl="1" w:tplc="5E16D3EC">
      <w:numFmt w:val="bullet"/>
      <w:lvlText w:val="•"/>
      <w:lvlJc w:val="left"/>
      <w:pPr>
        <w:tabs>
          <w:tab w:val="num" w:pos="1440"/>
        </w:tabs>
        <w:ind w:left="1440" w:hanging="360"/>
      </w:pPr>
      <w:rPr>
        <w:rFonts w:ascii="Arial" w:hAnsi="Arial" w:hint="default"/>
      </w:rPr>
    </w:lvl>
    <w:lvl w:ilvl="2" w:tplc="823CBE4A" w:tentative="1">
      <w:start w:val="1"/>
      <w:numFmt w:val="bullet"/>
      <w:lvlText w:val="•"/>
      <w:lvlJc w:val="left"/>
      <w:pPr>
        <w:tabs>
          <w:tab w:val="num" w:pos="2160"/>
        </w:tabs>
        <w:ind w:left="2160" w:hanging="360"/>
      </w:pPr>
      <w:rPr>
        <w:rFonts w:ascii="Arial" w:hAnsi="Arial" w:hint="default"/>
      </w:rPr>
    </w:lvl>
    <w:lvl w:ilvl="3" w:tplc="9A926042" w:tentative="1">
      <w:start w:val="1"/>
      <w:numFmt w:val="bullet"/>
      <w:lvlText w:val="•"/>
      <w:lvlJc w:val="left"/>
      <w:pPr>
        <w:tabs>
          <w:tab w:val="num" w:pos="2880"/>
        </w:tabs>
        <w:ind w:left="2880" w:hanging="360"/>
      </w:pPr>
      <w:rPr>
        <w:rFonts w:ascii="Arial" w:hAnsi="Arial" w:hint="default"/>
      </w:rPr>
    </w:lvl>
    <w:lvl w:ilvl="4" w:tplc="4F140EE0" w:tentative="1">
      <w:start w:val="1"/>
      <w:numFmt w:val="bullet"/>
      <w:lvlText w:val="•"/>
      <w:lvlJc w:val="left"/>
      <w:pPr>
        <w:tabs>
          <w:tab w:val="num" w:pos="3600"/>
        </w:tabs>
        <w:ind w:left="3600" w:hanging="360"/>
      </w:pPr>
      <w:rPr>
        <w:rFonts w:ascii="Arial" w:hAnsi="Arial" w:hint="default"/>
      </w:rPr>
    </w:lvl>
    <w:lvl w:ilvl="5" w:tplc="FD80C74E" w:tentative="1">
      <w:start w:val="1"/>
      <w:numFmt w:val="bullet"/>
      <w:lvlText w:val="•"/>
      <w:lvlJc w:val="left"/>
      <w:pPr>
        <w:tabs>
          <w:tab w:val="num" w:pos="4320"/>
        </w:tabs>
        <w:ind w:left="4320" w:hanging="360"/>
      </w:pPr>
      <w:rPr>
        <w:rFonts w:ascii="Arial" w:hAnsi="Arial" w:hint="default"/>
      </w:rPr>
    </w:lvl>
    <w:lvl w:ilvl="6" w:tplc="92E25706" w:tentative="1">
      <w:start w:val="1"/>
      <w:numFmt w:val="bullet"/>
      <w:lvlText w:val="•"/>
      <w:lvlJc w:val="left"/>
      <w:pPr>
        <w:tabs>
          <w:tab w:val="num" w:pos="5040"/>
        </w:tabs>
        <w:ind w:left="5040" w:hanging="360"/>
      </w:pPr>
      <w:rPr>
        <w:rFonts w:ascii="Arial" w:hAnsi="Arial" w:hint="default"/>
      </w:rPr>
    </w:lvl>
    <w:lvl w:ilvl="7" w:tplc="039E15DC" w:tentative="1">
      <w:start w:val="1"/>
      <w:numFmt w:val="bullet"/>
      <w:lvlText w:val="•"/>
      <w:lvlJc w:val="left"/>
      <w:pPr>
        <w:tabs>
          <w:tab w:val="num" w:pos="5760"/>
        </w:tabs>
        <w:ind w:left="5760" w:hanging="360"/>
      </w:pPr>
      <w:rPr>
        <w:rFonts w:ascii="Arial" w:hAnsi="Arial" w:hint="default"/>
      </w:rPr>
    </w:lvl>
    <w:lvl w:ilvl="8" w:tplc="1F5A2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195128"/>
    <w:multiLevelType w:val="hybridMultilevel"/>
    <w:tmpl w:val="77B276EE"/>
    <w:lvl w:ilvl="0" w:tplc="E56628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551C"/>
    <w:multiLevelType w:val="hybridMultilevel"/>
    <w:tmpl w:val="D83E5C58"/>
    <w:lvl w:ilvl="0" w:tplc="C2441DF2">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E09DB"/>
    <w:multiLevelType w:val="hybridMultilevel"/>
    <w:tmpl w:val="8B8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67F65"/>
    <w:multiLevelType w:val="hybridMultilevel"/>
    <w:tmpl w:val="25520FA6"/>
    <w:lvl w:ilvl="0" w:tplc="B3C655AC">
      <w:start w:val="1"/>
      <w:numFmt w:val="bullet"/>
      <w:lvlText w:val="•"/>
      <w:lvlJc w:val="left"/>
      <w:pPr>
        <w:tabs>
          <w:tab w:val="num" w:pos="720"/>
        </w:tabs>
        <w:ind w:left="720" w:hanging="360"/>
      </w:pPr>
      <w:rPr>
        <w:rFonts w:ascii="Arial" w:hAnsi="Arial" w:hint="default"/>
      </w:rPr>
    </w:lvl>
    <w:lvl w:ilvl="1" w:tplc="14ECF89A">
      <w:start w:val="1"/>
      <w:numFmt w:val="bullet"/>
      <w:lvlText w:val="•"/>
      <w:lvlJc w:val="left"/>
      <w:pPr>
        <w:tabs>
          <w:tab w:val="num" w:pos="1440"/>
        </w:tabs>
        <w:ind w:left="1440" w:hanging="360"/>
      </w:pPr>
      <w:rPr>
        <w:rFonts w:ascii="Arial" w:hAnsi="Arial" w:hint="default"/>
      </w:rPr>
    </w:lvl>
    <w:lvl w:ilvl="2" w:tplc="B0BE1398">
      <w:numFmt w:val="bullet"/>
      <w:lvlText w:val="•"/>
      <w:lvlJc w:val="left"/>
      <w:pPr>
        <w:tabs>
          <w:tab w:val="num" w:pos="2160"/>
        </w:tabs>
        <w:ind w:left="2160" w:hanging="360"/>
      </w:pPr>
      <w:rPr>
        <w:rFonts w:ascii="Arial" w:hAnsi="Arial" w:hint="default"/>
      </w:rPr>
    </w:lvl>
    <w:lvl w:ilvl="3" w:tplc="F12CB608" w:tentative="1">
      <w:start w:val="1"/>
      <w:numFmt w:val="bullet"/>
      <w:lvlText w:val="•"/>
      <w:lvlJc w:val="left"/>
      <w:pPr>
        <w:tabs>
          <w:tab w:val="num" w:pos="2880"/>
        </w:tabs>
        <w:ind w:left="2880" w:hanging="360"/>
      </w:pPr>
      <w:rPr>
        <w:rFonts w:ascii="Arial" w:hAnsi="Arial" w:hint="default"/>
      </w:rPr>
    </w:lvl>
    <w:lvl w:ilvl="4" w:tplc="CE52C4EC" w:tentative="1">
      <w:start w:val="1"/>
      <w:numFmt w:val="bullet"/>
      <w:lvlText w:val="•"/>
      <w:lvlJc w:val="left"/>
      <w:pPr>
        <w:tabs>
          <w:tab w:val="num" w:pos="3600"/>
        </w:tabs>
        <w:ind w:left="3600" w:hanging="360"/>
      </w:pPr>
      <w:rPr>
        <w:rFonts w:ascii="Arial" w:hAnsi="Arial" w:hint="default"/>
      </w:rPr>
    </w:lvl>
    <w:lvl w:ilvl="5" w:tplc="395C080A" w:tentative="1">
      <w:start w:val="1"/>
      <w:numFmt w:val="bullet"/>
      <w:lvlText w:val="•"/>
      <w:lvlJc w:val="left"/>
      <w:pPr>
        <w:tabs>
          <w:tab w:val="num" w:pos="4320"/>
        </w:tabs>
        <w:ind w:left="4320" w:hanging="360"/>
      </w:pPr>
      <w:rPr>
        <w:rFonts w:ascii="Arial" w:hAnsi="Arial" w:hint="default"/>
      </w:rPr>
    </w:lvl>
    <w:lvl w:ilvl="6" w:tplc="B4743C70" w:tentative="1">
      <w:start w:val="1"/>
      <w:numFmt w:val="bullet"/>
      <w:lvlText w:val="•"/>
      <w:lvlJc w:val="left"/>
      <w:pPr>
        <w:tabs>
          <w:tab w:val="num" w:pos="5040"/>
        </w:tabs>
        <w:ind w:left="5040" w:hanging="360"/>
      </w:pPr>
      <w:rPr>
        <w:rFonts w:ascii="Arial" w:hAnsi="Arial" w:hint="default"/>
      </w:rPr>
    </w:lvl>
    <w:lvl w:ilvl="7" w:tplc="025CCB7C" w:tentative="1">
      <w:start w:val="1"/>
      <w:numFmt w:val="bullet"/>
      <w:lvlText w:val="•"/>
      <w:lvlJc w:val="left"/>
      <w:pPr>
        <w:tabs>
          <w:tab w:val="num" w:pos="5760"/>
        </w:tabs>
        <w:ind w:left="5760" w:hanging="360"/>
      </w:pPr>
      <w:rPr>
        <w:rFonts w:ascii="Arial" w:hAnsi="Arial" w:hint="default"/>
      </w:rPr>
    </w:lvl>
    <w:lvl w:ilvl="8" w:tplc="0CE05B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8E55FA"/>
    <w:multiLevelType w:val="hybridMultilevel"/>
    <w:tmpl w:val="1EC834EC"/>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C05335"/>
    <w:multiLevelType w:val="hybridMultilevel"/>
    <w:tmpl w:val="9C142E74"/>
    <w:lvl w:ilvl="0" w:tplc="74D804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716E1C"/>
    <w:multiLevelType w:val="hybridMultilevel"/>
    <w:tmpl w:val="ECB0DB54"/>
    <w:lvl w:ilvl="0" w:tplc="82626206">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3"/>
  </w:num>
  <w:num w:numId="6">
    <w:abstractNumId w:val="12"/>
  </w:num>
  <w:num w:numId="7">
    <w:abstractNumId w:val="4"/>
  </w:num>
  <w:num w:numId="8">
    <w:abstractNumId w:val="9"/>
  </w:num>
  <w:num w:numId="9">
    <w:abstractNumId w:val="7"/>
  </w:num>
  <w:num w:numId="10">
    <w:abstractNumId w:val="2"/>
  </w:num>
  <w:num w:numId="11">
    <w:abstractNumId w:val="14"/>
  </w:num>
  <w:num w:numId="12">
    <w:abstractNumId w:val="10"/>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TWwMDYzMjAxsjRQ0lEKTi0uzszPAykwrAUAaOh7MSwAAAA="/>
  </w:docVars>
  <w:rsids>
    <w:rsidRoot w:val="004D4D78"/>
    <w:rsid w:val="00002FC7"/>
    <w:rsid w:val="00012BFD"/>
    <w:rsid w:val="000174EC"/>
    <w:rsid w:val="000241B1"/>
    <w:rsid w:val="000270BD"/>
    <w:rsid w:val="0002762D"/>
    <w:rsid w:val="00027AFB"/>
    <w:rsid w:val="00034A21"/>
    <w:rsid w:val="0003664D"/>
    <w:rsid w:val="00042519"/>
    <w:rsid w:val="00043295"/>
    <w:rsid w:val="00045EF9"/>
    <w:rsid w:val="0005771B"/>
    <w:rsid w:val="000957F2"/>
    <w:rsid w:val="000A445C"/>
    <w:rsid w:val="000B60AB"/>
    <w:rsid w:val="000C03D9"/>
    <w:rsid w:val="000D2172"/>
    <w:rsid w:val="000D6F64"/>
    <w:rsid w:val="000E5943"/>
    <w:rsid w:val="000F0850"/>
    <w:rsid w:val="000F3D44"/>
    <w:rsid w:val="000F5414"/>
    <w:rsid w:val="001035FD"/>
    <w:rsid w:val="0010616C"/>
    <w:rsid w:val="00113F2B"/>
    <w:rsid w:val="001272FA"/>
    <w:rsid w:val="00130165"/>
    <w:rsid w:val="00133FCF"/>
    <w:rsid w:val="00135DD8"/>
    <w:rsid w:val="00140F8A"/>
    <w:rsid w:val="001423EB"/>
    <w:rsid w:val="00144699"/>
    <w:rsid w:val="001475E4"/>
    <w:rsid w:val="00152587"/>
    <w:rsid w:val="0015525D"/>
    <w:rsid w:val="0017175A"/>
    <w:rsid w:val="001728DE"/>
    <w:rsid w:val="001A36E3"/>
    <w:rsid w:val="001B0DA8"/>
    <w:rsid w:val="001C6401"/>
    <w:rsid w:val="001E31DB"/>
    <w:rsid w:val="001E54C5"/>
    <w:rsid w:val="001F166E"/>
    <w:rsid w:val="001F45D4"/>
    <w:rsid w:val="001F48A2"/>
    <w:rsid w:val="001F4E0D"/>
    <w:rsid w:val="001F7E19"/>
    <w:rsid w:val="002025BB"/>
    <w:rsid w:val="00214C21"/>
    <w:rsid w:val="00222F00"/>
    <w:rsid w:val="00233A84"/>
    <w:rsid w:val="002366A7"/>
    <w:rsid w:val="00244B8C"/>
    <w:rsid w:val="00245260"/>
    <w:rsid w:val="00245656"/>
    <w:rsid w:val="00245A9C"/>
    <w:rsid w:val="00251CA6"/>
    <w:rsid w:val="00252F9A"/>
    <w:rsid w:val="00257AB8"/>
    <w:rsid w:val="00276FC7"/>
    <w:rsid w:val="002962F4"/>
    <w:rsid w:val="002B1E30"/>
    <w:rsid w:val="002D60C3"/>
    <w:rsid w:val="002D6337"/>
    <w:rsid w:val="002E1853"/>
    <w:rsid w:val="002E381F"/>
    <w:rsid w:val="002E66DB"/>
    <w:rsid w:val="002F23CB"/>
    <w:rsid w:val="00340751"/>
    <w:rsid w:val="003528A5"/>
    <w:rsid w:val="00353029"/>
    <w:rsid w:val="00361DCD"/>
    <w:rsid w:val="00377DF9"/>
    <w:rsid w:val="00385F49"/>
    <w:rsid w:val="00390836"/>
    <w:rsid w:val="003941AD"/>
    <w:rsid w:val="003B169E"/>
    <w:rsid w:val="003B24A1"/>
    <w:rsid w:val="003B3397"/>
    <w:rsid w:val="003B431C"/>
    <w:rsid w:val="003B6057"/>
    <w:rsid w:val="003C5D99"/>
    <w:rsid w:val="003C6B0E"/>
    <w:rsid w:val="003D537E"/>
    <w:rsid w:val="003E1709"/>
    <w:rsid w:val="003E6A7F"/>
    <w:rsid w:val="003E6D3D"/>
    <w:rsid w:val="003F7671"/>
    <w:rsid w:val="00400099"/>
    <w:rsid w:val="0040023F"/>
    <w:rsid w:val="0040201D"/>
    <w:rsid w:val="00402226"/>
    <w:rsid w:val="00404038"/>
    <w:rsid w:val="00415103"/>
    <w:rsid w:val="0042548C"/>
    <w:rsid w:val="00426F57"/>
    <w:rsid w:val="0045026C"/>
    <w:rsid w:val="00450886"/>
    <w:rsid w:val="00451776"/>
    <w:rsid w:val="00463D50"/>
    <w:rsid w:val="00466B0F"/>
    <w:rsid w:val="00483359"/>
    <w:rsid w:val="00484FE4"/>
    <w:rsid w:val="0048520F"/>
    <w:rsid w:val="004957D2"/>
    <w:rsid w:val="004A519B"/>
    <w:rsid w:val="004B2AB0"/>
    <w:rsid w:val="004C29B9"/>
    <w:rsid w:val="004C4034"/>
    <w:rsid w:val="004D454B"/>
    <w:rsid w:val="004D4D78"/>
    <w:rsid w:val="004D6A14"/>
    <w:rsid w:val="004E0BB6"/>
    <w:rsid w:val="004E378C"/>
    <w:rsid w:val="00505D99"/>
    <w:rsid w:val="0051470C"/>
    <w:rsid w:val="005209FD"/>
    <w:rsid w:val="005361AA"/>
    <w:rsid w:val="0054115A"/>
    <w:rsid w:val="0054395D"/>
    <w:rsid w:val="00552CBC"/>
    <w:rsid w:val="005553ED"/>
    <w:rsid w:val="00567310"/>
    <w:rsid w:val="00573D86"/>
    <w:rsid w:val="005753AB"/>
    <w:rsid w:val="00581C20"/>
    <w:rsid w:val="005A1220"/>
    <w:rsid w:val="005B4E2A"/>
    <w:rsid w:val="005D320D"/>
    <w:rsid w:val="005D4504"/>
    <w:rsid w:val="005E25B8"/>
    <w:rsid w:val="00603367"/>
    <w:rsid w:val="00611FE0"/>
    <w:rsid w:val="00621ACB"/>
    <w:rsid w:val="00622A29"/>
    <w:rsid w:val="006248D8"/>
    <w:rsid w:val="00624A17"/>
    <w:rsid w:val="00630D3B"/>
    <w:rsid w:val="00631A46"/>
    <w:rsid w:val="00646D89"/>
    <w:rsid w:val="00651129"/>
    <w:rsid w:val="006515C6"/>
    <w:rsid w:val="0065173F"/>
    <w:rsid w:val="00652BF9"/>
    <w:rsid w:val="006546C8"/>
    <w:rsid w:val="00664516"/>
    <w:rsid w:val="00674819"/>
    <w:rsid w:val="00677117"/>
    <w:rsid w:val="0068368F"/>
    <w:rsid w:val="00683B0C"/>
    <w:rsid w:val="00683DD1"/>
    <w:rsid w:val="006A01BC"/>
    <w:rsid w:val="006A02E8"/>
    <w:rsid w:val="006B1DF8"/>
    <w:rsid w:val="006B1F18"/>
    <w:rsid w:val="006B4DD2"/>
    <w:rsid w:val="006B71CE"/>
    <w:rsid w:val="006D436A"/>
    <w:rsid w:val="006D652D"/>
    <w:rsid w:val="006E1B9B"/>
    <w:rsid w:val="006F2C77"/>
    <w:rsid w:val="006F3F67"/>
    <w:rsid w:val="0070683D"/>
    <w:rsid w:val="007069B6"/>
    <w:rsid w:val="0071134B"/>
    <w:rsid w:val="007216D7"/>
    <w:rsid w:val="00725B3D"/>
    <w:rsid w:val="007362A1"/>
    <w:rsid w:val="007453AD"/>
    <w:rsid w:val="00746C9C"/>
    <w:rsid w:val="00762327"/>
    <w:rsid w:val="00763510"/>
    <w:rsid w:val="0078019A"/>
    <w:rsid w:val="00785523"/>
    <w:rsid w:val="00785A63"/>
    <w:rsid w:val="007B57DC"/>
    <w:rsid w:val="007C2C09"/>
    <w:rsid w:val="007C4A91"/>
    <w:rsid w:val="007C4AAB"/>
    <w:rsid w:val="007D1233"/>
    <w:rsid w:val="007E16E4"/>
    <w:rsid w:val="007E5D11"/>
    <w:rsid w:val="00807394"/>
    <w:rsid w:val="0081047F"/>
    <w:rsid w:val="008147FF"/>
    <w:rsid w:val="00823DF3"/>
    <w:rsid w:val="00855151"/>
    <w:rsid w:val="008568BD"/>
    <w:rsid w:val="008636A0"/>
    <w:rsid w:val="0088268B"/>
    <w:rsid w:val="008852AD"/>
    <w:rsid w:val="00886EA2"/>
    <w:rsid w:val="0089246F"/>
    <w:rsid w:val="00897346"/>
    <w:rsid w:val="008A64D3"/>
    <w:rsid w:val="008B46BD"/>
    <w:rsid w:val="008D138B"/>
    <w:rsid w:val="008D49DB"/>
    <w:rsid w:val="008E386B"/>
    <w:rsid w:val="008E79E0"/>
    <w:rsid w:val="00901578"/>
    <w:rsid w:val="00930E91"/>
    <w:rsid w:val="00931884"/>
    <w:rsid w:val="0093277C"/>
    <w:rsid w:val="00935D98"/>
    <w:rsid w:val="009440F4"/>
    <w:rsid w:val="009472E1"/>
    <w:rsid w:val="009503DD"/>
    <w:rsid w:val="00963A1A"/>
    <w:rsid w:val="009670F2"/>
    <w:rsid w:val="009749C2"/>
    <w:rsid w:val="00990D3E"/>
    <w:rsid w:val="0099200F"/>
    <w:rsid w:val="00995D2D"/>
    <w:rsid w:val="00996C08"/>
    <w:rsid w:val="009A164A"/>
    <w:rsid w:val="009A5013"/>
    <w:rsid w:val="009A5708"/>
    <w:rsid w:val="009A6D0A"/>
    <w:rsid w:val="009A73BE"/>
    <w:rsid w:val="009B48C4"/>
    <w:rsid w:val="009B6CC1"/>
    <w:rsid w:val="009F0FCA"/>
    <w:rsid w:val="009F28D8"/>
    <w:rsid w:val="00A00AA0"/>
    <w:rsid w:val="00A07971"/>
    <w:rsid w:val="00A12E2B"/>
    <w:rsid w:val="00A1471A"/>
    <w:rsid w:val="00A17399"/>
    <w:rsid w:val="00A205EB"/>
    <w:rsid w:val="00A22DC9"/>
    <w:rsid w:val="00A3026E"/>
    <w:rsid w:val="00A353DC"/>
    <w:rsid w:val="00A4193B"/>
    <w:rsid w:val="00A45164"/>
    <w:rsid w:val="00A50841"/>
    <w:rsid w:val="00A5474D"/>
    <w:rsid w:val="00A57649"/>
    <w:rsid w:val="00A65E1E"/>
    <w:rsid w:val="00A8699F"/>
    <w:rsid w:val="00AA11A4"/>
    <w:rsid w:val="00AA578C"/>
    <w:rsid w:val="00AA74C9"/>
    <w:rsid w:val="00AB2069"/>
    <w:rsid w:val="00AB528F"/>
    <w:rsid w:val="00AD0A79"/>
    <w:rsid w:val="00AF0ACA"/>
    <w:rsid w:val="00AF5102"/>
    <w:rsid w:val="00AF57A4"/>
    <w:rsid w:val="00B04394"/>
    <w:rsid w:val="00B31101"/>
    <w:rsid w:val="00B37FBD"/>
    <w:rsid w:val="00B4746D"/>
    <w:rsid w:val="00B5007D"/>
    <w:rsid w:val="00B52CC6"/>
    <w:rsid w:val="00B53C8F"/>
    <w:rsid w:val="00B81540"/>
    <w:rsid w:val="00B82D2E"/>
    <w:rsid w:val="00B84AD4"/>
    <w:rsid w:val="00B909E6"/>
    <w:rsid w:val="00B92B8F"/>
    <w:rsid w:val="00BC2C04"/>
    <w:rsid w:val="00BC7D49"/>
    <w:rsid w:val="00BD5597"/>
    <w:rsid w:val="00BD71CE"/>
    <w:rsid w:val="00BE5727"/>
    <w:rsid w:val="00BF49CB"/>
    <w:rsid w:val="00BF6AD4"/>
    <w:rsid w:val="00C051FD"/>
    <w:rsid w:val="00C05341"/>
    <w:rsid w:val="00C127D4"/>
    <w:rsid w:val="00C261CF"/>
    <w:rsid w:val="00C30C02"/>
    <w:rsid w:val="00C45282"/>
    <w:rsid w:val="00C477A4"/>
    <w:rsid w:val="00C508A0"/>
    <w:rsid w:val="00C511F6"/>
    <w:rsid w:val="00C514FC"/>
    <w:rsid w:val="00C5465B"/>
    <w:rsid w:val="00C55576"/>
    <w:rsid w:val="00C604D0"/>
    <w:rsid w:val="00C6447E"/>
    <w:rsid w:val="00C66A39"/>
    <w:rsid w:val="00C7513D"/>
    <w:rsid w:val="00C77E61"/>
    <w:rsid w:val="00C80F9F"/>
    <w:rsid w:val="00C8319A"/>
    <w:rsid w:val="00C84021"/>
    <w:rsid w:val="00C93147"/>
    <w:rsid w:val="00C935BF"/>
    <w:rsid w:val="00C939CB"/>
    <w:rsid w:val="00C94589"/>
    <w:rsid w:val="00C95843"/>
    <w:rsid w:val="00CB0604"/>
    <w:rsid w:val="00CD42C7"/>
    <w:rsid w:val="00CE576B"/>
    <w:rsid w:val="00CF1B3D"/>
    <w:rsid w:val="00CF545D"/>
    <w:rsid w:val="00CF5722"/>
    <w:rsid w:val="00D109A4"/>
    <w:rsid w:val="00D12D83"/>
    <w:rsid w:val="00D2754D"/>
    <w:rsid w:val="00D30C93"/>
    <w:rsid w:val="00D3367C"/>
    <w:rsid w:val="00D34509"/>
    <w:rsid w:val="00D35D12"/>
    <w:rsid w:val="00D37CF9"/>
    <w:rsid w:val="00D424F3"/>
    <w:rsid w:val="00D42FBF"/>
    <w:rsid w:val="00D51828"/>
    <w:rsid w:val="00D530FE"/>
    <w:rsid w:val="00D531C4"/>
    <w:rsid w:val="00D53C01"/>
    <w:rsid w:val="00D65742"/>
    <w:rsid w:val="00D718D3"/>
    <w:rsid w:val="00D8170C"/>
    <w:rsid w:val="00D875F1"/>
    <w:rsid w:val="00D91E68"/>
    <w:rsid w:val="00D94C67"/>
    <w:rsid w:val="00DA38CC"/>
    <w:rsid w:val="00DB3FB8"/>
    <w:rsid w:val="00DB4DF0"/>
    <w:rsid w:val="00DC0D16"/>
    <w:rsid w:val="00DC3562"/>
    <w:rsid w:val="00DD39FA"/>
    <w:rsid w:val="00DE5164"/>
    <w:rsid w:val="00E01B30"/>
    <w:rsid w:val="00E11D8A"/>
    <w:rsid w:val="00E3411A"/>
    <w:rsid w:val="00E4552E"/>
    <w:rsid w:val="00E538B5"/>
    <w:rsid w:val="00E5465E"/>
    <w:rsid w:val="00E66FC6"/>
    <w:rsid w:val="00E730C3"/>
    <w:rsid w:val="00E8123D"/>
    <w:rsid w:val="00E96BC7"/>
    <w:rsid w:val="00EA1417"/>
    <w:rsid w:val="00EA4967"/>
    <w:rsid w:val="00EC170E"/>
    <w:rsid w:val="00EC3B3E"/>
    <w:rsid w:val="00EC581F"/>
    <w:rsid w:val="00ED16DE"/>
    <w:rsid w:val="00ED616F"/>
    <w:rsid w:val="00ED75E7"/>
    <w:rsid w:val="00EE3224"/>
    <w:rsid w:val="00F00603"/>
    <w:rsid w:val="00F1059D"/>
    <w:rsid w:val="00F13EFA"/>
    <w:rsid w:val="00F168C0"/>
    <w:rsid w:val="00F215FD"/>
    <w:rsid w:val="00F335B1"/>
    <w:rsid w:val="00F34D90"/>
    <w:rsid w:val="00F44EF3"/>
    <w:rsid w:val="00F47CF0"/>
    <w:rsid w:val="00F55449"/>
    <w:rsid w:val="00F66BAC"/>
    <w:rsid w:val="00F81515"/>
    <w:rsid w:val="00F87580"/>
    <w:rsid w:val="00FA4050"/>
    <w:rsid w:val="00FA4838"/>
    <w:rsid w:val="00FA6B9E"/>
    <w:rsid w:val="00FC1B8A"/>
    <w:rsid w:val="00FC4DE1"/>
    <w:rsid w:val="00FC644E"/>
    <w:rsid w:val="00FE0A72"/>
    <w:rsid w:val="00FF2698"/>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DB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style>
  <w:style w:type="paragraph" w:styleId="ListParagraph">
    <w:name w:val="List Paragraph"/>
    <w:basedOn w:val="Normal"/>
    <w:uiPriority w:val="34"/>
    <w:qFormat/>
    <w:rsid w:val="007C4AAB"/>
    <w:pPr>
      <w:ind w:left="720"/>
      <w:contextualSpacing/>
    </w:pPr>
  </w:style>
  <w:style w:type="character" w:styleId="Hyperlink">
    <w:name w:val="Hyperlink"/>
    <w:basedOn w:val="DefaultParagraphFont"/>
    <w:uiPriority w:val="99"/>
    <w:unhideWhenUsed/>
    <w:rsid w:val="00FC1B8A"/>
    <w:rPr>
      <w:color w:val="0563C1" w:themeColor="hyperlink"/>
      <w:u w:val="single"/>
    </w:rPr>
  </w:style>
  <w:style w:type="character" w:styleId="FollowedHyperlink">
    <w:name w:val="FollowedHyperlink"/>
    <w:basedOn w:val="DefaultParagraphFont"/>
    <w:uiPriority w:val="99"/>
    <w:semiHidden/>
    <w:unhideWhenUsed/>
    <w:rsid w:val="00FC1B8A"/>
    <w:rPr>
      <w:color w:val="954F72" w:themeColor="followedHyperlink"/>
      <w:u w:val="single"/>
    </w:rPr>
  </w:style>
  <w:style w:type="paragraph" w:styleId="BalloonText">
    <w:name w:val="Balloon Text"/>
    <w:basedOn w:val="Normal"/>
    <w:link w:val="BalloonTextChar"/>
    <w:uiPriority w:val="99"/>
    <w:semiHidden/>
    <w:unhideWhenUsed/>
    <w:rsid w:val="0012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FA"/>
    <w:rPr>
      <w:rFonts w:ascii="Segoe UI" w:hAnsi="Segoe UI" w:cs="Segoe UI"/>
      <w:sz w:val="18"/>
      <w:szCs w:val="18"/>
    </w:rPr>
  </w:style>
  <w:style w:type="character" w:styleId="CommentReference">
    <w:name w:val="annotation reference"/>
    <w:basedOn w:val="DefaultParagraphFont"/>
    <w:uiPriority w:val="99"/>
    <w:semiHidden/>
    <w:unhideWhenUsed/>
    <w:rsid w:val="00A17399"/>
    <w:rPr>
      <w:sz w:val="16"/>
      <w:szCs w:val="16"/>
    </w:rPr>
  </w:style>
  <w:style w:type="paragraph" w:styleId="CommentText">
    <w:name w:val="annotation text"/>
    <w:basedOn w:val="Normal"/>
    <w:link w:val="CommentTextChar"/>
    <w:uiPriority w:val="99"/>
    <w:unhideWhenUsed/>
    <w:rsid w:val="00A17399"/>
    <w:rPr>
      <w:sz w:val="20"/>
      <w:szCs w:val="20"/>
    </w:rPr>
  </w:style>
  <w:style w:type="character" w:customStyle="1" w:styleId="CommentTextChar">
    <w:name w:val="Comment Text Char"/>
    <w:basedOn w:val="DefaultParagraphFont"/>
    <w:link w:val="CommentText"/>
    <w:uiPriority w:val="99"/>
    <w:rsid w:val="00A17399"/>
    <w:rPr>
      <w:sz w:val="20"/>
      <w:szCs w:val="20"/>
    </w:rPr>
  </w:style>
  <w:style w:type="paragraph" w:styleId="CommentSubject">
    <w:name w:val="annotation subject"/>
    <w:basedOn w:val="CommentText"/>
    <w:next w:val="CommentText"/>
    <w:link w:val="CommentSubjectChar"/>
    <w:uiPriority w:val="99"/>
    <w:semiHidden/>
    <w:unhideWhenUsed/>
    <w:rsid w:val="00A17399"/>
    <w:rPr>
      <w:b/>
      <w:bCs/>
    </w:rPr>
  </w:style>
  <w:style w:type="character" w:customStyle="1" w:styleId="CommentSubjectChar">
    <w:name w:val="Comment Subject Char"/>
    <w:basedOn w:val="CommentTextChar"/>
    <w:link w:val="CommentSubject"/>
    <w:uiPriority w:val="99"/>
    <w:semiHidden/>
    <w:rsid w:val="00A17399"/>
    <w:rPr>
      <w:b/>
      <w:bCs/>
      <w:sz w:val="20"/>
      <w:szCs w:val="20"/>
    </w:rPr>
  </w:style>
  <w:style w:type="paragraph" w:styleId="FootnoteText">
    <w:name w:val="footnote text"/>
    <w:basedOn w:val="Normal"/>
    <w:link w:val="FootnoteTextChar"/>
    <w:uiPriority w:val="99"/>
    <w:semiHidden/>
    <w:unhideWhenUsed/>
    <w:rsid w:val="009A6D0A"/>
    <w:rPr>
      <w:sz w:val="20"/>
      <w:szCs w:val="20"/>
    </w:rPr>
  </w:style>
  <w:style w:type="character" w:customStyle="1" w:styleId="FootnoteTextChar">
    <w:name w:val="Footnote Text Char"/>
    <w:basedOn w:val="DefaultParagraphFont"/>
    <w:link w:val="FootnoteText"/>
    <w:uiPriority w:val="99"/>
    <w:semiHidden/>
    <w:rsid w:val="009A6D0A"/>
    <w:rPr>
      <w:sz w:val="20"/>
      <w:szCs w:val="20"/>
    </w:rPr>
  </w:style>
  <w:style w:type="character" w:styleId="FootnoteReference">
    <w:name w:val="footnote reference"/>
    <w:basedOn w:val="DefaultParagraphFont"/>
    <w:uiPriority w:val="99"/>
    <w:semiHidden/>
    <w:unhideWhenUsed/>
    <w:rsid w:val="009A6D0A"/>
    <w:rPr>
      <w:vertAlign w:val="superscript"/>
    </w:rPr>
  </w:style>
  <w:style w:type="paragraph" w:styleId="NormalWeb">
    <w:name w:val="Normal (Web)"/>
    <w:basedOn w:val="Normal"/>
    <w:uiPriority w:val="99"/>
    <w:unhideWhenUsed/>
    <w:rsid w:val="00A07971"/>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rsid w:val="007C2C09"/>
    <w:rPr>
      <w:color w:val="605E5C"/>
      <w:shd w:val="clear" w:color="auto" w:fill="E1DFDD"/>
    </w:rPr>
  </w:style>
  <w:style w:type="character" w:styleId="PlaceholderText">
    <w:name w:val="Placeholder Text"/>
    <w:basedOn w:val="DefaultParagraphFont"/>
    <w:uiPriority w:val="99"/>
    <w:semiHidden/>
    <w:rsid w:val="00C051FD"/>
    <w:rPr>
      <w:color w:val="808080"/>
    </w:rPr>
  </w:style>
  <w:style w:type="character" w:styleId="Strong">
    <w:name w:val="Strong"/>
    <w:basedOn w:val="DefaultParagraphFont"/>
    <w:uiPriority w:val="22"/>
    <w:qFormat/>
    <w:rsid w:val="00C93147"/>
    <w:rPr>
      <w:b/>
      <w:bCs/>
    </w:rPr>
  </w:style>
  <w:style w:type="character" w:customStyle="1" w:styleId="ng-binding">
    <w:name w:val="ng-binding"/>
    <w:basedOn w:val="DefaultParagraphFont"/>
    <w:rsid w:val="00C93147"/>
  </w:style>
  <w:style w:type="character" w:styleId="UnresolvedMention">
    <w:name w:val="Unresolved Mention"/>
    <w:basedOn w:val="DefaultParagraphFont"/>
    <w:uiPriority w:val="99"/>
    <w:semiHidden/>
    <w:unhideWhenUsed/>
    <w:rsid w:val="00EC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364">
      <w:bodyDiv w:val="1"/>
      <w:marLeft w:val="0"/>
      <w:marRight w:val="0"/>
      <w:marTop w:val="0"/>
      <w:marBottom w:val="0"/>
      <w:divBdr>
        <w:top w:val="none" w:sz="0" w:space="0" w:color="auto"/>
        <w:left w:val="none" w:sz="0" w:space="0" w:color="auto"/>
        <w:bottom w:val="none" w:sz="0" w:space="0" w:color="auto"/>
        <w:right w:val="none" w:sz="0" w:space="0" w:color="auto"/>
      </w:divBdr>
    </w:div>
    <w:div w:id="205878051">
      <w:bodyDiv w:val="1"/>
      <w:marLeft w:val="0"/>
      <w:marRight w:val="0"/>
      <w:marTop w:val="0"/>
      <w:marBottom w:val="0"/>
      <w:divBdr>
        <w:top w:val="none" w:sz="0" w:space="0" w:color="auto"/>
        <w:left w:val="none" w:sz="0" w:space="0" w:color="auto"/>
        <w:bottom w:val="none" w:sz="0" w:space="0" w:color="auto"/>
        <w:right w:val="none" w:sz="0" w:space="0" w:color="auto"/>
      </w:divBdr>
      <w:divsChild>
        <w:div w:id="214707478">
          <w:marLeft w:val="1080"/>
          <w:marRight w:val="0"/>
          <w:marTop w:val="100"/>
          <w:marBottom w:val="0"/>
          <w:divBdr>
            <w:top w:val="none" w:sz="0" w:space="0" w:color="auto"/>
            <w:left w:val="none" w:sz="0" w:space="0" w:color="auto"/>
            <w:bottom w:val="none" w:sz="0" w:space="0" w:color="auto"/>
            <w:right w:val="none" w:sz="0" w:space="0" w:color="auto"/>
          </w:divBdr>
        </w:div>
        <w:div w:id="196085963">
          <w:marLeft w:val="1080"/>
          <w:marRight w:val="0"/>
          <w:marTop w:val="100"/>
          <w:marBottom w:val="0"/>
          <w:divBdr>
            <w:top w:val="none" w:sz="0" w:space="0" w:color="auto"/>
            <w:left w:val="none" w:sz="0" w:space="0" w:color="auto"/>
            <w:bottom w:val="none" w:sz="0" w:space="0" w:color="auto"/>
            <w:right w:val="none" w:sz="0" w:space="0" w:color="auto"/>
          </w:divBdr>
        </w:div>
        <w:div w:id="1979915849">
          <w:marLeft w:val="1800"/>
          <w:marRight w:val="0"/>
          <w:marTop w:val="100"/>
          <w:marBottom w:val="0"/>
          <w:divBdr>
            <w:top w:val="none" w:sz="0" w:space="0" w:color="auto"/>
            <w:left w:val="none" w:sz="0" w:space="0" w:color="auto"/>
            <w:bottom w:val="none" w:sz="0" w:space="0" w:color="auto"/>
            <w:right w:val="none" w:sz="0" w:space="0" w:color="auto"/>
          </w:divBdr>
        </w:div>
        <w:div w:id="1409646277">
          <w:marLeft w:val="1800"/>
          <w:marRight w:val="0"/>
          <w:marTop w:val="100"/>
          <w:marBottom w:val="0"/>
          <w:divBdr>
            <w:top w:val="none" w:sz="0" w:space="0" w:color="auto"/>
            <w:left w:val="none" w:sz="0" w:space="0" w:color="auto"/>
            <w:bottom w:val="none" w:sz="0" w:space="0" w:color="auto"/>
            <w:right w:val="none" w:sz="0" w:space="0" w:color="auto"/>
          </w:divBdr>
        </w:div>
      </w:divsChild>
    </w:div>
    <w:div w:id="830408238">
      <w:bodyDiv w:val="1"/>
      <w:marLeft w:val="0"/>
      <w:marRight w:val="0"/>
      <w:marTop w:val="0"/>
      <w:marBottom w:val="0"/>
      <w:divBdr>
        <w:top w:val="none" w:sz="0" w:space="0" w:color="auto"/>
        <w:left w:val="none" w:sz="0" w:space="0" w:color="auto"/>
        <w:bottom w:val="none" w:sz="0" w:space="0" w:color="auto"/>
        <w:right w:val="none" w:sz="0" w:space="0" w:color="auto"/>
      </w:divBdr>
    </w:div>
    <w:div w:id="968821975">
      <w:bodyDiv w:val="1"/>
      <w:marLeft w:val="0"/>
      <w:marRight w:val="0"/>
      <w:marTop w:val="0"/>
      <w:marBottom w:val="0"/>
      <w:divBdr>
        <w:top w:val="none" w:sz="0" w:space="0" w:color="auto"/>
        <w:left w:val="none" w:sz="0" w:space="0" w:color="auto"/>
        <w:bottom w:val="none" w:sz="0" w:space="0" w:color="auto"/>
        <w:right w:val="none" w:sz="0" w:space="0" w:color="auto"/>
      </w:divBdr>
      <w:divsChild>
        <w:div w:id="2007970705">
          <w:marLeft w:val="360"/>
          <w:marRight w:val="0"/>
          <w:marTop w:val="200"/>
          <w:marBottom w:val="0"/>
          <w:divBdr>
            <w:top w:val="none" w:sz="0" w:space="0" w:color="auto"/>
            <w:left w:val="none" w:sz="0" w:space="0" w:color="auto"/>
            <w:bottom w:val="none" w:sz="0" w:space="0" w:color="auto"/>
            <w:right w:val="none" w:sz="0" w:space="0" w:color="auto"/>
          </w:divBdr>
        </w:div>
        <w:div w:id="1082147455">
          <w:marLeft w:val="1080"/>
          <w:marRight w:val="0"/>
          <w:marTop w:val="100"/>
          <w:marBottom w:val="0"/>
          <w:divBdr>
            <w:top w:val="none" w:sz="0" w:space="0" w:color="auto"/>
            <w:left w:val="none" w:sz="0" w:space="0" w:color="auto"/>
            <w:bottom w:val="none" w:sz="0" w:space="0" w:color="auto"/>
            <w:right w:val="none" w:sz="0" w:space="0" w:color="auto"/>
          </w:divBdr>
        </w:div>
        <w:div w:id="1473985189">
          <w:marLeft w:val="1080"/>
          <w:marRight w:val="0"/>
          <w:marTop w:val="100"/>
          <w:marBottom w:val="0"/>
          <w:divBdr>
            <w:top w:val="none" w:sz="0" w:space="0" w:color="auto"/>
            <w:left w:val="none" w:sz="0" w:space="0" w:color="auto"/>
            <w:bottom w:val="none" w:sz="0" w:space="0" w:color="auto"/>
            <w:right w:val="none" w:sz="0" w:space="0" w:color="auto"/>
          </w:divBdr>
        </w:div>
        <w:div w:id="1017195427">
          <w:marLeft w:val="360"/>
          <w:marRight w:val="0"/>
          <w:marTop w:val="200"/>
          <w:marBottom w:val="0"/>
          <w:divBdr>
            <w:top w:val="none" w:sz="0" w:space="0" w:color="auto"/>
            <w:left w:val="none" w:sz="0" w:space="0" w:color="auto"/>
            <w:bottom w:val="none" w:sz="0" w:space="0" w:color="auto"/>
            <w:right w:val="none" w:sz="0" w:space="0" w:color="auto"/>
          </w:divBdr>
        </w:div>
        <w:div w:id="959073294">
          <w:marLeft w:val="1080"/>
          <w:marRight w:val="0"/>
          <w:marTop w:val="100"/>
          <w:marBottom w:val="0"/>
          <w:divBdr>
            <w:top w:val="none" w:sz="0" w:space="0" w:color="auto"/>
            <w:left w:val="none" w:sz="0" w:space="0" w:color="auto"/>
            <w:bottom w:val="none" w:sz="0" w:space="0" w:color="auto"/>
            <w:right w:val="none" w:sz="0" w:space="0" w:color="auto"/>
          </w:divBdr>
        </w:div>
        <w:div w:id="636910619">
          <w:marLeft w:val="1080"/>
          <w:marRight w:val="0"/>
          <w:marTop w:val="100"/>
          <w:marBottom w:val="0"/>
          <w:divBdr>
            <w:top w:val="none" w:sz="0" w:space="0" w:color="auto"/>
            <w:left w:val="none" w:sz="0" w:space="0" w:color="auto"/>
            <w:bottom w:val="none" w:sz="0" w:space="0" w:color="auto"/>
            <w:right w:val="none" w:sz="0" w:space="0" w:color="auto"/>
          </w:divBdr>
        </w:div>
      </w:divsChild>
    </w:div>
    <w:div w:id="1058699727">
      <w:bodyDiv w:val="1"/>
      <w:marLeft w:val="0"/>
      <w:marRight w:val="0"/>
      <w:marTop w:val="0"/>
      <w:marBottom w:val="0"/>
      <w:divBdr>
        <w:top w:val="none" w:sz="0" w:space="0" w:color="auto"/>
        <w:left w:val="none" w:sz="0" w:space="0" w:color="auto"/>
        <w:bottom w:val="none" w:sz="0" w:space="0" w:color="auto"/>
        <w:right w:val="none" w:sz="0" w:space="0" w:color="auto"/>
      </w:divBdr>
    </w:div>
    <w:div w:id="1338078751">
      <w:bodyDiv w:val="1"/>
      <w:marLeft w:val="0"/>
      <w:marRight w:val="0"/>
      <w:marTop w:val="0"/>
      <w:marBottom w:val="0"/>
      <w:divBdr>
        <w:top w:val="none" w:sz="0" w:space="0" w:color="auto"/>
        <w:left w:val="none" w:sz="0" w:space="0" w:color="auto"/>
        <w:bottom w:val="none" w:sz="0" w:space="0" w:color="auto"/>
        <w:right w:val="none" w:sz="0" w:space="0" w:color="auto"/>
      </w:divBdr>
    </w:div>
    <w:div w:id="1470904895">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2/cop-12-dec-01-en.pdf" TargetMode="External"/><Relationship Id="rId18" Type="http://schemas.openxmlformats.org/officeDocument/2006/relationships/hyperlink" Target="https://www.cbd.int/doc/decisions/cop-07/cop-07-dec-30-en.pdf" TargetMode="External"/><Relationship Id="rId3" Type="http://schemas.openxmlformats.org/officeDocument/2006/relationships/customXml" Target="../customXml/item3.xml"/><Relationship Id="rId21" Type="http://schemas.openxmlformats.org/officeDocument/2006/relationships/hyperlink" Target="https://www.bipindicators.net/list-of-global-indicators-available-for-review" TargetMode="External"/><Relationship Id="rId7" Type="http://schemas.openxmlformats.org/officeDocument/2006/relationships/settings" Target="settings.xml"/><Relationship Id="rId12" Type="http://schemas.openxmlformats.org/officeDocument/2006/relationships/hyperlink" Target="https://www.cbd.int/doc/decisions/cop-13/cop-13-dec-31-en.pdf" TargetMode="External"/><Relationship Id="rId17" Type="http://schemas.openxmlformats.org/officeDocument/2006/relationships/hyperlink" Target="https://www.cbd.int/doc/decisions/cop-08/cop-08-dec-15-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0/cop-10-dec-43-en.pdf" TargetMode="External"/><Relationship Id="rId20" Type="http://schemas.openxmlformats.org/officeDocument/2006/relationships/hyperlink" Target="https://www.cbd.int/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3/cop-13-dec-28-e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1/cop-11-dec-03-e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c/7ba2/58e2/e6d421b657f805b4a9d23fb3/wg2020-02-03-add1-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03-en.pdf" TargetMode="External"/><Relationship Id="rId22" Type="http://schemas.openxmlformats.org/officeDocument/2006/relationships/hyperlink" Target="https://www.bipindicators.net/national-indicator-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ecisions/cop/?m=co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C65798-CF4A-482B-A3DF-50501D79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79E65-16C7-4D09-B787-130ACA550125}">
  <ds:schemaRefs>
    <ds:schemaRef ds:uri="http://schemas.microsoft.com/sharepoint/v3/contenttype/forms"/>
  </ds:schemaRefs>
</ds:datastoreItem>
</file>

<file path=customXml/itemProps3.xml><?xml version="1.0" encoding="utf-8"?>
<ds:datastoreItem xmlns:ds="http://schemas.openxmlformats.org/officeDocument/2006/customXml" ds:itemID="{B57EB27C-DCE3-4D96-8BDC-3A5E7D6F48D9}">
  <ds:schemaRefs>
    <ds:schemaRef ds:uri="http://purl.org/dc/terms/"/>
    <ds:schemaRef ds:uri="http://schemas.microsoft.com/office/infopath/2007/PartnerControls"/>
    <ds:schemaRef ds:uri="358298e0-1b7e-4ebe-8695-94439b74f0d1"/>
    <ds:schemaRef ds:uri="http://schemas.microsoft.com/office/2006/documentManagement/types"/>
    <ds:schemaRef ds:uri="http://schemas.microsoft.com/office/2006/metadata/properties"/>
    <ds:schemaRef ds:uri="13ad741f-c0db-4e29-b5a6-03b4a1bc18ba"/>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FD387CC-602E-4488-9CF0-88B0500F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Lefebvre</cp:lastModifiedBy>
  <cp:revision>3</cp:revision>
  <dcterms:created xsi:type="dcterms:W3CDTF">2020-02-13T19:08:00Z</dcterms:created>
  <dcterms:modified xsi:type="dcterms:W3CDTF">2020-02-13T19:21:00Z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