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D756D0" w14:paraId="07F6750D" w14:textId="77777777" w:rsidTr="00DE24F6">
        <w:trPr>
          <w:trHeight w:val="844"/>
        </w:trPr>
        <w:tc>
          <w:tcPr>
            <w:tcW w:w="976" w:type="dxa"/>
            <w:tcBorders>
              <w:bottom w:val="single" w:sz="12" w:space="0" w:color="auto"/>
            </w:tcBorders>
          </w:tcPr>
          <w:p w14:paraId="1DEFF495" w14:textId="77777777" w:rsidR="00C9161D" w:rsidRPr="00D756D0" w:rsidRDefault="00C9161D" w:rsidP="003B5508">
            <w:pPr>
              <w:suppressLineNumbers/>
              <w:suppressAutoHyphens/>
              <w:rPr>
                <w:snapToGrid w:val="0"/>
                <w:kern w:val="22"/>
                <w:lang w:val="fr-FR"/>
              </w:rPr>
            </w:pPr>
            <w:r w:rsidRPr="00D756D0">
              <w:rPr>
                <w:noProof/>
                <w:snapToGrid w:val="0"/>
                <w:kern w:val="22"/>
                <w:lang w:val="fr-FR" w:eastAsia="en-CA"/>
              </w:rPr>
              <w:drawing>
                <wp:anchor distT="0" distB="0" distL="114300" distR="114300" simplePos="0" relativeHeight="251658241" behindDoc="0" locked="0" layoutInCell="1" allowOverlap="1" wp14:anchorId="33099486" wp14:editId="523A0092">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1986B63F" w14:textId="0E806CD6" w:rsidR="00FA663B" w:rsidRPr="00D756D0" w:rsidRDefault="00861A04" w:rsidP="003B5508">
            <w:pPr>
              <w:suppressLineNumbers/>
              <w:suppressAutoHyphens/>
              <w:rPr>
                <w:snapToGrid w:val="0"/>
                <w:kern w:val="22"/>
                <w:lang w:val="fr-FR"/>
              </w:rPr>
            </w:pPr>
            <w:r w:rsidRPr="00D756D0">
              <w:rPr>
                <w:rFonts w:eastAsia="MS Mincho" w:cs="Angsana New"/>
                <w:noProof/>
                <w:lang w:val="fr-FR" w:eastAsia="fr-FR"/>
              </w:rPr>
              <w:drawing>
                <wp:inline distT="0" distB="0" distL="0" distR="0" wp14:anchorId="6FDBF680" wp14:editId="648C8582">
                  <wp:extent cx="591820" cy="34036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820" cy="340360"/>
                          </a:xfrm>
                          <a:prstGeom prst="rect">
                            <a:avLst/>
                          </a:prstGeom>
                          <a:noFill/>
                          <a:ln>
                            <a:noFill/>
                          </a:ln>
                        </pic:spPr>
                      </pic:pic>
                    </a:graphicData>
                  </a:graphic>
                </wp:inline>
              </w:drawing>
            </w:r>
          </w:p>
        </w:tc>
        <w:tc>
          <w:tcPr>
            <w:tcW w:w="4090" w:type="dxa"/>
            <w:tcBorders>
              <w:bottom w:val="single" w:sz="12" w:space="0" w:color="auto"/>
            </w:tcBorders>
          </w:tcPr>
          <w:p w14:paraId="600A589D" w14:textId="77777777" w:rsidR="00C9161D" w:rsidRPr="00D756D0" w:rsidRDefault="00C9161D" w:rsidP="003B5508">
            <w:pPr>
              <w:suppressLineNumbers/>
              <w:suppressAutoHyphens/>
              <w:jc w:val="right"/>
              <w:rPr>
                <w:rFonts w:ascii="Arial" w:hAnsi="Arial" w:cs="Arial"/>
                <w:b/>
                <w:snapToGrid w:val="0"/>
                <w:kern w:val="22"/>
                <w:sz w:val="32"/>
                <w:szCs w:val="32"/>
                <w:lang w:val="fr-FR"/>
              </w:rPr>
            </w:pPr>
            <w:r w:rsidRPr="00D756D0">
              <w:rPr>
                <w:rFonts w:ascii="Arial" w:hAnsi="Arial" w:cs="Arial"/>
                <w:b/>
                <w:snapToGrid w:val="0"/>
                <w:kern w:val="22"/>
                <w:sz w:val="32"/>
                <w:szCs w:val="32"/>
                <w:lang w:val="fr-FR"/>
              </w:rPr>
              <w:t>CBD</w:t>
            </w:r>
          </w:p>
        </w:tc>
      </w:tr>
      <w:tr w:rsidR="00C9161D" w:rsidRPr="00D756D0" w14:paraId="6F751905" w14:textId="77777777" w:rsidTr="00CF1848">
        <w:tc>
          <w:tcPr>
            <w:tcW w:w="6117" w:type="dxa"/>
            <w:gridSpan w:val="2"/>
            <w:tcBorders>
              <w:top w:val="single" w:sz="12" w:space="0" w:color="auto"/>
              <w:bottom w:val="single" w:sz="36" w:space="0" w:color="auto"/>
            </w:tcBorders>
            <w:vAlign w:val="center"/>
          </w:tcPr>
          <w:p w14:paraId="14F52A6C" w14:textId="40866508" w:rsidR="00C9161D" w:rsidRPr="00D756D0" w:rsidRDefault="00861A04" w:rsidP="003B5508">
            <w:pPr>
              <w:suppressLineNumbers/>
              <w:suppressAutoHyphens/>
              <w:rPr>
                <w:snapToGrid w:val="0"/>
                <w:kern w:val="22"/>
                <w:lang w:val="fr-FR"/>
              </w:rPr>
            </w:pPr>
            <w:r w:rsidRPr="00D756D0">
              <w:rPr>
                <w:bCs/>
                <w:noProof/>
                <w:szCs w:val="22"/>
                <w:lang w:val="fr-FR" w:eastAsia="fr-FR"/>
              </w:rPr>
              <w:drawing>
                <wp:inline distT="0" distB="0" distL="0" distR="0" wp14:anchorId="7EDEBB0B" wp14:editId="41BA9EB7">
                  <wp:extent cx="2857500" cy="1143000"/>
                  <wp:effectExtent l="0" t="0" r="0" b="0"/>
                  <wp:docPr id="8" name="Picture 7"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D756D0" w:rsidRDefault="00C9161D" w:rsidP="003B5508">
            <w:pPr>
              <w:suppressLineNumbers/>
              <w:suppressAutoHyphens/>
              <w:ind w:left="1215"/>
              <w:rPr>
                <w:snapToGrid w:val="0"/>
                <w:kern w:val="22"/>
                <w:szCs w:val="22"/>
                <w:lang w:val="fr-FR"/>
              </w:rPr>
            </w:pPr>
            <w:proofErr w:type="spellStart"/>
            <w:r w:rsidRPr="00D756D0">
              <w:rPr>
                <w:snapToGrid w:val="0"/>
                <w:kern w:val="22"/>
                <w:szCs w:val="22"/>
                <w:lang w:val="fr-FR"/>
              </w:rPr>
              <w:t>Distr</w:t>
            </w:r>
            <w:proofErr w:type="spellEnd"/>
            <w:r w:rsidRPr="00D756D0">
              <w:rPr>
                <w:snapToGrid w:val="0"/>
                <w:kern w:val="22"/>
                <w:szCs w:val="22"/>
                <w:lang w:val="fr-FR"/>
              </w:rPr>
              <w:t>.</w:t>
            </w:r>
          </w:p>
          <w:p w14:paraId="06715052" w14:textId="49B97122" w:rsidR="00C9161D" w:rsidRPr="00D756D0" w:rsidRDefault="00861A04" w:rsidP="003B5508">
            <w:pPr>
              <w:suppressLineNumbers/>
              <w:suppressAutoHyphens/>
              <w:ind w:left="1215"/>
              <w:rPr>
                <w:snapToGrid w:val="0"/>
                <w:kern w:val="22"/>
                <w:szCs w:val="22"/>
                <w:lang w:val="fr-FR"/>
              </w:rPr>
            </w:pPr>
            <w:r w:rsidRPr="00D756D0">
              <w:rPr>
                <w:caps/>
                <w:szCs w:val="22"/>
                <w:lang w:val="fr-FR"/>
              </w:rPr>
              <w:t>GÉNÉRALE</w:t>
            </w:r>
          </w:p>
          <w:p w14:paraId="0EB343CB" w14:textId="77777777" w:rsidR="0059211F" w:rsidRPr="00D756D0" w:rsidRDefault="0059211F" w:rsidP="003B5508">
            <w:pPr>
              <w:suppressLineNumbers/>
              <w:suppressAutoHyphens/>
              <w:ind w:left="1215"/>
              <w:rPr>
                <w:snapToGrid w:val="0"/>
                <w:kern w:val="22"/>
                <w:szCs w:val="22"/>
                <w:lang w:val="fr-FR"/>
              </w:rPr>
            </w:pPr>
          </w:p>
          <w:p w14:paraId="44230134" w14:textId="377C4CB2" w:rsidR="00C9161D" w:rsidRPr="00D756D0" w:rsidRDefault="00AE6E1A" w:rsidP="003B5508">
            <w:pPr>
              <w:suppressLineNumbers/>
              <w:suppressAutoHyphens/>
              <w:ind w:left="1215"/>
              <w:rPr>
                <w:snapToGrid w:val="0"/>
                <w:kern w:val="22"/>
                <w:szCs w:val="22"/>
                <w:lang w:val="fr-FR"/>
              </w:rPr>
            </w:pPr>
            <w:sdt>
              <w:sdtPr>
                <w:rPr>
                  <w:snapToGrid w:val="0"/>
                  <w:kern w:val="22"/>
                  <w:szCs w:val="22"/>
                  <w:lang w:val="fr-FR"/>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7A3C05" w:rsidRPr="00D756D0">
                  <w:rPr>
                    <w:snapToGrid w:val="0"/>
                    <w:kern w:val="22"/>
                    <w:szCs w:val="22"/>
                    <w:lang w:val="fr-FR"/>
                  </w:rPr>
                  <w:t>CBD/WG2020/3/3/Add.2</w:t>
                </w:r>
              </w:sdtContent>
            </w:sdt>
          </w:p>
          <w:p w14:paraId="55B9DF90" w14:textId="531F0099" w:rsidR="00BB517D" w:rsidRPr="00D756D0" w:rsidRDefault="007A3C05" w:rsidP="003B5508">
            <w:pPr>
              <w:suppressLineNumbers/>
              <w:suppressAutoHyphens/>
              <w:ind w:left="1215"/>
              <w:jc w:val="left"/>
              <w:rPr>
                <w:snapToGrid w:val="0"/>
                <w:kern w:val="22"/>
                <w:szCs w:val="22"/>
                <w:lang w:val="fr-FR"/>
              </w:rPr>
            </w:pPr>
            <w:r w:rsidRPr="00D756D0">
              <w:rPr>
                <w:snapToGrid w:val="0"/>
                <w:kern w:val="22"/>
                <w:szCs w:val="22"/>
                <w:lang w:val="fr-FR"/>
              </w:rPr>
              <w:t>16</w:t>
            </w:r>
            <w:r w:rsidR="00923C09" w:rsidRPr="00D756D0">
              <w:rPr>
                <w:snapToGrid w:val="0"/>
                <w:kern w:val="22"/>
                <w:szCs w:val="22"/>
                <w:lang w:val="fr-FR"/>
              </w:rPr>
              <w:t xml:space="preserve"> </w:t>
            </w:r>
            <w:r w:rsidR="00861A04" w:rsidRPr="00D756D0">
              <w:rPr>
                <w:snapToGrid w:val="0"/>
                <w:kern w:val="22"/>
                <w:szCs w:val="22"/>
                <w:lang w:val="fr-FR"/>
              </w:rPr>
              <w:t>juillet</w:t>
            </w:r>
            <w:r w:rsidR="0081093C" w:rsidRPr="00D756D0">
              <w:rPr>
                <w:snapToGrid w:val="0"/>
                <w:kern w:val="22"/>
                <w:szCs w:val="22"/>
                <w:lang w:val="fr-FR"/>
              </w:rPr>
              <w:t xml:space="preserve"> </w:t>
            </w:r>
            <w:r w:rsidR="0065227E" w:rsidRPr="00D756D0">
              <w:rPr>
                <w:snapToGrid w:val="0"/>
                <w:kern w:val="22"/>
                <w:szCs w:val="22"/>
                <w:lang w:val="fr-FR"/>
              </w:rPr>
              <w:t>202</w:t>
            </w:r>
            <w:r w:rsidR="002C1FA1" w:rsidRPr="00D756D0">
              <w:rPr>
                <w:snapToGrid w:val="0"/>
                <w:kern w:val="22"/>
                <w:szCs w:val="22"/>
                <w:lang w:val="fr-FR"/>
              </w:rPr>
              <w:t>1</w:t>
            </w:r>
          </w:p>
          <w:p w14:paraId="159892DF" w14:textId="77777777" w:rsidR="00C9161D" w:rsidRPr="00D756D0" w:rsidRDefault="00C9161D" w:rsidP="003B5508">
            <w:pPr>
              <w:suppressLineNumbers/>
              <w:suppressAutoHyphens/>
              <w:ind w:left="1215"/>
              <w:rPr>
                <w:snapToGrid w:val="0"/>
                <w:kern w:val="22"/>
                <w:szCs w:val="22"/>
                <w:lang w:val="fr-FR"/>
              </w:rPr>
            </w:pPr>
          </w:p>
          <w:p w14:paraId="09346221" w14:textId="48315E4A" w:rsidR="00861A04" w:rsidRPr="00D756D0" w:rsidRDefault="00861A04" w:rsidP="00861A04">
            <w:pPr>
              <w:ind w:left="1215"/>
              <w:rPr>
                <w:szCs w:val="22"/>
                <w:lang w:val="fr-FR"/>
              </w:rPr>
            </w:pPr>
            <w:r w:rsidRPr="00D756D0">
              <w:rPr>
                <w:szCs w:val="22"/>
                <w:lang w:val="fr-FR"/>
              </w:rPr>
              <w:t>FRANÇAIS</w:t>
            </w:r>
          </w:p>
          <w:p w14:paraId="19472D49" w14:textId="1D4C28DC" w:rsidR="00C9161D" w:rsidRPr="00D756D0" w:rsidRDefault="006B2290" w:rsidP="003B5508">
            <w:pPr>
              <w:suppressLineNumbers/>
              <w:suppressAutoHyphens/>
              <w:ind w:left="1215"/>
              <w:rPr>
                <w:snapToGrid w:val="0"/>
                <w:kern w:val="22"/>
                <w:szCs w:val="22"/>
                <w:lang w:val="fr-FR"/>
              </w:rPr>
            </w:pPr>
            <w:r w:rsidRPr="00D756D0">
              <w:rPr>
                <w:snapToGrid w:val="0"/>
                <w:kern w:val="22"/>
                <w:szCs w:val="22"/>
                <w:lang w:val="fr-FR"/>
              </w:rPr>
              <w:t xml:space="preserve">ORIGINAL: </w:t>
            </w:r>
            <w:r w:rsidR="00861A04" w:rsidRPr="00D756D0">
              <w:rPr>
                <w:szCs w:val="22"/>
                <w:lang w:val="fr-FR"/>
              </w:rPr>
              <w:t>ANGLAIS</w:t>
            </w:r>
          </w:p>
          <w:p w14:paraId="5AA10CCE" w14:textId="77777777" w:rsidR="00C9161D" w:rsidRPr="00D756D0" w:rsidRDefault="00C9161D" w:rsidP="003B5508">
            <w:pPr>
              <w:suppressLineNumbers/>
              <w:suppressAutoHyphens/>
              <w:rPr>
                <w:snapToGrid w:val="0"/>
                <w:kern w:val="22"/>
                <w:szCs w:val="22"/>
                <w:lang w:val="fr-FR"/>
              </w:rPr>
            </w:pPr>
          </w:p>
        </w:tc>
      </w:tr>
    </w:tbl>
    <w:bookmarkStart w:id="0" w:name="Meeting"/>
    <w:p w14:paraId="5BBB6B5C" w14:textId="77777777" w:rsidR="00861A04" w:rsidRPr="00D756D0" w:rsidRDefault="00861A04" w:rsidP="00861A04">
      <w:pPr>
        <w:pStyle w:val="meetingname"/>
        <w:ind w:right="5532"/>
        <w:jc w:val="left"/>
        <w:rPr>
          <w:kern w:val="22"/>
          <w:lang w:val="fr-FR"/>
        </w:rPr>
      </w:pPr>
      <w:sdt>
        <w:sdtPr>
          <w:rPr>
            <w:kern w:val="22"/>
            <w:lang w:val="fr-FR"/>
          </w:rPr>
          <w:alias w:val="Meeting"/>
          <w:tag w:val="Meeting"/>
          <w:id w:val="1412045910"/>
          <w:placeholder>
            <w:docPart w:val="050655028AA31143814F0F2499A2842A"/>
          </w:placeholder>
          <w:text/>
        </w:sdtPr>
        <w:sdtContent>
          <w:r w:rsidRPr="00D756D0">
            <w:rPr>
              <w:kern w:val="22"/>
              <w:lang w:val="fr-FR"/>
            </w:rPr>
            <w:t>GROUPE DE TRAVAIL À COMPOSITION NON LIMITÉE SUR LE CADRE MONDIAL DE LA BIODIVERSITÉ POUR L'APRÈS-2020</w:t>
          </w:r>
        </w:sdtContent>
      </w:sdt>
      <w:bookmarkEnd w:id="0"/>
    </w:p>
    <w:p w14:paraId="401294C5" w14:textId="77777777" w:rsidR="00861A04" w:rsidRPr="00D756D0" w:rsidRDefault="00861A04" w:rsidP="00861A04">
      <w:pPr>
        <w:suppressLineNumbers/>
        <w:suppressAutoHyphens/>
        <w:ind w:left="142" w:right="4824" w:hanging="142"/>
        <w:jc w:val="left"/>
        <w:rPr>
          <w:snapToGrid w:val="0"/>
          <w:kern w:val="22"/>
          <w:szCs w:val="22"/>
          <w:lang w:val="fr-FR" w:eastAsia="nb-NO"/>
        </w:rPr>
      </w:pPr>
      <w:r w:rsidRPr="00D756D0">
        <w:rPr>
          <w:snapToGrid w:val="0"/>
          <w:kern w:val="22"/>
          <w:szCs w:val="22"/>
          <w:lang w:val="fr-FR" w:eastAsia="nb-NO"/>
        </w:rPr>
        <w:t>Troisième réunion</w:t>
      </w:r>
    </w:p>
    <w:p w14:paraId="617EF6D0" w14:textId="23E21612" w:rsidR="00134846" w:rsidRPr="00D756D0" w:rsidRDefault="00861A04" w:rsidP="00861A04">
      <w:pPr>
        <w:suppressLineNumbers/>
        <w:suppressAutoHyphens/>
        <w:ind w:left="142" w:right="4824" w:hanging="142"/>
        <w:jc w:val="left"/>
        <w:rPr>
          <w:snapToGrid w:val="0"/>
          <w:kern w:val="22"/>
          <w:szCs w:val="22"/>
          <w:lang w:val="fr-FR" w:eastAsia="nb-NO"/>
        </w:rPr>
      </w:pPr>
      <w:r w:rsidRPr="00D756D0">
        <w:rPr>
          <w:kern w:val="22"/>
          <w:lang w:val="fr-FR"/>
        </w:rPr>
        <w:t>En ligne, 23 août - 3 septembre 2021</w:t>
      </w:r>
    </w:p>
    <w:p w14:paraId="19929EC5" w14:textId="57710E6B" w:rsidR="000A72BA" w:rsidRPr="00D756D0" w:rsidRDefault="00861A04" w:rsidP="00092D21">
      <w:pPr>
        <w:pStyle w:val="Titre1"/>
        <w:tabs>
          <w:tab w:val="clear" w:pos="720"/>
        </w:tabs>
        <w:rPr>
          <w:rFonts w:ascii="Times New Roman Bold" w:hAnsi="Times New Roman Bold" w:cs="Times New Roman Bold"/>
          <w:snapToGrid w:val="0"/>
          <w:spacing w:val="-8"/>
          <w:kern w:val="22"/>
          <w:szCs w:val="22"/>
          <w:lang w:val="fr-FR"/>
        </w:rPr>
      </w:pPr>
      <w:sdt>
        <w:sdtPr>
          <w:rPr>
            <w:rFonts w:ascii="Times New Roman Bold" w:hAnsi="Times New Roman Bold" w:cs="Times New Roman Bold"/>
            <w:bCs/>
            <w:snapToGrid w:val="0"/>
            <w:spacing w:val="-8"/>
            <w:kern w:val="22"/>
            <w:szCs w:val="22"/>
            <w:lang w:val="fr-FR"/>
          </w:rPr>
          <w:alias w:val="Title"/>
          <w:id w:val="301582339"/>
          <w:placeholder>
            <w:docPart w:val="2627E4AE865149E7AAF884B58EE01DD0"/>
          </w:placeholder>
          <w:dataBinding w:prefixMappings="xmlns:ns0='http://purl.org/dc/elements/1.1/' xmlns:ns1='http://schemas.openxmlformats.org/package/2006/metadata/core-properties' " w:xpath="/ns1:coreProperties[1]/ns0:title[1]" w:storeItemID="{6C3C8BC8-F283-45AE-878A-BAB7291924A1}"/>
          <w:text/>
        </w:sdtPr>
        <w:sdtContent>
          <w:r w:rsidRPr="00D756D0">
            <w:rPr>
              <w:rFonts w:ascii="Times New Roman Bold" w:hAnsi="Times New Roman Bold" w:cs="Times New Roman Bold"/>
              <w:bCs/>
              <w:snapToGrid w:val="0"/>
              <w:spacing w:val="-8"/>
              <w:kern w:val="22"/>
              <w:szCs w:val="22"/>
              <w:lang w:val="fr-FR"/>
            </w:rPr>
            <w:t>GLOSSAIRE RELATIF AU PREMIER PROJET DE CADRE MONDIAL DE LA BIODIVERSITÉ POUR L'APRÈS-2020</w:t>
          </w:r>
        </w:sdtContent>
      </w:sdt>
    </w:p>
    <w:p w14:paraId="7F238D1F" w14:textId="6437E3A0" w:rsidR="00027A4B" w:rsidRPr="00D756D0" w:rsidRDefault="00027A4B">
      <w:pPr>
        <w:pStyle w:val="Para1"/>
        <w:numPr>
          <w:ilvl w:val="0"/>
          <w:numId w:val="0"/>
        </w:numPr>
        <w:snapToGrid w:val="0"/>
        <w:jc w:val="center"/>
        <w:rPr>
          <w:i/>
          <w:iCs/>
          <w:kern w:val="22"/>
          <w:lang w:val="fr-FR"/>
        </w:rPr>
      </w:pPr>
      <w:r w:rsidRPr="00D756D0">
        <w:rPr>
          <w:i/>
          <w:iCs/>
          <w:kern w:val="22"/>
          <w:lang w:val="fr-FR"/>
        </w:rPr>
        <w:t xml:space="preserve">Note </w:t>
      </w:r>
      <w:r w:rsidR="00D756D0" w:rsidRPr="00D756D0">
        <w:rPr>
          <w:i/>
          <w:iCs/>
          <w:kern w:val="22"/>
          <w:lang w:val="fr-FR"/>
        </w:rPr>
        <w:t>de</w:t>
      </w:r>
      <w:r w:rsidR="00861A04" w:rsidRPr="00D756D0">
        <w:rPr>
          <w:i/>
          <w:iCs/>
          <w:kern w:val="22"/>
          <w:lang w:val="fr-FR"/>
        </w:rPr>
        <w:t xml:space="preserve"> la Secrétaire exécutive</w:t>
      </w:r>
    </w:p>
    <w:p w14:paraId="150A9285" w14:textId="4347BA72" w:rsidR="004A5FE2" w:rsidRPr="00D756D0" w:rsidRDefault="00027A4B" w:rsidP="00F300AB">
      <w:pPr>
        <w:pStyle w:val="Titre1"/>
        <w:numPr>
          <w:ilvl w:val="0"/>
          <w:numId w:val="36"/>
        </w:numPr>
        <w:tabs>
          <w:tab w:val="clear" w:pos="720"/>
          <w:tab w:val="left" w:pos="360"/>
        </w:tabs>
        <w:spacing w:before="120"/>
        <w:ind w:left="0" w:firstLine="0"/>
        <w:rPr>
          <w:kern w:val="22"/>
          <w:lang w:val="fr-FR"/>
        </w:rPr>
      </w:pPr>
      <w:r w:rsidRPr="00D756D0">
        <w:rPr>
          <w:kern w:val="22"/>
          <w:lang w:val="fr-FR"/>
        </w:rPr>
        <w:t>INTRODUCTION</w:t>
      </w:r>
    </w:p>
    <w:p w14:paraId="28E1AA0F" w14:textId="2C5ACACF" w:rsidR="000A72BA" w:rsidRPr="00D756D0" w:rsidRDefault="00861A04" w:rsidP="00F300AB">
      <w:pPr>
        <w:pStyle w:val="Para1"/>
        <w:numPr>
          <w:ilvl w:val="0"/>
          <w:numId w:val="34"/>
        </w:numPr>
        <w:tabs>
          <w:tab w:val="clear" w:pos="360"/>
          <w:tab w:val="num" w:pos="709"/>
        </w:tabs>
        <w:snapToGrid w:val="0"/>
        <w:rPr>
          <w:kern w:val="22"/>
          <w:lang w:val="fr-FR"/>
        </w:rPr>
      </w:pPr>
      <w:r w:rsidRPr="00D756D0">
        <w:rPr>
          <w:kern w:val="22"/>
          <w:lang w:val="fr-FR"/>
        </w:rPr>
        <w:t xml:space="preserve">Dans la recommandation </w:t>
      </w:r>
      <w:hyperlink r:id="rId15" w:history="1">
        <w:r w:rsidRPr="00D756D0">
          <w:rPr>
            <w:rStyle w:val="Lienhypertexte"/>
            <w:kern w:val="22"/>
            <w:sz w:val="22"/>
            <w:lang w:val="fr-FR"/>
          </w:rPr>
          <w:t>WG202</w:t>
        </w:r>
        <w:r w:rsidRPr="00D756D0">
          <w:rPr>
            <w:rStyle w:val="Lienhypertexte"/>
            <w:kern w:val="22"/>
            <w:sz w:val="22"/>
            <w:lang w:val="fr-FR"/>
          </w:rPr>
          <w:t>0</w:t>
        </w:r>
        <w:r w:rsidRPr="00D756D0">
          <w:rPr>
            <w:rStyle w:val="Lienhypertexte"/>
            <w:kern w:val="22"/>
            <w:sz w:val="22"/>
            <w:lang w:val="fr-FR"/>
          </w:rPr>
          <w:t>-1/1</w:t>
        </w:r>
      </w:hyperlink>
      <w:r w:rsidRPr="00D756D0">
        <w:rPr>
          <w:kern w:val="22"/>
          <w:lang w:val="fr-FR"/>
        </w:rPr>
        <w:t xml:space="preserve">, le Groupe de travail à composition non limitée sur le Cadre mondial de la biodiversité pour l'après-2020 a invité l'Organe subsidiaire chargé de fournir des avis scientifiques, techniques et technologiques, à sa vingt-quatrième réunion, à procéder à un examen scientifique et technique des objectifs et cibles actualisés, ainsi que des indicateurs et bases de référence connexes, du projet de Cadre mondial de la biodiversité, ainsi que des appendices révisés du Cadre, et à fournir des avis au Groupe de travail à sa troisième réunion. En outre, dans la recommandation </w:t>
      </w:r>
      <w:hyperlink r:id="rId16" w:history="1">
        <w:r w:rsidRPr="00D756D0">
          <w:rPr>
            <w:rStyle w:val="Lienhypertexte"/>
            <w:kern w:val="22"/>
            <w:sz w:val="22"/>
            <w:lang w:val="fr-FR"/>
          </w:rPr>
          <w:t>SBS</w:t>
        </w:r>
        <w:r w:rsidRPr="00D756D0">
          <w:rPr>
            <w:rStyle w:val="Lienhypertexte"/>
            <w:kern w:val="22"/>
            <w:sz w:val="22"/>
            <w:lang w:val="fr-FR"/>
          </w:rPr>
          <w:t>T</w:t>
        </w:r>
        <w:r w:rsidRPr="00D756D0">
          <w:rPr>
            <w:rStyle w:val="Lienhypertexte"/>
            <w:kern w:val="22"/>
            <w:sz w:val="22"/>
            <w:lang w:val="fr-FR"/>
          </w:rPr>
          <w:t>TA-23/1</w:t>
        </w:r>
      </w:hyperlink>
      <w:r w:rsidRPr="00D756D0">
        <w:rPr>
          <w:kern w:val="22"/>
          <w:lang w:val="fr-FR"/>
        </w:rPr>
        <w:t>, l</w:t>
      </w:r>
      <w:r w:rsidR="00D756D0" w:rsidRPr="00D756D0">
        <w:rPr>
          <w:kern w:val="22"/>
          <w:lang w:val="fr-FR"/>
        </w:rPr>
        <w:t>’O</w:t>
      </w:r>
      <w:r w:rsidRPr="00D756D0">
        <w:rPr>
          <w:kern w:val="22"/>
          <w:lang w:val="fr-FR"/>
        </w:rPr>
        <w:t>rgane subsidiaire a demandé aux coprésidents du Groupe de travail et à la Secrétaire exécutive de prendre en compte les informations élaborées comme suite à cette demande.</w:t>
      </w:r>
    </w:p>
    <w:p w14:paraId="7445C7A7" w14:textId="48C0DE50" w:rsidR="000A72BA" w:rsidRPr="00D756D0" w:rsidRDefault="00861A04" w:rsidP="00F300AB">
      <w:pPr>
        <w:pStyle w:val="Para1"/>
        <w:numPr>
          <w:ilvl w:val="0"/>
          <w:numId w:val="34"/>
        </w:numPr>
        <w:tabs>
          <w:tab w:val="clear" w:pos="360"/>
          <w:tab w:val="num" w:pos="709"/>
        </w:tabs>
        <w:snapToGrid w:val="0"/>
        <w:rPr>
          <w:kern w:val="22"/>
          <w:lang w:val="fr-FR"/>
        </w:rPr>
      </w:pPr>
      <w:r w:rsidRPr="00D756D0">
        <w:rPr>
          <w:kern w:val="22"/>
          <w:lang w:val="fr-FR"/>
        </w:rPr>
        <w:t>Se fondant sur ce qui précède, les coprésidents du Groupe de travail et le secrétariat, sous la supervision du Bureau de l'Organe subsidiaire chargé de fournir des avis scientifiques, techniques et technologiques et de la Conférence des Parties, ont compilé une liste d'annotations pour expliquer les termes et les concepts figurant dans les objectifs actualisés (</w:t>
      </w:r>
      <w:hyperlink r:id="rId17" w:history="1">
        <w:r w:rsidRPr="00D756D0">
          <w:rPr>
            <w:rStyle w:val="Lienhypertexte"/>
            <w:kern w:val="22"/>
            <w:sz w:val="22"/>
            <w:lang w:val="fr-FR"/>
          </w:rPr>
          <w:t>CBD/SBS</w:t>
        </w:r>
        <w:r w:rsidRPr="00D756D0">
          <w:rPr>
            <w:rStyle w:val="Lienhypertexte"/>
            <w:kern w:val="22"/>
            <w:sz w:val="22"/>
            <w:lang w:val="fr-FR"/>
          </w:rPr>
          <w:t>T</w:t>
        </w:r>
        <w:r w:rsidRPr="00D756D0">
          <w:rPr>
            <w:rStyle w:val="Lienhypertexte"/>
            <w:kern w:val="22"/>
            <w:sz w:val="22"/>
            <w:lang w:val="fr-FR"/>
          </w:rPr>
          <w:t>TA/24/</w:t>
        </w:r>
        <w:r w:rsidRPr="00D756D0">
          <w:rPr>
            <w:rStyle w:val="Lienhypertexte"/>
            <w:kern w:val="22"/>
            <w:sz w:val="22"/>
            <w:lang w:val="fr-FR"/>
          </w:rPr>
          <w:t>I</w:t>
        </w:r>
        <w:r w:rsidRPr="00D756D0">
          <w:rPr>
            <w:rStyle w:val="Lienhypertexte"/>
            <w:kern w:val="22"/>
            <w:sz w:val="22"/>
            <w:lang w:val="fr-FR"/>
          </w:rPr>
          <w:t>NF/11</w:t>
        </w:r>
      </w:hyperlink>
      <w:r w:rsidRPr="00D756D0">
        <w:rPr>
          <w:kern w:val="22"/>
          <w:lang w:val="fr-FR"/>
        </w:rPr>
        <w:t>). Cette liste a été révisée et améliorée pour refléter les changements apportés au premier projet de cadre mondial de la biodiversité pour l'après-2020 (</w:t>
      </w:r>
      <w:hyperlink r:id="rId18" w:history="1">
        <w:r w:rsidRPr="00D756D0">
          <w:rPr>
            <w:rStyle w:val="Lienhypertexte"/>
            <w:kern w:val="22"/>
            <w:sz w:val="22"/>
            <w:lang w:val="fr-FR"/>
          </w:rPr>
          <w:t>CBD/WG2020/</w:t>
        </w:r>
        <w:r w:rsidRPr="00D756D0">
          <w:rPr>
            <w:rStyle w:val="Lienhypertexte"/>
            <w:kern w:val="22"/>
            <w:sz w:val="22"/>
            <w:lang w:val="fr-FR"/>
          </w:rPr>
          <w:t>3</w:t>
        </w:r>
        <w:r w:rsidRPr="00D756D0">
          <w:rPr>
            <w:rStyle w:val="Lienhypertexte"/>
            <w:kern w:val="22"/>
            <w:sz w:val="22"/>
            <w:lang w:val="fr-FR"/>
          </w:rPr>
          <w:t>/3</w:t>
        </w:r>
      </w:hyperlink>
      <w:r w:rsidRPr="00D756D0">
        <w:rPr>
          <w:kern w:val="22"/>
          <w:lang w:val="fr-FR"/>
        </w:rPr>
        <w:t>).</w:t>
      </w:r>
    </w:p>
    <w:p w14:paraId="0CB5D707" w14:textId="4024EE83" w:rsidR="000A72BA" w:rsidRPr="00D756D0" w:rsidRDefault="00861A04" w:rsidP="00F300AB">
      <w:pPr>
        <w:pStyle w:val="Para1"/>
        <w:numPr>
          <w:ilvl w:val="0"/>
          <w:numId w:val="34"/>
        </w:numPr>
        <w:tabs>
          <w:tab w:val="clear" w:pos="360"/>
          <w:tab w:val="num" w:pos="709"/>
        </w:tabs>
        <w:snapToGrid w:val="0"/>
        <w:rPr>
          <w:kern w:val="22"/>
          <w:lang w:val="fr-FR"/>
        </w:rPr>
      </w:pPr>
      <w:r w:rsidRPr="00D756D0">
        <w:rPr>
          <w:kern w:val="22"/>
          <w:lang w:val="fr-FR"/>
        </w:rPr>
        <w:t>Le présent document a pour but d'aider le Groupe de travail à examiner, analyser et discuter les objectifs et les cibles du premier projet de Cadre mondial de la biodiversité pour l'après-2020, ses éléments de suivi et ses indicateurs</w:t>
      </w:r>
      <w:r w:rsidR="00387D0C" w:rsidRPr="00D756D0">
        <w:rPr>
          <w:kern w:val="22"/>
          <w:lang w:val="fr-FR"/>
        </w:rPr>
        <w:t>.</w:t>
      </w:r>
    </w:p>
    <w:p w14:paraId="2C827CB0" w14:textId="63FE05D0" w:rsidR="00387D0C" w:rsidRPr="00D756D0" w:rsidRDefault="00861A04" w:rsidP="00F300AB">
      <w:pPr>
        <w:pStyle w:val="Para1"/>
        <w:numPr>
          <w:ilvl w:val="0"/>
          <w:numId w:val="34"/>
        </w:numPr>
        <w:tabs>
          <w:tab w:val="clear" w:pos="360"/>
          <w:tab w:val="num" w:pos="709"/>
        </w:tabs>
        <w:snapToGrid w:val="0"/>
        <w:rPr>
          <w:kern w:val="22"/>
          <w:lang w:val="fr-FR"/>
        </w:rPr>
      </w:pPr>
      <w:r w:rsidRPr="00D756D0">
        <w:rPr>
          <w:kern w:val="22"/>
          <w:lang w:val="fr-FR"/>
        </w:rPr>
        <w:t>La liste des annotations contient des explications et des exemples connexes de termes et de concepts utilisés dans le premier projet de cadre mondial de la biodiversité pour l'après-2020, ainsi que dans le projet de cadre de suivi</w:t>
      </w:r>
      <w:r w:rsidR="00937448" w:rsidRPr="00D756D0">
        <w:rPr>
          <w:rStyle w:val="Appelnotedebasdep"/>
          <w:kern w:val="22"/>
          <w:lang w:val="fr-FR"/>
        </w:rPr>
        <w:footnoteReference w:id="2"/>
      </w:r>
      <w:r w:rsidRPr="00D756D0">
        <w:rPr>
          <w:kern w:val="22"/>
          <w:lang w:val="fr-FR"/>
        </w:rPr>
        <w:t>.</w:t>
      </w:r>
    </w:p>
    <w:p w14:paraId="1C63CBE1" w14:textId="1567D76D" w:rsidR="00392253" w:rsidRPr="00D756D0" w:rsidRDefault="00392253">
      <w:pPr>
        <w:jc w:val="left"/>
        <w:rPr>
          <w:snapToGrid w:val="0"/>
          <w:kern w:val="22"/>
          <w:sz w:val="20"/>
          <w:szCs w:val="18"/>
          <w:lang w:val="fr-FR"/>
        </w:rPr>
      </w:pPr>
      <w:r w:rsidRPr="00D756D0">
        <w:rPr>
          <w:kern w:val="22"/>
          <w:sz w:val="20"/>
          <w:lang w:val="fr-FR"/>
        </w:rPr>
        <w:br w:type="page"/>
      </w:r>
    </w:p>
    <w:p w14:paraId="15E9800B" w14:textId="5B2223BB" w:rsidR="005C1A6C" w:rsidRPr="00D756D0" w:rsidRDefault="00861A04" w:rsidP="00F300AB">
      <w:pPr>
        <w:pStyle w:val="Titre1"/>
        <w:numPr>
          <w:ilvl w:val="0"/>
          <w:numId w:val="36"/>
        </w:numPr>
        <w:tabs>
          <w:tab w:val="clear" w:pos="720"/>
          <w:tab w:val="left" w:pos="360"/>
        </w:tabs>
        <w:spacing w:before="0" w:after="0"/>
        <w:ind w:left="0" w:firstLine="0"/>
        <w:rPr>
          <w:kern w:val="22"/>
          <w:lang w:val="fr-FR"/>
        </w:rPr>
      </w:pPr>
      <w:r w:rsidRPr="00D756D0">
        <w:rPr>
          <w:kern w:val="22"/>
          <w:lang w:val="fr-FR"/>
        </w:rPr>
        <w:lastRenderedPageBreak/>
        <w:t>liste des concepts et des termes figurant dans les objectifs et cibles actualisés</w:t>
      </w:r>
    </w:p>
    <w:p w14:paraId="2928E821" w14:textId="77777777" w:rsidR="00B677A7" w:rsidRPr="00D756D0" w:rsidRDefault="00B677A7" w:rsidP="0039333B">
      <w:pPr>
        <w:rPr>
          <w:kern w:val="22"/>
          <w:lang w:val="fr-FR"/>
        </w:rPr>
      </w:pPr>
    </w:p>
    <w:tbl>
      <w:tblPr>
        <w:tblStyle w:val="Grilledutableau"/>
        <w:tblW w:w="9625" w:type="dxa"/>
        <w:tblLayout w:type="fixed"/>
        <w:tblLook w:val="04A0" w:firstRow="1" w:lastRow="0" w:firstColumn="1" w:lastColumn="0" w:noHBand="0" w:noVBand="1"/>
      </w:tblPr>
      <w:tblGrid>
        <w:gridCol w:w="2137"/>
        <w:gridCol w:w="5938"/>
        <w:gridCol w:w="1550"/>
      </w:tblGrid>
      <w:tr w:rsidR="00E12BCF" w:rsidRPr="00D756D0" w14:paraId="213DF352" w14:textId="77777777" w:rsidTr="00827EE2">
        <w:trPr>
          <w:tblHeader/>
        </w:trPr>
        <w:tc>
          <w:tcPr>
            <w:tcW w:w="2137" w:type="dxa"/>
            <w:shd w:val="clear" w:color="auto" w:fill="F2F2F2" w:themeFill="background1" w:themeFillShade="F2"/>
          </w:tcPr>
          <w:p w14:paraId="086C8AA8" w14:textId="32232624" w:rsidR="00E12BCF" w:rsidRPr="00D756D0" w:rsidRDefault="00E12BCF" w:rsidP="00F300AB">
            <w:pPr>
              <w:adjustRightInd w:val="0"/>
              <w:snapToGrid w:val="0"/>
              <w:spacing w:before="60" w:after="60"/>
              <w:jc w:val="center"/>
              <w:rPr>
                <w:b/>
                <w:kern w:val="22"/>
                <w:szCs w:val="22"/>
                <w:lang w:val="fr-FR"/>
              </w:rPr>
            </w:pPr>
            <w:r w:rsidRPr="00D756D0">
              <w:rPr>
                <w:b/>
                <w:kern w:val="22"/>
                <w:szCs w:val="22"/>
                <w:lang w:val="fr-FR"/>
              </w:rPr>
              <w:t>Concept/</w:t>
            </w:r>
            <w:r w:rsidR="0028045B" w:rsidRPr="00D756D0">
              <w:rPr>
                <w:b/>
                <w:kern w:val="22"/>
                <w:szCs w:val="22"/>
                <w:lang w:val="fr-FR"/>
              </w:rPr>
              <w:t>t</w:t>
            </w:r>
            <w:r w:rsidRPr="00D756D0">
              <w:rPr>
                <w:b/>
                <w:kern w:val="22"/>
                <w:szCs w:val="22"/>
                <w:lang w:val="fr-FR"/>
              </w:rPr>
              <w:t>erm</w:t>
            </w:r>
            <w:r w:rsidR="00D756D0" w:rsidRPr="00D756D0">
              <w:rPr>
                <w:b/>
                <w:kern w:val="22"/>
                <w:szCs w:val="22"/>
                <w:lang w:val="fr-FR"/>
              </w:rPr>
              <w:t>e</w:t>
            </w:r>
          </w:p>
        </w:tc>
        <w:tc>
          <w:tcPr>
            <w:tcW w:w="5938" w:type="dxa"/>
            <w:shd w:val="clear" w:color="auto" w:fill="F2F2F2" w:themeFill="background1" w:themeFillShade="F2"/>
          </w:tcPr>
          <w:p w14:paraId="470FFF82" w14:textId="77777777" w:rsidR="00E12BCF" w:rsidRPr="00D756D0" w:rsidRDefault="00E12BCF" w:rsidP="00F300AB">
            <w:pPr>
              <w:adjustRightInd w:val="0"/>
              <w:snapToGrid w:val="0"/>
              <w:spacing w:before="60" w:after="60"/>
              <w:jc w:val="center"/>
              <w:rPr>
                <w:b/>
                <w:kern w:val="22"/>
                <w:szCs w:val="22"/>
                <w:lang w:val="fr-FR"/>
              </w:rPr>
            </w:pPr>
            <w:r w:rsidRPr="00D756D0">
              <w:rPr>
                <w:b/>
                <w:kern w:val="22"/>
                <w:szCs w:val="22"/>
                <w:lang w:val="fr-FR"/>
              </w:rPr>
              <w:t>Annotation</w:t>
            </w:r>
          </w:p>
        </w:tc>
        <w:tc>
          <w:tcPr>
            <w:tcW w:w="1550" w:type="dxa"/>
            <w:shd w:val="clear" w:color="auto" w:fill="F2F2F2" w:themeFill="background1" w:themeFillShade="F2"/>
          </w:tcPr>
          <w:p w14:paraId="4BCA0C12" w14:textId="1BA547E4" w:rsidR="00E12BCF" w:rsidRPr="00D756D0" w:rsidRDefault="00D756D0" w:rsidP="00F300AB">
            <w:pPr>
              <w:adjustRightInd w:val="0"/>
              <w:snapToGrid w:val="0"/>
              <w:spacing w:before="60" w:after="60"/>
              <w:jc w:val="center"/>
              <w:rPr>
                <w:b/>
                <w:kern w:val="22"/>
                <w:szCs w:val="22"/>
                <w:lang w:val="fr-FR"/>
              </w:rPr>
            </w:pPr>
            <w:r w:rsidRPr="00D756D0">
              <w:rPr>
                <w:b/>
                <w:kern w:val="22"/>
                <w:szCs w:val="22"/>
                <w:lang w:val="fr-FR"/>
              </w:rPr>
              <w:t>Objectif</w:t>
            </w:r>
            <w:r w:rsidR="00E12BCF" w:rsidRPr="00D756D0">
              <w:rPr>
                <w:b/>
                <w:kern w:val="22"/>
                <w:szCs w:val="22"/>
                <w:lang w:val="fr-FR"/>
              </w:rPr>
              <w:t>/</w:t>
            </w:r>
            <w:r w:rsidR="00861A04" w:rsidRPr="00D756D0">
              <w:rPr>
                <w:b/>
                <w:kern w:val="22"/>
                <w:szCs w:val="22"/>
                <w:lang w:val="fr-FR"/>
              </w:rPr>
              <w:t>Cible</w:t>
            </w:r>
          </w:p>
        </w:tc>
      </w:tr>
      <w:tr w:rsidR="00861A04" w:rsidRPr="00D756D0" w14:paraId="48B8E0C3" w14:textId="77777777" w:rsidTr="00827EE2">
        <w:tc>
          <w:tcPr>
            <w:tcW w:w="2137" w:type="dxa"/>
          </w:tcPr>
          <w:p w14:paraId="60AC5007" w14:textId="1AA08186" w:rsidR="00861A04" w:rsidRPr="00D756D0" w:rsidRDefault="00861A04" w:rsidP="00861A04">
            <w:pPr>
              <w:adjustRightInd w:val="0"/>
              <w:snapToGrid w:val="0"/>
              <w:spacing w:before="60" w:after="60"/>
              <w:rPr>
                <w:kern w:val="22"/>
                <w:szCs w:val="22"/>
                <w:lang w:val="fr-FR"/>
              </w:rPr>
            </w:pPr>
            <w:r w:rsidRPr="00D756D0">
              <w:rPr>
                <w:lang w:val="fr-FR"/>
              </w:rPr>
              <w:t>Populations saines et résilientes</w:t>
            </w:r>
          </w:p>
        </w:tc>
        <w:tc>
          <w:tcPr>
            <w:tcW w:w="5938" w:type="dxa"/>
          </w:tcPr>
          <w:p w14:paraId="594F949D" w14:textId="6EFB2861" w:rsidR="00861A04" w:rsidRPr="00D756D0" w:rsidRDefault="00861A04" w:rsidP="00861A04">
            <w:pPr>
              <w:adjustRightInd w:val="0"/>
              <w:snapToGrid w:val="0"/>
              <w:spacing w:before="60" w:after="60"/>
              <w:rPr>
                <w:kern w:val="22"/>
                <w:szCs w:val="22"/>
                <w:lang w:val="fr-FR"/>
              </w:rPr>
            </w:pPr>
            <w:r w:rsidRPr="00D756D0">
              <w:rPr>
                <w:kern w:val="22"/>
                <w:szCs w:val="22"/>
                <w:lang w:val="fr-FR"/>
              </w:rPr>
              <w:t>D</w:t>
            </w:r>
            <w:r w:rsidRPr="00D756D0">
              <w:rPr>
                <w:kern w:val="22"/>
                <w:szCs w:val="22"/>
                <w:lang w:val="fr-FR"/>
              </w:rPr>
              <w:t>émographiquement et génétiquement viables, permettant la survie et</w:t>
            </w:r>
            <w:r w:rsidRPr="00D756D0">
              <w:rPr>
                <w:kern w:val="22"/>
                <w:szCs w:val="22"/>
                <w:lang w:val="fr-FR"/>
              </w:rPr>
              <w:t xml:space="preserve"> </w:t>
            </w:r>
            <w:r w:rsidRPr="00D756D0">
              <w:rPr>
                <w:kern w:val="22"/>
                <w:szCs w:val="22"/>
                <w:lang w:val="fr-FR"/>
              </w:rPr>
              <w:t>l'adaptabilité à long terme</w:t>
            </w:r>
            <w:r w:rsidRPr="00D756D0">
              <w:rPr>
                <w:kern w:val="22"/>
                <w:szCs w:val="22"/>
                <w:lang w:val="fr-FR"/>
              </w:rPr>
              <w:t>.</w:t>
            </w:r>
          </w:p>
          <w:p w14:paraId="4D870212" w14:textId="7EBB7805" w:rsidR="00861A04" w:rsidRPr="00D756D0" w:rsidRDefault="00861A04" w:rsidP="00861A04">
            <w:pPr>
              <w:adjustRightInd w:val="0"/>
              <w:snapToGrid w:val="0"/>
              <w:spacing w:before="60" w:after="60"/>
              <w:rPr>
                <w:kern w:val="22"/>
                <w:szCs w:val="22"/>
                <w:lang w:val="fr-FR"/>
              </w:rPr>
            </w:pPr>
            <w:r w:rsidRPr="00D756D0">
              <w:rPr>
                <w:kern w:val="22"/>
                <w:szCs w:val="22"/>
                <w:lang w:val="fr-FR"/>
              </w:rPr>
              <w:t>(</w:t>
            </w:r>
            <w:hyperlink r:id="rId19" w:history="1">
              <w:r w:rsidRPr="00D756D0">
                <w:rPr>
                  <w:rStyle w:val="Lienhypertexte"/>
                  <w:kern w:val="22"/>
                  <w:sz w:val="22"/>
                  <w:szCs w:val="22"/>
                  <w:lang w:val="fr-FR"/>
                </w:rPr>
                <w:t>CBD/SBSTTA</w:t>
              </w:r>
              <w:r w:rsidRPr="00D756D0">
                <w:rPr>
                  <w:rStyle w:val="Lienhypertexte"/>
                  <w:kern w:val="22"/>
                  <w:sz w:val="22"/>
                  <w:szCs w:val="22"/>
                  <w:lang w:val="fr-FR"/>
                </w:rPr>
                <w:t>/</w:t>
              </w:r>
              <w:r w:rsidRPr="00D756D0">
                <w:rPr>
                  <w:rStyle w:val="Lienhypertexte"/>
                  <w:kern w:val="22"/>
                  <w:sz w:val="22"/>
                  <w:szCs w:val="22"/>
                  <w:lang w:val="fr-FR"/>
                </w:rPr>
                <w:t>24/3/Add</w:t>
              </w:r>
              <w:r w:rsidRPr="00D756D0">
                <w:rPr>
                  <w:rStyle w:val="Lienhypertexte"/>
                  <w:kern w:val="22"/>
                  <w:sz w:val="22"/>
                  <w:szCs w:val="22"/>
                  <w:lang w:val="fr-FR"/>
                </w:rPr>
                <w:t>.</w:t>
              </w:r>
              <w:r w:rsidRPr="00D756D0">
                <w:rPr>
                  <w:rStyle w:val="Lienhypertexte"/>
                  <w:kern w:val="22"/>
                  <w:sz w:val="22"/>
                  <w:szCs w:val="22"/>
                  <w:lang w:val="fr-FR"/>
                </w:rPr>
                <w:t>2/Re</w:t>
              </w:r>
              <w:r w:rsidRPr="00D756D0">
                <w:rPr>
                  <w:rStyle w:val="Lienhypertexte"/>
                  <w:kern w:val="22"/>
                  <w:sz w:val="22"/>
                  <w:szCs w:val="22"/>
                  <w:lang w:val="fr-FR"/>
                </w:rPr>
                <w:t>v</w:t>
              </w:r>
              <w:r w:rsidRPr="00D756D0">
                <w:rPr>
                  <w:rStyle w:val="Lienhypertexte"/>
                  <w:kern w:val="22"/>
                  <w:sz w:val="22"/>
                  <w:szCs w:val="22"/>
                  <w:lang w:val="fr-FR"/>
                </w:rPr>
                <w:t>.1</w:t>
              </w:r>
            </w:hyperlink>
            <w:r w:rsidRPr="00D756D0">
              <w:rPr>
                <w:kern w:val="22"/>
                <w:szCs w:val="22"/>
                <w:lang w:val="fr-FR"/>
              </w:rPr>
              <w:t>, par. 25)</w:t>
            </w:r>
          </w:p>
        </w:tc>
        <w:tc>
          <w:tcPr>
            <w:tcW w:w="1550" w:type="dxa"/>
          </w:tcPr>
          <w:p w14:paraId="4F674B19" w14:textId="0882F1D3"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t>Objectif A</w:t>
            </w:r>
          </w:p>
        </w:tc>
      </w:tr>
      <w:tr w:rsidR="00861A04" w:rsidRPr="00D756D0" w14:paraId="2BEE69EB" w14:textId="77777777" w:rsidTr="00827EE2">
        <w:tc>
          <w:tcPr>
            <w:tcW w:w="2137" w:type="dxa"/>
          </w:tcPr>
          <w:p w14:paraId="6AE14B35" w14:textId="7BE4CA91" w:rsidR="00861A04" w:rsidRPr="00D756D0" w:rsidRDefault="00861A04" w:rsidP="00861A04">
            <w:pPr>
              <w:adjustRightInd w:val="0"/>
              <w:snapToGrid w:val="0"/>
              <w:spacing w:before="60" w:after="60"/>
              <w:jc w:val="left"/>
              <w:rPr>
                <w:kern w:val="22"/>
                <w:szCs w:val="22"/>
                <w:lang w:val="fr-FR"/>
              </w:rPr>
            </w:pPr>
            <w:r w:rsidRPr="00D756D0">
              <w:rPr>
                <w:lang w:val="fr-FR"/>
              </w:rPr>
              <w:t>Besoins des personnes</w:t>
            </w:r>
          </w:p>
        </w:tc>
        <w:tc>
          <w:tcPr>
            <w:tcW w:w="5938" w:type="dxa"/>
          </w:tcPr>
          <w:p w14:paraId="46E04F42" w14:textId="77777777" w:rsidR="00861A04" w:rsidRPr="00D756D0" w:rsidRDefault="00861A04" w:rsidP="00861A04">
            <w:pPr>
              <w:adjustRightInd w:val="0"/>
              <w:snapToGrid w:val="0"/>
              <w:spacing w:before="60" w:after="60"/>
              <w:rPr>
                <w:kern w:val="22"/>
                <w:szCs w:val="22"/>
                <w:lang w:val="fr-FR"/>
              </w:rPr>
            </w:pPr>
            <w:r w:rsidRPr="00D756D0">
              <w:rPr>
                <w:kern w:val="22"/>
                <w:szCs w:val="22"/>
                <w:lang w:val="fr-FR"/>
              </w:rPr>
              <w:t>Les besoins des personnes sont notamment un air pur, de l'eau, de la nourriture, des fibres, un abri, un climat sûr, la sécurité énergétique (par exemple pour le carburant, la cuisson, le chauffage), des moyens d'existence sûrs, ainsi que la santé et le bien-être spirituel.</w:t>
            </w:r>
          </w:p>
          <w:p w14:paraId="600F2AC3" w14:textId="4FEE0FE8" w:rsidR="00861A04" w:rsidRPr="00D756D0" w:rsidRDefault="00861A04" w:rsidP="00861A04">
            <w:pPr>
              <w:adjustRightInd w:val="0"/>
              <w:snapToGrid w:val="0"/>
              <w:spacing w:before="60" w:after="60"/>
              <w:rPr>
                <w:kern w:val="22"/>
                <w:szCs w:val="22"/>
                <w:lang w:val="fr-FR"/>
              </w:rPr>
            </w:pPr>
            <w:r w:rsidRPr="00D756D0">
              <w:rPr>
                <w:kern w:val="22"/>
                <w:szCs w:val="22"/>
                <w:lang w:val="fr-FR"/>
              </w:rPr>
              <w:t xml:space="preserve">(Basé sur </w:t>
            </w:r>
            <w:r w:rsidRPr="00D756D0">
              <w:rPr>
                <w:i/>
                <w:iCs/>
                <w:kern w:val="22"/>
                <w:szCs w:val="22"/>
                <w:lang w:val="fr-FR"/>
              </w:rPr>
              <w:t xml:space="preserve">l'évaluation </w:t>
            </w:r>
            <w:r w:rsidRPr="00D756D0">
              <w:rPr>
                <w:i/>
                <w:iCs/>
                <w:kern w:val="22"/>
                <w:szCs w:val="22"/>
                <w:lang w:val="fr-FR"/>
              </w:rPr>
              <w:t>mondiale</w:t>
            </w:r>
            <w:r w:rsidRPr="00D756D0">
              <w:rPr>
                <w:kern w:val="22"/>
                <w:szCs w:val="22"/>
                <w:lang w:val="fr-FR"/>
              </w:rPr>
              <w:t xml:space="preserve"> de l'IPBES, 2019)</w:t>
            </w:r>
          </w:p>
        </w:tc>
        <w:tc>
          <w:tcPr>
            <w:tcW w:w="1550" w:type="dxa"/>
          </w:tcPr>
          <w:p w14:paraId="40E85414" w14:textId="36D03B29"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t>Théorie du changement</w:t>
            </w:r>
            <w:r w:rsidRPr="00D756D0">
              <w:rPr>
                <w:kern w:val="22"/>
                <w:szCs w:val="22"/>
                <w:lang w:val="fr-FR"/>
              </w:rPr>
              <w:t>, Cibles 9-13</w:t>
            </w:r>
          </w:p>
        </w:tc>
      </w:tr>
      <w:tr w:rsidR="00861A04" w:rsidRPr="00D756D0" w14:paraId="29E9D430" w14:textId="77777777" w:rsidTr="00827EE2">
        <w:tc>
          <w:tcPr>
            <w:tcW w:w="2137" w:type="dxa"/>
          </w:tcPr>
          <w:p w14:paraId="7462305D" w14:textId="054388DF" w:rsidR="00861A04" w:rsidRPr="00D756D0" w:rsidRDefault="00861A04" w:rsidP="00861A04">
            <w:pPr>
              <w:adjustRightInd w:val="0"/>
              <w:snapToGrid w:val="0"/>
              <w:spacing w:before="60" w:after="60"/>
              <w:jc w:val="left"/>
              <w:rPr>
                <w:kern w:val="22"/>
                <w:szCs w:val="22"/>
                <w:lang w:val="fr-FR"/>
              </w:rPr>
            </w:pPr>
            <w:r w:rsidRPr="00D756D0">
              <w:rPr>
                <w:lang w:val="fr-FR"/>
              </w:rPr>
              <w:t>Connectivité des écosystèmes</w:t>
            </w:r>
          </w:p>
        </w:tc>
        <w:tc>
          <w:tcPr>
            <w:tcW w:w="5938" w:type="dxa"/>
          </w:tcPr>
          <w:p w14:paraId="48993E44" w14:textId="4ACA2306" w:rsidR="00861A04" w:rsidRPr="00D756D0" w:rsidRDefault="00861A04" w:rsidP="00861A04">
            <w:pPr>
              <w:adjustRightInd w:val="0"/>
              <w:snapToGrid w:val="0"/>
              <w:spacing w:before="60" w:after="60"/>
              <w:rPr>
                <w:iCs/>
                <w:kern w:val="22"/>
                <w:szCs w:val="22"/>
                <w:lang w:val="fr-FR"/>
              </w:rPr>
            </w:pPr>
            <w:r w:rsidRPr="00D756D0">
              <w:rPr>
                <w:iCs/>
                <w:kern w:val="22"/>
                <w:szCs w:val="22"/>
                <w:lang w:val="fr-FR"/>
              </w:rPr>
              <w:t>La connectivité (c'est-à-dire la connectivité écologique) est le mouvement sans entrave des espèces et le flux des processus naturels qui entretiennent la vie sur Terre. Elle peut donc également désigner des écosystèmes continus souvent reliés par des corridors écologiques. Il existe deux types de connectivité : structurelle (dans laquelle la continuité entre les écosystèmes est identifiée) et fonctionnelle (dans laquelle le mouvement des espèces ou des processus est vérifié)</w:t>
            </w:r>
            <w:r w:rsidRPr="00D756D0">
              <w:rPr>
                <w:iCs/>
                <w:kern w:val="22"/>
                <w:szCs w:val="22"/>
                <w:lang w:val="fr-FR"/>
              </w:rPr>
              <w:t>.</w:t>
            </w:r>
          </w:p>
          <w:p w14:paraId="0BB40AEB" w14:textId="2C6D0725" w:rsidR="00861A04" w:rsidRPr="00D756D0" w:rsidRDefault="00861A04" w:rsidP="00861A04">
            <w:pPr>
              <w:adjustRightInd w:val="0"/>
              <w:snapToGrid w:val="0"/>
              <w:spacing w:before="60" w:after="60"/>
              <w:rPr>
                <w:i/>
                <w:kern w:val="22"/>
                <w:szCs w:val="22"/>
                <w:lang w:val="fr-FR"/>
              </w:rPr>
            </w:pPr>
            <w:r w:rsidRPr="00D756D0">
              <w:rPr>
                <w:kern w:val="22"/>
                <w:szCs w:val="22"/>
                <w:lang w:val="fr-FR"/>
              </w:rPr>
              <w:t>(</w:t>
            </w:r>
            <w:hyperlink r:id="rId20" w:history="1">
              <w:r w:rsidRPr="00D756D0">
                <w:rPr>
                  <w:rStyle w:val="Lienhypertexte"/>
                  <w:kern w:val="22"/>
                  <w:sz w:val="22"/>
                  <w:szCs w:val="22"/>
                  <w:lang w:val="fr-FR"/>
                </w:rPr>
                <w:t>UNEP/CM</w:t>
              </w:r>
              <w:r w:rsidRPr="00D756D0">
                <w:rPr>
                  <w:rStyle w:val="Lienhypertexte"/>
                  <w:kern w:val="22"/>
                  <w:sz w:val="22"/>
                  <w:szCs w:val="22"/>
                  <w:lang w:val="fr-FR"/>
                </w:rPr>
                <w:t>S/</w:t>
              </w:r>
              <w:proofErr w:type="spellStart"/>
              <w:r w:rsidRPr="00D756D0">
                <w:rPr>
                  <w:rStyle w:val="Lienhypertexte"/>
                  <w:kern w:val="22"/>
                  <w:sz w:val="22"/>
                  <w:szCs w:val="22"/>
                  <w:lang w:val="fr-FR"/>
                </w:rPr>
                <w:t>R</w:t>
              </w:r>
              <w:r w:rsidRPr="00D756D0">
                <w:rPr>
                  <w:rStyle w:val="Lienhypertexte"/>
                  <w:kern w:val="22"/>
                  <w:sz w:val="22"/>
                  <w:szCs w:val="22"/>
                  <w:lang w:val="fr-FR"/>
                </w:rPr>
                <w:t>esol</w:t>
              </w:r>
              <w:r w:rsidRPr="00D756D0">
                <w:rPr>
                  <w:rStyle w:val="Lienhypertexte"/>
                  <w:kern w:val="22"/>
                  <w:sz w:val="22"/>
                  <w:szCs w:val="22"/>
                  <w:lang w:val="fr-FR"/>
                </w:rPr>
                <w:t>u</w:t>
              </w:r>
              <w:r w:rsidRPr="00D756D0">
                <w:rPr>
                  <w:rStyle w:val="Lienhypertexte"/>
                  <w:kern w:val="22"/>
                  <w:sz w:val="22"/>
                  <w:szCs w:val="22"/>
                  <w:lang w:val="fr-FR"/>
                </w:rPr>
                <w:t>tio</w:t>
              </w:r>
              <w:r w:rsidRPr="00D756D0">
                <w:rPr>
                  <w:rStyle w:val="Lienhypertexte"/>
                  <w:kern w:val="22"/>
                  <w:sz w:val="22"/>
                  <w:szCs w:val="22"/>
                  <w:lang w:val="fr-FR"/>
                </w:rPr>
                <w:t>n</w:t>
              </w:r>
              <w:proofErr w:type="spellEnd"/>
              <w:r w:rsidRPr="00D756D0">
                <w:rPr>
                  <w:rStyle w:val="Lienhypertexte"/>
                  <w:kern w:val="22"/>
                  <w:sz w:val="22"/>
                  <w:szCs w:val="22"/>
                  <w:lang w:val="fr-FR"/>
                </w:rPr>
                <w:t xml:space="preserve"> 12.2</w:t>
              </w:r>
              <w:r w:rsidRPr="00D756D0">
                <w:rPr>
                  <w:rStyle w:val="Lienhypertexte"/>
                  <w:kern w:val="22"/>
                  <w:sz w:val="22"/>
                  <w:szCs w:val="22"/>
                  <w:lang w:val="fr-FR"/>
                </w:rPr>
                <w:t>6</w:t>
              </w:r>
              <w:r w:rsidRPr="00D756D0">
                <w:rPr>
                  <w:rStyle w:val="Lienhypertexte"/>
                  <w:kern w:val="22"/>
                  <w:sz w:val="22"/>
                  <w:szCs w:val="22"/>
                  <w:lang w:val="fr-FR"/>
                </w:rPr>
                <w:t xml:space="preserve"> (</w:t>
              </w:r>
              <w:r w:rsidRPr="00D756D0">
                <w:rPr>
                  <w:rStyle w:val="Lienhypertexte"/>
                  <w:kern w:val="22"/>
                  <w:sz w:val="22"/>
                  <w:szCs w:val="22"/>
                  <w:lang w:val="fr-FR"/>
                </w:rPr>
                <w:t>R</w:t>
              </w:r>
              <w:r w:rsidRPr="00D756D0">
                <w:rPr>
                  <w:rStyle w:val="Lienhypertexte"/>
                  <w:kern w:val="22"/>
                  <w:sz w:val="22"/>
                  <w:szCs w:val="22"/>
                  <w:lang w:val="fr-FR"/>
                </w:rPr>
                <w:t>ev.COP13)</w:t>
              </w:r>
            </w:hyperlink>
            <w:r w:rsidRPr="00D756D0">
              <w:rPr>
                <w:kern w:val="22"/>
                <w:szCs w:val="22"/>
                <w:lang w:val="fr-FR"/>
              </w:rPr>
              <w:t>)</w:t>
            </w:r>
          </w:p>
        </w:tc>
        <w:tc>
          <w:tcPr>
            <w:tcW w:w="1550" w:type="dxa"/>
          </w:tcPr>
          <w:p w14:paraId="15138BE0" w14:textId="038AB595"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t xml:space="preserve">Objectif </w:t>
            </w:r>
            <w:r w:rsidRPr="00D756D0">
              <w:rPr>
                <w:kern w:val="22"/>
                <w:szCs w:val="22"/>
                <w:lang w:val="fr-FR"/>
              </w:rPr>
              <w:t>A</w:t>
            </w:r>
          </w:p>
        </w:tc>
      </w:tr>
      <w:tr w:rsidR="00861A04" w:rsidRPr="00D756D0" w14:paraId="652912AE" w14:textId="77777777" w:rsidTr="00827EE2">
        <w:tc>
          <w:tcPr>
            <w:tcW w:w="2137" w:type="dxa"/>
          </w:tcPr>
          <w:p w14:paraId="0A7DF7AD" w14:textId="4646F7AA" w:rsidR="00861A04" w:rsidRPr="00D756D0" w:rsidRDefault="00861A04" w:rsidP="00861A04">
            <w:pPr>
              <w:adjustRightInd w:val="0"/>
              <w:snapToGrid w:val="0"/>
              <w:spacing w:before="60" w:after="60"/>
              <w:jc w:val="left"/>
              <w:rPr>
                <w:kern w:val="22"/>
                <w:szCs w:val="22"/>
                <w:lang w:val="fr-FR"/>
              </w:rPr>
            </w:pPr>
            <w:r w:rsidRPr="00D756D0">
              <w:rPr>
                <w:lang w:val="fr-FR"/>
              </w:rPr>
              <w:t>Intégrité des écosystèmes</w:t>
            </w:r>
          </w:p>
        </w:tc>
        <w:tc>
          <w:tcPr>
            <w:tcW w:w="5938" w:type="dxa"/>
          </w:tcPr>
          <w:p w14:paraId="75DB576D" w14:textId="6CA4791D" w:rsidR="00861A04" w:rsidRPr="00D756D0" w:rsidRDefault="00D756D0" w:rsidP="00861A04">
            <w:pPr>
              <w:adjustRightInd w:val="0"/>
              <w:snapToGrid w:val="0"/>
              <w:spacing w:before="60" w:after="60"/>
              <w:rPr>
                <w:kern w:val="22"/>
                <w:szCs w:val="22"/>
                <w:lang w:val="fr-FR"/>
              </w:rPr>
            </w:pPr>
            <w:r>
              <w:rPr>
                <w:kern w:val="22"/>
                <w:szCs w:val="22"/>
                <w:lang w:val="fr-FR"/>
              </w:rPr>
              <w:t>« </w:t>
            </w:r>
            <w:r w:rsidRPr="00D756D0">
              <w:rPr>
                <w:kern w:val="22"/>
                <w:szCs w:val="22"/>
                <w:lang w:val="fr-FR"/>
              </w:rPr>
              <w:t>U</w:t>
            </w:r>
            <w:r w:rsidR="00861A04" w:rsidRPr="00D756D0">
              <w:rPr>
                <w:kern w:val="22"/>
                <w:szCs w:val="22"/>
                <w:lang w:val="fr-FR"/>
              </w:rPr>
              <w:t xml:space="preserve">n </w:t>
            </w:r>
            <w:r w:rsidR="00861A04" w:rsidRPr="00D756D0">
              <w:rPr>
                <w:kern w:val="22"/>
                <w:szCs w:val="22"/>
                <w:lang w:val="fr-FR"/>
              </w:rPr>
              <w:t>écosystème est intègre lorsque ses caractéristiques écologiques dominantes (par exemple, les éléments de</w:t>
            </w:r>
            <w:r w:rsidR="00861A04" w:rsidRPr="00D756D0">
              <w:rPr>
                <w:kern w:val="22"/>
                <w:szCs w:val="22"/>
                <w:lang w:val="fr-FR"/>
              </w:rPr>
              <w:t xml:space="preserve"> </w:t>
            </w:r>
            <w:r w:rsidR="00861A04" w:rsidRPr="00D756D0">
              <w:rPr>
                <w:kern w:val="22"/>
                <w:szCs w:val="22"/>
                <w:lang w:val="fr-FR"/>
              </w:rPr>
              <w:t>composition, de structure, de fonction et les processus écologiques) se situent dans leurs plages de variation</w:t>
            </w:r>
            <w:r w:rsidR="00861A04" w:rsidRPr="00D756D0">
              <w:rPr>
                <w:kern w:val="22"/>
                <w:szCs w:val="22"/>
                <w:lang w:val="fr-FR"/>
              </w:rPr>
              <w:t xml:space="preserve"> </w:t>
            </w:r>
            <w:r w:rsidR="00861A04" w:rsidRPr="00D756D0">
              <w:rPr>
                <w:kern w:val="22"/>
                <w:szCs w:val="22"/>
                <w:lang w:val="fr-FR"/>
              </w:rPr>
              <w:t>naturelles et peuvent résister à la plupart des perturbations et s'en remettre</w:t>
            </w:r>
            <w:r>
              <w:rPr>
                <w:kern w:val="22"/>
                <w:szCs w:val="22"/>
                <w:lang w:val="fr-FR"/>
              </w:rPr>
              <w:t> »</w:t>
            </w:r>
            <w:r w:rsidR="00861A04" w:rsidRPr="00D756D0">
              <w:rPr>
                <w:kern w:val="22"/>
                <w:szCs w:val="22"/>
                <w:lang w:val="fr-FR"/>
              </w:rPr>
              <w:t xml:space="preserve"> (</w:t>
            </w:r>
            <w:hyperlink r:id="rId21" w:history="1">
              <w:r w:rsidR="00861A04" w:rsidRPr="00D756D0">
                <w:rPr>
                  <w:rStyle w:val="Lienhypertexte"/>
                  <w:kern w:val="22"/>
                  <w:sz w:val="22"/>
                  <w:szCs w:val="22"/>
                  <w:lang w:val="fr-FR"/>
                </w:rPr>
                <w:t>CBD/SBST</w:t>
              </w:r>
              <w:r w:rsidR="00861A04" w:rsidRPr="00D756D0">
                <w:rPr>
                  <w:rStyle w:val="Lienhypertexte"/>
                  <w:kern w:val="22"/>
                  <w:sz w:val="22"/>
                  <w:szCs w:val="22"/>
                  <w:lang w:val="fr-FR"/>
                </w:rPr>
                <w:t>T</w:t>
              </w:r>
              <w:r w:rsidR="00861A04" w:rsidRPr="00D756D0">
                <w:rPr>
                  <w:rStyle w:val="Lienhypertexte"/>
                  <w:kern w:val="22"/>
                  <w:sz w:val="22"/>
                  <w:szCs w:val="22"/>
                  <w:lang w:val="fr-FR"/>
                </w:rPr>
                <w:t>A/24/3/A</w:t>
              </w:r>
              <w:r w:rsidR="00861A04" w:rsidRPr="00D756D0">
                <w:rPr>
                  <w:rStyle w:val="Lienhypertexte"/>
                  <w:kern w:val="22"/>
                  <w:sz w:val="22"/>
                  <w:szCs w:val="22"/>
                  <w:lang w:val="fr-FR"/>
                </w:rPr>
                <w:t>d</w:t>
              </w:r>
              <w:r w:rsidR="00861A04" w:rsidRPr="00D756D0">
                <w:rPr>
                  <w:rStyle w:val="Lienhypertexte"/>
                  <w:kern w:val="22"/>
                  <w:sz w:val="22"/>
                  <w:szCs w:val="22"/>
                  <w:lang w:val="fr-FR"/>
                </w:rPr>
                <w:t>d.2/</w:t>
              </w:r>
              <w:r w:rsidR="00861A04" w:rsidRPr="00D756D0">
                <w:rPr>
                  <w:rStyle w:val="Lienhypertexte"/>
                  <w:kern w:val="22"/>
                  <w:sz w:val="22"/>
                  <w:szCs w:val="22"/>
                  <w:lang w:val="fr-FR"/>
                </w:rPr>
                <w:t>R</w:t>
              </w:r>
              <w:r w:rsidR="00861A04" w:rsidRPr="00D756D0">
                <w:rPr>
                  <w:rStyle w:val="Lienhypertexte"/>
                  <w:kern w:val="22"/>
                  <w:sz w:val="22"/>
                  <w:szCs w:val="22"/>
                  <w:lang w:val="fr-FR"/>
                </w:rPr>
                <w:t>ev.1</w:t>
              </w:r>
            </w:hyperlink>
            <w:r w:rsidR="00861A04" w:rsidRPr="00D756D0">
              <w:rPr>
                <w:kern w:val="22"/>
                <w:szCs w:val="22"/>
                <w:lang w:val="fr-FR"/>
              </w:rPr>
              <w:t xml:space="preserve">, par. 18). </w:t>
            </w:r>
            <w:r w:rsidR="00861A04" w:rsidRPr="00D756D0">
              <w:rPr>
                <w:kern w:val="22"/>
                <w:szCs w:val="22"/>
                <w:lang w:val="fr-FR"/>
              </w:rPr>
              <w:t xml:space="preserve">En outre, l'Add.2 fait référence à </w:t>
            </w:r>
            <w:r>
              <w:rPr>
                <w:kern w:val="22"/>
                <w:szCs w:val="22"/>
                <w:lang w:val="fr-FR"/>
              </w:rPr>
              <w:t>« </w:t>
            </w:r>
            <w:r w:rsidR="00861A04" w:rsidRPr="00D756D0">
              <w:rPr>
                <w:kern w:val="22"/>
                <w:szCs w:val="22"/>
                <w:lang w:val="fr-FR"/>
              </w:rPr>
              <w:t>la diversité et l'abondance des espèces et des communautés d'espèces en interaction au sein des écosystèmes</w:t>
            </w:r>
            <w:r>
              <w:rPr>
                <w:kern w:val="22"/>
                <w:szCs w:val="22"/>
                <w:lang w:val="fr-FR"/>
              </w:rPr>
              <w:t> »</w:t>
            </w:r>
            <w:r w:rsidR="00861A04" w:rsidRPr="00D756D0">
              <w:rPr>
                <w:kern w:val="22"/>
                <w:szCs w:val="22"/>
                <w:lang w:val="fr-FR"/>
              </w:rPr>
              <w:t xml:space="preserve"> (paragraphe 21).</w:t>
            </w:r>
          </w:p>
          <w:p w14:paraId="4E9A89AE" w14:textId="580AB403" w:rsidR="00861A04" w:rsidRPr="00D756D0" w:rsidRDefault="00861A04" w:rsidP="00861A04">
            <w:pPr>
              <w:adjustRightInd w:val="0"/>
              <w:snapToGrid w:val="0"/>
              <w:spacing w:before="60" w:after="60"/>
              <w:rPr>
                <w:kern w:val="22"/>
                <w:szCs w:val="22"/>
                <w:lang w:val="fr-FR"/>
              </w:rPr>
            </w:pPr>
            <w:r w:rsidRPr="00D756D0">
              <w:rPr>
                <w:kern w:val="22"/>
                <w:szCs w:val="22"/>
                <w:lang w:val="fr-FR"/>
              </w:rPr>
              <w:t xml:space="preserve">Les indicateurs de l'intégrité des écosystèmes peuvent comprendre </w:t>
            </w:r>
            <w:r w:rsidR="00D756D0">
              <w:rPr>
                <w:kern w:val="22"/>
                <w:szCs w:val="22"/>
                <w:lang w:val="fr-FR"/>
              </w:rPr>
              <w:t>« </w:t>
            </w:r>
            <w:r w:rsidRPr="00D756D0">
              <w:rPr>
                <w:kern w:val="22"/>
                <w:szCs w:val="22"/>
                <w:lang w:val="fr-FR"/>
              </w:rPr>
              <w:t>la structure, la fonction et la composition d'un écosystème par rapport à la gamme de variation préindustrielle de ces caractéristiques</w:t>
            </w:r>
            <w:r w:rsidR="00D756D0">
              <w:rPr>
                <w:kern w:val="22"/>
                <w:szCs w:val="22"/>
                <w:lang w:val="fr-FR"/>
              </w:rPr>
              <w:t> »</w:t>
            </w:r>
            <w:r w:rsidRPr="00D756D0">
              <w:rPr>
                <w:kern w:val="22"/>
                <w:szCs w:val="22"/>
                <w:lang w:val="fr-FR"/>
              </w:rPr>
              <w:t>.</w:t>
            </w:r>
          </w:p>
          <w:p w14:paraId="43377066" w14:textId="3DEDCB98" w:rsidR="00861A04" w:rsidRPr="00D756D0" w:rsidRDefault="00861A04" w:rsidP="00861A04">
            <w:pPr>
              <w:adjustRightInd w:val="0"/>
              <w:snapToGrid w:val="0"/>
              <w:spacing w:before="60" w:after="60"/>
              <w:rPr>
                <w:color w:val="000000"/>
                <w:kern w:val="22"/>
                <w:szCs w:val="22"/>
                <w:lang w:val="fr-FR"/>
              </w:rPr>
            </w:pPr>
            <w:r w:rsidRPr="00D756D0">
              <w:rPr>
                <w:kern w:val="22"/>
                <w:szCs w:val="22"/>
                <w:lang w:val="fr-FR"/>
              </w:rPr>
              <w:t xml:space="preserve">(Hansen et al (2021). </w:t>
            </w:r>
            <w:proofErr w:type="spellStart"/>
            <w:r w:rsidRPr="00D756D0">
              <w:rPr>
                <w:kern w:val="22"/>
                <w:szCs w:val="22"/>
                <w:lang w:val="fr-FR"/>
              </w:rPr>
              <w:t>Towards</w:t>
            </w:r>
            <w:proofErr w:type="spellEnd"/>
            <w:r w:rsidRPr="00D756D0">
              <w:rPr>
                <w:kern w:val="22"/>
                <w:szCs w:val="22"/>
                <w:lang w:val="fr-FR"/>
              </w:rPr>
              <w:t xml:space="preserve"> monitoring </w:t>
            </w:r>
            <w:proofErr w:type="spellStart"/>
            <w:r w:rsidRPr="00D756D0">
              <w:rPr>
                <w:kern w:val="22"/>
                <w:szCs w:val="22"/>
                <w:lang w:val="fr-FR"/>
              </w:rPr>
              <w:t>ecosystem</w:t>
            </w:r>
            <w:proofErr w:type="spellEnd"/>
            <w:r w:rsidRPr="00D756D0">
              <w:rPr>
                <w:kern w:val="22"/>
                <w:szCs w:val="22"/>
                <w:lang w:val="fr-FR"/>
              </w:rPr>
              <w:t xml:space="preserve"> </w:t>
            </w:r>
            <w:proofErr w:type="spellStart"/>
            <w:r w:rsidRPr="00D756D0">
              <w:rPr>
                <w:kern w:val="22"/>
                <w:szCs w:val="22"/>
                <w:lang w:val="fr-FR"/>
              </w:rPr>
              <w:t>integrity</w:t>
            </w:r>
            <w:proofErr w:type="spellEnd"/>
            <w:r w:rsidRPr="00D756D0">
              <w:rPr>
                <w:kern w:val="22"/>
                <w:szCs w:val="22"/>
                <w:lang w:val="fr-FR"/>
              </w:rPr>
              <w:t xml:space="preserve"> </w:t>
            </w:r>
            <w:proofErr w:type="spellStart"/>
            <w:r w:rsidRPr="00D756D0">
              <w:rPr>
                <w:kern w:val="22"/>
                <w:szCs w:val="22"/>
                <w:lang w:val="fr-FR"/>
              </w:rPr>
              <w:t>within</w:t>
            </w:r>
            <w:proofErr w:type="spellEnd"/>
            <w:r w:rsidRPr="00D756D0">
              <w:rPr>
                <w:kern w:val="22"/>
                <w:szCs w:val="22"/>
                <w:lang w:val="fr-FR"/>
              </w:rPr>
              <w:t xml:space="preserve"> the Post-2020 Global </w:t>
            </w:r>
            <w:proofErr w:type="spellStart"/>
            <w:r w:rsidRPr="00D756D0">
              <w:rPr>
                <w:kern w:val="22"/>
                <w:szCs w:val="22"/>
                <w:lang w:val="fr-FR"/>
              </w:rPr>
              <w:t>Biodiversity</w:t>
            </w:r>
            <w:proofErr w:type="spellEnd"/>
            <w:r w:rsidRPr="00D756D0">
              <w:rPr>
                <w:kern w:val="22"/>
                <w:szCs w:val="22"/>
                <w:lang w:val="fr-FR"/>
              </w:rPr>
              <w:t xml:space="preserve"> Framework, </w:t>
            </w:r>
            <w:hyperlink r:id="rId22" w:history="1">
              <w:r w:rsidRPr="00D756D0">
                <w:rPr>
                  <w:rStyle w:val="Lienhypertexte"/>
                  <w:kern w:val="22"/>
                  <w:sz w:val="22"/>
                  <w:szCs w:val="22"/>
                  <w:lang w:val="fr-FR"/>
                </w:rPr>
                <w:t>https://doi.org/10.32942/osf.io/eyqw5</w:t>
              </w:r>
            </w:hyperlink>
            <w:r w:rsidRPr="00D756D0">
              <w:rPr>
                <w:rStyle w:val="Lienhypertexte"/>
                <w:kern w:val="22"/>
                <w:sz w:val="22"/>
                <w:szCs w:val="22"/>
                <w:lang w:val="fr-FR"/>
              </w:rPr>
              <w:t>)</w:t>
            </w:r>
          </w:p>
        </w:tc>
        <w:tc>
          <w:tcPr>
            <w:tcW w:w="1550" w:type="dxa"/>
          </w:tcPr>
          <w:p w14:paraId="40DFCF86" w14:textId="61E15177"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t xml:space="preserve">Objectif </w:t>
            </w:r>
            <w:r w:rsidRPr="00D756D0">
              <w:rPr>
                <w:kern w:val="22"/>
                <w:szCs w:val="22"/>
                <w:lang w:val="fr-FR"/>
              </w:rPr>
              <w:t>A</w:t>
            </w:r>
          </w:p>
        </w:tc>
      </w:tr>
      <w:tr w:rsidR="00861A04" w:rsidRPr="00D756D0" w14:paraId="53B8DF66" w14:textId="77777777" w:rsidTr="00827EE2">
        <w:tc>
          <w:tcPr>
            <w:tcW w:w="2137" w:type="dxa"/>
          </w:tcPr>
          <w:p w14:paraId="73BE9698" w14:textId="01E5473C" w:rsidR="00861A04" w:rsidRPr="00D756D0" w:rsidRDefault="00861A04" w:rsidP="00861A04">
            <w:pPr>
              <w:adjustRightInd w:val="0"/>
              <w:snapToGrid w:val="0"/>
              <w:spacing w:before="60" w:after="60"/>
              <w:jc w:val="left"/>
              <w:rPr>
                <w:kern w:val="22"/>
                <w:szCs w:val="22"/>
                <w:lang w:val="fr-FR"/>
              </w:rPr>
            </w:pPr>
            <w:r w:rsidRPr="00D756D0">
              <w:rPr>
                <w:lang w:val="fr-FR"/>
              </w:rPr>
              <w:t>Contribution de la nature à l'homme</w:t>
            </w:r>
          </w:p>
        </w:tc>
        <w:tc>
          <w:tcPr>
            <w:tcW w:w="5938" w:type="dxa"/>
          </w:tcPr>
          <w:p w14:paraId="72993C4E" w14:textId="43E0A7E4" w:rsidR="00861A04" w:rsidRPr="00D756D0" w:rsidRDefault="00861A04" w:rsidP="00861A04">
            <w:pPr>
              <w:adjustRightInd w:val="0"/>
              <w:snapToGrid w:val="0"/>
              <w:spacing w:before="60" w:after="60"/>
              <w:rPr>
                <w:kern w:val="22"/>
                <w:szCs w:val="22"/>
                <w:lang w:val="fr-FR"/>
              </w:rPr>
            </w:pPr>
            <w:r w:rsidRPr="00D756D0">
              <w:rPr>
                <w:kern w:val="22"/>
                <w:szCs w:val="22"/>
                <w:lang w:val="fr-FR"/>
              </w:rPr>
              <w:t xml:space="preserve">Les contributions de la nature à l'homme (concept similaire aux services écosystémiques et les incluant) désignent toutes les contributions de la biodiversité au bien-être et à la qualité de vie des populations. Elles comprennent a) les contributions matérielles, telles que la production de nourriture, d'aliments pour animaux, de fibres, de médicaments et d'énergie, b) les services de régulation, tels que la régulation de la qualité de l'air et de l'eau, la régulation du climat, la pollinisation, la régulation des parasites et des maladies et la fourniture d'habitats, et c) d'autres contributions non matérielles, telles que l'apprentissage, </w:t>
            </w:r>
            <w:r w:rsidRPr="00D756D0">
              <w:rPr>
                <w:kern w:val="22"/>
                <w:szCs w:val="22"/>
                <w:lang w:val="fr-FR"/>
              </w:rPr>
              <w:lastRenderedPageBreak/>
              <w:t>l'inspiration, la santé, les expériences physiques et psychologiques, l’épanouissement spirituel et le développement des identités et des cultures, ainsi que la préservation des possibilités d'action pour les générations futures</w:t>
            </w:r>
            <w:r w:rsidRPr="00D756D0">
              <w:rPr>
                <w:kern w:val="22"/>
                <w:szCs w:val="22"/>
                <w:lang w:val="fr-FR"/>
              </w:rPr>
              <w:t>.</w:t>
            </w:r>
          </w:p>
          <w:p w14:paraId="7A9B6F5F" w14:textId="1B201A78" w:rsidR="00861A04" w:rsidRPr="00D756D0" w:rsidRDefault="00861A04" w:rsidP="00861A04">
            <w:pPr>
              <w:adjustRightInd w:val="0"/>
              <w:snapToGrid w:val="0"/>
              <w:spacing w:before="60" w:after="60"/>
              <w:rPr>
                <w:kern w:val="22"/>
                <w:szCs w:val="22"/>
                <w:lang w:val="fr-FR"/>
              </w:rPr>
            </w:pPr>
            <w:r w:rsidRPr="00D756D0">
              <w:rPr>
                <w:kern w:val="22"/>
                <w:szCs w:val="22"/>
                <w:lang w:val="fr-FR"/>
              </w:rPr>
              <w:t>(</w:t>
            </w:r>
            <w:hyperlink r:id="rId23" w:history="1">
              <w:r w:rsidRPr="00D756D0">
                <w:rPr>
                  <w:rStyle w:val="Lienhypertexte"/>
                  <w:kern w:val="22"/>
                  <w:sz w:val="22"/>
                  <w:szCs w:val="22"/>
                  <w:lang w:val="fr-FR"/>
                </w:rPr>
                <w:t>CBD/SBSTTA/24/3/Add.2/Rev.</w:t>
              </w:r>
              <w:r w:rsidRPr="00D756D0">
                <w:rPr>
                  <w:rStyle w:val="Lienhypertexte"/>
                  <w:kern w:val="22"/>
                  <w:sz w:val="22"/>
                  <w:szCs w:val="22"/>
                  <w:lang w:val="fr-FR"/>
                </w:rPr>
                <w:t>1</w:t>
              </w:r>
            </w:hyperlink>
            <w:r w:rsidRPr="00D756D0">
              <w:rPr>
                <w:kern w:val="22"/>
                <w:szCs w:val="22"/>
                <w:lang w:val="fr-FR"/>
              </w:rPr>
              <w:t>, par. 35)</w:t>
            </w:r>
          </w:p>
        </w:tc>
        <w:tc>
          <w:tcPr>
            <w:tcW w:w="1550" w:type="dxa"/>
          </w:tcPr>
          <w:p w14:paraId="380C878C" w14:textId="29C5803B"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lastRenderedPageBreak/>
              <w:t xml:space="preserve">Objectif </w:t>
            </w:r>
            <w:r w:rsidRPr="00D756D0">
              <w:rPr>
                <w:kern w:val="22"/>
                <w:szCs w:val="22"/>
                <w:lang w:val="fr-FR"/>
              </w:rPr>
              <w:t>B, JalonB.2, Cible 11</w:t>
            </w:r>
          </w:p>
        </w:tc>
      </w:tr>
      <w:tr w:rsidR="00861A04" w:rsidRPr="00D756D0" w14:paraId="5F2FBAB3" w14:textId="77777777" w:rsidTr="00827EE2">
        <w:trPr>
          <w:cantSplit/>
        </w:trPr>
        <w:tc>
          <w:tcPr>
            <w:tcW w:w="2137" w:type="dxa"/>
          </w:tcPr>
          <w:p w14:paraId="446D8FB1" w14:textId="65388067" w:rsidR="00861A04" w:rsidRPr="00D756D0" w:rsidRDefault="00861A04" w:rsidP="00861A04">
            <w:pPr>
              <w:adjustRightInd w:val="0"/>
              <w:snapToGrid w:val="0"/>
              <w:spacing w:before="60" w:after="60"/>
              <w:rPr>
                <w:kern w:val="22"/>
                <w:szCs w:val="22"/>
                <w:lang w:val="fr-FR"/>
              </w:rPr>
            </w:pPr>
            <w:r w:rsidRPr="00D756D0">
              <w:rPr>
                <w:lang w:val="fr-FR"/>
              </w:rPr>
              <w:t>Gain net</w:t>
            </w:r>
          </w:p>
        </w:tc>
        <w:tc>
          <w:tcPr>
            <w:tcW w:w="5938" w:type="dxa"/>
          </w:tcPr>
          <w:p w14:paraId="1BF3B7E0" w14:textId="0D22CEB0" w:rsidR="00861A04" w:rsidRPr="00D756D0" w:rsidRDefault="00861A04" w:rsidP="00861A04">
            <w:pPr>
              <w:adjustRightInd w:val="0"/>
              <w:snapToGrid w:val="0"/>
              <w:spacing w:before="60" w:after="60"/>
              <w:rPr>
                <w:kern w:val="22"/>
                <w:szCs w:val="22"/>
                <w:lang w:val="fr-FR"/>
              </w:rPr>
            </w:pPr>
            <w:r w:rsidRPr="00D756D0">
              <w:rPr>
                <w:kern w:val="22"/>
                <w:szCs w:val="22"/>
                <w:lang w:val="fr-FR"/>
              </w:rPr>
              <w:t xml:space="preserve">Un objectif </w:t>
            </w:r>
            <w:r w:rsidRPr="00D756D0">
              <w:rPr>
                <w:i/>
                <w:iCs/>
                <w:kern w:val="22"/>
                <w:szCs w:val="22"/>
                <w:lang w:val="fr-FR"/>
              </w:rPr>
              <w:t>d'absence de</w:t>
            </w:r>
            <w:r w:rsidRPr="00D756D0">
              <w:rPr>
                <w:kern w:val="22"/>
                <w:szCs w:val="22"/>
                <w:lang w:val="fr-FR"/>
              </w:rPr>
              <w:t xml:space="preserve"> </w:t>
            </w:r>
            <w:r w:rsidRPr="00D756D0">
              <w:rPr>
                <w:i/>
                <w:iCs/>
                <w:kern w:val="22"/>
                <w:szCs w:val="22"/>
                <w:lang w:val="fr-FR"/>
              </w:rPr>
              <w:t>perte nette</w:t>
            </w:r>
            <w:r w:rsidRPr="00D756D0">
              <w:rPr>
                <w:kern w:val="22"/>
                <w:szCs w:val="22"/>
                <w:lang w:val="fr-FR"/>
              </w:rPr>
              <w:t xml:space="preserve"> ou de </w:t>
            </w:r>
            <w:r w:rsidRPr="00D756D0">
              <w:rPr>
                <w:i/>
                <w:iCs/>
                <w:kern w:val="22"/>
                <w:szCs w:val="22"/>
                <w:lang w:val="fr-FR"/>
              </w:rPr>
              <w:t>gain net</w:t>
            </w:r>
            <w:r w:rsidRPr="00D756D0">
              <w:rPr>
                <w:kern w:val="22"/>
                <w:szCs w:val="22"/>
                <w:lang w:val="fr-FR"/>
              </w:rPr>
              <w:t xml:space="preserve"> de biodiversité est généralement fixé (également appelé objectif de neutralité nette ou de positivité nette, respectivement) par rapport à une base de référence prédéterminée. Le processus est mis en œuvre dans le cadre de processus de planification nationaux et de négociations entre les organismes gouvernementaux, les organismes de conservation et les promoteurs, les éléments du processus étant souvent formalisés dans le cadre d'une évaluation de l'impact environnemental et social. La hiérarchie des mesures d'atténuation se compose de quatre grandes étapes destinées à être mises en œuvre de manière séquentielle : 1) éviter, 2) minimiser, 3) remédier, et 4) compenser.</w:t>
            </w:r>
          </w:p>
          <w:p w14:paraId="6FE1DA39" w14:textId="6492FA88" w:rsidR="00861A04" w:rsidRPr="00D756D0" w:rsidRDefault="00861A04" w:rsidP="00861A04">
            <w:pPr>
              <w:adjustRightInd w:val="0"/>
              <w:snapToGrid w:val="0"/>
              <w:spacing w:before="60" w:after="60"/>
              <w:rPr>
                <w:kern w:val="22"/>
                <w:szCs w:val="22"/>
                <w:lang w:val="fr-FR"/>
              </w:rPr>
            </w:pPr>
            <w:r w:rsidRPr="00D756D0">
              <w:rPr>
                <w:kern w:val="22"/>
                <w:szCs w:val="22"/>
                <w:lang w:val="fr-FR"/>
              </w:rPr>
              <w:t xml:space="preserve">(Voir </w:t>
            </w:r>
            <w:proofErr w:type="spellStart"/>
            <w:r w:rsidRPr="00D756D0">
              <w:rPr>
                <w:kern w:val="22"/>
                <w:szCs w:val="22"/>
                <w:lang w:val="fr-FR"/>
              </w:rPr>
              <w:t>Arlidge</w:t>
            </w:r>
            <w:proofErr w:type="spellEnd"/>
            <w:r w:rsidRPr="00D756D0">
              <w:rPr>
                <w:kern w:val="22"/>
                <w:szCs w:val="22"/>
                <w:lang w:val="fr-FR"/>
              </w:rPr>
              <w:t xml:space="preserve"> et al, “A Global Mitigation </w:t>
            </w:r>
            <w:proofErr w:type="spellStart"/>
            <w:r w:rsidRPr="00D756D0">
              <w:rPr>
                <w:kern w:val="22"/>
                <w:szCs w:val="22"/>
                <w:lang w:val="fr-FR"/>
              </w:rPr>
              <w:t>Hierarchy</w:t>
            </w:r>
            <w:proofErr w:type="spellEnd"/>
            <w:r w:rsidRPr="00D756D0">
              <w:rPr>
                <w:kern w:val="22"/>
                <w:szCs w:val="22"/>
                <w:lang w:val="fr-FR"/>
              </w:rPr>
              <w:t xml:space="preserve"> for Nature Conservation”, </w:t>
            </w:r>
            <w:proofErr w:type="spellStart"/>
            <w:r w:rsidRPr="00D756D0">
              <w:rPr>
                <w:i/>
                <w:iCs/>
                <w:kern w:val="22"/>
                <w:szCs w:val="22"/>
                <w:lang w:val="fr-FR"/>
              </w:rPr>
              <w:t>BioScience</w:t>
            </w:r>
            <w:proofErr w:type="spellEnd"/>
            <w:r w:rsidRPr="00D756D0">
              <w:rPr>
                <w:kern w:val="22"/>
                <w:szCs w:val="22"/>
                <w:lang w:val="fr-FR"/>
              </w:rPr>
              <w:t xml:space="preserve">, vol. 68, Issue 5, mai 2018, pp. 336-347, </w:t>
            </w:r>
            <w:hyperlink r:id="rId24" w:history="1">
              <w:r w:rsidRPr="00D756D0">
                <w:rPr>
                  <w:rStyle w:val="Lienhypertexte"/>
                  <w:kern w:val="22"/>
                  <w:sz w:val="22"/>
                  <w:szCs w:val="22"/>
                  <w:lang w:val="fr-FR"/>
                </w:rPr>
                <w:t>https://doi.org/10.1093/biosci/biy029</w:t>
              </w:r>
            </w:hyperlink>
            <w:r w:rsidRPr="00D756D0">
              <w:rPr>
                <w:kern w:val="22"/>
                <w:szCs w:val="22"/>
                <w:lang w:val="fr-FR"/>
              </w:rPr>
              <w:t xml:space="preserve">; Business and </w:t>
            </w:r>
            <w:proofErr w:type="spellStart"/>
            <w:r w:rsidRPr="00D756D0">
              <w:rPr>
                <w:kern w:val="22"/>
                <w:szCs w:val="22"/>
                <w:lang w:val="fr-FR"/>
              </w:rPr>
              <w:t>Biodiversity</w:t>
            </w:r>
            <w:proofErr w:type="spellEnd"/>
            <w:r w:rsidRPr="00D756D0">
              <w:rPr>
                <w:kern w:val="22"/>
                <w:szCs w:val="22"/>
                <w:lang w:val="fr-FR"/>
              </w:rPr>
              <w:t xml:space="preserve"> Offsets </w:t>
            </w:r>
            <w:proofErr w:type="spellStart"/>
            <w:r w:rsidRPr="00D756D0">
              <w:rPr>
                <w:kern w:val="22"/>
                <w:szCs w:val="22"/>
                <w:lang w:val="fr-FR"/>
              </w:rPr>
              <w:t>Porgramme</w:t>
            </w:r>
            <w:proofErr w:type="spellEnd"/>
            <w:r w:rsidRPr="00D756D0">
              <w:rPr>
                <w:kern w:val="22"/>
                <w:szCs w:val="22"/>
                <w:lang w:val="fr-FR"/>
              </w:rPr>
              <w:t xml:space="preserve">, (2012) Standard on </w:t>
            </w:r>
            <w:proofErr w:type="spellStart"/>
            <w:r w:rsidRPr="00D756D0">
              <w:rPr>
                <w:kern w:val="22"/>
                <w:szCs w:val="22"/>
                <w:lang w:val="fr-FR"/>
              </w:rPr>
              <w:t>Biodiversity</w:t>
            </w:r>
            <w:proofErr w:type="spellEnd"/>
            <w:r w:rsidRPr="00D756D0">
              <w:rPr>
                <w:kern w:val="22"/>
                <w:szCs w:val="22"/>
                <w:lang w:val="fr-FR"/>
              </w:rPr>
              <w:t xml:space="preserve"> Offsets; et </w:t>
            </w:r>
            <w:proofErr w:type="spellStart"/>
            <w:r w:rsidRPr="00D756D0">
              <w:rPr>
                <w:kern w:val="22"/>
                <w:szCs w:val="22"/>
                <w:lang w:val="fr-FR"/>
              </w:rPr>
              <w:t>Maron</w:t>
            </w:r>
            <w:proofErr w:type="spellEnd"/>
            <w:r w:rsidRPr="00D756D0">
              <w:rPr>
                <w:kern w:val="22"/>
                <w:szCs w:val="22"/>
                <w:lang w:val="fr-FR"/>
              </w:rPr>
              <w:t xml:space="preserve"> et al. 2018, “The </w:t>
            </w:r>
            <w:proofErr w:type="spellStart"/>
            <w:r w:rsidRPr="00D756D0">
              <w:rPr>
                <w:kern w:val="22"/>
                <w:szCs w:val="22"/>
                <w:lang w:val="fr-FR"/>
              </w:rPr>
              <w:t>many</w:t>
            </w:r>
            <w:proofErr w:type="spellEnd"/>
            <w:r w:rsidRPr="00D756D0">
              <w:rPr>
                <w:kern w:val="22"/>
                <w:szCs w:val="22"/>
                <w:lang w:val="fr-FR"/>
              </w:rPr>
              <w:t xml:space="preserve"> </w:t>
            </w:r>
            <w:proofErr w:type="spellStart"/>
            <w:r w:rsidRPr="00D756D0">
              <w:rPr>
                <w:kern w:val="22"/>
                <w:szCs w:val="22"/>
                <w:lang w:val="fr-FR"/>
              </w:rPr>
              <w:t>meanings</w:t>
            </w:r>
            <w:proofErr w:type="spellEnd"/>
            <w:r w:rsidRPr="00D756D0">
              <w:rPr>
                <w:kern w:val="22"/>
                <w:szCs w:val="22"/>
                <w:lang w:val="fr-FR"/>
              </w:rPr>
              <w:t xml:space="preserve"> of no net </w:t>
            </w:r>
            <w:proofErr w:type="spellStart"/>
            <w:r w:rsidRPr="00D756D0">
              <w:rPr>
                <w:kern w:val="22"/>
                <w:szCs w:val="22"/>
                <w:lang w:val="fr-FR"/>
              </w:rPr>
              <w:t>loss</w:t>
            </w:r>
            <w:proofErr w:type="spellEnd"/>
            <w:r w:rsidRPr="00D756D0">
              <w:rPr>
                <w:kern w:val="22"/>
                <w:szCs w:val="22"/>
                <w:lang w:val="fr-FR"/>
              </w:rPr>
              <w:t xml:space="preserve"> in </w:t>
            </w:r>
            <w:proofErr w:type="spellStart"/>
            <w:r w:rsidRPr="00D756D0">
              <w:rPr>
                <w:kern w:val="22"/>
                <w:szCs w:val="22"/>
                <w:lang w:val="fr-FR"/>
              </w:rPr>
              <w:t>environmental</w:t>
            </w:r>
            <w:proofErr w:type="spellEnd"/>
            <w:r w:rsidRPr="00D756D0">
              <w:rPr>
                <w:kern w:val="22"/>
                <w:szCs w:val="22"/>
                <w:lang w:val="fr-FR"/>
              </w:rPr>
              <w:t xml:space="preserve"> </w:t>
            </w:r>
            <w:proofErr w:type="spellStart"/>
            <w:r w:rsidRPr="00D756D0">
              <w:rPr>
                <w:kern w:val="22"/>
                <w:szCs w:val="22"/>
                <w:lang w:val="fr-FR"/>
              </w:rPr>
              <w:t>policy</w:t>
            </w:r>
            <w:proofErr w:type="spellEnd"/>
            <w:r w:rsidRPr="00D756D0">
              <w:rPr>
                <w:kern w:val="22"/>
                <w:szCs w:val="22"/>
                <w:lang w:val="fr-FR"/>
              </w:rPr>
              <w:t>”,</w:t>
            </w:r>
            <w:r w:rsidRPr="00D756D0">
              <w:rPr>
                <w:i/>
                <w:iCs/>
                <w:color w:val="222222"/>
                <w:szCs w:val="22"/>
                <w:shd w:val="clear" w:color="auto" w:fill="FFFFFF"/>
                <w:lang w:val="fr-FR"/>
              </w:rPr>
              <w:t xml:space="preserve"> </w:t>
            </w:r>
            <w:r w:rsidRPr="00D756D0">
              <w:rPr>
                <w:i/>
                <w:iCs/>
                <w:kern w:val="22"/>
                <w:szCs w:val="22"/>
                <w:lang w:val="fr-FR"/>
              </w:rPr>
              <w:t xml:space="preserve">Nature </w:t>
            </w:r>
            <w:proofErr w:type="spellStart"/>
            <w:r w:rsidRPr="00D756D0">
              <w:rPr>
                <w:i/>
                <w:iCs/>
                <w:kern w:val="22"/>
                <w:szCs w:val="22"/>
                <w:lang w:val="fr-FR"/>
              </w:rPr>
              <w:t>Sustainability</w:t>
            </w:r>
            <w:proofErr w:type="spellEnd"/>
            <w:r w:rsidRPr="00D756D0">
              <w:rPr>
                <w:kern w:val="22"/>
                <w:szCs w:val="22"/>
                <w:lang w:val="fr-FR"/>
              </w:rPr>
              <w:t> 1,</w:t>
            </w:r>
            <w:r w:rsidRPr="00D756D0">
              <w:rPr>
                <w:b/>
                <w:bCs/>
                <w:kern w:val="22"/>
                <w:szCs w:val="22"/>
                <w:lang w:val="fr-FR"/>
              </w:rPr>
              <w:t> </w:t>
            </w:r>
            <w:r w:rsidRPr="00D756D0">
              <w:rPr>
                <w:kern w:val="22"/>
                <w:szCs w:val="22"/>
                <w:lang w:val="fr-FR"/>
              </w:rPr>
              <w:t>19–27 (2018)</w:t>
            </w:r>
            <w:r w:rsidRPr="00D756D0">
              <w:rPr>
                <w:szCs w:val="22"/>
                <w:lang w:val="fr-FR"/>
              </w:rPr>
              <w:t xml:space="preserve"> </w:t>
            </w:r>
            <w:hyperlink r:id="rId25" w:history="1">
              <w:r w:rsidRPr="00D756D0">
                <w:rPr>
                  <w:rStyle w:val="Lienhypertexte"/>
                  <w:kern w:val="22"/>
                  <w:sz w:val="22"/>
                  <w:szCs w:val="22"/>
                  <w:lang w:val="fr-FR"/>
                </w:rPr>
                <w:t>https://www.nature.com/articles/s41893-017-0007-7</w:t>
              </w:r>
            </w:hyperlink>
            <w:r w:rsidRPr="00D756D0">
              <w:rPr>
                <w:kern w:val="22"/>
                <w:szCs w:val="22"/>
                <w:lang w:val="fr-FR"/>
              </w:rPr>
              <w:t>).</w:t>
            </w:r>
          </w:p>
        </w:tc>
        <w:tc>
          <w:tcPr>
            <w:tcW w:w="1550" w:type="dxa"/>
          </w:tcPr>
          <w:p w14:paraId="467DB258" w14:textId="44D8E739" w:rsidR="00861A04" w:rsidRPr="00D756D0" w:rsidRDefault="00861A04" w:rsidP="00861A04">
            <w:pPr>
              <w:adjustRightInd w:val="0"/>
              <w:snapToGrid w:val="0"/>
              <w:spacing w:before="60" w:after="60"/>
              <w:rPr>
                <w:kern w:val="22"/>
                <w:szCs w:val="22"/>
                <w:lang w:val="fr-FR"/>
              </w:rPr>
            </w:pPr>
            <w:r w:rsidRPr="00D756D0">
              <w:rPr>
                <w:kern w:val="22"/>
                <w:szCs w:val="22"/>
                <w:lang w:val="fr-FR"/>
              </w:rPr>
              <w:t>JalonA.1</w:t>
            </w:r>
          </w:p>
        </w:tc>
      </w:tr>
      <w:tr w:rsidR="00861A04" w:rsidRPr="00D756D0" w14:paraId="019AA051" w14:textId="77777777" w:rsidTr="00827EE2">
        <w:tc>
          <w:tcPr>
            <w:tcW w:w="2137" w:type="dxa"/>
          </w:tcPr>
          <w:p w14:paraId="765F2837" w14:textId="184EE0E9" w:rsidR="00861A04" w:rsidRPr="00D756D0" w:rsidRDefault="00D756D0" w:rsidP="00861A04">
            <w:pPr>
              <w:adjustRightInd w:val="0"/>
              <w:snapToGrid w:val="0"/>
              <w:spacing w:before="60" w:after="60"/>
              <w:jc w:val="left"/>
              <w:rPr>
                <w:kern w:val="22"/>
                <w:szCs w:val="22"/>
                <w:lang w:val="fr-FR"/>
              </w:rPr>
            </w:pPr>
            <w:r>
              <w:rPr>
                <w:lang w:val="fr-FR"/>
              </w:rPr>
              <w:t>Planification spatiale</w:t>
            </w:r>
          </w:p>
        </w:tc>
        <w:tc>
          <w:tcPr>
            <w:tcW w:w="5938" w:type="dxa"/>
          </w:tcPr>
          <w:p w14:paraId="371735B5" w14:textId="78095C79" w:rsidR="00861A04" w:rsidRPr="00D756D0" w:rsidRDefault="00D756D0" w:rsidP="00861A04">
            <w:pPr>
              <w:adjustRightInd w:val="0"/>
              <w:snapToGrid w:val="0"/>
              <w:spacing w:before="60" w:after="60"/>
              <w:rPr>
                <w:kern w:val="22"/>
                <w:szCs w:val="22"/>
                <w:lang w:val="fr-FR"/>
              </w:rPr>
            </w:pPr>
            <w:r>
              <w:rPr>
                <w:kern w:val="22"/>
                <w:szCs w:val="22"/>
                <w:lang w:val="fr-FR"/>
              </w:rPr>
              <w:t xml:space="preserve">La planification spatiale </w:t>
            </w:r>
            <w:r w:rsidR="00861A04" w:rsidRPr="00D756D0">
              <w:rPr>
                <w:kern w:val="22"/>
                <w:szCs w:val="22"/>
                <w:lang w:val="fr-FR"/>
              </w:rPr>
              <w:t>est généralement compris</w:t>
            </w:r>
            <w:r>
              <w:rPr>
                <w:kern w:val="22"/>
                <w:szCs w:val="22"/>
                <w:lang w:val="fr-FR"/>
              </w:rPr>
              <w:t>e</w:t>
            </w:r>
            <w:r w:rsidR="00861A04" w:rsidRPr="00D756D0">
              <w:rPr>
                <w:kern w:val="22"/>
                <w:szCs w:val="22"/>
                <w:lang w:val="fr-FR"/>
              </w:rPr>
              <w:t xml:space="preserve"> comme étant une méthode ou un processus public permettant d'analyser et de déterminer la répartition spatiale et temporelle des activités dans un environnement donné afin d'atteindre divers objectifs, notamment sociaux, économiques et écologiques (tels que la biodiversité), qui ont été définis dans le cadre d'un processus décisionnel. </w:t>
            </w:r>
            <w:r>
              <w:rPr>
                <w:kern w:val="22"/>
                <w:szCs w:val="22"/>
                <w:lang w:val="fr-FR"/>
              </w:rPr>
              <w:t>Elle</w:t>
            </w:r>
            <w:r w:rsidR="00861A04" w:rsidRPr="00D756D0">
              <w:rPr>
                <w:kern w:val="22"/>
                <w:szCs w:val="22"/>
                <w:lang w:val="fr-FR"/>
              </w:rPr>
              <w:t xml:space="preserve"> comprend la planification de l'utilisation des terres, la planification de l'espace marin, etc.</w:t>
            </w:r>
          </w:p>
          <w:p w14:paraId="59A3773A" w14:textId="341215B2" w:rsidR="00861A04" w:rsidRPr="00D756D0" w:rsidRDefault="00861A04" w:rsidP="00861A04">
            <w:pPr>
              <w:adjustRightInd w:val="0"/>
              <w:snapToGrid w:val="0"/>
              <w:spacing w:before="60" w:after="60"/>
              <w:jc w:val="left"/>
              <w:rPr>
                <w:i/>
                <w:kern w:val="22"/>
                <w:szCs w:val="22"/>
                <w:lang w:val="fr-FR"/>
              </w:rPr>
            </w:pPr>
            <w:r w:rsidRPr="00D756D0">
              <w:rPr>
                <w:kern w:val="22"/>
                <w:szCs w:val="22"/>
                <w:lang w:val="fr-FR"/>
              </w:rPr>
              <w:t xml:space="preserve">(Voir </w:t>
            </w:r>
            <w:proofErr w:type="spellStart"/>
            <w:r w:rsidRPr="00D756D0">
              <w:rPr>
                <w:kern w:val="22"/>
                <w:szCs w:val="22"/>
                <w:lang w:val="fr-FR"/>
              </w:rPr>
              <w:t>Metternicht</w:t>
            </w:r>
            <w:proofErr w:type="spellEnd"/>
            <w:r w:rsidRPr="00D756D0">
              <w:rPr>
                <w:kern w:val="22"/>
                <w:szCs w:val="22"/>
                <w:lang w:val="fr-FR"/>
              </w:rPr>
              <w:t xml:space="preserve"> (2017). </w:t>
            </w:r>
            <w:r w:rsidRPr="00D756D0">
              <w:rPr>
                <w:i/>
                <w:iCs/>
                <w:kern w:val="22"/>
                <w:szCs w:val="22"/>
                <w:lang w:val="fr-FR"/>
              </w:rPr>
              <w:t xml:space="preserve">Land Use and Spatial Planning: </w:t>
            </w:r>
            <w:proofErr w:type="spellStart"/>
            <w:r w:rsidRPr="00D756D0">
              <w:rPr>
                <w:i/>
                <w:iCs/>
                <w:kern w:val="22"/>
                <w:szCs w:val="22"/>
                <w:lang w:val="fr-FR"/>
              </w:rPr>
              <w:t>Enabling</w:t>
            </w:r>
            <w:proofErr w:type="spellEnd"/>
            <w:r w:rsidRPr="00D756D0">
              <w:rPr>
                <w:i/>
                <w:iCs/>
                <w:kern w:val="22"/>
                <w:szCs w:val="22"/>
                <w:lang w:val="fr-FR"/>
              </w:rPr>
              <w:t xml:space="preserve"> </w:t>
            </w:r>
            <w:proofErr w:type="spellStart"/>
            <w:r w:rsidRPr="00D756D0">
              <w:rPr>
                <w:i/>
                <w:iCs/>
                <w:kern w:val="22"/>
                <w:szCs w:val="22"/>
                <w:lang w:val="fr-FR"/>
              </w:rPr>
              <w:t>Sustainable</w:t>
            </w:r>
            <w:proofErr w:type="spellEnd"/>
            <w:r w:rsidRPr="00D756D0">
              <w:rPr>
                <w:i/>
                <w:iCs/>
                <w:kern w:val="22"/>
                <w:szCs w:val="22"/>
                <w:lang w:val="fr-FR"/>
              </w:rPr>
              <w:t xml:space="preserve"> Management of Land </w:t>
            </w:r>
            <w:proofErr w:type="spellStart"/>
            <w:r w:rsidRPr="00D756D0">
              <w:rPr>
                <w:i/>
                <w:iCs/>
                <w:kern w:val="22"/>
                <w:szCs w:val="22"/>
                <w:lang w:val="fr-FR"/>
              </w:rPr>
              <w:t>Resources</w:t>
            </w:r>
            <w:proofErr w:type="spellEnd"/>
            <w:r w:rsidRPr="00D756D0">
              <w:rPr>
                <w:kern w:val="22"/>
                <w:szCs w:val="22"/>
                <w:lang w:val="fr-FR"/>
              </w:rPr>
              <w:t xml:space="preserve">. </w:t>
            </w:r>
            <w:proofErr w:type="spellStart"/>
            <w:r w:rsidRPr="00D756D0">
              <w:rPr>
                <w:kern w:val="22"/>
                <w:szCs w:val="22"/>
                <w:lang w:val="fr-FR"/>
              </w:rPr>
              <w:t>SpringerBriefs</w:t>
            </w:r>
            <w:proofErr w:type="spellEnd"/>
            <w:r w:rsidRPr="00D756D0">
              <w:rPr>
                <w:kern w:val="22"/>
                <w:szCs w:val="22"/>
                <w:lang w:val="fr-FR"/>
              </w:rPr>
              <w:t xml:space="preserve"> dans </w:t>
            </w:r>
            <w:proofErr w:type="spellStart"/>
            <w:r w:rsidRPr="00D756D0">
              <w:rPr>
                <w:kern w:val="22"/>
                <w:szCs w:val="22"/>
                <w:lang w:val="fr-FR"/>
              </w:rPr>
              <w:t>Earth</w:t>
            </w:r>
            <w:proofErr w:type="spellEnd"/>
            <w:r w:rsidRPr="00D756D0">
              <w:rPr>
                <w:kern w:val="22"/>
                <w:szCs w:val="22"/>
                <w:lang w:val="fr-FR"/>
              </w:rPr>
              <w:t xml:space="preserve"> Sciences.</w:t>
            </w:r>
            <w:r w:rsidRPr="00D756D0">
              <w:rPr>
                <w:kern w:val="22"/>
                <w:szCs w:val="22"/>
                <w:lang w:val="fr-FR"/>
              </w:rPr>
              <w:br/>
              <w:t>https://www.springer.com/gp/book/9783319718606)</w:t>
            </w:r>
          </w:p>
        </w:tc>
        <w:tc>
          <w:tcPr>
            <w:tcW w:w="1550" w:type="dxa"/>
          </w:tcPr>
          <w:p w14:paraId="6F21DFFB" w14:textId="324398F3"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t>Cible 1</w:t>
            </w:r>
          </w:p>
        </w:tc>
      </w:tr>
      <w:tr w:rsidR="00861A04" w:rsidRPr="00D756D0" w14:paraId="2DAA19D2" w14:textId="77777777" w:rsidTr="00827EE2">
        <w:tc>
          <w:tcPr>
            <w:tcW w:w="2137" w:type="dxa"/>
          </w:tcPr>
          <w:p w14:paraId="2404E7EB" w14:textId="5A6BE0E5" w:rsidR="00861A04" w:rsidRPr="00D756D0" w:rsidRDefault="00861A04" w:rsidP="00861A04">
            <w:pPr>
              <w:adjustRightInd w:val="0"/>
              <w:snapToGrid w:val="0"/>
              <w:spacing w:before="60" w:after="60"/>
              <w:jc w:val="left"/>
              <w:rPr>
                <w:kern w:val="22"/>
                <w:szCs w:val="22"/>
                <w:lang w:val="fr-FR"/>
              </w:rPr>
            </w:pPr>
            <w:r w:rsidRPr="00D756D0">
              <w:rPr>
                <w:lang w:val="fr-FR"/>
              </w:rPr>
              <w:t>Zones terrestres et maritimes</w:t>
            </w:r>
          </w:p>
        </w:tc>
        <w:tc>
          <w:tcPr>
            <w:tcW w:w="5938" w:type="dxa"/>
          </w:tcPr>
          <w:p w14:paraId="6B41E774" w14:textId="352BB787" w:rsidR="00861A04" w:rsidRPr="00D756D0" w:rsidRDefault="00861A04" w:rsidP="00861A04">
            <w:pPr>
              <w:adjustRightInd w:val="0"/>
              <w:snapToGrid w:val="0"/>
              <w:spacing w:before="60" w:after="60"/>
              <w:rPr>
                <w:kern w:val="22"/>
                <w:szCs w:val="22"/>
                <w:lang w:val="fr-FR"/>
              </w:rPr>
            </w:pPr>
            <w:r w:rsidRPr="00D756D0">
              <w:rPr>
                <w:kern w:val="22"/>
                <w:szCs w:val="22"/>
                <w:lang w:val="fr-FR"/>
              </w:rPr>
              <w:t>Il est entendu que les zones terrestres et maritimes comprennent tous les écosystèmes terrestres et aquatiques, y compris les biomes d'eau douce.</w:t>
            </w:r>
          </w:p>
        </w:tc>
        <w:tc>
          <w:tcPr>
            <w:tcW w:w="1550" w:type="dxa"/>
          </w:tcPr>
          <w:p w14:paraId="5A59449D" w14:textId="12BB182D" w:rsidR="00861A04" w:rsidRPr="00D756D0" w:rsidDel="00AB4CB3" w:rsidRDefault="00861A04" w:rsidP="00861A04">
            <w:pPr>
              <w:adjustRightInd w:val="0"/>
              <w:snapToGrid w:val="0"/>
              <w:spacing w:before="60" w:after="60"/>
              <w:jc w:val="left"/>
              <w:rPr>
                <w:kern w:val="22"/>
                <w:szCs w:val="22"/>
                <w:lang w:val="fr-FR"/>
              </w:rPr>
            </w:pPr>
            <w:r w:rsidRPr="00D756D0">
              <w:rPr>
                <w:kern w:val="22"/>
                <w:szCs w:val="22"/>
                <w:lang w:val="fr-FR"/>
              </w:rPr>
              <w:t>Cible 1, 3</w:t>
            </w:r>
          </w:p>
        </w:tc>
      </w:tr>
      <w:tr w:rsidR="00861A04" w:rsidRPr="00D756D0" w14:paraId="3E0E9059" w14:textId="77777777" w:rsidTr="00827EE2">
        <w:tc>
          <w:tcPr>
            <w:tcW w:w="2137" w:type="dxa"/>
          </w:tcPr>
          <w:p w14:paraId="7ECC8AF8" w14:textId="77777777" w:rsidR="00D756D0" w:rsidRDefault="00861A04" w:rsidP="00D756D0">
            <w:pPr>
              <w:jc w:val="left"/>
              <w:rPr>
                <w:sz w:val="24"/>
                <w:lang w:val="fr-FR"/>
              </w:rPr>
            </w:pPr>
            <w:r w:rsidRPr="00D756D0">
              <w:rPr>
                <w:lang w:val="fr-FR"/>
              </w:rPr>
              <w:t xml:space="preserve">Changement </w:t>
            </w:r>
            <w:proofErr w:type="spellStart"/>
            <w:r w:rsidR="00D756D0">
              <w:t>d'utilisation</w:t>
            </w:r>
            <w:proofErr w:type="spellEnd"/>
            <w:r w:rsidR="00D756D0">
              <w:t xml:space="preserve"> des </w:t>
            </w:r>
            <w:proofErr w:type="spellStart"/>
            <w:r w:rsidR="00D756D0">
              <w:t>terres</w:t>
            </w:r>
            <w:proofErr w:type="spellEnd"/>
          </w:p>
          <w:p w14:paraId="1B3E4797" w14:textId="07FC52E5" w:rsidR="00861A04" w:rsidRPr="00D756D0" w:rsidRDefault="00861A04" w:rsidP="00861A04">
            <w:pPr>
              <w:adjustRightInd w:val="0"/>
              <w:snapToGrid w:val="0"/>
              <w:spacing w:before="60" w:after="60"/>
              <w:jc w:val="left"/>
              <w:rPr>
                <w:kern w:val="22"/>
                <w:szCs w:val="22"/>
                <w:lang w:val="fr-FR"/>
              </w:rPr>
            </w:pPr>
          </w:p>
        </w:tc>
        <w:tc>
          <w:tcPr>
            <w:tcW w:w="5938" w:type="dxa"/>
          </w:tcPr>
          <w:p w14:paraId="02643AD6" w14:textId="4A43E968" w:rsidR="00861A04" w:rsidRPr="00D756D0" w:rsidRDefault="00861A04" w:rsidP="00861A04">
            <w:pPr>
              <w:adjustRightInd w:val="0"/>
              <w:snapToGrid w:val="0"/>
              <w:spacing w:before="60" w:after="60"/>
              <w:rPr>
                <w:kern w:val="22"/>
                <w:szCs w:val="22"/>
                <w:lang w:val="fr-FR"/>
              </w:rPr>
            </w:pPr>
            <w:r w:rsidRPr="00D756D0">
              <w:rPr>
                <w:kern w:val="22"/>
                <w:szCs w:val="22"/>
                <w:lang w:val="fr-FR"/>
              </w:rPr>
              <w:t xml:space="preserve">Le changement </w:t>
            </w:r>
            <w:proofErr w:type="spellStart"/>
            <w:r w:rsidR="00D756D0">
              <w:t>d'utilisation</w:t>
            </w:r>
            <w:proofErr w:type="spellEnd"/>
            <w:r w:rsidR="00D756D0">
              <w:t xml:space="preserve"> des </w:t>
            </w:r>
            <w:proofErr w:type="spellStart"/>
            <w:r w:rsidR="00D756D0">
              <w:t>terres</w:t>
            </w:r>
            <w:proofErr w:type="spellEnd"/>
            <w:r w:rsidR="00D756D0" w:rsidRPr="00D756D0">
              <w:rPr>
                <w:kern w:val="22"/>
                <w:szCs w:val="22"/>
                <w:lang w:val="fr-FR"/>
              </w:rPr>
              <w:t xml:space="preserve"> </w:t>
            </w:r>
            <w:r w:rsidRPr="00D756D0">
              <w:rPr>
                <w:kern w:val="22"/>
                <w:szCs w:val="22"/>
                <w:lang w:val="fr-FR"/>
              </w:rPr>
              <w:t>comprend la transformation de la couverture terrestre (par exemple, la déforestation ou l'exploitation minière), les changements dans la gestion de l'écosystème ou de l'</w:t>
            </w:r>
            <w:proofErr w:type="spellStart"/>
            <w:r w:rsidRPr="00D756D0">
              <w:rPr>
                <w:kern w:val="22"/>
                <w:szCs w:val="22"/>
                <w:lang w:val="fr-FR"/>
              </w:rPr>
              <w:t>agro-écosystème</w:t>
            </w:r>
            <w:proofErr w:type="spellEnd"/>
            <w:r w:rsidRPr="00D756D0">
              <w:rPr>
                <w:kern w:val="22"/>
                <w:szCs w:val="22"/>
                <w:lang w:val="fr-FR"/>
              </w:rPr>
              <w:t xml:space="preserve"> (par exemple, par l'intensification de la gestion agricole ou de l'exploitation forestière) ou les changements dans la configuration spatiale du paysage (par exemple, la fragmentation des habitats).</w:t>
            </w:r>
          </w:p>
          <w:p w14:paraId="3F4D1D75" w14:textId="1828687E" w:rsidR="00861A04" w:rsidRPr="00D756D0" w:rsidDel="00AB4CB3" w:rsidRDefault="00861A04" w:rsidP="00861A04">
            <w:pPr>
              <w:adjustRightInd w:val="0"/>
              <w:snapToGrid w:val="0"/>
              <w:spacing w:before="60" w:after="60"/>
              <w:rPr>
                <w:kern w:val="22"/>
                <w:szCs w:val="22"/>
                <w:lang w:val="fr-FR"/>
              </w:rPr>
            </w:pPr>
            <w:r w:rsidRPr="00D756D0">
              <w:rPr>
                <w:kern w:val="22"/>
                <w:szCs w:val="22"/>
                <w:lang w:val="fr-FR"/>
              </w:rPr>
              <w:lastRenderedPageBreak/>
              <w:t>(</w:t>
            </w:r>
            <w:hyperlink r:id="rId26" w:history="1">
              <w:r w:rsidRPr="00D756D0">
                <w:rPr>
                  <w:rStyle w:val="Lienhypertexte"/>
                  <w:kern w:val="22"/>
                  <w:sz w:val="22"/>
                  <w:szCs w:val="22"/>
                  <w:lang w:val="fr-FR"/>
                </w:rPr>
                <w:t>https://ipbes.net/models-drivers-biodiversity-ecosystem-change</w:t>
              </w:r>
            </w:hyperlink>
            <w:r w:rsidRPr="00D756D0">
              <w:rPr>
                <w:kern w:val="22"/>
                <w:szCs w:val="22"/>
                <w:lang w:val="fr-FR"/>
              </w:rPr>
              <w:t>)</w:t>
            </w:r>
          </w:p>
        </w:tc>
        <w:tc>
          <w:tcPr>
            <w:tcW w:w="1550" w:type="dxa"/>
          </w:tcPr>
          <w:p w14:paraId="0C6FF4CA" w14:textId="138EBF15"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lastRenderedPageBreak/>
              <w:t>Cible 1</w:t>
            </w:r>
          </w:p>
        </w:tc>
      </w:tr>
      <w:tr w:rsidR="00861A04" w:rsidRPr="00D756D0" w14:paraId="183B9763" w14:textId="77777777" w:rsidTr="00827EE2">
        <w:tc>
          <w:tcPr>
            <w:tcW w:w="2137" w:type="dxa"/>
          </w:tcPr>
          <w:p w14:paraId="3BB3C7E9" w14:textId="1DCD97CD" w:rsidR="00861A04" w:rsidRPr="00D756D0" w:rsidRDefault="00861A04" w:rsidP="00861A04">
            <w:pPr>
              <w:adjustRightInd w:val="0"/>
              <w:snapToGrid w:val="0"/>
              <w:spacing w:before="60" w:after="60"/>
              <w:jc w:val="left"/>
              <w:rPr>
                <w:kern w:val="22"/>
                <w:szCs w:val="22"/>
                <w:lang w:val="fr-FR"/>
              </w:rPr>
            </w:pPr>
            <w:r w:rsidRPr="00D756D0">
              <w:rPr>
                <w:lang w:val="fr-FR"/>
              </w:rPr>
              <w:t xml:space="preserve">Changement </w:t>
            </w:r>
            <w:r w:rsidR="00D756D0">
              <w:rPr>
                <w:lang w:val="fr-FR"/>
              </w:rPr>
              <w:t>d’utilisation</w:t>
            </w:r>
            <w:r w:rsidRPr="00D756D0">
              <w:rPr>
                <w:lang w:val="fr-FR"/>
              </w:rPr>
              <w:t xml:space="preserve"> des zones </w:t>
            </w:r>
            <w:r w:rsidR="00D756D0" w:rsidRPr="00D756D0">
              <w:rPr>
                <w:kern w:val="22"/>
                <w:szCs w:val="22"/>
                <w:lang w:val="fr-FR"/>
              </w:rPr>
              <w:t>marines</w:t>
            </w:r>
          </w:p>
        </w:tc>
        <w:tc>
          <w:tcPr>
            <w:tcW w:w="5938" w:type="dxa"/>
          </w:tcPr>
          <w:p w14:paraId="7B09030B" w14:textId="759452F7" w:rsidR="00861A04" w:rsidRPr="00D756D0" w:rsidRDefault="00861A04" w:rsidP="00861A04">
            <w:pPr>
              <w:adjustRightInd w:val="0"/>
              <w:snapToGrid w:val="0"/>
              <w:spacing w:before="60" w:after="60"/>
              <w:rPr>
                <w:kern w:val="22"/>
                <w:szCs w:val="22"/>
                <w:lang w:val="fr-FR"/>
              </w:rPr>
            </w:pPr>
            <w:r w:rsidRPr="00D756D0">
              <w:rPr>
                <w:kern w:val="22"/>
                <w:szCs w:val="22"/>
                <w:lang w:val="fr-FR"/>
              </w:rPr>
              <w:t>De même, le changement d'utilisation des zones marines désigne les mesures et les activités qui modifient l'utilisation des zones marines, par exemple l'aménagement du littoral, l'aquaculture en mer, la mariculture, l'exploration pétrolière et gazière et le chalutage de fond</w:t>
            </w:r>
            <w:r w:rsidRPr="00D756D0">
              <w:rPr>
                <w:kern w:val="22"/>
                <w:szCs w:val="22"/>
                <w:lang w:val="fr-FR"/>
              </w:rPr>
              <w:t>.</w:t>
            </w:r>
          </w:p>
        </w:tc>
        <w:tc>
          <w:tcPr>
            <w:tcW w:w="1550" w:type="dxa"/>
          </w:tcPr>
          <w:p w14:paraId="23C6AF30" w14:textId="77777777" w:rsidR="00861A04" w:rsidRPr="00D756D0" w:rsidRDefault="00861A04" w:rsidP="00861A04">
            <w:pPr>
              <w:adjustRightInd w:val="0"/>
              <w:snapToGrid w:val="0"/>
              <w:spacing w:before="60" w:after="60"/>
              <w:jc w:val="left"/>
              <w:rPr>
                <w:kern w:val="22"/>
                <w:szCs w:val="22"/>
                <w:lang w:val="fr-FR"/>
              </w:rPr>
            </w:pPr>
          </w:p>
        </w:tc>
      </w:tr>
      <w:tr w:rsidR="00861A04" w:rsidRPr="00D756D0" w14:paraId="19D866DD" w14:textId="77777777" w:rsidTr="00827EE2">
        <w:tc>
          <w:tcPr>
            <w:tcW w:w="2137" w:type="dxa"/>
          </w:tcPr>
          <w:p w14:paraId="71AD5E82" w14:textId="5437EB8F" w:rsidR="00861A04" w:rsidRPr="00D756D0" w:rsidRDefault="00861A04" w:rsidP="00861A04">
            <w:pPr>
              <w:adjustRightInd w:val="0"/>
              <w:snapToGrid w:val="0"/>
              <w:spacing w:before="60" w:after="60"/>
              <w:jc w:val="left"/>
              <w:rPr>
                <w:kern w:val="22"/>
                <w:szCs w:val="22"/>
                <w:lang w:val="fr-FR"/>
              </w:rPr>
            </w:pPr>
            <w:r w:rsidRPr="00D756D0">
              <w:rPr>
                <w:lang w:val="fr-FR"/>
              </w:rPr>
              <w:t>Restauration</w:t>
            </w:r>
          </w:p>
        </w:tc>
        <w:tc>
          <w:tcPr>
            <w:tcW w:w="5938" w:type="dxa"/>
          </w:tcPr>
          <w:p w14:paraId="291B516F" w14:textId="1502DFD2" w:rsidR="00861A04" w:rsidRPr="00D756D0" w:rsidRDefault="00861A04" w:rsidP="00861A04">
            <w:pPr>
              <w:adjustRightInd w:val="0"/>
              <w:snapToGrid w:val="0"/>
              <w:spacing w:before="60" w:after="60"/>
              <w:rPr>
                <w:kern w:val="22"/>
                <w:szCs w:val="22"/>
                <w:lang w:val="fr-FR"/>
              </w:rPr>
            </w:pPr>
            <w:r w:rsidRPr="00D756D0">
              <w:rPr>
                <w:kern w:val="22"/>
                <w:szCs w:val="22"/>
                <w:lang w:val="fr-FR"/>
              </w:rPr>
              <w:t xml:space="preserve">L'IPBES a défini la restauration comme étant </w:t>
            </w:r>
            <w:r w:rsidR="00D756D0">
              <w:rPr>
                <w:kern w:val="22"/>
                <w:szCs w:val="22"/>
                <w:lang w:val="fr-FR"/>
              </w:rPr>
              <w:t>« </w:t>
            </w:r>
            <w:r w:rsidRPr="00D756D0">
              <w:rPr>
                <w:kern w:val="22"/>
                <w:szCs w:val="22"/>
                <w:lang w:val="fr-FR"/>
              </w:rPr>
              <w:t>toute activité intentionnelle qui amorce ou accélère le rétablissement d'un écosystème dégradé</w:t>
            </w:r>
            <w:r w:rsidR="00D756D0">
              <w:rPr>
                <w:kern w:val="22"/>
                <w:szCs w:val="22"/>
                <w:lang w:val="fr-FR"/>
              </w:rPr>
              <w:t> »</w:t>
            </w:r>
            <w:r w:rsidRPr="00D756D0">
              <w:rPr>
                <w:kern w:val="22"/>
                <w:szCs w:val="22"/>
                <w:lang w:val="fr-FR"/>
              </w:rPr>
              <w:t xml:space="preserve"> (2019). Cette définition couvre toutes les formes et tous les niveaux de dégradation et, en ce sens, correspond à la définition adoptée par la Society for </w:t>
            </w:r>
            <w:proofErr w:type="spellStart"/>
            <w:r w:rsidRPr="00D756D0">
              <w:rPr>
                <w:kern w:val="22"/>
                <w:szCs w:val="22"/>
                <w:lang w:val="fr-FR"/>
              </w:rPr>
              <w:t>Ecological</w:t>
            </w:r>
            <w:proofErr w:type="spellEnd"/>
            <w:r w:rsidRPr="00D756D0">
              <w:rPr>
                <w:kern w:val="22"/>
                <w:szCs w:val="22"/>
                <w:lang w:val="fr-FR"/>
              </w:rPr>
              <w:t xml:space="preserve"> </w:t>
            </w:r>
            <w:proofErr w:type="spellStart"/>
            <w:r w:rsidRPr="00D756D0">
              <w:rPr>
                <w:kern w:val="22"/>
                <w:szCs w:val="22"/>
                <w:lang w:val="fr-FR"/>
              </w:rPr>
              <w:t>Restoration</w:t>
            </w:r>
            <w:proofErr w:type="spellEnd"/>
            <w:r w:rsidRPr="00D756D0">
              <w:rPr>
                <w:kern w:val="22"/>
                <w:szCs w:val="22"/>
                <w:lang w:val="fr-FR"/>
              </w:rPr>
              <w:t>.</w:t>
            </w:r>
            <w:r w:rsidRPr="00D756D0">
              <w:rPr>
                <w:kern w:val="22"/>
                <w:szCs w:val="22"/>
                <w:lang w:val="fr-FR"/>
              </w:rPr>
              <w:br/>
              <w:t>(</w:t>
            </w:r>
            <w:hyperlink r:id="rId27" w:history="1">
              <w:r w:rsidRPr="00D756D0">
                <w:rPr>
                  <w:rStyle w:val="Lienhypertexte"/>
                  <w:kern w:val="22"/>
                  <w:sz w:val="22"/>
                  <w:szCs w:val="22"/>
                  <w:lang w:val="fr-FR"/>
                </w:rPr>
                <w:t>https://www.cbd.i</w:t>
              </w:r>
              <w:r w:rsidRPr="00D756D0">
                <w:rPr>
                  <w:rStyle w:val="Lienhypertexte"/>
                  <w:kern w:val="22"/>
                  <w:sz w:val="22"/>
                  <w:szCs w:val="22"/>
                  <w:lang w:val="fr-FR"/>
                </w:rPr>
                <w:t>n</w:t>
              </w:r>
              <w:r w:rsidRPr="00D756D0">
                <w:rPr>
                  <w:rStyle w:val="Lienhypertexte"/>
                  <w:kern w:val="22"/>
                  <w:sz w:val="22"/>
                  <w:szCs w:val="22"/>
                  <w:lang w:val="fr-FR"/>
                </w:rPr>
                <w:t>t/doc/c/fcd6/bfba/38ebc826221543e322173507/post2020-ws-2019-11-03-en.pdf</w:t>
              </w:r>
            </w:hyperlink>
            <w:r w:rsidRPr="00D756D0">
              <w:rPr>
                <w:kern w:val="22"/>
                <w:szCs w:val="22"/>
                <w:lang w:val="fr-FR"/>
              </w:rPr>
              <w:t>)</w:t>
            </w:r>
          </w:p>
          <w:p w14:paraId="39E815BE" w14:textId="5796E2AB" w:rsidR="00861A04" w:rsidRPr="00D756D0" w:rsidRDefault="00861A04" w:rsidP="00861A04">
            <w:pPr>
              <w:adjustRightInd w:val="0"/>
              <w:snapToGrid w:val="0"/>
              <w:spacing w:before="60" w:after="60"/>
              <w:rPr>
                <w:kern w:val="22"/>
                <w:szCs w:val="22"/>
                <w:lang w:val="fr-FR"/>
              </w:rPr>
            </w:pPr>
            <w:r w:rsidRPr="00D756D0">
              <w:rPr>
                <w:kern w:val="22"/>
                <w:szCs w:val="22"/>
                <w:lang w:val="fr-FR"/>
              </w:rPr>
              <w:t xml:space="preserve">La restauration des écosystèmes consiste à </w:t>
            </w:r>
            <w:r w:rsidR="00D756D0">
              <w:rPr>
                <w:kern w:val="22"/>
                <w:szCs w:val="22"/>
                <w:lang w:val="fr-FR"/>
              </w:rPr>
              <w:t>« </w:t>
            </w:r>
            <w:r w:rsidRPr="00D756D0">
              <w:rPr>
                <w:kern w:val="22"/>
                <w:szCs w:val="22"/>
                <w:lang w:val="fr-FR"/>
              </w:rPr>
              <w:t>favoriser la régénération des écosystèmes qui ont été dégradés ou détruits, ainsi que la conservation des écosystèmes encore intacts</w:t>
            </w:r>
            <w:r w:rsidR="00D756D0">
              <w:rPr>
                <w:kern w:val="22"/>
                <w:szCs w:val="22"/>
                <w:lang w:val="fr-FR"/>
              </w:rPr>
              <w:t> »</w:t>
            </w:r>
            <w:r w:rsidRPr="00D756D0">
              <w:rPr>
                <w:kern w:val="22"/>
                <w:szCs w:val="22"/>
                <w:lang w:val="fr-FR"/>
              </w:rPr>
              <w:t xml:space="preserve">. </w:t>
            </w:r>
            <w:r w:rsidRPr="00D756D0">
              <w:rPr>
                <w:kern w:val="22"/>
                <w:szCs w:val="22"/>
                <w:lang w:val="fr-FR"/>
              </w:rPr>
              <w:t>La restauration peut se faire de nombreuses manières, par exemple en plantant des espèces ou en éliminant les contraintes afin que la nature puisse se rétablir d'elle-même. Il n'est pas toujours possible - ou souhaitable - de remettre un écosystème dans son état d'origine</w:t>
            </w:r>
            <w:r w:rsidRPr="00D756D0">
              <w:rPr>
                <w:kern w:val="22"/>
                <w:szCs w:val="22"/>
                <w:lang w:val="fr-FR"/>
              </w:rPr>
              <w:t>.</w:t>
            </w:r>
          </w:p>
          <w:p w14:paraId="696AEC84" w14:textId="0AD5B6FB" w:rsidR="00861A04" w:rsidRPr="00D756D0" w:rsidDel="00AB4CB3" w:rsidRDefault="00861A04" w:rsidP="00861A04">
            <w:pPr>
              <w:adjustRightInd w:val="0"/>
              <w:snapToGrid w:val="0"/>
              <w:spacing w:before="60" w:after="60"/>
              <w:jc w:val="left"/>
              <w:rPr>
                <w:kern w:val="22"/>
                <w:szCs w:val="22"/>
                <w:lang w:val="fr-FR"/>
              </w:rPr>
            </w:pPr>
            <w:r w:rsidRPr="00D756D0">
              <w:rPr>
                <w:kern w:val="22"/>
                <w:szCs w:val="22"/>
                <w:lang w:val="fr-FR"/>
              </w:rPr>
              <w:t>(</w:t>
            </w:r>
            <w:r w:rsidRPr="00D756D0">
              <w:rPr>
                <w:kern w:val="22"/>
                <w:szCs w:val="22"/>
                <w:lang w:val="fr-FR"/>
              </w:rPr>
              <w:t>Décennie des Nations Unies pour la restauration des écosystèmes</w:t>
            </w:r>
            <w:r w:rsidRPr="00D756D0">
              <w:rPr>
                <w:kern w:val="22"/>
                <w:szCs w:val="22"/>
                <w:lang w:val="fr-FR"/>
              </w:rPr>
              <w:t xml:space="preserve">, </w:t>
            </w:r>
            <w:hyperlink r:id="rId28" w:history="1">
              <w:r w:rsidRPr="00D756D0">
                <w:rPr>
                  <w:rStyle w:val="Lienhypertexte"/>
                  <w:kern w:val="22"/>
                  <w:sz w:val="22"/>
                  <w:szCs w:val="22"/>
                  <w:lang w:val="fr-FR"/>
                </w:rPr>
                <w:t>https://www.decadeonrestoration.org/what-ecosystem-restorati</w:t>
              </w:r>
              <w:r w:rsidRPr="00D756D0">
                <w:rPr>
                  <w:rStyle w:val="Lienhypertexte"/>
                  <w:kern w:val="22"/>
                  <w:sz w:val="22"/>
                  <w:szCs w:val="22"/>
                  <w:lang w:val="fr-FR"/>
                </w:rPr>
                <w:t>o</w:t>
              </w:r>
              <w:r w:rsidRPr="00D756D0">
                <w:rPr>
                  <w:rStyle w:val="Lienhypertexte"/>
                  <w:kern w:val="22"/>
                  <w:sz w:val="22"/>
                  <w:szCs w:val="22"/>
                  <w:lang w:val="fr-FR"/>
                </w:rPr>
                <w:t>n</w:t>
              </w:r>
            </w:hyperlink>
            <w:r w:rsidRPr="00D756D0">
              <w:rPr>
                <w:kern w:val="22"/>
                <w:szCs w:val="22"/>
                <w:lang w:val="fr-FR"/>
              </w:rPr>
              <w:t>)</w:t>
            </w:r>
          </w:p>
        </w:tc>
        <w:tc>
          <w:tcPr>
            <w:tcW w:w="1550" w:type="dxa"/>
          </w:tcPr>
          <w:p w14:paraId="46007013" w14:textId="0C10C79A"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t>Cible 2</w:t>
            </w:r>
          </w:p>
        </w:tc>
      </w:tr>
      <w:tr w:rsidR="00861A04" w:rsidRPr="00D756D0" w14:paraId="071E1DEC" w14:textId="77777777" w:rsidTr="00827EE2">
        <w:tc>
          <w:tcPr>
            <w:tcW w:w="2137" w:type="dxa"/>
          </w:tcPr>
          <w:p w14:paraId="1DEEFD96" w14:textId="4958F306" w:rsidR="00861A04" w:rsidRPr="00D756D0" w:rsidRDefault="00861A04" w:rsidP="00861A04">
            <w:pPr>
              <w:adjustRightInd w:val="0"/>
              <w:snapToGrid w:val="0"/>
              <w:spacing w:before="60" w:after="60"/>
              <w:rPr>
                <w:kern w:val="22"/>
                <w:szCs w:val="22"/>
                <w:lang w:val="fr-FR"/>
              </w:rPr>
            </w:pPr>
            <w:r w:rsidRPr="00D756D0">
              <w:rPr>
                <w:lang w:val="fr-FR"/>
              </w:rPr>
              <w:t>Écosystèmes dégradés</w:t>
            </w:r>
          </w:p>
        </w:tc>
        <w:tc>
          <w:tcPr>
            <w:tcW w:w="5938" w:type="dxa"/>
          </w:tcPr>
          <w:p w14:paraId="36E2AC73" w14:textId="5166D3D8" w:rsidR="00861A04" w:rsidRPr="00D756D0" w:rsidRDefault="00861A04" w:rsidP="00861A04">
            <w:pPr>
              <w:adjustRightInd w:val="0"/>
              <w:snapToGrid w:val="0"/>
              <w:spacing w:before="60" w:after="60"/>
              <w:rPr>
                <w:kern w:val="22"/>
                <w:szCs w:val="22"/>
                <w:lang w:val="fr-FR"/>
              </w:rPr>
            </w:pPr>
            <w:r w:rsidRPr="00D756D0">
              <w:rPr>
                <w:kern w:val="22"/>
                <w:szCs w:val="22"/>
                <w:lang w:val="fr-FR"/>
              </w:rPr>
              <w:t xml:space="preserve">La dégradation des terres peut être due à une perte de biodiversité, de fonctions ou de services écosystémiques. D'un point de vue écologique, la dégradation des terres peut inclure une transformation complète de la catégorie ou de l'utilisation de l'écosystème, comme dans le cas de la conversion d'une prairie naturelle en un champ de culture, procurant un éventail différent d'avantages, mais entrainant également une dégradation du système </w:t>
            </w:r>
            <w:r w:rsidR="00D756D0">
              <w:rPr>
                <w:kern w:val="22"/>
                <w:szCs w:val="22"/>
                <w:lang w:val="fr-FR"/>
              </w:rPr>
              <w:t>« </w:t>
            </w:r>
            <w:r w:rsidRPr="00D756D0">
              <w:rPr>
                <w:kern w:val="22"/>
                <w:szCs w:val="22"/>
                <w:lang w:val="fr-FR"/>
              </w:rPr>
              <w:t>naturel</w:t>
            </w:r>
            <w:r w:rsidR="00D756D0">
              <w:rPr>
                <w:kern w:val="22"/>
                <w:szCs w:val="22"/>
                <w:lang w:val="fr-FR"/>
              </w:rPr>
              <w:t> »</w:t>
            </w:r>
            <w:r w:rsidRPr="00D756D0">
              <w:rPr>
                <w:kern w:val="22"/>
                <w:szCs w:val="22"/>
                <w:lang w:val="fr-FR"/>
              </w:rPr>
              <w:t xml:space="preserve"> ou </w:t>
            </w:r>
            <w:r w:rsidR="00D756D0">
              <w:rPr>
                <w:kern w:val="22"/>
                <w:szCs w:val="22"/>
                <w:lang w:val="fr-FR"/>
              </w:rPr>
              <w:t>« </w:t>
            </w:r>
            <w:r w:rsidRPr="00D756D0">
              <w:rPr>
                <w:kern w:val="22"/>
                <w:szCs w:val="22"/>
                <w:lang w:val="fr-FR"/>
              </w:rPr>
              <w:t>transformé</w:t>
            </w:r>
            <w:r w:rsidR="00D756D0">
              <w:rPr>
                <w:kern w:val="22"/>
                <w:szCs w:val="22"/>
                <w:lang w:val="fr-FR"/>
              </w:rPr>
              <w:t> »</w:t>
            </w:r>
            <w:r w:rsidRPr="00D756D0">
              <w:rPr>
                <w:kern w:val="22"/>
                <w:szCs w:val="22"/>
                <w:lang w:val="fr-FR"/>
              </w:rPr>
              <w:t>. Les écosystèmes naturels sont souvent dégradés avant d'être transformés. L'écosystème transformé qui résulte de cette conversion peut, à son tour, être dégradé et voir ses nouvelles fonctions réduites (par exemple, un champ agricole où la dégradation et la réduction de la fertilité du sol entraînent une diminution des récoltes).</w:t>
            </w:r>
          </w:p>
          <w:p w14:paraId="267FE99E" w14:textId="325B9E1B" w:rsidR="00861A04" w:rsidRPr="00D756D0" w:rsidRDefault="00861A04" w:rsidP="00861A04">
            <w:pPr>
              <w:adjustRightInd w:val="0"/>
              <w:snapToGrid w:val="0"/>
              <w:spacing w:before="60" w:after="60"/>
              <w:rPr>
                <w:kern w:val="22"/>
                <w:szCs w:val="22"/>
                <w:lang w:val="fr-FR"/>
              </w:rPr>
            </w:pPr>
            <w:r w:rsidRPr="00D756D0">
              <w:rPr>
                <w:kern w:val="22"/>
                <w:szCs w:val="22"/>
                <w:lang w:val="fr-FR"/>
              </w:rPr>
              <w:t xml:space="preserve">Les mêmes concepts sont applicables à la dégradation des écosystèmes marins et d'eau douce. Elle peut prendre la forme d'une modification des structures trophiques d'une communauté marine (en raison de la pression de la pêche et de l'élimination sélective des espèces), d'une transformation du benthos mou et dur (en raison des balayages répétitifs des engins de contact, tels que les chaluts) ou de la construction de récifs artificiels, pour ne citer que quelques exemples. Dans le cas des écosystèmes aquatiques d'eau douce, des exemples de transformation des </w:t>
            </w:r>
            <w:r w:rsidRPr="00D756D0">
              <w:rPr>
                <w:kern w:val="22"/>
                <w:szCs w:val="22"/>
                <w:lang w:val="fr-FR"/>
              </w:rPr>
              <w:lastRenderedPageBreak/>
              <w:t>écosystèmes sont la construction de barrages et de réservoirs sur les cours d'eau ou la conversion de zones humides naturelles en rizières</w:t>
            </w:r>
            <w:r w:rsidRPr="00D756D0">
              <w:rPr>
                <w:kern w:val="22"/>
                <w:szCs w:val="22"/>
                <w:lang w:val="fr-FR"/>
              </w:rPr>
              <w:t>.</w:t>
            </w:r>
          </w:p>
          <w:p w14:paraId="600B459A" w14:textId="4AC6A2DB" w:rsidR="00861A04" w:rsidRPr="00D756D0" w:rsidDel="00AB4CB3" w:rsidRDefault="00861A04" w:rsidP="00861A04">
            <w:pPr>
              <w:adjustRightInd w:val="0"/>
              <w:snapToGrid w:val="0"/>
              <w:spacing w:before="60" w:after="60"/>
              <w:rPr>
                <w:kern w:val="22"/>
                <w:szCs w:val="22"/>
                <w:lang w:val="fr-FR"/>
              </w:rPr>
            </w:pPr>
            <w:r w:rsidRPr="00D756D0">
              <w:rPr>
                <w:kern w:val="22"/>
                <w:szCs w:val="22"/>
                <w:lang w:val="fr-FR"/>
              </w:rPr>
              <w:t>(</w:t>
            </w:r>
            <w:hyperlink r:id="rId29" w:history="1">
              <w:r w:rsidRPr="00D756D0">
                <w:rPr>
                  <w:rStyle w:val="Lienhypertexte"/>
                  <w:sz w:val="22"/>
                  <w:szCs w:val="22"/>
                  <w:lang w:val="fr-FR"/>
                </w:rPr>
                <w:t>CBD/POST2020/WS/2</w:t>
              </w:r>
              <w:r w:rsidRPr="00D756D0">
                <w:rPr>
                  <w:rStyle w:val="Lienhypertexte"/>
                  <w:sz w:val="22"/>
                  <w:szCs w:val="22"/>
                  <w:lang w:val="fr-FR"/>
                </w:rPr>
                <w:t>0</w:t>
              </w:r>
              <w:r w:rsidRPr="00D756D0">
                <w:rPr>
                  <w:rStyle w:val="Lienhypertexte"/>
                  <w:sz w:val="22"/>
                  <w:szCs w:val="22"/>
                  <w:lang w:val="fr-FR"/>
                </w:rPr>
                <w:t>19/11/3</w:t>
              </w:r>
            </w:hyperlink>
            <w:r w:rsidRPr="00D756D0">
              <w:rPr>
                <w:kern w:val="22"/>
                <w:szCs w:val="22"/>
                <w:lang w:val="fr-FR"/>
              </w:rPr>
              <w:t>)</w:t>
            </w:r>
          </w:p>
        </w:tc>
        <w:tc>
          <w:tcPr>
            <w:tcW w:w="1550" w:type="dxa"/>
          </w:tcPr>
          <w:p w14:paraId="2B7A1FAE" w14:textId="1AD79541"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lastRenderedPageBreak/>
              <w:t>Cible 2</w:t>
            </w:r>
          </w:p>
        </w:tc>
      </w:tr>
      <w:tr w:rsidR="00861A04" w:rsidRPr="00D756D0" w14:paraId="2DEB37FA" w14:textId="77777777" w:rsidTr="00827EE2">
        <w:tc>
          <w:tcPr>
            <w:tcW w:w="2137" w:type="dxa"/>
          </w:tcPr>
          <w:p w14:paraId="5DF3A423" w14:textId="066E8609" w:rsidR="00861A04" w:rsidRPr="00D756D0" w:rsidRDefault="00861A04" w:rsidP="00861A04">
            <w:pPr>
              <w:adjustRightInd w:val="0"/>
              <w:snapToGrid w:val="0"/>
              <w:spacing w:before="60" w:after="60"/>
              <w:jc w:val="left"/>
              <w:rPr>
                <w:kern w:val="22"/>
                <w:szCs w:val="22"/>
                <w:lang w:val="fr-FR"/>
              </w:rPr>
            </w:pPr>
            <w:r w:rsidRPr="00D756D0">
              <w:rPr>
                <w:lang w:val="fr-FR"/>
              </w:rPr>
              <w:t>Espèces sauvages et domestiquées</w:t>
            </w:r>
          </w:p>
        </w:tc>
        <w:tc>
          <w:tcPr>
            <w:tcW w:w="5938" w:type="dxa"/>
          </w:tcPr>
          <w:p w14:paraId="66ECAA14" w14:textId="156CEB2A" w:rsidR="00861A04" w:rsidRPr="00D756D0" w:rsidRDefault="00861A04" w:rsidP="00861A04">
            <w:pPr>
              <w:adjustRightInd w:val="0"/>
              <w:snapToGrid w:val="0"/>
              <w:spacing w:before="60" w:after="60"/>
              <w:rPr>
                <w:kern w:val="22"/>
                <w:szCs w:val="22"/>
                <w:lang w:val="fr-FR"/>
              </w:rPr>
            </w:pPr>
            <w:r w:rsidRPr="00D756D0">
              <w:rPr>
                <w:kern w:val="22"/>
                <w:szCs w:val="22"/>
                <w:lang w:val="fr-FR"/>
              </w:rPr>
              <w:t>Tous les organismes vivants, y compris la faune, la flore, les champignons et les bactéries.</w:t>
            </w:r>
          </w:p>
        </w:tc>
        <w:tc>
          <w:tcPr>
            <w:tcW w:w="1550" w:type="dxa"/>
          </w:tcPr>
          <w:p w14:paraId="2045B987" w14:textId="544E0AE1"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t xml:space="preserve">Objectif </w:t>
            </w:r>
            <w:r w:rsidRPr="00D756D0">
              <w:rPr>
                <w:kern w:val="22"/>
                <w:szCs w:val="22"/>
                <w:lang w:val="fr-FR"/>
              </w:rPr>
              <w:t>A, JalonA.3, Cible 4</w:t>
            </w:r>
          </w:p>
        </w:tc>
      </w:tr>
      <w:tr w:rsidR="00861A04" w:rsidRPr="00D756D0" w14:paraId="1278CBC5" w14:textId="77777777" w:rsidTr="00827EE2">
        <w:tc>
          <w:tcPr>
            <w:tcW w:w="2137" w:type="dxa"/>
          </w:tcPr>
          <w:p w14:paraId="33CF33AF" w14:textId="272DE720" w:rsidR="00861A04" w:rsidRPr="00D756D0" w:rsidRDefault="00861A04" w:rsidP="00861A04">
            <w:pPr>
              <w:adjustRightInd w:val="0"/>
              <w:snapToGrid w:val="0"/>
              <w:spacing w:before="60" w:after="60"/>
              <w:rPr>
                <w:kern w:val="22"/>
                <w:szCs w:val="22"/>
                <w:lang w:val="fr-FR"/>
              </w:rPr>
            </w:pPr>
            <w:r w:rsidRPr="00D756D0">
              <w:rPr>
                <w:lang w:val="fr-FR"/>
              </w:rPr>
              <w:t>Conflit homme-faune</w:t>
            </w:r>
          </w:p>
        </w:tc>
        <w:tc>
          <w:tcPr>
            <w:tcW w:w="5938" w:type="dxa"/>
          </w:tcPr>
          <w:p w14:paraId="65DF7A79" w14:textId="4A81B1C4" w:rsidR="00861A04" w:rsidRPr="00D756D0" w:rsidRDefault="00861A04" w:rsidP="00861A04">
            <w:pPr>
              <w:adjustRightInd w:val="0"/>
              <w:snapToGrid w:val="0"/>
              <w:spacing w:before="60" w:after="60"/>
              <w:rPr>
                <w:iCs/>
                <w:kern w:val="22"/>
                <w:szCs w:val="22"/>
                <w:lang w:val="fr-FR"/>
              </w:rPr>
            </w:pPr>
            <w:r w:rsidRPr="00D756D0">
              <w:rPr>
                <w:kern w:val="22"/>
                <w:szCs w:val="22"/>
                <w:lang w:val="fr-FR"/>
              </w:rPr>
              <w:t xml:space="preserve">Les conflits </w:t>
            </w:r>
            <w:r w:rsidR="00D756D0" w:rsidRPr="00D756D0">
              <w:rPr>
                <w:lang w:val="fr-FR"/>
              </w:rPr>
              <w:t>homme-faune</w:t>
            </w:r>
            <w:r w:rsidR="00D756D0" w:rsidRPr="00D756D0">
              <w:rPr>
                <w:kern w:val="22"/>
                <w:szCs w:val="22"/>
                <w:lang w:val="fr-FR"/>
              </w:rPr>
              <w:t xml:space="preserve"> </w:t>
            </w:r>
            <w:r w:rsidRPr="00D756D0">
              <w:rPr>
                <w:kern w:val="22"/>
                <w:szCs w:val="22"/>
                <w:lang w:val="fr-FR"/>
              </w:rPr>
              <w:t>ont un effet négatif sur la vie, la santé, le bien</w:t>
            </w:r>
            <w:r w:rsidRPr="00D756D0">
              <w:rPr>
                <w:kern w:val="22"/>
                <w:szCs w:val="22"/>
                <w:lang w:val="fr-FR"/>
              </w:rPr>
              <w:t xml:space="preserve"> </w:t>
            </w:r>
            <w:r w:rsidRPr="00D756D0">
              <w:rPr>
                <w:kern w:val="22"/>
                <w:szCs w:val="22"/>
                <w:lang w:val="fr-FR"/>
              </w:rPr>
              <w:t xml:space="preserve">être et/ou les moyens de subsistance des populations humaines. </w:t>
            </w:r>
            <w:r w:rsidR="00D756D0">
              <w:rPr>
                <w:kern w:val="22"/>
                <w:szCs w:val="22"/>
                <w:lang w:val="fr-FR"/>
              </w:rPr>
              <w:t>Face à</w:t>
            </w:r>
            <w:r w:rsidRPr="00D756D0">
              <w:rPr>
                <w:kern w:val="22"/>
                <w:szCs w:val="22"/>
                <w:lang w:val="fr-FR"/>
              </w:rPr>
              <w:t xml:space="preserve"> </w:t>
            </w:r>
            <w:r w:rsidR="00D756D0">
              <w:rPr>
                <w:kern w:val="22"/>
                <w:szCs w:val="22"/>
                <w:lang w:val="fr-FR"/>
              </w:rPr>
              <w:t>ces</w:t>
            </w:r>
            <w:r w:rsidRPr="00D756D0">
              <w:rPr>
                <w:kern w:val="22"/>
                <w:szCs w:val="22"/>
                <w:lang w:val="fr-FR"/>
              </w:rPr>
              <w:t xml:space="preserve"> menaces, l'homme peut </w:t>
            </w:r>
            <w:r w:rsidR="00D756D0">
              <w:rPr>
                <w:kern w:val="22"/>
                <w:szCs w:val="22"/>
                <w:lang w:val="fr-FR"/>
              </w:rPr>
              <w:t>parfois choisir d’</w:t>
            </w:r>
            <w:r w:rsidRPr="00D756D0">
              <w:rPr>
                <w:kern w:val="22"/>
                <w:szCs w:val="22"/>
                <w:lang w:val="fr-FR"/>
              </w:rPr>
              <w:t xml:space="preserve">éliminer la faune sauvage. </w:t>
            </w:r>
            <w:r w:rsidR="00D756D0">
              <w:rPr>
                <w:kern w:val="22"/>
                <w:szCs w:val="22"/>
                <w:lang w:val="fr-FR"/>
              </w:rPr>
              <w:t>Cette réaction</w:t>
            </w:r>
            <w:r w:rsidRPr="00D756D0">
              <w:rPr>
                <w:kern w:val="22"/>
                <w:szCs w:val="22"/>
                <w:lang w:val="fr-FR"/>
              </w:rPr>
              <w:t xml:space="preserve"> peut être intentionnelle </w:t>
            </w:r>
            <w:r w:rsidR="00D756D0">
              <w:rPr>
                <w:kern w:val="22"/>
                <w:szCs w:val="22"/>
                <w:lang w:val="fr-FR"/>
              </w:rPr>
              <w:t>ou</w:t>
            </w:r>
            <w:r w:rsidRPr="00D756D0">
              <w:rPr>
                <w:kern w:val="22"/>
                <w:szCs w:val="22"/>
                <w:lang w:val="fr-FR"/>
              </w:rPr>
              <w:t xml:space="preserve"> non</w:t>
            </w:r>
            <w:r w:rsidRPr="00D756D0">
              <w:rPr>
                <w:kern w:val="22"/>
                <w:szCs w:val="22"/>
                <w:lang w:val="fr-FR"/>
              </w:rPr>
              <w:t>. (</w:t>
            </w:r>
            <w:hyperlink r:id="rId30" w:history="1">
              <w:r w:rsidRPr="00D756D0">
                <w:rPr>
                  <w:rStyle w:val="Lienhypertexte"/>
                  <w:kern w:val="22"/>
                  <w:sz w:val="22"/>
                  <w:szCs w:val="22"/>
                  <w:lang w:val="fr-FR"/>
                </w:rPr>
                <w:t>CBD/SBSTTA/24/3/Add.2/Rev.1</w:t>
              </w:r>
            </w:hyperlink>
            <w:r w:rsidRPr="00D756D0">
              <w:rPr>
                <w:kern w:val="22"/>
                <w:szCs w:val="22"/>
                <w:lang w:val="fr-FR"/>
              </w:rPr>
              <w:t>, par. 65)</w:t>
            </w:r>
          </w:p>
        </w:tc>
        <w:tc>
          <w:tcPr>
            <w:tcW w:w="1550" w:type="dxa"/>
          </w:tcPr>
          <w:p w14:paraId="496A6A32" w14:textId="01B68DD1"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t>Cible 4</w:t>
            </w:r>
          </w:p>
        </w:tc>
      </w:tr>
      <w:tr w:rsidR="00861A04" w:rsidRPr="00D756D0" w14:paraId="5E7A86A5" w14:textId="77777777" w:rsidTr="00827EE2">
        <w:tc>
          <w:tcPr>
            <w:tcW w:w="2137" w:type="dxa"/>
          </w:tcPr>
          <w:p w14:paraId="28EED864" w14:textId="0D5EC522" w:rsidR="00861A04" w:rsidRPr="00D756D0" w:rsidRDefault="00861A04" w:rsidP="00861A04">
            <w:pPr>
              <w:adjustRightInd w:val="0"/>
              <w:snapToGrid w:val="0"/>
              <w:spacing w:before="60" w:after="60"/>
              <w:jc w:val="left"/>
              <w:rPr>
                <w:kern w:val="22"/>
                <w:szCs w:val="22"/>
                <w:lang w:val="fr-FR"/>
              </w:rPr>
            </w:pPr>
            <w:r w:rsidRPr="00D756D0">
              <w:rPr>
                <w:lang w:val="fr-FR"/>
              </w:rPr>
              <w:t>Durable, légal et sans danger pour la santé humaine</w:t>
            </w:r>
          </w:p>
        </w:tc>
        <w:tc>
          <w:tcPr>
            <w:tcW w:w="5938" w:type="dxa"/>
          </w:tcPr>
          <w:p w14:paraId="6DF030CB" w14:textId="2A3766B8" w:rsidR="00861A04" w:rsidRPr="00D756D0" w:rsidRDefault="00861A04" w:rsidP="00861A04">
            <w:pPr>
              <w:adjustRightInd w:val="0"/>
              <w:snapToGrid w:val="0"/>
              <w:spacing w:before="60" w:after="60"/>
              <w:rPr>
                <w:kern w:val="22"/>
                <w:szCs w:val="22"/>
                <w:highlight w:val="yellow"/>
                <w:lang w:val="fr-FR"/>
              </w:rPr>
            </w:pPr>
            <w:r w:rsidRPr="00D756D0">
              <w:rPr>
                <w:kern w:val="22"/>
                <w:szCs w:val="22"/>
                <w:lang w:val="fr-FR"/>
              </w:rPr>
              <w:t>Suppose que le prélèvement, le commerce et l'utilisation des organismes se fassent à un rythme compatible avec la capacité de renouvellement de ces derniers, dans le respect des lois internationales et nationales et dans des conditions sûres pour les personnes et la faune (par exemple, en évitant toute propagation d'agents pathogènes ou d'espèces envahissantes).</w:t>
            </w:r>
          </w:p>
        </w:tc>
        <w:tc>
          <w:tcPr>
            <w:tcW w:w="1550" w:type="dxa"/>
          </w:tcPr>
          <w:p w14:paraId="328CCBFD" w14:textId="538DCF5E"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t>Cible 5</w:t>
            </w:r>
          </w:p>
        </w:tc>
      </w:tr>
      <w:tr w:rsidR="00861A04" w:rsidRPr="00D756D0" w14:paraId="2B9925ED" w14:textId="77777777" w:rsidTr="00827EE2">
        <w:tc>
          <w:tcPr>
            <w:tcW w:w="2137" w:type="dxa"/>
          </w:tcPr>
          <w:p w14:paraId="6F3A9CD5" w14:textId="057F8FA0" w:rsidR="00861A04" w:rsidRPr="00D756D0" w:rsidRDefault="00861A04" w:rsidP="00861A04">
            <w:pPr>
              <w:adjustRightInd w:val="0"/>
              <w:snapToGrid w:val="0"/>
              <w:spacing w:before="60" w:after="60"/>
              <w:rPr>
                <w:kern w:val="22"/>
                <w:szCs w:val="22"/>
                <w:lang w:val="fr-FR"/>
              </w:rPr>
            </w:pPr>
            <w:r w:rsidRPr="00D756D0">
              <w:rPr>
                <w:lang w:val="fr-FR"/>
              </w:rPr>
              <w:t>Prélèvement</w:t>
            </w:r>
          </w:p>
        </w:tc>
        <w:tc>
          <w:tcPr>
            <w:tcW w:w="5938" w:type="dxa"/>
          </w:tcPr>
          <w:p w14:paraId="2AB9B78C" w14:textId="12F5E7FC" w:rsidR="00861A04" w:rsidRPr="00D756D0" w:rsidRDefault="00861A04" w:rsidP="00861A04">
            <w:pPr>
              <w:adjustRightInd w:val="0"/>
              <w:snapToGrid w:val="0"/>
              <w:spacing w:before="60" w:after="60"/>
              <w:rPr>
                <w:kern w:val="22"/>
                <w:szCs w:val="22"/>
                <w:lang w:val="fr-FR"/>
              </w:rPr>
            </w:pPr>
            <w:r w:rsidRPr="00D756D0">
              <w:rPr>
                <w:kern w:val="22"/>
                <w:szCs w:val="22"/>
                <w:lang w:val="fr-FR"/>
              </w:rPr>
              <w:t>Consiste à collecter, capturer ou chasser des espèces sauvages à des fins d'utilisation humaine</w:t>
            </w:r>
            <w:r w:rsidRPr="00D756D0">
              <w:rPr>
                <w:kern w:val="22"/>
                <w:szCs w:val="22"/>
                <w:lang w:val="fr-FR"/>
              </w:rPr>
              <w:t>.</w:t>
            </w:r>
          </w:p>
        </w:tc>
        <w:tc>
          <w:tcPr>
            <w:tcW w:w="1550" w:type="dxa"/>
          </w:tcPr>
          <w:p w14:paraId="31C34775" w14:textId="334956EF"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t>Cible 5</w:t>
            </w:r>
          </w:p>
        </w:tc>
      </w:tr>
      <w:tr w:rsidR="00861A04" w:rsidRPr="00D756D0" w14:paraId="4D02C324" w14:textId="77777777" w:rsidTr="00827EE2">
        <w:tc>
          <w:tcPr>
            <w:tcW w:w="2137" w:type="dxa"/>
          </w:tcPr>
          <w:p w14:paraId="0ED75552" w14:textId="16525778" w:rsidR="00861A04" w:rsidRPr="00D756D0" w:rsidRDefault="00861A04" w:rsidP="00861A04">
            <w:pPr>
              <w:adjustRightInd w:val="0"/>
              <w:snapToGrid w:val="0"/>
              <w:spacing w:before="60" w:after="60"/>
              <w:jc w:val="left"/>
              <w:rPr>
                <w:kern w:val="22"/>
                <w:szCs w:val="22"/>
                <w:lang w:val="fr-FR"/>
              </w:rPr>
            </w:pPr>
            <w:r w:rsidRPr="00D756D0">
              <w:rPr>
                <w:lang w:val="fr-FR"/>
              </w:rPr>
              <w:t>Commerce et utilisation</w:t>
            </w:r>
          </w:p>
        </w:tc>
        <w:tc>
          <w:tcPr>
            <w:tcW w:w="5938" w:type="dxa"/>
          </w:tcPr>
          <w:p w14:paraId="75F0E8AD" w14:textId="31A3D437" w:rsidR="00861A04" w:rsidRPr="00D756D0" w:rsidDel="006624D1" w:rsidRDefault="00861A04" w:rsidP="00861A04">
            <w:pPr>
              <w:adjustRightInd w:val="0"/>
              <w:snapToGrid w:val="0"/>
              <w:spacing w:before="60" w:after="60"/>
              <w:rPr>
                <w:kern w:val="22"/>
                <w:szCs w:val="22"/>
                <w:lang w:val="fr-FR"/>
              </w:rPr>
            </w:pPr>
            <w:r w:rsidRPr="00D756D0">
              <w:rPr>
                <w:kern w:val="22"/>
                <w:szCs w:val="22"/>
                <w:lang w:val="fr-FR"/>
              </w:rPr>
              <w:t>Comprend l'utilisation d'espèces sauvages à des fins alimentaires et non alimentaires, telles que l'habillement, les usages médicinaux, culturels, scientifiques, récréatifs et professionnels, ainsi que la vente ou le commerce (c'est-à-dire la vente d'espèces sauvages mortes ou vivantes et/ou de produits dérivés de celles-ci).</w:t>
            </w:r>
          </w:p>
        </w:tc>
        <w:tc>
          <w:tcPr>
            <w:tcW w:w="1550" w:type="dxa"/>
          </w:tcPr>
          <w:p w14:paraId="361B3666" w14:textId="456DE99A"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t>Cible 5</w:t>
            </w:r>
          </w:p>
        </w:tc>
      </w:tr>
      <w:tr w:rsidR="00FB4641" w:rsidRPr="00D756D0" w14:paraId="6F6F2E3C" w14:textId="77777777" w:rsidTr="00827EE2">
        <w:tc>
          <w:tcPr>
            <w:tcW w:w="2137" w:type="dxa"/>
          </w:tcPr>
          <w:p w14:paraId="5C6C15C0" w14:textId="598E7C63" w:rsidR="00861A04" w:rsidRPr="00D756D0" w:rsidRDefault="00861A04" w:rsidP="00D756D0">
            <w:pPr>
              <w:jc w:val="left"/>
              <w:rPr>
                <w:sz w:val="24"/>
                <w:lang w:val="fr-FR"/>
              </w:rPr>
            </w:pPr>
            <w:r w:rsidRPr="00D756D0">
              <w:rPr>
                <w:kern w:val="22"/>
                <w:szCs w:val="22"/>
                <w:lang w:val="fr-FR"/>
              </w:rPr>
              <w:t xml:space="preserve">Voies </w:t>
            </w:r>
            <w:proofErr w:type="spellStart"/>
            <w:r w:rsidR="00D756D0">
              <w:t>d'introduction</w:t>
            </w:r>
            <w:proofErr w:type="spellEnd"/>
          </w:p>
          <w:p w14:paraId="2D50C772" w14:textId="3E41F2A5" w:rsidR="00FB4641" w:rsidRPr="00D756D0" w:rsidRDefault="00861A04" w:rsidP="00861A04">
            <w:pPr>
              <w:adjustRightInd w:val="0"/>
              <w:snapToGrid w:val="0"/>
              <w:spacing w:before="60" w:after="60"/>
              <w:jc w:val="left"/>
              <w:rPr>
                <w:kern w:val="22"/>
                <w:szCs w:val="22"/>
                <w:lang w:val="fr-FR"/>
              </w:rPr>
            </w:pPr>
            <w:r w:rsidRPr="00D756D0">
              <w:rPr>
                <w:kern w:val="22"/>
                <w:szCs w:val="22"/>
                <w:lang w:val="fr-FR"/>
              </w:rPr>
              <w:t>(introduction d'espèces exotiques envahissantes)</w:t>
            </w:r>
            <w:r w:rsidR="001E6C6A" w:rsidRPr="00D756D0">
              <w:rPr>
                <w:kern w:val="22"/>
                <w:szCs w:val="22"/>
                <w:lang w:val="fr-FR"/>
              </w:rPr>
              <w:t>)</w:t>
            </w:r>
          </w:p>
        </w:tc>
        <w:tc>
          <w:tcPr>
            <w:tcW w:w="5938" w:type="dxa"/>
          </w:tcPr>
          <w:p w14:paraId="0F002BCC" w14:textId="2905786B" w:rsidR="00FB4641" w:rsidRPr="00D756D0" w:rsidRDefault="00861A04" w:rsidP="00D756D0">
            <w:pPr>
              <w:jc w:val="left"/>
              <w:rPr>
                <w:sz w:val="24"/>
                <w:lang w:val="fr-FR"/>
              </w:rPr>
            </w:pPr>
            <w:r w:rsidRPr="00D756D0">
              <w:rPr>
                <w:kern w:val="22"/>
                <w:szCs w:val="22"/>
                <w:lang w:val="fr-FR"/>
              </w:rPr>
              <w:t xml:space="preserve">Les voies </w:t>
            </w:r>
            <w:proofErr w:type="spellStart"/>
            <w:r w:rsidR="00D756D0">
              <w:t>d'introduction</w:t>
            </w:r>
            <w:proofErr w:type="spellEnd"/>
            <w:r w:rsidRPr="00D756D0">
              <w:rPr>
                <w:kern w:val="22"/>
                <w:szCs w:val="22"/>
                <w:lang w:val="fr-FR"/>
              </w:rPr>
              <w:t xml:space="preserve">, également appelées vecteurs, sont les moyens par lesquels les espèces exotiques sont introduites dans de nouveaux environnements. En fonction de l'écosystème, il existe probablement un certain nombre de voies différentes d'introduction d'espèces exotiques. Les voies les plus courantes sont le transport maritime (eaux de ballast, coques de bateaux et conteneurs de transport), l'introduction accidentelle ou intentionnelle d'espèces dans le cadre d'activités agricoles ou aquacoles et la </w:t>
            </w:r>
            <w:r w:rsidRPr="00D756D0">
              <w:rPr>
                <w:kern w:val="22"/>
                <w:szCs w:val="22"/>
                <w:lang w:val="fr-FR"/>
              </w:rPr>
              <w:t>fuite</w:t>
            </w:r>
            <w:r w:rsidRPr="00D756D0">
              <w:rPr>
                <w:kern w:val="22"/>
                <w:szCs w:val="22"/>
                <w:lang w:val="fr-FR"/>
              </w:rPr>
              <w:t xml:space="preserve"> d'espèces introduites dans un nouvel environnement. Les voies d'introduction varient d'un pays à l'autre et doivent être identifiées afin d'être traitées efficacement</w:t>
            </w:r>
            <w:r w:rsidR="00FB4641" w:rsidRPr="00D756D0">
              <w:rPr>
                <w:kern w:val="22"/>
                <w:szCs w:val="22"/>
                <w:lang w:val="fr-FR"/>
              </w:rPr>
              <w:t>.</w:t>
            </w:r>
          </w:p>
          <w:p w14:paraId="1DA45B13" w14:textId="7BA7D1F9" w:rsidR="008207C5" w:rsidRPr="00D756D0" w:rsidRDefault="00237C1B" w:rsidP="00F300AB">
            <w:pPr>
              <w:adjustRightInd w:val="0"/>
              <w:snapToGrid w:val="0"/>
              <w:spacing w:before="60" w:after="60"/>
              <w:jc w:val="left"/>
              <w:rPr>
                <w:kern w:val="22"/>
                <w:szCs w:val="22"/>
                <w:lang w:val="fr-FR"/>
              </w:rPr>
            </w:pPr>
            <w:r w:rsidRPr="00D756D0">
              <w:rPr>
                <w:kern w:val="22"/>
                <w:szCs w:val="22"/>
                <w:lang w:val="fr-FR"/>
              </w:rPr>
              <w:t>(</w:t>
            </w:r>
            <w:r w:rsidR="00861A04" w:rsidRPr="00D756D0">
              <w:rPr>
                <w:kern w:val="22"/>
                <w:szCs w:val="22"/>
                <w:lang w:val="fr-FR"/>
              </w:rPr>
              <w:t>Sur la base de</w:t>
            </w:r>
            <w:r w:rsidRPr="00D756D0">
              <w:rPr>
                <w:kern w:val="22"/>
                <w:szCs w:val="22"/>
                <w:lang w:val="fr-FR"/>
              </w:rPr>
              <w:t xml:space="preserve"> </w:t>
            </w:r>
            <w:r w:rsidR="00FB4641" w:rsidRPr="00D756D0">
              <w:rPr>
                <w:kern w:val="22"/>
                <w:szCs w:val="22"/>
                <w:lang w:val="fr-FR"/>
              </w:rPr>
              <w:t xml:space="preserve">Aichi </w:t>
            </w:r>
            <w:r w:rsidR="00861A04" w:rsidRPr="00D756D0">
              <w:rPr>
                <w:kern w:val="22"/>
                <w:szCs w:val="22"/>
                <w:lang w:val="fr-FR"/>
              </w:rPr>
              <w:t>Cible</w:t>
            </w:r>
            <w:r w:rsidR="00FB4641" w:rsidRPr="00D756D0">
              <w:rPr>
                <w:kern w:val="22"/>
                <w:szCs w:val="22"/>
                <w:lang w:val="fr-FR"/>
              </w:rPr>
              <w:t xml:space="preserve"> 9 – quick guide - </w:t>
            </w:r>
            <w:hyperlink r:id="rId31" w:history="1">
              <w:r w:rsidR="00FB4641" w:rsidRPr="00D756D0">
                <w:rPr>
                  <w:rStyle w:val="Lienhypertexte"/>
                  <w:kern w:val="22"/>
                  <w:sz w:val="22"/>
                  <w:szCs w:val="22"/>
                  <w:lang w:val="fr-FR"/>
                </w:rPr>
                <w:t>https://www.cbd.int/doc/s</w:t>
              </w:r>
              <w:r w:rsidR="00FB4641" w:rsidRPr="00D756D0">
                <w:rPr>
                  <w:rStyle w:val="Lienhypertexte"/>
                  <w:kern w:val="22"/>
                  <w:sz w:val="22"/>
                  <w:szCs w:val="22"/>
                  <w:lang w:val="fr-FR"/>
                </w:rPr>
                <w:t>t</w:t>
              </w:r>
              <w:r w:rsidR="00FB4641" w:rsidRPr="00D756D0">
                <w:rPr>
                  <w:rStyle w:val="Lienhypertexte"/>
                  <w:kern w:val="22"/>
                  <w:sz w:val="22"/>
                  <w:szCs w:val="22"/>
                  <w:lang w:val="fr-FR"/>
                </w:rPr>
                <w:t>rategic-plan/</w:t>
              </w:r>
              <w:r w:rsidR="00861A04" w:rsidRPr="00D756D0">
                <w:rPr>
                  <w:rStyle w:val="Lienhypertexte"/>
                  <w:kern w:val="22"/>
                  <w:sz w:val="22"/>
                  <w:szCs w:val="22"/>
                  <w:lang w:val="fr-FR"/>
                </w:rPr>
                <w:t>Cible</w:t>
              </w:r>
              <w:r w:rsidR="00FB4641" w:rsidRPr="00D756D0">
                <w:rPr>
                  <w:rStyle w:val="Lienhypertexte"/>
                  <w:kern w:val="22"/>
                  <w:sz w:val="22"/>
                  <w:szCs w:val="22"/>
                  <w:lang w:val="fr-FR"/>
                </w:rPr>
                <w:t>s/T9-quick-guide-en.pdf</w:t>
              </w:r>
            </w:hyperlink>
            <w:r w:rsidR="00DA0CC4" w:rsidRPr="00D756D0">
              <w:rPr>
                <w:rStyle w:val="Lienhypertexte"/>
                <w:color w:val="auto"/>
                <w:kern w:val="22"/>
                <w:sz w:val="22"/>
                <w:szCs w:val="22"/>
                <w:lang w:val="fr-FR"/>
              </w:rPr>
              <w:t>)</w:t>
            </w:r>
          </w:p>
          <w:p w14:paraId="2F185A8E" w14:textId="03A2C78A" w:rsidR="00B701F5" w:rsidRPr="00D756D0" w:rsidRDefault="00861A04" w:rsidP="00F300AB">
            <w:pPr>
              <w:adjustRightInd w:val="0"/>
              <w:snapToGrid w:val="0"/>
              <w:spacing w:before="60" w:after="60"/>
              <w:jc w:val="left"/>
              <w:rPr>
                <w:kern w:val="22"/>
                <w:szCs w:val="22"/>
                <w:lang w:val="fr-FR"/>
              </w:rPr>
            </w:pPr>
            <w:r w:rsidRPr="00D756D0">
              <w:rPr>
                <w:kern w:val="22"/>
                <w:szCs w:val="22"/>
                <w:lang w:val="fr-FR"/>
              </w:rPr>
              <w:t>Les voies d'accès sont classées selon la classification reconnue par la Convention sur la diversité biologique, à savoir : libération ; fuite ; transport contaminant ; transport clandestin ; couloir ; sans aide</w:t>
            </w:r>
            <w:r w:rsidR="00B701F5" w:rsidRPr="00D756D0">
              <w:rPr>
                <w:kern w:val="22"/>
                <w:szCs w:val="22"/>
                <w:lang w:val="fr-FR"/>
              </w:rPr>
              <w:t>.</w:t>
            </w:r>
          </w:p>
          <w:p w14:paraId="61BBAFBC" w14:textId="5DFD6D76" w:rsidR="00FB4641" w:rsidRPr="00D756D0" w:rsidRDefault="008207C5" w:rsidP="00F300AB">
            <w:pPr>
              <w:adjustRightInd w:val="0"/>
              <w:snapToGrid w:val="0"/>
              <w:spacing w:before="60" w:after="60"/>
              <w:jc w:val="left"/>
              <w:rPr>
                <w:i/>
                <w:kern w:val="22"/>
                <w:szCs w:val="22"/>
                <w:lang w:val="fr-FR"/>
              </w:rPr>
            </w:pPr>
            <w:r w:rsidRPr="00D756D0">
              <w:rPr>
                <w:kern w:val="22"/>
                <w:szCs w:val="22"/>
                <w:lang w:val="fr-FR"/>
              </w:rPr>
              <w:t>(</w:t>
            </w:r>
            <w:r w:rsidR="00861A04" w:rsidRPr="00D756D0">
              <w:rPr>
                <w:kern w:val="22"/>
                <w:szCs w:val="22"/>
                <w:lang w:val="fr-FR"/>
              </w:rPr>
              <w:t>Voir</w:t>
            </w:r>
            <w:r w:rsidR="00983CF9" w:rsidRPr="00D756D0">
              <w:rPr>
                <w:kern w:val="22"/>
                <w:szCs w:val="22"/>
                <w:lang w:val="fr-FR"/>
              </w:rPr>
              <w:t xml:space="preserve"> </w:t>
            </w:r>
            <w:hyperlink r:id="rId32" w:history="1">
              <w:r w:rsidR="00CB3D6A" w:rsidRPr="00D756D0">
                <w:rPr>
                  <w:rStyle w:val="Lienhypertexte"/>
                  <w:kern w:val="22"/>
                  <w:sz w:val="22"/>
                  <w:szCs w:val="22"/>
                  <w:lang w:val="fr-FR"/>
                </w:rPr>
                <w:t>CBD/</w:t>
              </w:r>
              <w:r w:rsidR="00CB3D6A" w:rsidRPr="00D756D0">
                <w:rPr>
                  <w:rStyle w:val="Lienhypertexte"/>
                  <w:kern w:val="22"/>
                  <w:sz w:val="22"/>
                  <w:szCs w:val="22"/>
                  <w:lang w:val="fr-FR"/>
                </w:rPr>
                <w:t>S</w:t>
              </w:r>
              <w:r w:rsidR="00CB3D6A" w:rsidRPr="00D756D0">
                <w:rPr>
                  <w:rStyle w:val="Lienhypertexte"/>
                  <w:kern w:val="22"/>
                  <w:sz w:val="22"/>
                  <w:szCs w:val="22"/>
                  <w:lang w:val="fr-FR"/>
                </w:rPr>
                <w:t>BSTTA/18</w:t>
              </w:r>
              <w:r w:rsidR="00CB3D6A" w:rsidRPr="00D756D0">
                <w:rPr>
                  <w:rStyle w:val="Lienhypertexte"/>
                  <w:kern w:val="22"/>
                  <w:sz w:val="22"/>
                  <w:szCs w:val="22"/>
                  <w:lang w:val="fr-FR"/>
                </w:rPr>
                <w:t>/</w:t>
              </w:r>
              <w:r w:rsidR="00CB3D6A" w:rsidRPr="00D756D0">
                <w:rPr>
                  <w:rStyle w:val="Lienhypertexte"/>
                  <w:kern w:val="22"/>
                  <w:sz w:val="22"/>
                  <w:szCs w:val="22"/>
                  <w:lang w:val="fr-FR"/>
                </w:rPr>
                <w:t>9/Add.1</w:t>
              </w:r>
            </w:hyperlink>
            <w:r w:rsidR="00CB3D6A" w:rsidRPr="00D756D0">
              <w:rPr>
                <w:kern w:val="22"/>
                <w:szCs w:val="22"/>
                <w:lang w:val="fr-FR"/>
              </w:rPr>
              <w:t>,</w:t>
            </w:r>
            <w:r w:rsidR="00B701F5" w:rsidRPr="00D756D0">
              <w:rPr>
                <w:kern w:val="22"/>
                <w:szCs w:val="22"/>
                <w:lang w:val="fr-FR"/>
              </w:rPr>
              <w:t xml:space="preserve"> para</w:t>
            </w:r>
            <w:r w:rsidR="0086420F" w:rsidRPr="00D756D0">
              <w:rPr>
                <w:kern w:val="22"/>
                <w:szCs w:val="22"/>
                <w:lang w:val="fr-FR"/>
              </w:rPr>
              <w:t> </w:t>
            </w:r>
            <w:r w:rsidR="00B701F5" w:rsidRPr="00D756D0">
              <w:rPr>
                <w:kern w:val="22"/>
                <w:szCs w:val="22"/>
                <w:lang w:val="fr-FR"/>
              </w:rPr>
              <w:t>12,</w:t>
            </w:r>
            <w:r w:rsidR="00CB3D6A" w:rsidRPr="00D756D0">
              <w:rPr>
                <w:kern w:val="22"/>
                <w:szCs w:val="22"/>
                <w:lang w:val="fr-FR"/>
              </w:rPr>
              <w:t xml:space="preserve"> </w:t>
            </w:r>
            <w:r w:rsidR="00861A04" w:rsidRPr="00D756D0">
              <w:rPr>
                <w:kern w:val="22"/>
                <w:szCs w:val="22"/>
                <w:lang w:val="fr-FR"/>
              </w:rPr>
              <w:t>sur la base de</w:t>
            </w:r>
            <w:r w:rsidR="00983CF9" w:rsidRPr="00D756D0">
              <w:rPr>
                <w:kern w:val="22"/>
                <w:szCs w:val="22"/>
                <w:lang w:val="fr-FR"/>
              </w:rPr>
              <w:t xml:space="preserve"> </w:t>
            </w:r>
            <w:proofErr w:type="spellStart"/>
            <w:r w:rsidR="00CB3D6A" w:rsidRPr="00D756D0">
              <w:rPr>
                <w:kern w:val="22"/>
                <w:szCs w:val="22"/>
                <w:lang w:val="fr-FR"/>
              </w:rPr>
              <w:t>Hulme</w:t>
            </w:r>
            <w:proofErr w:type="spellEnd"/>
            <w:r w:rsidR="00CB3D6A" w:rsidRPr="00D756D0">
              <w:rPr>
                <w:kern w:val="22"/>
                <w:szCs w:val="22"/>
                <w:lang w:val="fr-FR"/>
              </w:rPr>
              <w:t xml:space="preserve"> et</w:t>
            </w:r>
            <w:r w:rsidR="00401856" w:rsidRPr="00D756D0">
              <w:rPr>
                <w:kern w:val="22"/>
                <w:szCs w:val="22"/>
                <w:lang w:val="fr-FR"/>
              </w:rPr>
              <w:t> </w:t>
            </w:r>
            <w:r w:rsidR="00CB3D6A" w:rsidRPr="00D756D0">
              <w:rPr>
                <w:kern w:val="22"/>
                <w:szCs w:val="22"/>
                <w:lang w:val="fr-FR"/>
              </w:rPr>
              <w:t>al. 2008,</w:t>
            </w:r>
            <w:r w:rsidR="00B61D68" w:rsidRPr="00D756D0">
              <w:rPr>
                <w:kern w:val="22"/>
                <w:szCs w:val="22"/>
                <w:lang w:val="fr-FR"/>
              </w:rPr>
              <w:t xml:space="preserve"> </w:t>
            </w:r>
            <w:r w:rsidR="00CB3D6A" w:rsidRPr="00D756D0">
              <w:rPr>
                <w:i/>
                <w:iCs/>
                <w:kern w:val="22"/>
                <w:szCs w:val="22"/>
                <w:lang w:val="fr-FR"/>
              </w:rPr>
              <w:t>J</w:t>
            </w:r>
            <w:r w:rsidR="00D1446F" w:rsidRPr="00D756D0">
              <w:rPr>
                <w:i/>
                <w:iCs/>
                <w:kern w:val="22"/>
                <w:szCs w:val="22"/>
                <w:lang w:val="fr-FR"/>
              </w:rPr>
              <w:t xml:space="preserve">ournal of </w:t>
            </w:r>
            <w:proofErr w:type="spellStart"/>
            <w:r w:rsidR="00CB3D6A" w:rsidRPr="00D756D0">
              <w:rPr>
                <w:i/>
                <w:iCs/>
                <w:kern w:val="22"/>
                <w:szCs w:val="22"/>
                <w:lang w:val="fr-FR"/>
              </w:rPr>
              <w:t>Appl</w:t>
            </w:r>
            <w:r w:rsidR="00D1446F" w:rsidRPr="00D756D0">
              <w:rPr>
                <w:i/>
                <w:iCs/>
                <w:kern w:val="22"/>
                <w:szCs w:val="22"/>
                <w:lang w:val="fr-FR"/>
              </w:rPr>
              <w:t>ied</w:t>
            </w:r>
            <w:proofErr w:type="spellEnd"/>
            <w:r w:rsidR="00D1446F" w:rsidRPr="00D756D0">
              <w:rPr>
                <w:i/>
                <w:iCs/>
                <w:kern w:val="22"/>
                <w:szCs w:val="22"/>
                <w:lang w:val="fr-FR"/>
              </w:rPr>
              <w:t xml:space="preserve"> </w:t>
            </w:r>
            <w:proofErr w:type="spellStart"/>
            <w:r w:rsidR="00CB3D6A" w:rsidRPr="00D756D0">
              <w:rPr>
                <w:i/>
                <w:iCs/>
                <w:kern w:val="22"/>
                <w:szCs w:val="22"/>
                <w:lang w:val="fr-FR"/>
              </w:rPr>
              <w:t>Ecol</w:t>
            </w:r>
            <w:r w:rsidR="00D1446F" w:rsidRPr="00D756D0">
              <w:rPr>
                <w:i/>
                <w:iCs/>
                <w:kern w:val="22"/>
                <w:szCs w:val="22"/>
                <w:lang w:val="fr-FR"/>
              </w:rPr>
              <w:t>ogy</w:t>
            </w:r>
            <w:proofErr w:type="spellEnd"/>
            <w:r w:rsidR="00CB3D6A" w:rsidRPr="00D756D0">
              <w:rPr>
                <w:kern w:val="22"/>
                <w:szCs w:val="22"/>
                <w:lang w:val="fr-FR"/>
              </w:rPr>
              <w:t>)</w:t>
            </w:r>
            <w:r w:rsidR="00D1446F" w:rsidRPr="00D756D0">
              <w:rPr>
                <w:kern w:val="22"/>
                <w:szCs w:val="22"/>
                <w:lang w:val="fr-FR"/>
              </w:rPr>
              <w:t>;</w:t>
            </w:r>
            <w:r w:rsidR="00CB3D6A" w:rsidRPr="00D756D0">
              <w:rPr>
                <w:kern w:val="22"/>
                <w:szCs w:val="22"/>
                <w:lang w:val="fr-FR"/>
              </w:rPr>
              <w:t xml:space="preserve"> </w:t>
            </w:r>
            <w:r w:rsidR="00861A04" w:rsidRPr="00D756D0">
              <w:rPr>
                <w:kern w:val="22"/>
                <w:szCs w:val="22"/>
                <w:lang w:val="fr-FR"/>
              </w:rPr>
              <w:t xml:space="preserve">voir aussi </w:t>
            </w:r>
            <w:r w:rsidR="00CB3D6A" w:rsidRPr="00D756D0">
              <w:rPr>
                <w:kern w:val="22"/>
                <w:szCs w:val="22"/>
                <w:lang w:val="fr-FR"/>
              </w:rPr>
              <w:t xml:space="preserve">: Faulkner et </w:t>
            </w:r>
            <w:r w:rsidR="00CB3D6A" w:rsidRPr="00D756D0">
              <w:rPr>
                <w:kern w:val="22"/>
                <w:szCs w:val="22"/>
                <w:lang w:val="fr-FR"/>
              </w:rPr>
              <w:lastRenderedPageBreak/>
              <w:t>al. 2020,</w:t>
            </w:r>
            <w:r w:rsidR="002C40F4" w:rsidRPr="00D756D0">
              <w:rPr>
                <w:kern w:val="22"/>
                <w:szCs w:val="22"/>
                <w:lang w:val="fr-FR"/>
              </w:rPr>
              <w:t xml:space="preserve"> </w:t>
            </w:r>
            <w:r w:rsidR="008C46F1" w:rsidRPr="00D756D0">
              <w:rPr>
                <w:kern w:val="22"/>
                <w:szCs w:val="22"/>
                <w:lang w:val="fr-FR"/>
              </w:rPr>
              <w:t>“</w:t>
            </w:r>
            <w:proofErr w:type="spellStart"/>
            <w:r w:rsidR="00042572" w:rsidRPr="00D756D0">
              <w:rPr>
                <w:kern w:val="22"/>
                <w:szCs w:val="22"/>
                <w:lang w:val="fr-FR"/>
              </w:rPr>
              <w:t>Classifying</w:t>
            </w:r>
            <w:proofErr w:type="spellEnd"/>
            <w:r w:rsidR="00042572" w:rsidRPr="00D756D0">
              <w:rPr>
                <w:kern w:val="22"/>
                <w:szCs w:val="22"/>
                <w:lang w:val="fr-FR"/>
              </w:rPr>
              <w:t xml:space="preserve"> the introduction </w:t>
            </w:r>
            <w:proofErr w:type="spellStart"/>
            <w:r w:rsidR="00042572" w:rsidRPr="00D756D0">
              <w:rPr>
                <w:kern w:val="22"/>
                <w:szCs w:val="22"/>
                <w:lang w:val="fr-FR"/>
              </w:rPr>
              <w:t>pathways</w:t>
            </w:r>
            <w:proofErr w:type="spellEnd"/>
            <w:r w:rsidR="00042572" w:rsidRPr="00D756D0">
              <w:rPr>
                <w:kern w:val="22"/>
                <w:szCs w:val="22"/>
                <w:lang w:val="fr-FR"/>
              </w:rPr>
              <w:t xml:space="preserve"> of </w:t>
            </w:r>
            <w:proofErr w:type="spellStart"/>
            <w:r w:rsidR="00042572" w:rsidRPr="00D756D0">
              <w:rPr>
                <w:kern w:val="22"/>
                <w:szCs w:val="22"/>
                <w:lang w:val="fr-FR"/>
              </w:rPr>
              <w:t>alien</w:t>
            </w:r>
            <w:proofErr w:type="spellEnd"/>
            <w:r w:rsidR="00042572" w:rsidRPr="00D756D0">
              <w:rPr>
                <w:kern w:val="22"/>
                <w:szCs w:val="22"/>
                <w:lang w:val="fr-FR"/>
              </w:rPr>
              <w:t xml:space="preserve"> </w:t>
            </w:r>
            <w:proofErr w:type="spellStart"/>
            <w:r w:rsidR="00042572" w:rsidRPr="00D756D0">
              <w:rPr>
                <w:kern w:val="22"/>
                <w:szCs w:val="22"/>
                <w:lang w:val="fr-FR"/>
              </w:rPr>
              <w:t>species</w:t>
            </w:r>
            <w:proofErr w:type="spellEnd"/>
            <w:r w:rsidR="00042572" w:rsidRPr="00D756D0">
              <w:rPr>
                <w:kern w:val="22"/>
                <w:szCs w:val="22"/>
                <w:lang w:val="fr-FR"/>
              </w:rPr>
              <w:t xml:space="preserve">: are </w:t>
            </w:r>
            <w:proofErr w:type="spellStart"/>
            <w:r w:rsidR="00042572" w:rsidRPr="00D756D0">
              <w:rPr>
                <w:kern w:val="22"/>
                <w:szCs w:val="22"/>
                <w:lang w:val="fr-FR"/>
              </w:rPr>
              <w:t>we</w:t>
            </w:r>
            <w:proofErr w:type="spellEnd"/>
            <w:r w:rsidR="00042572" w:rsidRPr="00D756D0">
              <w:rPr>
                <w:kern w:val="22"/>
                <w:szCs w:val="22"/>
                <w:lang w:val="fr-FR"/>
              </w:rPr>
              <w:t xml:space="preserve"> </w:t>
            </w:r>
            <w:proofErr w:type="spellStart"/>
            <w:r w:rsidR="00042572" w:rsidRPr="00D756D0">
              <w:rPr>
                <w:kern w:val="22"/>
                <w:szCs w:val="22"/>
                <w:lang w:val="fr-FR"/>
              </w:rPr>
              <w:t>moving</w:t>
            </w:r>
            <w:proofErr w:type="spellEnd"/>
            <w:r w:rsidR="00042572" w:rsidRPr="00D756D0">
              <w:rPr>
                <w:kern w:val="22"/>
                <w:szCs w:val="22"/>
                <w:lang w:val="fr-FR"/>
              </w:rPr>
              <w:t xml:space="preserve"> in the right direction?” </w:t>
            </w:r>
            <w:proofErr w:type="spellStart"/>
            <w:r w:rsidR="00042572" w:rsidRPr="00D756D0">
              <w:rPr>
                <w:i/>
                <w:iCs/>
                <w:kern w:val="22"/>
                <w:szCs w:val="22"/>
                <w:lang w:val="fr-FR"/>
              </w:rPr>
              <w:t>NeoBiota</w:t>
            </w:r>
            <w:proofErr w:type="spellEnd"/>
            <w:r w:rsidR="00042572" w:rsidRPr="00D756D0">
              <w:rPr>
                <w:kern w:val="22"/>
                <w:szCs w:val="22"/>
                <w:lang w:val="fr-FR"/>
              </w:rPr>
              <w:t xml:space="preserve"> 62: 143-159, </w:t>
            </w:r>
            <w:hyperlink r:id="rId33" w:history="1">
              <w:r w:rsidR="00042572" w:rsidRPr="00D756D0">
                <w:rPr>
                  <w:rStyle w:val="Lienhypertexte"/>
                  <w:kern w:val="22"/>
                  <w:sz w:val="22"/>
                  <w:szCs w:val="22"/>
                  <w:lang w:val="fr-FR"/>
                </w:rPr>
                <w:t>https://neobiota.pensoft.net/article/53543/</w:t>
              </w:r>
            </w:hyperlink>
            <w:r w:rsidR="00042572" w:rsidRPr="00D756D0">
              <w:rPr>
                <w:kern w:val="22"/>
                <w:szCs w:val="22"/>
                <w:lang w:val="fr-FR"/>
              </w:rPr>
              <w:t>)</w:t>
            </w:r>
          </w:p>
        </w:tc>
        <w:tc>
          <w:tcPr>
            <w:tcW w:w="1550" w:type="dxa"/>
          </w:tcPr>
          <w:p w14:paraId="7851A68C" w14:textId="2068754D" w:rsidR="00FB4641" w:rsidRPr="00D756D0" w:rsidRDefault="00861A04" w:rsidP="00F300AB">
            <w:pPr>
              <w:adjustRightInd w:val="0"/>
              <w:snapToGrid w:val="0"/>
              <w:spacing w:before="60" w:after="60"/>
              <w:jc w:val="left"/>
              <w:rPr>
                <w:kern w:val="22"/>
                <w:szCs w:val="22"/>
                <w:lang w:val="fr-FR"/>
              </w:rPr>
            </w:pPr>
            <w:r w:rsidRPr="00D756D0">
              <w:rPr>
                <w:kern w:val="22"/>
                <w:szCs w:val="22"/>
                <w:lang w:val="fr-FR"/>
              </w:rPr>
              <w:lastRenderedPageBreak/>
              <w:t>Cible</w:t>
            </w:r>
            <w:r w:rsidR="00FB4641" w:rsidRPr="00D756D0">
              <w:rPr>
                <w:kern w:val="22"/>
                <w:szCs w:val="22"/>
                <w:lang w:val="fr-FR"/>
              </w:rPr>
              <w:t xml:space="preserve"> </w:t>
            </w:r>
            <w:r w:rsidR="005A3F8E" w:rsidRPr="00D756D0">
              <w:rPr>
                <w:kern w:val="22"/>
                <w:szCs w:val="22"/>
                <w:lang w:val="fr-FR"/>
              </w:rPr>
              <w:t>6</w:t>
            </w:r>
          </w:p>
        </w:tc>
      </w:tr>
      <w:tr w:rsidR="00FB4641" w:rsidRPr="00D756D0" w14:paraId="392C4C4F" w14:textId="77777777" w:rsidTr="00827EE2">
        <w:tc>
          <w:tcPr>
            <w:tcW w:w="2137" w:type="dxa"/>
          </w:tcPr>
          <w:p w14:paraId="61E17021" w14:textId="77777777"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t xml:space="preserve">Sites prioritaires </w:t>
            </w:r>
          </w:p>
          <w:p w14:paraId="174DAADC" w14:textId="2097989A" w:rsidR="00FB4641" w:rsidRPr="00D756D0" w:rsidRDefault="00861A04" w:rsidP="00861A04">
            <w:pPr>
              <w:adjustRightInd w:val="0"/>
              <w:snapToGrid w:val="0"/>
              <w:spacing w:before="60" w:after="60"/>
              <w:jc w:val="left"/>
              <w:rPr>
                <w:kern w:val="22"/>
                <w:szCs w:val="22"/>
                <w:lang w:val="fr-FR"/>
              </w:rPr>
            </w:pPr>
            <w:r w:rsidRPr="00D756D0">
              <w:rPr>
                <w:kern w:val="22"/>
                <w:szCs w:val="22"/>
                <w:lang w:val="fr-FR"/>
              </w:rPr>
              <w:t>(en relation avec les impacts des espèces exotiques envahissantes)</w:t>
            </w:r>
          </w:p>
        </w:tc>
        <w:tc>
          <w:tcPr>
            <w:tcW w:w="5938" w:type="dxa"/>
          </w:tcPr>
          <w:p w14:paraId="6FFEFAE6" w14:textId="6C8D88E3" w:rsidR="008D704F" w:rsidRPr="00D756D0" w:rsidRDefault="00C03FC7" w:rsidP="00F300AB">
            <w:pPr>
              <w:adjustRightInd w:val="0"/>
              <w:snapToGrid w:val="0"/>
              <w:spacing w:before="60" w:after="60"/>
              <w:rPr>
                <w:kern w:val="22"/>
                <w:szCs w:val="22"/>
                <w:lang w:val="fr-FR"/>
              </w:rPr>
            </w:pPr>
            <w:r w:rsidRPr="00D756D0">
              <w:rPr>
                <w:kern w:val="22"/>
                <w:szCs w:val="22"/>
                <w:lang w:val="fr-FR"/>
              </w:rPr>
              <w:t>Écosystèmes et habitats sensibles et susceptibles d'être envahis par des espèces et zones dans lesquelles les espèces exotiques envahissantes ont un impact important sur les composantes indigènes de la biodiversité, ainsi que sur les valeurs sociales, économiques ou culturelles. Les sites prioritaires peuvent comprendre des écosystèmes insulaires, des zones protégées, des sites de restauration d'écosystèmes prioritaires, des zones abritant des espèces endémiques, des zones d'agriculture et d'aquaculture intensives et des sites revêtant une importance particulière pour la biodiversité. Les sites prioritaires peuvent être désignés au niveau international et/ou national sur la base de leur état et de leur contexte</w:t>
            </w:r>
            <w:r w:rsidR="00FB4641" w:rsidRPr="00D756D0">
              <w:rPr>
                <w:kern w:val="22"/>
                <w:szCs w:val="22"/>
                <w:lang w:val="fr-FR"/>
              </w:rPr>
              <w:t>.</w:t>
            </w:r>
          </w:p>
          <w:p w14:paraId="44D5EFE2" w14:textId="0E988373" w:rsidR="00FB4641" w:rsidRPr="00D756D0" w:rsidRDefault="00FC36FA" w:rsidP="00F300AB">
            <w:pPr>
              <w:adjustRightInd w:val="0"/>
              <w:snapToGrid w:val="0"/>
              <w:spacing w:before="60" w:after="60"/>
              <w:rPr>
                <w:i/>
                <w:kern w:val="22"/>
                <w:szCs w:val="22"/>
                <w:lang w:val="fr-FR"/>
              </w:rPr>
            </w:pPr>
            <w:r w:rsidRPr="00D756D0">
              <w:rPr>
                <w:kern w:val="22"/>
                <w:szCs w:val="22"/>
                <w:lang w:val="fr-FR"/>
              </w:rPr>
              <w:t>(</w:t>
            </w:r>
            <w:r w:rsidR="00861A04" w:rsidRPr="00D756D0">
              <w:rPr>
                <w:kern w:val="22"/>
                <w:szCs w:val="22"/>
                <w:lang w:val="fr-FR"/>
              </w:rPr>
              <w:t>Voir aussi</w:t>
            </w:r>
            <w:r w:rsidRPr="00D756D0">
              <w:rPr>
                <w:kern w:val="22"/>
                <w:szCs w:val="22"/>
                <w:lang w:val="fr-FR"/>
              </w:rPr>
              <w:t xml:space="preserve"> </w:t>
            </w:r>
            <w:hyperlink r:id="rId34" w:history="1">
              <w:r w:rsidR="0043137F" w:rsidRPr="00D756D0">
                <w:rPr>
                  <w:rStyle w:val="Lienhypertexte"/>
                  <w:kern w:val="22"/>
                  <w:sz w:val="22"/>
                  <w:szCs w:val="22"/>
                  <w:lang w:val="fr-FR"/>
                </w:rPr>
                <w:t>CBD/SBSTTA/24/3/A</w:t>
              </w:r>
              <w:r w:rsidR="0043137F" w:rsidRPr="00D756D0">
                <w:rPr>
                  <w:rStyle w:val="Lienhypertexte"/>
                  <w:kern w:val="22"/>
                  <w:sz w:val="22"/>
                  <w:szCs w:val="22"/>
                  <w:lang w:val="fr-FR"/>
                </w:rPr>
                <w:t>d</w:t>
              </w:r>
              <w:r w:rsidR="0043137F" w:rsidRPr="00D756D0">
                <w:rPr>
                  <w:rStyle w:val="Lienhypertexte"/>
                  <w:kern w:val="22"/>
                  <w:sz w:val="22"/>
                  <w:szCs w:val="22"/>
                  <w:lang w:val="fr-FR"/>
                </w:rPr>
                <w:t>d.2/Rev.1</w:t>
              </w:r>
            </w:hyperlink>
            <w:r w:rsidRPr="00D756D0">
              <w:rPr>
                <w:kern w:val="22"/>
                <w:szCs w:val="22"/>
                <w:lang w:val="fr-FR"/>
              </w:rPr>
              <w:t>, par</w:t>
            </w:r>
            <w:r w:rsidR="00D330CA" w:rsidRPr="00D756D0">
              <w:rPr>
                <w:kern w:val="22"/>
                <w:szCs w:val="22"/>
                <w:lang w:val="fr-FR"/>
              </w:rPr>
              <w:t>.</w:t>
            </w:r>
            <w:r w:rsidR="00D853EB" w:rsidRPr="00D756D0">
              <w:rPr>
                <w:kern w:val="22"/>
                <w:szCs w:val="22"/>
                <w:lang w:val="fr-FR"/>
              </w:rPr>
              <w:t> </w:t>
            </w:r>
            <w:r w:rsidRPr="00D756D0">
              <w:rPr>
                <w:kern w:val="22"/>
                <w:szCs w:val="22"/>
                <w:lang w:val="fr-FR"/>
              </w:rPr>
              <w:t>76)</w:t>
            </w:r>
          </w:p>
        </w:tc>
        <w:tc>
          <w:tcPr>
            <w:tcW w:w="1550" w:type="dxa"/>
          </w:tcPr>
          <w:p w14:paraId="5E608DC9" w14:textId="6A0B34AB" w:rsidR="00FB4641" w:rsidRPr="00D756D0" w:rsidRDefault="00861A04" w:rsidP="00F300AB">
            <w:pPr>
              <w:adjustRightInd w:val="0"/>
              <w:snapToGrid w:val="0"/>
              <w:spacing w:before="60" w:after="60"/>
              <w:jc w:val="left"/>
              <w:rPr>
                <w:kern w:val="22"/>
                <w:szCs w:val="22"/>
                <w:lang w:val="fr-FR"/>
              </w:rPr>
            </w:pPr>
            <w:r w:rsidRPr="00D756D0">
              <w:rPr>
                <w:kern w:val="22"/>
                <w:szCs w:val="22"/>
                <w:lang w:val="fr-FR"/>
              </w:rPr>
              <w:t>Cible</w:t>
            </w:r>
            <w:r w:rsidR="00FB4641" w:rsidRPr="00D756D0">
              <w:rPr>
                <w:kern w:val="22"/>
                <w:szCs w:val="22"/>
                <w:lang w:val="fr-FR"/>
              </w:rPr>
              <w:t xml:space="preserve"> </w:t>
            </w:r>
            <w:r w:rsidR="00AF164C" w:rsidRPr="00D756D0">
              <w:rPr>
                <w:kern w:val="22"/>
                <w:szCs w:val="22"/>
                <w:lang w:val="fr-FR"/>
              </w:rPr>
              <w:t>6</w:t>
            </w:r>
          </w:p>
        </w:tc>
      </w:tr>
      <w:tr w:rsidR="00861A04" w:rsidRPr="00D756D0" w14:paraId="6A9783A8" w14:textId="77777777" w:rsidTr="00827EE2">
        <w:tc>
          <w:tcPr>
            <w:tcW w:w="2137" w:type="dxa"/>
          </w:tcPr>
          <w:p w14:paraId="2EC9DB1D" w14:textId="39891323" w:rsidR="00861A04" w:rsidRPr="00D756D0" w:rsidRDefault="00861A04" w:rsidP="00861A04">
            <w:pPr>
              <w:adjustRightInd w:val="0"/>
              <w:snapToGrid w:val="0"/>
              <w:spacing w:before="60" w:after="60"/>
              <w:rPr>
                <w:kern w:val="22"/>
                <w:szCs w:val="22"/>
                <w:lang w:val="fr-FR"/>
              </w:rPr>
            </w:pPr>
            <w:r w:rsidRPr="00D756D0">
              <w:rPr>
                <w:lang w:val="fr-FR"/>
              </w:rPr>
              <w:t>Pesticides</w:t>
            </w:r>
          </w:p>
        </w:tc>
        <w:tc>
          <w:tcPr>
            <w:tcW w:w="5938" w:type="dxa"/>
          </w:tcPr>
          <w:p w14:paraId="57EA5828" w14:textId="78AEC364" w:rsidR="00C03FC7" w:rsidRPr="00D756D0" w:rsidRDefault="00C03FC7" w:rsidP="00861A04">
            <w:pPr>
              <w:adjustRightInd w:val="0"/>
              <w:snapToGrid w:val="0"/>
              <w:spacing w:before="60" w:after="60"/>
              <w:rPr>
                <w:kern w:val="22"/>
                <w:szCs w:val="22"/>
                <w:lang w:val="fr-FR"/>
              </w:rPr>
            </w:pPr>
            <w:r w:rsidRPr="00D756D0">
              <w:rPr>
                <w:kern w:val="22"/>
                <w:szCs w:val="22"/>
                <w:lang w:val="fr-FR"/>
              </w:rPr>
              <w:t xml:space="preserve">On entend par pesticide toute substance ou mélange de substances d'ingrédients chimiques ou biologiques destinés à repousser, détruire ou contrôler les organismes vivants indésirables qui </w:t>
            </w:r>
            <w:r w:rsidRPr="00D756D0">
              <w:rPr>
                <w:kern w:val="22"/>
                <w:szCs w:val="22"/>
                <w:lang w:val="fr-FR"/>
              </w:rPr>
              <w:t>nuisent</w:t>
            </w:r>
            <w:r w:rsidRPr="00D756D0">
              <w:rPr>
                <w:kern w:val="22"/>
                <w:szCs w:val="22"/>
                <w:lang w:val="fr-FR"/>
              </w:rPr>
              <w:t xml:space="preserve"> à la santé des personnes, des cultures ou des animaux ou à l'environnement, ou qui peuvent nuire aux activités humaines.</w:t>
            </w:r>
          </w:p>
          <w:p w14:paraId="10E7A86D" w14:textId="2D66CF70"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t>(FAO, O</w:t>
            </w:r>
            <w:r w:rsidR="00C03FC7" w:rsidRPr="00D756D0">
              <w:rPr>
                <w:kern w:val="22"/>
                <w:szCs w:val="22"/>
                <w:lang w:val="fr-FR"/>
              </w:rPr>
              <w:t>MS</w:t>
            </w:r>
            <w:r w:rsidRPr="00D756D0">
              <w:rPr>
                <w:kern w:val="22"/>
                <w:szCs w:val="22"/>
                <w:lang w:val="fr-FR"/>
              </w:rPr>
              <w:t xml:space="preserve">, </w:t>
            </w:r>
            <w:r w:rsidR="00C03FC7" w:rsidRPr="00D756D0">
              <w:rPr>
                <w:i/>
                <w:iCs/>
                <w:kern w:val="22"/>
                <w:szCs w:val="22"/>
                <w:lang w:val="fr-FR"/>
              </w:rPr>
              <w:t>Code de conduite international sur la gestion des pesticides</w:t>
            </w:r>
            <w:r w:rsidRPr="00D756D0">
              <w:rPr>
                <w:kern w:val="22"/>
                <w:szCs w:val="22"/>
                <w:lang w:val="fr-FR"/>
              </w:rPr>
              <w:t>, 2014.</w:t>
            </w:r>
            <w:r w:rsidRPr="00D756D0">
              <w:rPr>
                <w:kern w:val="22"/>
                <w:szCs w:val="22"/>
                <w:lang w:val="fr-FR"/>
              </w:rPr>
              <w:br/>
            </w:r>
            <w:hyperlink r:id="rId35" w:history="1">
              <w:r w:rsidR="00C03FC7" w:rsidRPr="00D756D0">
                <w:rPr>
                  <w:rStyle w:val="Lienhypertexte"/>
                  <w:kern w:val="22"/>
                  <w:sz w:val="22"/>
                  <w:szCs w:val="22"/>
                  <w:lang w:val="fr-FR"/>
                </w:rPr>
                <w:t>http://www.fao.org/fileadmin/templates/agphome/documents/Pests_Pesticides/Code/Code_French_2</w:t>
              </w:r>
              <w:r w:rsidR="00C03FC7" w:rsidRPr="00D756D0">
                <w:rPr>
                  <w:rStyle w:val="Lienhypertexte"/>
                  <w:kern w:val="22"/>
                  <w:sz w:val="22"/>
                  <w:szCs w:val="22"/>
                  <w:lang w:val="fr-FR"/>
                </w:rPr>
                <w:t>0</w:t>
              </w:r>
              <w:r w:rsidR="00C03FC7" w:rsidRPr="00D756D0">
                <w:rPr>
                  <w:rStyle w:val="Lienhypertexte"/>
                  <w:kern w:val="22"/>
                  <w:sz w:val="22"/>
                  <w:szCs w:val="22"/>
                  <w:lang w:val="fr-FR"/>
                </w:rPr>
                <w:t>15_Final.pdf</w:t>
              </w:r>
            </w:hyperlink>
            <w:r w:rsidRPr="00D756D0">
              <w:rPr>
                <w:kern w:val="22"/>
                <w:szCs w:val="22"/>
                <w:lang w:val="fr-FR"/>
              </w:rPr>
              <w:t>)</w:t>
            </w:r>
          </w:p>
        </w:tc>
        <w:tc>
          <w:tcPr>
            <w:tcW w:w="1550" w:type="dxa"/>
          </w:tcPr>
          <w:p w14:paraId="22351C9D" w14:textId="77777777" w:rsidR="00861A04" w:rsidRPr="00D756D0" w:rsidRDefault="00861A04" w:rsidP="00861A04">
            <w:pPr>
              <w:adjustRightInd w:val="0"/>
              <w:snapToGrid w:val="0"/>
              <w:spacing w:before="60" w:after="60"/>
              <w:jc w:val="left"/>
              <w:rPr>
                <w:kern w:val="22"/>
                <w:szCs w:val="22"/>
                <w:lang w:val="fr-FR"/>
              </w:rPr>
            </w:pPr>
          </w:p>
        </w:tc>
      </w:tr>
      <w:tr w:rsidR="00861A04" w:rsidRPr="00D756D0" w14:paraId="4C849ABB" w14:textId="77777777" w:rsidTr="00827EE2">
        <w:tc>
          <w:tcPr>
            <w:tcW w:w="2137" w:type="dxa"/>
          </w:tcPr>
          <w:p w14:paraId="29BB5E0F" w14:textId="20FA8BDC" w:rsidR="00861A04" w:rsidRPr="0095145B" w:rsidRDefault="0095145B" w:rsidP="0095145B">
            <w:pPr>
              <w:adjustRightInd w:val="0"/>
              <w:snapToGrid w:val="0"/>
              <w:spacing w:before="60" w:after="60"/>
              <w:rPr>
                <w:lang w:val="fr-FR"/>
              </w:rPr>
            </w:pPr>
            <w:r>
              <w:rPr>
                <w:lang w:val="fr-FR"/>
              </w:rPr>
              <w:t>A</w:t>
            </w:r>
            <w:r w:rsidRPr="0095145B">
              <w:rPr>
                <w:lang w:val="fr-FR"/>
              </w:rPr>
              <w:t>pproches fondées sur les</w:t>
            </w:r>
            <w:r>
              <w:rPr>
                <w:lang w:val="fr-FR"/>
              </w:rPr>
              <w:t xml:space="preserve"> </w:t>
            </w:r>
            <w:r w:rsidRPr="0095145B">
              <w:rPr>
                <w:lang w:val="fr-FR"/>
              </w:rPr>
              <w:t>écosystèmes</w:t>
            </w:r>
          </w:p>
        </w:tc>
        <w:tc>
          <w:tcPr>
            <w:tcW w:w="5938" w:type="dxa"/>
          </w:tcPr>
          <w:p w14:paraId="14142FC8" w14:textId="1C78B388" w:rsidR="00861A04" w:rsidRPr="00D756D0" w:rsidRDefault="00C03FC7" w:rsidP="00861A04">
            <w:pPr>
              <w:adjustRightInd w:val="0"/>
              <w:snapToGrid w:val="0"/>
              <w:spacing w:before="60" w:after="60"/>
              <w:rPr>
                <w:iCs/>
                <w:kern w:val="22"/>
                <w:szCs w:val="22"/>
                <w:lang w:val="fr-FR"/>
              </w:rPr>
            </w:pPr>
            <w:r w:rsidRPr="00D756D0">
              <w:rPr>
                <w:iCs/>
                <w:kern w:val="22"/>
                <w:szCs w:val="22"/>
                <w:lang w:val="fr-FR"/>
              </w:rPr>
              <w:t>S'entend de l'utilisation de la biodiversité et des services écosystémiques dans le cadre d'une stratégie d'adaptation globale visant à aider les populations à s'adapter aux effets néfastes des changements climatiques. Ce terme peut désigner un large éventail d'activités de gestion des écosystèmes visant à accroître la résilience et à réduire la vulnérabilité des personnes et de l'environnement, notamment aux changements climatiques et aux catastrophes</w:t>
            </w:r>
            <w:r w:rsidR="00861A04" w:rsidRPr="00D756D0">
              <w:rPr>
                <w:iCs/>
                <w:kern w:val="22"/>
                <w:szCs w:val="22"/>
                <w:lang w:val="fr-FR"/>
              </w:rPr>
              <w:t>.</w:t>
            </w:r>
          </w:p>
          <w:p w14:paraId="0BBA409D" w14:textId="0DF423B1" w:rsidR="00861A04" w:rsidRPr="00D756D0" w:rsidRDefault="00861A04" w:rsidP="00861A04">
            <w:pPr>
              <w:adjustRightInd w:val="0"/>
              <w:snapToGrid w:val="0"/>
              <w:spacing w:before="60" w:after="60"/>
              <w:jc w:val="left"/>
              <w:rPr>
                <w:i/>
                <w:kern w:val="22"/>
                <w:szCs w:val="22"/>
                <w:lang w:val="fr-FR"/>
              </w:rPr>
            </w:pPr>
            <w:r w:rsidRPr="00D756D0">
              <w:rPr>
                <w:iCs/>
                <w:kern w:val="22"/>
                <w:szCs w:val="22"/>
                <w:lang w:val="fr-FR"/>
              </w:rPr>
              <w:t>(</w:t>
            </w:r>
            <w:r w:rsidRPr="00D756D0">
              <w:rPr>
                <w:i/>
                <w:kern w:val="22"/>
                <w:szCs w:val="22"/>
                <w:lang w:val="fr-FR"/>
              </w:rPr>
              <w:t xml:space="preserve">CBD </w:t>
            </w:r>
            <w:proofErr w:type="spellStart"/>
            <w:r w:rsidRPr="00D756D0">
              <w:rPr>
                <w:i/>
                <w:kern w:val="22"/>
                <w:szCs w:val="22"/>
                <w:lang w:val="fr-FR"/>
              </w:rPr>
              <w:t>Technical</w:t>
            </w:r>
            <w:proofErr w:type="spellEnd"/>
            <w:r w:rsidRPr="00D756D0">
              <w:rPr>
                <w:i/>
                <w:kern w:val="22"/>
                <w:szCs w:val="22"/>
                <w:lang w:val="fr-FR"/>
              </w:rPr>
              <w:t xml:space="preserve"> </w:t>
            </w:r>
            <w:proofErr w:type="spellStart"/>
            <w:r w:rsidRPr="00D756D0">
              <w:rPr>
                <w:i/>
                <w:kern w:val="22"/>
                <w:szCs w:val="22"/>
                <w:lang w:val="fr-FR"/>
              </w:rPr>
              <w:t>Series</w:t>
            </w:r>
            <w:proofErr w:type="spellEnd"/>
            <w:r w:rsidRPr="00D756D0">
              <w:rPr>
                <w:i/>
                <w:kern w:val="22"/>
                <w:szCs w:val="22"/>
                <w:lang w:val="fr-FR"/>
              </w:rPr>
              <w:t xml:space="preserve"> No. 85</w:t>
            </w:r>
            <w:r w:rsidRPr="00D756D0">
              <w:rPr>
                <w:iCs/>
                <w:kern w:val="22"/>
                <w:szCs w:val="22"/>
                <w:lang w:val="fr-FR"/>
              </w:rPr>
              <w:t xml:space="preserve">, </w:t>
            </w:r>
            <w:proofErr w:type="spellStart"/>
            <w:r w:rsidRPr="00D756D0">
              <w:rPr>
                <w:i/>
                <w:kern w:val="22"/>
                <w:szCs w:val="22"/>
                <w:lang w:val="fr-FR"/>
              </w:rPr>
              <w:t>Synthesis</w:t>
            </w:r>
            <w:proofErr w:type="spellEnd"/>
            <w:r w:rsidRPr="00D756D0">
              <w:rPr>
                <w:i/>
                <w:kern w:val="22"/>
                <w:szCs w:val="22"/>
                <w:lang w:val="fr-FR"/>
              </w:rPr>
              <w:t xml:space="preserve"> Report on </w:t>
            </w:r>
            <w:proofErr w:type="spellStart"/>
            <w:r w:rsidRPr="00D756D0">
              <w:rPr>
                <w:i/>
                <w:kern w:val="22"/>
                <w:szCs w:val="22"/>
                <w:lang w:val="fr-FR"/>
              </w:rPr>
              <w:t>Experiences</w:t>
            </w:r>
            <w:proofErr w:type="spellEnd"/>
            <w:r w:rsidRPr="00D756D0">
              <w:rPr>
                <w:i/>
                <w:kern w:val="22"/>
                <w:szCs w:val="22"/>
                <w:lang w:val="fr-FR"/>
              </w:rPr>
              <w:t xml:space="preserve"> </w:t>
            </w:r>
            <w:proofErr w:type="spellStart"/>
            <w:r w:rsidRPr="00D756D0">
              <w:rPr>
                <w:i/>
                <w:kern w:val="22"/>
                <w:szCs w:val="22"/>
                <w:lang w:val="fr-FR"/>
              </w:rPr>
              <w:t>with</w:t>
            </w:r>
            <w:proofErr w:type="spellEnd"/>
            <w:r w:rsidRPr="00D756D0">
              <w:rPr>
                <w:i/>
                <w:kern w:val="22"/>
                <w:szCs w:val="22"/>
                <w:lang w:val="fr-FR"/>
              </w:rPr>
              <w:t xml:space="preserve"> </w:t>
            </w:r>
            <w:proofErr w:type="spellStart"/>
            <w:r w:rsidRPr="00D756D0">
              <w:rPr>
                <w:i/>
                <w:kern w:val="22"/>
                <w:szCs w:val="22"/>
                <w:lang w:val="fr-FR"/>
              </w:rPr>
              <w:t>Ecosystem-Based</w:t>
            </w:r>
            <w:proofErr w:type="spellEnd"/>
            <w:r w:rsidRPr="00D756D0">
              <w:rPr>
                <w:i/>
                <w:kern w:val="22"/>
                <w:szCs w:val="22"/>
                <w:lang w:val="fr-FR"/>
              </w:rPr>
              <w:t xml:space="preserve"> </w:t>
            </w:r>
            <w:proofErr w:type="spellStart"/>
            <w:r w:rsidRPr="00D756D0">
              <w:rPr>
                <w:i/>
                <w:kern w:val="22"/>
                <w:szCs w:val="22"/>
                <w:lang w:val="fr-FR"/>
              </w:rPr>
              <w:t>Approaches</w:t>
            </w:r>
            <w:proofErr w:type="spellEnd"/>
            <w:r w:rsidRPr="00D756D0">
              <w:rPr>
                <w:i/>
                <w:kern w:val="22"/>
                <w:szCs w:val="22"/>
                <w:lang w:val="fr-FR"/>
              </w:rPr>
              <w:t xml:space="preserve"> to </w:t>
            </w:r>
            <w:proofErr w:type="spellStart"/>
            <w:r w:rsidRPr="00D756D0">
              <w:rPr>
                <w:i/>
                <w:kern w:val="22"/>
                <w:szCs w:val="22"/>
                <w:lang w:val="fr-FR"/>
              </w:rPr>
              <w:t>Climate</w:t>
            </w:r>
            <w:proofErr w:type="spellEnd"/>
            <w:r w:rsidRPr="00D756D0">
              <w:rPr>
                <w:i/>
                <w:kern w:val="22"/>
                <w:szCs w:val="22"/>
                <w:lang w:val="fr-FR"/>
              </w:rPr>
              <w:t xml:space="preserve"> Change Adaptation and </w:t>
            </w:r>
            <w:proofErr w:type="spellStart"/>
            <w:r w:rsidRPr="00D756D0">
              <w:rPr>
                <w:i/>
                <w:kern w:val="22"/>
                <w:szCs w:val="22"/>
                <w:lang w:val="fr-FR"/>
              </w:rPr>
              <w:t>Disaster</w:t>
            </w:r>
            <w:proofErr w:type="spellEnd"/>
            <w:r w:rsidRPr="00D756D0">
              <w:rPr>
                <w:i/>
                <w:kern w:val="22"/>
                <w:szCs w:val="22"/>
                <w:lang w:val="fr-FR"/>
              </w:rPr>
              <w:t xml:space="preserve"> </w:t>
            </w:r>
            <w:proofErr w:type="spellStart"/>
            <w:r w:rsidRPr="00D756D0">
              <w:rPr>
                <w:i/>
                <w:kern w:val="22"/>
                <w:szCs w:val="22"/>
                <w:lang w:val="fr-FR"/>
              </w:rPr>
              <w:t>Risk</w:t>
            </w:r>
            <w:proofErr w:type="spellEnd"/>
            <w:r w:rsidRPr="00D756D0">
              <w:rPr>
                <w:i/>
                <w:kern w:val="22"/>
                <w:szCs w:val="22"/>
                <w:lang w:val="fr-FR"/>
              </w:rPr>
              <w:t xml:space="preserve"> </w:t>
            </w:r>
            <w:proofErr w:type="spellStart"/>
            <w:r w:rsidRPr="00D756D0">
              <w:rPr>
                <w:i/>
                <w:kern w:val="22"/>
                <w:szCs w:val="22"/>
                <w:lang w:val="fr-FR"/>
              </w:rPr>
              <w:t>Reduction</w:t>
            </w:r>
            <w:proofErr w:type="spellEnd"/>
            <w:r w:rsidRPr="00D756D0">
              <w:rPr>
                <w:iCs/>
                <w:kern w:val="22"/>
                <w:szCs w:val="22"/>
                <w:lang w:val="fr-FR"/>
              </w:rPr>
              <w:t>, 2016.</w:t>
            </w:r>
            <w:r w:rsidRPr="00D756D0">
              <w:rPr>
                <w:iCs/>
                <w:kern w:val="22"/>
                <w:szCs w:val="22"/>
                <w:lang w:val="fr-FR"/>
              </w:rPr>
              <w:br/>
            </w:r>
            <w:hyperlink r:id="rId36" w:history="1">
              <w:r w:rsidRPr="00D756D0">
                <w:rPr>
                  <w:rStyle w:val="Lienhypertexte"/>
                  <w:iCs/>
                  <w:kern w:val="22"/>
                  <w:sz w:val="22"/>
                  <w:szCs w:val="22"/>
                  <w:lang w:val="fr-FR"/>
                </w:rPr>
                <w:t>https://www.cbd.</w:t>
              </w:r>
              <w:r w:rsidRPr="00D756D0">
                <w:rPr>
                  <w:rStyle w:val="Lienhypertexte"/>
                  <w:iCs/>
                  <w:kern w:val="22"/>
                  <w:sz w:val="22"/>
                  <w:szCs w:val="22"/>
                  <w:lang w:val="fr-FR"/>
                </w:rPr>
                <w:t>i</w:t>
              </w:r>
              <w:r w:rsidRPr="00D756D0">
                <w:rPr>
                  <w:rStyle w:val="Lienhypertexte"/>
                  <w:iCs/>
                  <w:kern w:val="22"/>
                  <w:sz w:val="22"/>
                  <w:szCs w:val="22"/>
                  <w:lang w:val="fr-FR"/>
                </w:rPr>
                <w:t>nt/doc/publicati</w:t>
              </w:r>
              <w:r w:rsidRPr="00D756D0">
                <w:rPr>
                  <w:rStyle w:val="Lienhypertexte"/>
                  <w:iCs/>
                  <w:kern w:val="22"/>
                  <w:sz w:val="22"/>
                  <w:szCs w:val="22"/>
                  <w:lang w:val="fr-FR"/>
                </w:rPr>
                <w:t>o</w:t>
              </w:r>
              <w:r w:rsidRPr="00D756D0">
                <w:rPr>
                  <w:rStyle w:val="Lienhypertexte"/>
                  <w:iCs/>
                  <w:kern w:val="22"/>
                  <w:sz w:val="22"/>
                  <w:szCs w:val="22"/>
                  <w:lang w:val="fr-FR"/>
                </w:rPr>
                <w:t>ns/cbd-ts-8</w:t>
              </w:r>
              <w:r w:rsidRPr="00D756D0">
                <w:rPr>
                  <w:rStyle w:val="Lienhypertexte"/>
                  <w:iCs/>
                  <w:kern w:val="22"/>
                  <w:sz w:val="22"/>
                  <w:szCs w:val="22"/>
                  <w:lang w:val="fr-FR"/>
                </w:rPr>
                <w:t>5</w:t>
              </w:r>
              <w:r w:rsidRPr="00D756D0">
                <w:rPr>
                  <w:rStyle w:val="Lienhypertexte"/>
                  <w:iCs/>
                  <w:kern w:val="22"/>
                  <w:sz w:val="22"/>
                  <w:szCs w:val="22"/>
                  <w:lang w:val="fr-FR"/>
                </w:rPr>
                <w:t>-en.pdf</w:t>
              </w:r>
            </w:hyperlink>
            <w:r w:rsidRPr="00D756D0">
              <w:rPr>
                <w:iCs/>
                <w:kern w:val="22"/>
                <w:szCs w:val="22"/>
                <w:lang w:val="fr-FR"/>
              </w:rPr>
              <w:t>, p. 16)</w:t>
            </w:r>
          </w:p>
        </w:tc>
        <w:tc>
          <w:tcPr>
            <w:tcW w:w="1550" w:type="dxa"/>
          </w:tcPr>
          <w:p w14:paraId="034D6E14" w14:textId="04BE5C1C" w:rsidR="00861A04" w:rsidRPr="00D756D0" w:rsidRDefault="00861A04" w:rsidP="00861A04">
            <w:pPr>
              <w:adjustRightInd w:val="0"/>
              <w:snapToGrid w:val="0"/>
              <w:spacing w:before="60" w:after="60"/>
              <w:jc w:val="left"/>
              <w:rPr>
                <w:i/>
                <w:kern w:val="22"/>
                <w:szCs w:val="22"/>
                <w:lang w:val="fr-FR"/>
              </w:rPr>
            </w:pPr>
            <w:r w:rsidRPr="00D756D0">
              <w:rPr>
                <w:kern w:val="22"/>
                <w:szCs w:val="22"/>
                <w:lang w:val="fr-FR"/>
              </w:rPr>
              <w:t>Cible 8</w:t>
            </w:r>
          </w:p>
        </w:tc>
      </w:tr>
      <w:tr w:rsidR="00861A04" w:rsidRPr="00D756D0" w14:paraId="667B5F9A" w14:textId="77777777" w:rsidTr="00827EE2">
        <w:tc>
          <w:tcPr>
            <w:tcW w:w="2137" w:type="dxa"/>
          </w:tcPr>
          <w:p w14:paraId="333ECBEC" w14:textId="360C8F62" w:rsidR="00861A04" w:rsidRPr="00D756D0" w:rsidRDefault="00861A04" w:rsidP="00861A04">
            <w:pPr>
              <w:adjustRightInd w:val="0"/>
              <w:snapToGrid w:val="0"/>
              <w:spacing w:before="60" w:after="60"/>
              <w:rPr>
                <w:kern w:val="22"/>
                <w:szCs w:val="22"/>
                <w:lang w:val="fr-FR"/>
              </w:rPr>
            </w:pPr>
            <w:r w:rsidRPr="00D756D0">
              <w:rPr>
                <w:lang w:val="fr-FR"/>
              </w:rPr>
              <w:t>Agriculture durable</w:t>
            </w:r>
          </w:p>
        </w:tc>
        <w:tc>
          <w:tcPr>
            <w:tcW w:w="5938" w:type="dxa"/>
          </w:tcPr>
          <w:p w14:paraId="0B21F4C7" w14:textId="612B80C7" w:rsidR="00861A04" w:rsidRPr="00D756D0" w:rsidRDefault="00C03FC7" w:rsidP="00861A04">
            <w:pPr>
              <w:adjustRightInd w:val="0"/>
              <w:snapToGrid w:val="0"/>
              <w:spacing w:before="60" w:after="60"/>
              <w:rPr>
                <w:kern w:val="22"/>
                <w:szCs w:val="22"/>
                <w:lang w:val="fr-FR"/>
              </w:rPr>
            </w:pPr>
            <w:r w:rsidRPr="00D756D0">
              <w:rPr>
                <w:kern w:val="22"/>
                <w:szCs w:val="22"/>
                <w:lang w:val="fr-FR"/>
              </w:rPr>
              <w:t>La nouvelle vision de la FAO en faveur de l’alimentation et de l’agriculture durables est celle d’un monde dans lequel des aliments nutritifs sont accessibles à tous et la gestion des ressources naturelles préserve les fonctions des écosystèmes de façon à répondre aux besoins actuels et futurs de l’humanité</w:t>
            </w:r>
            <w:r w:rsidR="00861A04" w:rsidRPr="00D756D0">
              <w:rPr>
                <w:kern w:val="22"/>
                <w:szCs w:val="22"/>
                <w:lang w:val="fr-FR"/>
              </w:rPr>
              <w:t>.</w:t>
            </w:r>
          </w:p>
          <w:p w14:paraId="30B83A2E" w14:textId="556D04FF" w:rsidR="00861A04" w:rsidRPr="00D756D0" w:rsidRDefault="00861A04" w:rsidP="00861A04">
            <w:pPr>
              <w:adjustRightInd w:val="0"/>
              <w:snapToGrid w:val="0"/>
              <w:spacing w:before="60" w:after="60"/>
              <w:rPr>
                <w:kern w:val="22"/>
                <w:szCs w:val="22"/>
                <w:lang w:val="fr-FR"/>
              </w:rPr>
            </w:pPr>
            <w:r w:rsidRPr="00D756D0">
              <w:rPr>
                <w:kern w:val="22"/>
                <w:szCs w:val="22"/>
                <w:lang w:val="fr-FR"/>
              </w:rPr>
              <w:t>(</w:t>
            </w:r>
            <w:hyperlink r:id="rId37" w:history="1">
              <w:r w:rsidR="00C03FC7" w:rsidRPr="00D756D0">
                <w:rPr>
                  <w:rStyle w:val="Lienhypertexte"/>
                  <w:kern w:val="22"/>
                  <w:sz w:val="22"/>
                  <w:szCs w:val="22"/>
                  <w:lang w:val="fr-FR"/>
                </w:rPr>
                <w:t>http://www.fao.org/sustain</w:t>
              </w:r>
              <w:r w:rsidR="00C03FC7" w:rsidRPr="00D756D0">
                <w:rPr>
                  <w:rStyle w:val="Lienhypertexte"/>
                  <w:kern w:val="22"/>
                  <w:sz w:val="22"/>
                  <w:szCs w:val="22"/>
                  <w:lang w:val="fr-FR"/>
                </w:rPr>
                <w:t>a</w:t>
              </w:r>
              <w:r w:rsidR="00C03FC7" w:rsidRPr="00D756D0">
                <w:rPr>
                  <w:rStyle w:val="Lienhypertexte"/>
                  <w:kern w:val="22"/>
                  <w:sz w:val="22"/>
                  <w:szCs w:val="22"/>
                  <w:lang w:val="fr-FR"/>
                </w:rPr>
                <w:t>bility/backgro</w:t>
              </w:r>
              <w:r w:rsidR="00C03FC7" w:rsidRPr="00D756D0">
                <w:rPr>
                  <w:rStyle w:val="Lienhypertexte"/>
                  <w:kern w:val="22"/>
                  <w:sz w:val="22"/>
                  <w:szCs w:val="22"/>
                  <w:lang w:val="fr-FR"/>
                </w:rPr>
                <w:t>u</w:t>
              </w:r>
              <w:r w:rsidR="00C03FC7" w:rsidRPr="00D756D0">
                <w:rPr>
                  <w:rStyle w:val="Lienhypertexte"/>
                  <w:kern w:val="22"/>
                  <w:sz w:val="22"/>
                  <w:szCs w:val="22"/>
                  <w:lang w:val="fr-FR"/>
                </w:rPr>
                <w:t>nd/fr/</w:t>
              </w:r>
            </w:hyperlink>
            <w:r w:rsidRPr="00D756D0">
              <w:rPr>
                <w:kern w:val="22"/>
                <w:szCs w:val="22"/>
                <w:lang w:val="fr-FR"/>
              </w:rPr>
              <w:t>)</w:t>
            </w:r>
          </w:p>
        </w:tc>
        <w:tc>
          <w:tcPr>
            <w:tcW w:w="1550" w:type="dxa"/>
          </w:tcPr>
          <w:p w14:paraId="269CBFEB" w14:textId="586CED34"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t xml:space="preserve">Cible 9 </w:t>
            </w:r>
          </w:p>
        </w:tc>
      </w:tr>
      <w:tr w:rsidR="00861A04" w:rsidRPr="00D756D0" w14:paraId="751EF506" w14:textId="77777777" w:rsidTr="00827EE2">
        <w:tc>
          <w:tcPr>
            <w:tcW w:w="2137" w:type="dxa"/>
          </w:tcPr>
          <w:p w14:paraId="206B8DA2" w14:textId="703D1439" w:rsidR="00861A04" w:rsidRPr="00D756D0" w:rsidRDefault="00861A04" w:rsidP="00861A04">
            <w:pPr>
              <w:adjustRightInd w:val="0"/>
              <w:snapToGrid w:val="0"/>
              <w:spacing w:before="60" w:after="60"/>
              <w:jc w:val="left"/>
              <w:rPr>
                <w:kern w:val="22"/>
                <w:szCs w:val="22"/>
                <w:lang w:val="fr-FR"/>
              </w:rPr>
            </w:pPr>
            <w:r w:rsidRPr="00D756D0">
              <w:rPr>
                <w:lang w:val="fr-FR"/>
              </w:rPr>
              <w:t>Valeurs de la biodiversité</w:t>
            </w:r>
          </w:p>
        </w:tc>
        <w:tc>
          <w:tcPr>
            <w:tcW w:w="5938" w:type="dxa"/>
          </w:tcPr>
          <w:p w14:paraId="592549CE" w14:textId="4A24F159" w:rsidR="00861A04" w:rsidRPr="00D756D0" w:rsidRDefault="00C03FC7" w:rsidP="00861A04">
            <w:pPr>
              <w:adjustRightInd w:val="0"/>
              <w:snapToGrid w:val="0"/>
              <w:spacing w:before="60" w:after="60"/>
              <w:rPr>
                <w:kern w:val="22"/>
                <w:szCs w:val="22"/>
                <w:lang w:val="fr-FR"/>
              </w:rPr>
            </w:pPr>
            <w:r w:rsidRPr="00D756D0">
              <w:rPr>
                <w:kern w:val="22"/>
                <w:szCs w:val="22"/>
                <w:lang w:val="fr-FR"/>
              </w:rPr>
              <w:t xml:space="preserve">Les valeurs de la biodiversité comprennent diverses considérations d'ordre économique, culturel, social et intrinsèque. L'évaluation et les valeurs de la biodiversité nécessitent la reconnaissance d'un large éventail de visions du monde et de </w:t>
            </w:r>
            <w:r w:rsidRPr="00D756D0">
              <w:rPr>
                <w:kern w:val="22"/>
                <w:szCs w:val="22"/>
                <w:lang w:val="fr-FR"/>
              </w:rPr>
              <w:lastRenderedPageBreak/>
              <w:t>dimensions de valeur plurielles de la signification et de l'importance de la nature associée à la qualité de la vie humaine, considérée comme interdépendante en termes de perspectives biophysiques, socioculturelles, économiques, sanitaires ou holistiques</w:t>
            </w:r>
            <w:r w:rsidR="00861A04" w:rsidRPr="00D756D0">
              <w:rPr>
                <w:kern w:val="22"/>
                <w:szCs w:val="22"/>
                <w:lang w:val="fr-FR"/>
              </w:rPr>
              <w:t>.</w:t>
            </w:r>
          </w:p>
        </w:tc>
        <w:tc>
          <w:tcPr>
            <w:tcW w:w="1550" w:type="dxa"/>
          </w:tcPr>
          <w:p w14:paraId="068D4865" w14:textId="2C600D8A"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lastRenderedPageBreak/>
              <w:t>Cible 14</w:t>
            </w:r>
          </w:p>
        </w:tc>
      </w:tr>
      <w:tr w:rsidR="00861A04" w:rsidRPr="00D756D0" w14:paraId="711E79C8" w14:textId="77777777" w:rsidTr="00827EE2">
        <w:tc>
          <w:tcPr>
            <w:tcW w:w="2137" w:type="dxa"/>
          </w:tcPr>
          <w:p w14:paraId="3FAAD912" w14:textId="43B9C61F" w:rsidR="00861A04" w:rsidRPr="00D756D0" w:rsidRDefault="00861A04" w:rsidP="00861A04">
            <w:pPr>
              <w:adjustRightInd w:val="0"/>
              <w:snapToGrid w:val="0"/>
              <w:spacing w:before="60" w:after="60"/>
              <w:rPr>
                <w:kern w:val="22"/>
                <w:szCs w:val="22"/>
                <w:lang w:val="fr-FR"/>
              </w:rPr>
            </w:pPr>
            <w:r w:rsidRPr="00D756D0">
              <w:rPr>
                <w:lang w:val="fr-FR"/>
              </w:rPr>
              <w:t>Choix responsables</w:t>
            </w:r>
          </w:p>
        </w:tc>
        <w:tc>
          <w:tcPr>
            <w:tcW w:w="5938" w:type="dxa"/>
          </w:tcPr>
          <w:p w14:paraId="185664FA" w14:textId="57B2A3B6" w:rsidR="00861A04" w:rsidRPr="00D756D0" w:rsidRDefault="00C03FC7" w:rsidP="00861A04">
            <w:pPr>
              <w:adjustRightInd w:val="0"/>
              <w:snapToGrid w:val="0"/>
              <w:spacing w:before="60" w:after="60"/>
              <w:rPr>
                <w:kern w:val="22"/>
                <w:szCs w:val="22"/>
                <w:lang w:val="fr-FR"/>
              </w:rPr>
            </w:pPr>
            <w:r w:rsidRPr="00D756D0">
              <w:rPr>
                <w:kern w:val="22"/>
                <w:szCs w:val="22"/>
                <w:lang w:val="fr-FR"/>
              </w:rPr>
              <w:t>Il est essentiel de faire des choix responsables pour éliminer les modes de consommation non durables, en commençant par faire en sorte que les gens, où qu'ils soient, comprennent et apprécient la valeur de la biodiversité.</w:t>
            </w:r>
          </w:p>
        </w:tc>
        <w:tc>
          <w:tcPr>
            <w:tcW w:w="1550" w:type="dxa"/>
          </w:tcPr>
          <w:p w14:paraId="456C91B4" w14:textId="62E0B3F9"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t xml:space="preserve">Cible 16 </w:t>
            </w:r>
          </w:p>
        </w:tc>
      </w:tr>
      <w:tr w:rsidR="00861A04" w:rsidRPr="00D756D0" w14:paraId="32AA6248" w14:textId="77777777" w:rsidTr="00827EE2">
        <w:tc>
          <w:tcPr>
            <w:tcW w:w="2137" w:type="dxa"/>
          </w:tcPr>
          <w:p w14:paraId="3932F43A" w14:textId="181F46CF" w:rsidR="00861A04" w:rsidRPr="00D756D0" w:rsidRDefault="00861A04" w:rsidP="00861A04">
            <w:pPr>
              <w:adjustRightInd w:val="0"/>
              <w:snapToGrid w:val="0"/>
              <w:spacing w:before="60" w:after="60"/>
              <w:rPr>
                <w:kern w:val="22"/>
                <w:szCs w:val="22"/>
                <w:lang w:val="fr-FR"/>
              </w:rPr>
            </w:pPr>
            <w:r w:rsidRPr="00D756D0">
              <w:rPr>
                <w:lang w:val="fr-FR"/>
              </w:rPr>
              <w:t>Biotechnologie</w:t>
            </w:r>
          </w:p>
        </w:tc>
        <w:tc>
          <w:tcPr>
            <w:tcW w:w="5938" w:type="dxa"/>
          </w:tcPr>
          <w:p w14:paraId="72D03799" w14:textId="1AE37593" w:rsidR="00861A04" w:rsidRPr="00D756D0" w:rsidRDefault="00C03FC7" w:rsidP="00861A04">
            <w:pPr>
              <w:adjustRightInd w:val="0"/>
              <w:snapToGrid w:val="0"/>
              <w:spacing w:before="60" w:after="60"/>
              <w:rPr>
                <w:kern w:val="22"/>
                <w:szCs w:val="22"/>
                <w:lang w:val="fr-FR"/>
              </w:rPr>
            </w:pPr>
            <w:r w:rsidRPr="00D756D0">
              <w:rPr>
                <w:kern w:val="22"/>
                <w:szCs w:val="22"/>
                <w:lang w:val="fr-FR"/>
              </w:rPr>
              <w:t xml:space="preserve">Selon la Convention, on entend par </w:t>
            </w:r>
            <w:r w:rsidR="00D756D0">
              <w:rPr>
                <w:kern w:val="22"/>
                <w:szCs w:val="22"/>
                <w:lang w:val="fr-FR"/>
              </w:rPr>
              <w:t>« </w:t>
            </w:r>
            <w:r w:rsidRPr="00D756D0">
              <w:rPr>
                <w:kern w:val="22"/>
                <w:szCs w:val="22"/>
                <w:lang w:val="fr-FR"/>
              </w:rPr>
              <w:t>biotechnologie</w:t>
            </w:r>
            <w:r w:rsidR="00D756D0">
              <w:rPr>
                <w:kern w:val="22"/>
                <w:szCs w:val="22"/>
                <w:lang w:val="fr-FR"/>
              </w:rPr>
              <w:t> »</w:t>
            </w:r>
            <w:r w:rsidRPr="00D756D0">
              <w:rPr>
                <w:kern w:val="22"/>
                <w:szCs w:val="22"/>
                <w:lang w:val="fr-FR"/>
              </w:rPr>
              <w:t xml:space="preserve"> toute application technologique qui utilise des systèmes biologiques, des organismes vivants, ou des dérivés de ceux-ci, pour réaliser ou modifier des produits ou des procédés à usage spécifique (</w:t>
            </w:r>
            <w:hyperlink r:id="rId38" w:history="1">
              <w:r w:rsidRPr="00D756D0">
                <w:rPr>
                  <w:rStyle w:val="Lienhypertexte"/>
                  <w:kern w:val="22"/>
                  <w:sz w:val="22"/>
                  <w:szCs w:val="22"/>
                  <w:lang w:val="fr-FR"/>
                </w:rPr>
                <w:t>Conventio</w:t>
              </w:r>
              <w:r w:rsidRPr="00D756D0">
                <w:rPr>
                  <w:rStyle w:val="Lienhypertexte"/>
                  <w:kern w:val="22"/>
                  <w:sz w:val="22"/>
                  <w:szCs w:val="22"/>
                  <w:lang w:val="fr-FR"/>
                </w:rPr>
                <w:t>n</w:t>
              </w:r>
            </w:hyperlink>
            <w:r w:rsidRPr="00D756D0">
              <w:rPr>
                <w:rStyle w:val="Lienhypertexte"/>
                <w:kern w:val="22"/>
                <w:sz w:val="22"/>
                <w:szCs w:val="22"/>
                <w:lang w:val="fr-FR"/>
              </w:rPr>
              <w:t>,</w:t>
            </w:r>
            <w:r w:rsidRPr="00D756D0">
              <w:rPr>
                <w:szCs w:val="22"/>
                <w:lang w:val="fr-FR"/>
              </w:rPr>
              <w:t xml:space="preserve"> </w:t>
            </w:r>
            <w:r w:rsidRPr="00D756D0">
              <w:rPr>
                <w:rStyle w:val="Lienhypertexte"/>
                <w:kern w:val="22"/>
                <w:sz w:val="22"/>
                <w:szCs w:val="22"/>
                <w:lang w:val="fr-FR"/>
              </w:rPr>
              <w:t>Article 2</w:t>
            </w:r>
            <w:r w:rsidRPr="00D756D0">
              <w:rPr>
                <w:kern w:val="22"/>
                <w:szCs w:val="22"/>
                <w:lang w:val="fr-FR"/>
              </w:rPr>
              <w:t>). Selon le Protocole de Cartagena,</w:t>
            </w:r>
            <w:r w:rsidR="00D756D0">
              <w:rPr>
                <w:kern w:val="22"/>
                <w:szCs w:val="22"/>
                <w:lang w:val="fr-FR"/>
              </w:rPr>
              <w:t> </w:t>
            </w:r>
            <w:r w:rsidRPr="00D756D0">
              <w:rPr>
                <w:kern w:val="22"/>
                <w:szCs w:val="22"/>
                <w:lang w:val="fr-FR"/>
              </w:rPr>
              <w:t xml:space="preserve"> </w:t>
            </w:r>
            <w:r w:rsidR="00D756D0">
              <w:rPr>
                <w:kern w:val="22"/>
                <w:szCs w:val="22"/>
                <w:lang w:val="fr-FR"/>
              </w:rPr>
              <w:t>« </w:t>
            </w:r>
            <w:r w:rsidRPr="00D756D0">
              <w:rPr>
                <w:kern w:val="22"/>
                <w:szCs w:val="22"/>
                <w:lang w:val="fr-FR"/>
              </w:rPr>
              <w:t>Biotechnologie moderne</w:t>
            </w:r>
            <w:r w:rsidR="00D756D0">
              <w:rPr>
                <w:kern w:val="22"/>
                <w:szCs w:val="22"/>
                <w:lang w:val="fr-FR"/>
              </w:rPr>
              <w:t> »</w:t>
            </w:r>
            <w:r w:rsidRPr="00D756D0">
              <w:rPr>
                <w:kern w:val="22"/>
                <w:szCs w:val="22"/>
                <w:lang w:val="fr-FR"/>
              </w:rPr>
              <w:t xml:space="preserve"> s'entend : a. de l'application de techniques in vitro aux acides nucléiques, y compris la recombinaison de l'acide désoxyribonucléique (ADN) et l'introduction directe d'acides nucléiques dans des cellules ou organites, b. de la fusion cellulaire d'organismes n'appartenant pas à une même famille taxonomique, qui surmontent les barrières naturelles de la physiologie de la reproduction ou de la recombinaison et qui ne sont pas des techniques utilisées pour la reproduction et la sélection de type classique</w:t>
            </w:r>
            <w:r w:rsidR="00861A04" w:rsidRPr="00D756D0">
              <w:rPr>
                <w:kern w:val="22"/>
                <w:szCs w:val="22"/>
                <w:lang w:val="fr-FR"/>
              </w:rPr>
              <w:t xml:space="preserve"> (</w:t>
            </w:r>
            <w:hyperlink r:id="rId39" w:history="1">
              <w:r w:rsidR="00861A04" w:rsidRPr="00D756D0">
                <w:rPr>
                  <w:rStyle w:val="Lienhypertexte"/>
                  <w:kern w:val="22"/>
                  <w:sz w:val="22"/>
                  <w:szCs w:val="22"/>
                  <w:lang w:val="fr-FR"/>
                </w:rPr>
                <w:t>Cartagen</w:t>
              </w:r>
              <w:r w:rsidR="00861A04" w:rsidRPr="00D756D0">
                <w:rPr>
                  <w:rStyle w:val="Lienhypertexte"/>
                  <w:kern w:val="22"/>
                  <w:sz w:val="22"/>
                  <w:szCs w:val="22"/>
                  <w:lang w:val="fr-FR"/>
                </w:rPr>
                <w:t>a</w:t>
              </w:r>
              <w:r w:rsidR="00861A04" w:rsidRPr="00D756D0">
                <w:rPr>
                  <w:rStyle w:val="Lienhypertexte"/>
                  <w:kern w:val="22"/>
                  <w:sz w:val="22"/>
                  <w:szCs w:val="22"/>
                  <w:lang w:val="fr-FR"/>
                </w:rPr>
                <w:t xml:space="preserve"> Protocol, Article </w:t>
              </w:r>
              <w:r w:rsidR="00861A04" w:rsidRPr="00D756D0">
                <w:rPr>
                  <w:rStyle w:val="Lienhypertexte"/>
                  <w:kern w:val="22"/>
                  <w:sz w:val="22"/>
                  <w:szCs w:val="22"/>
                  <w:lang w:val="fr-FR"/>
                </w:rPr>
                <w:t>3</w:t>
              </w:r>
              <w:r w:rsidR="00861A04" w:rsidRPr="00D756D0">
                <w:rPr>
                  <w:rStyle w:val="Lienhypertexte"/>
                  <w:kern w:val="22"/>
                  <w:sz w:val="22"/>
                  <w:szCs w:val="22"/>
                  <w:lang w:val="fr-FR"/>
                </w:rPr>
                <w:t>(i)</w:t>
              </w:r>
            </w:hyperlink>
            <w:r w:rsidR="00861A04" w:rsidRPr="00D756D0">
              <w:rPr>
                <w:kern w:val="22"/>
                <w:szCs w:val="22"/>
                <w:lang w:val="fr-FR"/>
              </w:rPr>
              <w:t>).</w:t>
            </w:r>
          </w:p>
        </w:tc>
        <w:tc>
          <w:tcPr>
            <w:tcW w:w="1550" w:type="dxa"/>
          </w:tcPr>
          <w:p w14:paraId="38F1E351" w14:textId="06CCCC7C"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t>Cible 17</w:t>
            </w:r>
          </w:p>
        </w:tc>
      </w:tr>
      <w:tr w:rsidR="00861A04" w:rsidRPr="00D756D0" w14:paraId="1D8C583D" w14:textId="77777777" w:rsidTr="00827EE2">
        <w:tc>
          <w:tcPr>
            <w:tcW w:w="2137" w:type="dxa"/>
          </w:tcPr>
          <w:p w14:paraId="4D89456A" w14:textId="04EE4A6F" w:rsidR="00861A04" w:rsidRPr="00D756D0" w:rsidRDefault="0095145B" w:rsidP="00861A04">
            <w:pPr>
              <w:adjustRightInd w:val="0"/>
              <w:snapToGrid w:val="0"/>
              <w:spacing w:before="60" w:after="60"/>
              <w:rPr>
                <w:kern w:val="22"/>
                <w:szCs w:val="22"/>
                <w:lang w:val="fr-FR"/>
              </w:rPr>
            </w:pPr>
            <w:r>
              <w:rPr>
                <w:lang w:val="fr-FR"/>
              </w:rPr>
              <w:t>Incitations</w:t>
            </w:r>
            <w:r w:rsidR="00861A04" w:rsidRPr="00D756D0">
              <w:rPr>
                <w:lang w:val="fr-FR"/>
              </w:rPr>
              <w:t xml:space="preserve"> néfastes</w:t>
            </w:r>
          </w:p>
        </w:tc>
        <w:tc>
          <w:tcPr>
            <w:tcW w:w="5938" w:type="dxa"/>
          </w:tcPr>
          <w:p w14:paraId="490B7D31" w14:textId="723B35FF" w:rsidR="00C03FC7" w:rsidRPr="00D756D0" w:rsidRDefault="00D756D0" w:rsidP="00C03FC7">
            <w:pPr>
              <w:adjustRightInd w:val="0"/>
              <w:snapToGrid w:val="0"/>
              <w:spacing w:before="60" w:after="60"/>
              <w:rPr>
                <w:kern w:val="22"/>
                <w:szCs w:val="22"/>
                <w:lang w:val="fr-FR"/>
              </w:rPr>
            </w:pPr>
            <w:r>
              <w:rPr>
                <w:kern w:val="22"/>
                <w:szCs w:val="22"/>
                <w:lang w:val="fr-FR"/>
              </w:rPr>
              <w:t>« </w:t>
            </w:r>
            <w:r w:rsidR="00C03FC7" w:rsidRPr="00D756D0">
              <w:rPr>
                <w:kern w:val="22"/>
                <w:szCs w:val="22"/>
                <w:lang w:val="fr-FR"/>
              </w:rPr>
              <w:t>Résultat d'une action gouvernementale accordant un avantage aux consommateurs ou aux producteurs, afin d'augmenter leurs revenus ou de réduire leurs coûts, mais qui, ce faisant, va à l'encontre de pratiques environnementales saines. Adapté de OCDE 1998, 2005</w:t>
            </w:r>
            <w:r>
              <w:rPr>
                <w:kern w:val="22"/>
                <w:szCs w:val="22"/>
                <w:lang w:val="fr-FR"/>
              </w:rPr>
              <w:t> »</w:t>
            </w:r>
            <w:r w:rsidR="00C03FC7" w:rsidRPr="00D756D0">
              <w:rPr>
                <w:kern w:val="22"/>
                <w:szCs w:val="22"/>
                <w:lang w:val="fr-FR"/>
              </w:rPr>
              <w:t>.</w:t>
            </w:r>
          </w:p>
          <w:p w14:paraId="0A1F6606" w14:textId="084A2145" w:rsidR="00861A04" w:rsidRPr="00D756D0" w:rsidRDefault="00D756D0" w:rsidP="00C03FC7">
            <w:pPr>
              <w:adjustRightInd w:val="0"/>
              <w:snapToGrid w:val="0"/>
              <w:spacing w:before="60" w:after="60"/>
              <w:rPr>
                <w:kern w:val="22"/>
                <w:szCs w:val="22"/>
                <w:lang w:val="fr-FR"/>
              </w:rPr>
            </w:pPr>
            <w:r>
              <w:rPr>
                <w:kern w:val="22"/>
                <w:szCs w:val="22"/>
                <w:lang w:val="fr-FR"/>
              </w:rPr>
              <w:t>« </w:t>
            </w:r>
            <w:r w:rsidR="00C03FC7" w:rsidRPr="00D756D0">
              <w:rPr>
                <w:kern w:val="22"/>
                <w:szCs w:val="22"/>
                <w:lang w:val="fr-FR"/>
              </w:rPr>
              <w:t>Toutes choses égales par ailleurs, une subvention [préjudiciable à l'environnement] augmente les niveaux de production/d'utilisation d'une ressource naturelle et accroît donc le niveau de déchets, de pollution et d'exploitation naturelle correspondant. Adapté de OCDE 2005</w:t>
            </w:r>
            <w:r w:rsidR="00861A04" w:rsidRPr="00D756D0">
              <w:rPr>
                <w:kern w:val="22"/>
                <w:szCs w:val="22"/>
                <w:lang w:val="fr-FR"/>
              </w:rPr>
              <w:t>.</w:t>
            </w:r>
            <w:r>
              <w:rPr>
                <w:kern w:val="22"/>
                <w:szCs w:val="22"/>
                <w:lang w:val="fr-FR"/>
              </w:rPr>
              <w:t> »</w:t>
            </w:r>
          </w:p>
          <w:p w14:paraId="713023E9" w14:textId="07A247AE"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t xml:space="preserve">(IEEP, </w:t>
            </w:r>
            <w:proofErr w:type="spellStart"/>
            <w:r w:rsidRPr="00D756D0">
              <w:rPr>
                <w:kern w:val="22"/>
                <w:szCs w:val="22"/>
                <w:lang w:val="fr-FR"/>
              </w:rPr>
              <w:t>Environmentally</w:t>
            </w:r>
            <w:proofErr w:type="spellEnd"/>
            <w:r w:rsidRPr="00D756D0">
              <w:rPr>
                <w:kern w:val="22"/>
                <w:szCs w:val="22"/>
                <w:lang w:val="fr-FR"/>
              </w:rPr>
              <w:t xml:space="preserve"> </w:t>
            </w:r>
            <w:proofErr w:type="spellStart"/>
            <w:r w:rsidRPr="00D756D0">
              <w:rPr>
                <w:kern w:val="22"/>
                <w:szCs w:val="22"/>
                <w:lang w:val="fr-FR"/>
              </w:rPr>
              <w:t>Harmful</w:t>
            </w:r>
            <w:proofErr w:type="spellEnd"/>
            <w:r w:rsidRPr="00D756D0">
              <w:rPr>
                <w:kern w:val="22"/>
                <w:szCs w:val="22"/>
                <w:lang w:val="fr-FR"/>
              </w:rPr>
              <w:t xml:space="preserve"> Subsidies (EHS): Identification and </w:t>
            </w:r>
            <w:proofErr w:type="spellStart"/>
            <w:r w:rsidRPr="00D756D0">
              <w:rPr>
                <w:kern w:val="22"/>
                <w:szCs w:val="22"/>
                <w:lang w:val="fr-FR"/>
              </w:rPr>
              <w:t>Assessment</w:t>
            </w:r>
            <w:proofErr w:type="spellEnd"/>
            <w:r w:rsidRPr="00D756D0">
              <w:rPr>
                <w:kern w:val="22"/>
                <w:szCs w:val="22"/>
                <w:lang w:val="fr-FR"/>
              </w:rPr>
              <w:t>, 2009:</w:t>
            </w:r>
            <w:r w:rsidRPr="00D756D0">
              <w:rPr>
                <w:kern w:val="22"/>
                <w:szCs w:val="22"/>
                <w:lang w:val="fr-FR"/>
              </w:rPr>
              <w:br/>
            </w:r>
            <w:hyperlink r:id="rId40" w:history="1">
              <w:r w:rsidRPr="00D756D0">
                <w:rPr>
                  <w:rStyle w:val="Lienhypertexte"/>
                  <w:kern w:val="22"/>
                  <w:sz w:val="22"/>
                  <w:szCs w:val="22"/>
                  <w:lang w:val="fr-FR"/>
                </w:rPr>
                <w:t>http</w:t>
              </w:r>
              <w:r w:rsidRPr="00D756D0">
                <w:rPr>
                  <w:rStyle w:val="Lienhypertexte"/>
                  <w:kern w:val="22"/>
                  <w:sz w:val="22"/>
                  <w:szCs w:val="22"/>
                  <w:lang w:val="fr-FR"/>
                </w:rPr>
                <w:t>s</w:t>
              </w:r>
              <w:r w:rsidRPr="00D756D0">
                <w:rPr>
                  <w:rStyle w:val="Lienhypertexte"/>
                  <w:kern w:val="22"/>
                  <w:sz w:val="22"/>
                  <w:szCs w:val="22"/>
                  <w:lang w:val="fr-FR"/>
                </w:rPr>
                <w:t>://ec.europ</w:t>
              </w:r>
              <w:r w:rsidRPr="00D756D0">
                <w:rPr>
                  <w:rStyle w:val="Lienhypertexte"/>
                  <w:kern w:val="22"/>
                  <w:sz w:val="22"/>
                  <w:szCs w:val="22"/>
                  <w:lang w:val="fr-FR"/>
                </w:rPr>
                <w:t>a</w:t>
              </w:r>
              <w:r w:rsidRPr="00D756D0">
                <w:rPr>
                  <w:rStyle w:val="Lienhypertexte"/>
                  <w:kern w:val="22"/>
                  <w:sz w:val="22"/>
                  <w:szCs w:val="22"/>
                  <w:lang w:val="fr-FR"/>
                </w:rPr>
                <w:t>.eu/environment/enveco/taxation/pdf/Harmful%20Subsidies%20Report.pdf</w:t>
              </w:r>
            </w:hyperlink>
            <w:r w:rsidRPr="00D756D0">
              <w:rPr>
                <w:kern w:val="22"/>
                <w:szCs w:val="22"/>
                <w:lang w:val="fr-FR"/>
              </w:rPr>
              <w:t xml:space="preserve"> pages 15-16).</w:t>
            </w:r>
          </w:p>
        </w:tc>
        <w:tc>
          <w:tcPr>
            <w:tcW w:w="1550" w:type="dxa"/>
          </w:tcPr>
          <w:p w14:paraId="5EDE9F26" w14:textId="5950E66F" w:rsidR="00861A04" w:rsidRPr="00D756D0" w:rsidRDefault="00861A04" w:rsidP="00861A04">
            <w:pPr>
              <w:adjustRightInd w:val="0"/>
              <w:snapToGrid w:val="0"/>
              <w:spacing w:before="60" w:after="60"/>
              <w:jc w:val="left"/>
              <w:rPr>
                <w:kern w:val="22"/>
                <w:szCs w:val="22"/>
                <w:lang w:val="fr-FR"/>
              </w:rPr>
            </w:pPr>
            <w:r w:rsidRPr="00D756D0">
              <w:rPr>
                <w:kern w:val="22"/>
                <w:szCs w:val="22"/>
                <w:lang w:val="fr-FR"/>
              </w:rPr>
              <w:t xml:space="preserve">Cible 18 </w:t>
            </w:r>
          </w:p>
        </w:tc>
      </w:tr>
      <w:tr w:rsidR="00861A04" w:rsidRPr="00D756D0" w14:paraId="7D46EE62" w14:textId="77777777" w:rsidTr="00827EE2">
        <w:tc>
          <w:tcPr>
            <w:tcW w:w="2137" w:type="dxa"/>
          </w:tcPr>
          <w:p w14:paraId="26343CB1" w14:textId="0C58F658" w:rsidR="00861A04" w:rsidRPr="00D756D0" w:rsidRDefault="00861A04" w:rsidP="00861A04">
            <w:pPr>
              <w:adjustRightInd w:val="0"/>
              <w:snapToGrid w:val="0"/>
              <w:spacing w:before="60" w:after="60"/>
              <w:rPr>
                <w:kern w:val="22"/>
                <w:szCs w:val="22"/>
                <w:lang w:val="fr-FR"/>
              </w:rPr>
            </w:pPr>
            <w:r w:rsidRPr="00D756D0">
              <w:rPr>
                <w:lang w:val="fr-FR"/>
              </w:rPr>
              <w:t>Base de référence</w:t>
            </w:r>
          </w:p>
        </w:tc>
        <w:tc>
          <w:tcPr>
            <w:tcW w:w="5938" w:type="dxa"/>
          </w:tcPr>
          <w:p w14:paraId="3D09288B" w14:textId="1EEB0FA3" w:rsidR="00861A04" w:rsidRPr="00D756D0" w:rsidRDefault="00C03FC7" w:rsidP="00861A04">
            <w:pPr>
              <w:adjustRightInd w:val="0"/>
              <w:snapToGrid w:val="0"/>
              <w:spacing w:before="60" w:after="60"/>
              <w:rPr>
                <w:kern w:val="22"/>
                <w:szCs w:val="22"/>
                <w:lang w:val="fr-FR"/>
              </w:rPr>
            </w:pPr>
            <w:r w:rsidRPr="00D756D0">
              <w:rPr>
                <w:kern w:val="22"/>
                <w:szCs w:val="22"/>
                <w:lang w:val="fr-FR"/>
              </w:rPr>
              <w:t>Point de référence fixe utilisé à des fins de comparaison.</w:t>
            </w:r>
          </w:p>
        </w:tc>
        <w:tc>
          <w:tcPr>
            <w:tcW w:w="1550" w:type="dxa"/>
          </w:tcPr>
          <w:p w14:paraId="236538F6" w14:textId="24AF974C" w:rsidR="00861A04" w:rsidRPr="00D756D0" w:rsidRDefault="000A4A32" w:rsidP="00861A04">
            <w:pPr>
              <w:adjustRightInd w:val="0"/>
              <w:snapToGrid w:val="0"/>
              <w:spacing w:before="60" w:after="60"/>
              <w:jc w:val="left"/>
              <w:rPr>
                <w:kern w:val="22"/>
                <w:szCs w:val="22"/>
                <w:lang w:val="fr-FR"/>
              </w:rPr>
            </w:pPr>
            <w:r w:rsidRPr="00D756D0">
              <w:rPr>
                <w:kern w:val="22"/>
                <w:szCs w:val="22"/>
                <w:lang w:val="fr-FR"/>
              </w:rPr>
              <w:t>Cadre de suivi</w:t>
            </w:r>
          </w:p>
        </w:tc>
      </w:tr>
      <w:tr w:rsidR="00861A04" w:rsidRPr="00D756D0" w14:paraId="320EC12E" w14:textId="77777777" w:rsidTr="00827EE2">
        <w:tc>
          <w:tcPr>
            <w:tcW w:w="2137" w:type="dxa"/>
          </w:tcPr>
          <w:p w14:paraId="735F7C0C" w14:textId="25DE2819" w:rsidR="00861A04" w:rsidRPr="00D756D0" w:rsidRDefault="00861A04" w:rsidP="00861A04">
            <w:pPr>
              <w:adjustRightInd w:val="0"/>
              <w:snapToGrid w:val="0"/>
              <w:spacing w:before="60" w:after="60"/>
              <w:rPr>
                <w:kern w:val="22"/>
                <w:szCs w:val="22"/>
                <w:lang w:val="fr-FR"/>
              </w:rPr>
            </w:pPr>
            <w:r w:rsidRPr="00D756D0">
              <w:rPr>
                <w:lang w:val="fr-FR"/>
              </w:rPr>
              <w:t xml:space="preserve">Condition de </w:t>
            </w:r>
            <w:r w:rsidR="0095145B">
              <w:rPr>
                <w:lang w:val="fr-FR"/>
              </w:rPr>
              <w:t>référence</w:t>
            </w:r>
          </w:p>
        </w:tc>
        <w:tc>
          <w:tcPr>
            <w:tcW w:w="5938" w:type="dxa"/>
          </w:tcPr>
          <w:p w14:paraId="3126D0C5" w14:textId="12CD063D" w:rsidR="00861A04" w:rsidRPr="00D756D0" w:rsidRDefault="00C03FC7" w:rsidP="00861A04">
            <w:pPr>
              <w:adjustRightInd w:val="0"/>
              <w:snapToGrid w:val="0"/>
              <w:spacing w:before="60" w:after="60"/>
              <w:rPr>
                <w:kern w:val="22"/>
                <w:szCs w:val="22"/>
                <w:lang w:val="fr-FR"/>
              </w:rPr>
            </w:pPr>
            <w:r w:rsidRPr="00D756D0">
              <w:rPr>
                <w:kern w:val="22"/>
                <w:szCs w:val="22"/>
                <w:lang w:val="fr-FR"/>
              </w:rPr>
              <w:t>Un point de référence de la condition écologique, économique ou sociale décrivant l'état du système en question. La condition de référence peut être associée à une situation historique dans le passé ou à une situation actuelle observée dans un lieu géographique donné</w:t>
            </w:r>
            <w:r w:rsidR="00861A04" w:rsidRPr="00D756D0">
              <w:rPr>
                <w:kern w:val="22"/>
                <w:szCs w:val="22"/>
                <w:lang w:val="fr-FR"/>
              </w:rPr>
              <w:t>.</w:t>
            </w:r>
          </w:p>
        </w:tc>
        <w:tc>
          <w:tcPr>
            <w:tcW w:w="1550" w:type="dxa"/>
          </w:tcPr>
          <w:p w14:paraId="3923EB83" w14:textId="21A3EFDF" w:rsidR="00861A04" w:rsidRPr="00D756D0" w:rsidRDefault="000A4A32" w:rsidP="00861A04">
            <w:pPr>
              <w:adjustRightInd w:val="0"/>
              <w:snapToGrid w:val="0"/>
              <w:spacing w:before="60" w:after="60"/>
              <w:jc w:val="left"/>
              <w:rPr>
                <w:strike/>
                <w:kern w:val="22"/>
                <w:szCs w:val="22"/>
                <w:lang w:val="fr-FR"/>
              </w:rPr>
            </w:pPr>
            <w:r w:rsidRPr="00D756D0">
              <w:rPr>
                <w:kern w:val="22"/>
                <w:szCs w:val="22"/>
                <w:lang w:val="fr-FR"/>
              </w:rPr>
              <w:t>Cadre de suivi</w:t>
            </w:r>
          </w:p>
        </w:tc>
      </w:tr>
      <w:tr w:rsidR="00861A04" w:rsidRPr="00D756D0" w14:paraId="135B6127" w14:textId="77777777" w:rsidTr="00827EE2">
        <w:tc>
          <w:tcPr>
            <w:tcW w:w="2137" w:type="dxa"/>
          </w:tcPr>
          <w:p w14:paraId="7B15CB36" w14:textId="22FC3AC9" w:rsidR="00861A04" w:rsidRPr="00D756D0" w:rsidRDefault="00861A04" w:rsidP="00861A04">
            <w:pPr>
              <w:adjustRightInd w:val="0"/>
              <w:snapToGrid w:val="0"/>
              <w:spacing w:before="60" w:after="60"/>
              <w:rPr>
                <w:kern w:val="22"/>
                <w:szCs w:val="22"/>
                <w:lang w:val="fr-FR"/>
              </w:rPr>
            </w:pPr>
            <w:r w:rsidRPr="00D756D0">
              <w:rPr>
                <w:lang w:val="fr-FR"/>
              </w:rPr>
              <w:t>Période de référence</w:t>
            </w:r>
          </w:p>
        </w:tc>
        <w:tc>
          <w:tcPr>
            <w:tcW w:w="5938" w:type="dxa"/>
          </w:tcPr>
          <w:p w14:paraId="0E21DE17" w14:textId="321BBD8D" w:rsidR="00861A04" w:rsidRPr="00D756D0" w:rsidRDefault="00C03FC7" w:rsidP="00861A04">
            <w:pPr>
              <w:adjustRightInd w:val="0"/>
              <w:snapToGrid w:val="0"/>
              <w:spacing w:before="60" w:after="60"/>
              <w:rPr>
                <w:kern w:val="22"/>
                <w:szCs w:val="22"/>
                <w:lang w:val="fr-FR"/>
              </w:rPr>
            </w:pPr>
            <w:r w:rsidRPr="00D756D0">
              <w:rPr>
                <w:kern w:val="22"/>
                <w:szCs w:val="22"/>
                <w:lang w:val="fr-FR"/>
              </w:rPr>
              <w:t>Période</w:t>
            </w:r>
            <w:r w:rsidRPr="00D756D0">
              <w:rPr>
                <w:kern w:val="22"/>
                <w:szCs w:val="22"/>
                <w:lang w:val="fr-FR"/>
              </w:rPr>
              <w:t xml:space="preserve"> historique utilisée pour identifier une condition de base spécifique.</w:t>
            </w:r>
          </w:p>
        </w:tc>
        <w:tc>
          <w:tcPr>
            <w:tcW w:w="1550" w:type="dxa"/>
          </w:tcPr>
          <w:p w14:paraId="4451DB6B" w14:textId="16CB8B15" w:rsidR="00861A04" w:rsidRPr="00D756D0" w:rsidRDefault="000A4A32" w:rsidP="00861A04">
            <w:pPr>
              <w:adjustRightInd w:val="0"/>
              <w:snapToGrid w:val="0"/>
              <w:spacing w:before="60" w:after="60"/>
              <w:jc w:val="left"/>
              <w:rPr>
                <w:strike/>
                <w:kern w:val="22"/>
                <w:szCs w:val="22"/>
                <w:lang w:val="fr-FR"/>
              </w:rPr>
            </w:pPr>
            <w:r w:rsidRPr="00D756D0">
              <w:rPr>
                <w:kern w:val="22"/>
                <w:szCs w:val="22"/>
                <w:lang w:val="fr-FR"/>
              </w:rPr>
              <w:t>Cadre de suivi</w:t>
            </w:r>
          </w:p>
        </w:tc>
      </w:tr>
      <w:tr w:rsidR="00861A04" w:rsidRPr="00D756D0" w14:paraId="0A70C20D" w14:textId="77777777" w:rsidTr="00827EE2">
        <w:tc>
          <w:tcPr>
            <w:tcW w:w="2137" w:type="dxa"/>
          </w:tcPr>
          <w:p w14:paraId="30010CB0" w14:textId="646875D3" w:rsidR="00861A04" w:rsidRPr="00D756D0" w:rsidRDefault="00861A04" w:rsidP="00861A04">
            <w:pPr>
              <w:adjustRightInd w:val="0"/>
              <w:snapToGrid w:val="0"/>
              <w:spacing w:before="60" w:after="60"/>
              <w:jc w:val="left"/>
              <w:rPr>
                <w:kern w:val="22"/>
                <w:szCs w:val="22"/>
                <w:lang w:val="fr-FR"/>
              </w:rPr>
            </w:pPr>
            <w:r w:rsidRPr="00D756D0">
              <w:rPr>
                <w:lang w:val="fr-FR"/>
              </w:rPr>
              <w:lastRenderedPageBreak/>
              <w:t>Période de référence</w:t>
            </w:r>
            <w:r w:rsidR="0095145B" w:rsidRPr="00D756D0">
              <w:rPr>
                <w:lang w:val="fr-FR"/>
              </w:rPr>
              <w:t xml:space="preserve"> </w:t>
            </w:r>
            <w:r w:rsidR="0095145B" w:rsidRPr="00D756D0">
              <w:rPr>
                <w:lang w:val="fr-FR"/>
              </w:rPr>
              <w:t>de</w:t>
            </w:r>
            <w:r w:rsidR="0095145B">
              <w:rPr>
                <w:lang w:val="fr-FR"/>
              </w:rPr>
              <w:t>s</w:t>
            </w:r>
            <w:r w:rsidR="0095145B" w:rsidRPr="00D756D0">
              <w:rPr>
                <w:lang w:val="fr-FR"/>
              </w:rPr>
              <w:t xml:space="preserve"> rapport</w:t>
            </w:r>
            <w:r w:rsidR="0095145B">
              <w:rPr>
                <w:lang w:val="fr-FR"/>
              </w:rPr>
              <w:t>s</w:t>
            </w:r>
          </w:p>
        </w:tc>
        <w:tc>
          <w:tcPr>
            <w:tcW w:w="5938" w:type="dxa"/>
          </w:tcPr>
          <w:p w14:paraId="335084B2" w14:textId="74FF48E3" w:rsidR="00861A04" w:rsidRPr="00D756D0" w:rsidRDefault="00C03FC7" w:rsidP="00861A04">
            <w:pPr>
              <w:adjustRightInd w:val="0"/>
              <w:snapToGrid w:val="0"/>
              <w:spacing w:before="60" w:after="60"/>
              <w:rPr>
                <w:kern w:val="22"/>
                <w:szCs w:val="22"/>
                <w:lang w:val="fr-FR"/>
              </w:rPr>
            </w:pPr>
            <w:r w:rsidRPr="00D756D0">
              <w:rPr>
                <w:kern w:val="22"/>
                <w:szCs w:val="22"/>
                <w:lang w:val="fr-FR"/>
              </w:rPr>
              <w:t xml:space="preserve">Période de temps utilisée comme point de départ pour rendre compte des progrès réalisés concernant les </w:t>
            </w:r>
            <w:r w:rsidRPr="00D756D0">
              <w:rPr>
                <w:kern w:val="22"/>
                <w:szCs w:val="22"/>
                <w:lang w:val="fr-FR"/>
              </w:rPr>
              <w:t>c</w:t>
            </w:r>
            <w:r w:rsidRPr="00D756D0">
              <w:rPr>
                <w:kern w:val="22"/>
                <w:szCs w:val="22"/>
                <w:lang w:val="fr-FR"/>
              </w:rPr>
              <w:t>ibles et les objectifs.</w:t>
            </w:r>
          </w:p>
        </w:tc>
        <w:tc>
          <w:tcPr>
            <w:tcW w:w="1550" w:type="dxa"/>
          </w:tcPr>
          <w:p w14:paraId="32FF6274" w14:textId="2D7FF290" w:rsidR="00861A04" w:rsidRPr="00D756D0" w:rsidRDefault="000A4A32" w:rsidP="00861A04">
            <w:pPr>
              <w:adjustRightInd w:val="0"/>
              <w:snapToGrid w:val="0"/>
              <w:spacing w:before="60" w:after="60"/>
              <w:rPr>
                <w:kern w:val="22"/>
                <w:szCs w:val="22"/>
                <w:lang w:val="fr-FR"/>
              </w:rPr>
            </w:pPr>
            <w:r w:rsidRPr="00D756D0">
              <w:rPr>
                <w:kern w:val="22"/>
                <w:szCs w:val="22"/>
                <w:lang w:val="fr-FR"/>
              </w:rPr>
              <w:t>Cadre de suivi</w:t>
            </w:r>
          </w:p>
        </w:tc>
      </w:tr>
      <w:tr w:rsidR="00861A04" w:rsidRPr="00D756D0" w14:paraId="72810A25" w14:textId="77777777" w:rsidTr="00827EE2">
        <w:tc>
          <w:tcPr>
            <w:tcW w:w="2137" w:type="dxa"/>
          </w:tcPr>
          <w:p w14:paraId="5AF59AB1" w14:textId="78F84755" w:rsidR="00861A04" w:rsidRPr="00D756D0" w:rsidRDefault="00861A04" w:rsidP="00861A04">
            <w:pPr>
              <w:adjustRightInd w:val="0"/>
              <w:snapToGrid w:val="0"/>
              <w:spacing w:before="60" w:after="60"/>
              <w:rPr>
                <w:kern w:val="22"/>
                <w:szCs w:val="22"/>
                <w:lang w:val="fr-FR"/>
              </w:rPr>
            </w:pPr>
            <w:r w:rsidRPr="00D756D0">
              <w:rPr>
                <w:lang w:val="fr-FR"/>
              </w:rPr>
              <w:t>Indicateurs phares</w:t>
            </w:r>
          </w:p>
        </w:tc>
        <w:tc>
          <w:tcPr>
            <w:tcW w:w="5938" w:type="dxa"/>
          </w:tcPr>
          <w:p w14:paraId="1B3C6087" w14:textId="5AD76201" w:rsidR="00861A04" w:rsidRPr="00D756D0" w:rsidRDefault="00C03FC7" w:rsidP="00861A04">
            <w:pPr>
              <w:adjustRightInd w:val="0"/>
              <w:snapToGrid w:val="0"/>
              <w:spacing w:before="60" w:after="60"/>
              <w:rPr>
                <w:kern w:val="22"/>
                <w:szCs w:val="22"/>
                <w:lang w:val="fr-FR"/>
              </w:rPr>
            </w:pPr>
            <w:r w:rsidRPr="00D756D0">
              <w:rPr>
                <w:kern w:val="22"/>
                <w:szCs w:val="22"/>
                <w:lang w:val="fr-FR"/>
              </w:rPr>
              <w:t>Ensemble minimal d'indicateurs de haut niveau qui rendent compte de la portée globale des objectifs et des cibles du Cadre mondial de la biodiversité pour l'après-2020 et qui peuvent être utilisés pour le suivi des progrès nationaux, ainsi que pour le suivi des progrès régionaux et mondiaux. Ces indicateurs pourraient également être utilisés à des fins de communication. En outre, certains pays peuvent souhaiter utiliser un sous-ensemble de ces indicateurs ou uniquement les indicateurs phares au niveau des objectifs pour la communication de haut niveau et la sensibilisation</w:t>
            </w:r>
            <w:r w:rsidR="00861A04" w:rsidRPr="00D756D0">
              <w:rPr>
                <w:kern w:val="22"/>
                <w:szCs w:val="22"/>
                <w:lang w:val="fr-FR"/>
              </w:rPr>
              <w:t>.</w:t>
            </w:r>
          </w:p>
        </w:tc>
        <w:tc>
          <w:tcPr>
            <w:tcW w:w="1550" w:type="dxa"/>
          </w:tcPr>
          <w:p w14:paraId="764FE7EB" w14:textId="4FF0A2E0" w:rsidR="00861A04" w:rsidRPr="00D756D0" w:rsidRDefault="000A4A32" w:rsidP="00861A04">
            <w:pPr>
              <w:adjustRightInd w:val="0"/>
              <w:snapToGrid w:val="0"/>
              <w:spacing w:before="60" w:after="60"/>
              <w:jc w:val="left"/>
              <w:rPr>
                <w:strike/>
                <w:kern w:val="22"/>
                <w:szCs w:val="22"/>
                <w:lang w:val="fr-FR"/>
              </w:rPr>
            </w:pPr>
            <w:r w:rsidRPr="00D756D0">
              <w:rPr>
                <w:kern w:val="22"/>
                <w:szCs w:val="22"/>
                <w:lang w:val="fr-FR"/>
              </w:rPr>
              <w:t>Cadre de suivi</w:t>
            </w:r>
          </w:p>
        </w:tc>
      </w:tr>
      <w:tr w:rsidR="00861A04" w:rsidRPr="00D756D0" w14:paraId="3FCC8CBF" w14:textId="77777777" w:rsidTr="00827EE2">
        <w:tc>
          <w:tcPr>
            <w:tcW w:w="2137" w:type="dxa"/>
          </w:tcPr>
          <w:p w14:paraId="7538D6C3" w14:textId="03DE35E2" w:rsidR="00861A04" w:rsidRPr="00D756D0" w:rsidRDefault="00861A04" w:rsidP="00861A04">
            <w:pPr>
              <w:adjustRightInd w:val="0"/>
              <w:snapToGrid w:val="0"/>
              <w:spacing w:before="60" w:after="60"/>
              <w:jc w:val="left"/>
              <w:rPr>
                <w:kern w:val="22"/>
                <w:szCs w:val="22"/>
                <w:lang w:val="fr-FR"/>
              </w:rPr>
            </w:pPr>
            <w:r w:rsidRPr="00D756D0">
              <w:rPr>
                <w:lang w:val="fr-FR"/>
              </w:rPr>
              <w:t>Indicateurs de composantes</w:t>
            </w:r>
          </w:p>
        </w:tc>
        <w:tc>
          <w:tcPr>
            <w:tcW w:w="5938" w:type="dxa"/>
          </w:tcPr>
          <w:p w14:paraId="2093E5A9" w14:textId="077B59CC" w:rsidR="00861A04" w:rsidRPr="00D756D0" w:rsidRDefault="00C03FC7" w:rsidP="00861A04">
            <w:pPr>
              <w:adjustRightInd w:val="0"/>
              <w:snapToGrid w:val="0"/>
              <w:spacing w:before="60" w:after="60"/>
              <w:rPr>
                <w:kern w:val="22"/>
                <w:szCs w:val="22"/>
                <w:lang w:val="fr-FR"/>
              </w:rPr>
            </w:pPr>
            <w:r w:rsidRPr="00D756D0">
              <w:rPr>
                <w:kern w:val="22"/>
                <w:szCs w:val="22"/>
                <w:lang w:val="fr-FR"/>
              </w:rPr>
              <w:t>Ensemble d'indicateurs pour le suivi de chaque composante de chaque objectif et cible du Cadre mondial de la biodiversité pour l'après-2020 au niveau national, ainsi que pour le suivi des progrès au niveau régional et mondial</w:t>
            </w:r>
            <w:r w:rsidR="00861A04" w:rsidRPr="00D756D0">
              <w:rPr>
                <w:kern w:val="22"/>
                <w:szCs w:val="22"/>
                <w:lang w:val="fr-FR"/>
              </w:rPr>
              <w:t>.</w:t>
            </w:r>
          </w:p>
        </w:tc>
        <w:tc>
          <w:tcPr>
            <w:tcW w:w="1550" w:type="dxa"/>
          </w:tcPr>
          <w:p w14:paraId="64DE50BF" w14:textId="277CEABE" w:rsidR="00861A04" w:rsidRPr="00D756D0" w:rsidRDefault="000A4A32" w:rsidP="00861A04">
            <w:pPr>
              <w:adjustRightInd w:val="0"/>
              <w:snapToGrid w:val="0"/>
              <w:spacing w:before="60" w:after="60"/>
              <w:jc w:val="left"/>
              <w:rPr>
                <w:strike/>
                <w:kern w:val="22"/>
                <w:szCs w:val="22"/>
                <w:lang w:val="fr-FR"/>
              </w:rPr>
            </w:pPr>
            <w:r w:rsidRPr="00D756D0">
              <w:rPr>
                <w:kern w:val="22"/>
                <w:szCs w:val="22"/>
                <w:lang w:val="fr-FR"/>
              </w:rPr>
              <w:t>Cadre de suivi</w:t>
            </w:r>
          </w:p>
        </w:tc>
      </w:tr>
      <w:tr w:rsidR="00861A04" w:rsidRPr="00D756D0" w14:paraId="6F95D528" w14:textId="77777777" w:rsidTr="00827EE2">
        <w:tc>
          <w:tcPr>
            <w:tcW w:w="2137" w:type="dxa"/>
          </w:tcPr>
          <w:p w14:paraId="045E58E9" w14:textId="3DEBE14B" w:rsidR="00861A04" w:rsidRPr="0095145B" w:rsidRDefault="00861A04" w:rsidP="00861A04">
            <w:pPr>
              <w:adjustRightInd w:val="0"/>
              <w:snapToGrid w:val="0"/>
              <w:spacing w:before="60" w:after="60"/>
              <w:rPr>
                <w:lang w:val="fr-FR"/>
              </w:rPr>
            </w:pPr>
            <w:r w:rsidRPr="00D756D0">
              <w:rPr>
                <w:lang w:val="fr-FR"/>
              </w:rPr>
              <w:t>Indicateur</w:t>
            </w:r>
            <w:r w:rsidR="0095145B">
              <w:rPr>
                <w:lang w:val="fr-FR"/>
              </w:rPr>
              <w:t xml:space="preserve">s </w:t>
            </w:r>
            <w:r w:rsidRPr="00D756D0">
              <w:rPr>
                <w:lang w:val="fr-FR"/>
              </w:rPr>
              <w:t>complémentaire</w:t>
            </w:r>
            <w:r w:rsidR="0095145B">
              <w:rPr>
                <w:lang w:val="fr-FR"/>
              </w:rPr>
              <w:t>s</w:t>
            </w:r>
          </w:p>
        </w:tc>
        <w:tc>
          <w:tcPr>
            <w:tcW w:w="5938" w:type="dxa"/>
          </w:tcPr>
          <w:p w14:paraId="3285A1CF" w14:textId="283327FF" w:rsidR="00861A04" w:rsidRPr="00D756D0" w:rsidRDefault="00C03FC7" w:rsidP="00861A04">
            <w:pPr>
              <w:adjustRightInd w:val="0"/>
              <w:snapToGrid w:val="0"/>
              <w:spacing w:before="60" w:after="60"/>
              <w:rPr>
                <w:kern w:val="22"/>
                <w:szCs w:val="22"/>
                <w:lang w:val="fr-FR"/>
              </w:rPr>
            </w:pPr>
            <w:r w:rsidRPr="00D756D0">
              <w:rPr>
                <w:kern w:val="22"/>
                <w:szCs w:val="22"/>
                <w:lang w:val="fr-FR"/>
              </w:rPr>
              <w:t>Ensemble d'indicateurs pour l'analyse thématique ou approfondie de chaque objectif et cible et qui sont moins pertinents pour une majorité de pays, présentent des lacunes importantes en matière de méthodologie ou de collecte de données, sont très spécifiques et ne couvrent pas la portée d'un objectif ou d'une composante de la cible ou ne peuvent être appliqués qu'aux niveaux mondial et régional</w:t>
            </w:r>
            <w:r w:rsidR="00861A04" w:rsidRPr="00D756D0">
              <w:rPr>
                <w:kern w:val="22"/>
                <w:szCs w:val="22"/>
                <w:lang w:val="fr-FR"/>
              </w:rPr>
              <w:t>.</w:t>
            </w:r>
            <w:r w:rsidR="00165BAC">
              <w:rPr>
                <w:kern w:val="22"/>
                <w:szCs w:val="22"/>
                <w:lang w:val="fr-FR"/>
              </w:rPr>
              <w:t xml:space="preserve"> </w:t>
            </w:r>
          </w:p>
        </w:tc>
        <w:tc>
          <w:tcPr>
            <w:tcW w:w="1550" w:type="dxa"/>
          </w:tcPr>
          <w:p w14:paraId="4B9D60C2" w14:textId="3AD4E425" w:rsidR="00861A04" w:rsidRPr="00D756D0" w:rsidRDefault="000A4A32" w:rsidP="00861A04">
            <w:pPr>
              <w:adjustRightInd w:val="0"/>
              <w:snapToGrid w:val="0"/>
              <w:spacing w:before="60" w:after="60"/>
              <w:jc w:val="left"/>
              <w:rPr>
                <w:strike/>
                <w:kern w:val="22"/>
                <w:szCs w:val="22"/>
                <w:lang w:val="fr-FR"/>
              </w:rPr>
            </w:pPr>
            <w:r w:rsidRPr="00D756D0">
              <w:rPr>
                <w:kern w:val="22"/>
                <w:szCs w:val="22"/>
                <w:lang w:val="fr-FR"/>
              </w:rPr>
              <w:t>Cadre de suivi</w:t>
            </w:r>
          </w:p>
        </w:tc>
      </w:tr>
    </w:tbl>
    <w:p w14:paraId="6FF2202C" w14:textId="77777777" w:rsidR="00E12BCF" w:rsidRPr="00D756D0" w:rsidRDefault="00E12BCF" w:rsidP="00E12BCF">
      <w:pPr>
        <w:rPr>
          <w:kern w:val="22"/>
          <w:lang w:val="fr-FR"/>
        </w:rPr>
      </w:pPr>
    </w:p>
    <w:p w14:paraId="3093D971" w14:textId="13065DC0" w:rsidR="00B3369F" w:rsidRPr="00D756D0" w:rsidRDefault="00C9161D" w:rsidP="003B5508">
      <w:pPr>
        <w:suppressLineNumbers/>
        <w:suppressAutoHyphens/>
        <w:jc w:val="center"/>
        <w:rPr>
          <w:snapToGrid w:val="0"/>
          <w:kern w:val="22"/>
          <w:lang w:val="fr-FR"/>
        </w:rPr>
      </w:pPr>
      <w:r w:rsidRPr="00D756D0">
        <w:rPr>
          <w:snapToGrid w:val="0"/>
          <w:kern w:val="22"/>
          <w:lang w:val="fr-FR"/>
        </w:rPr>
        <w:t>______</w:t>
      </w:r>
      <w:r w:rsidR="00824506" w:rsidRPr="00D756D0">
        <w:rPr>
          <w:snapToGrid w:val="0"/>
          <w:kern w:val="22"/>
          <w:lang w:val="fr-FR"/>
        </w:rPr>
        <w:t>___</w:t>
      </w:r>
      <w:r w:rsidR="00861A6C" w:rsidRPr="00D756D0">
        <w:rPr>
          <w:snapToGrid w:val="0"/>
          <w:kern w:val="22"/>
          <w:lang w:val="fr-FR"/>
        </w:rPr>
        <w:t>_</w:t>
      </w:r>
    </w:p>
    <w:sectPr w:rsidR="00B3369F" w:rsidRPr="00D756D0" w:rsidSect="00FA5583">
      <w:headerReference w:type="even" r:id="rId41"/>
      <w:headerReference w:type="default" r:id="rId42"/>
      <w:pgSz w:w="12240" w:h="15840" w:code="1"/>
      <w:pgMar w:top="562" w:right="1382" w:bottom="1138" w:left="138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1BB6B" w14:textId="77777777" w:rsidR="00AE6E1A" w:rsidRDefault="00AE6E1A" w:rsidP="00CF1848">
      <w:r>
        <w:separator/>
      </w:r>
    </w:p>
  </w:endnote>
  <w:endnote w:type="continuationSeparator" w:id="0">
    <w:p w14:paraId="0F2797D2" w14:textId="77777777" w:rsidR="00AE6E1A" w:rsidRDefault="00AE6E1A" w:rsidP="00CF1848">
      <w:r>
        <w:continuationSeparator/>
      </w:r>
    </w:p>
  </w:endnote>
  <w:endnote w:type="continuationNotice" w:id="1">
    <w:p w14:paraId="51E361FA" w14:textId="77777777" w:rsidR="00AE6E1A" w:rsidRDefault="00AE6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panose1 w:val="020B0604020202020204"/>
    <w:charset w:val="00"/>
    <w:family w:val="swiss"/>
    <w:pitch w:val="variable"/>
    <w:sig w:usb0="80000287" w:usb1="00000000" w:usb2="00000000" w:usb3="00000000" w:csb0="0000000F" w:csb1="00000000"/>
  </w:font>
  <w:font w:name="Lucida Grande">
    <w:altName w:val="﷽﷽﷽﷽﷽﷽﷽﷽w Roman"/>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41FBD" w14:textId="77777777" w:rsidR="00AE6E1A" w:rsidRDefault="00AE6E1A" w:rsidP="00CF1848">
      <w:r>
        <w:separator/>
      </w:r>
    </w:p>
  </w:footnote>
  <w:footnote w:type="continuationSeparator" w:id="0">
    <w:p w14:paraId="35189140" w14:textId="77777777" w:rsidR="00AE6E1A" w:rsidRDefault="00AE6E1A" w:rsidP="00CF1848">
      <w:r>
        <w:continuationSeparator/>
      </w:r>
    </w:p>
  </w:footnote>
  <w:footnote w:type="continuationNotice" w:id="1">
    <w:p w14:paraId="46BF07C6" w14:textId="77777777" w:rsidR="00AE6E1A" w:rsidRDefault="00AE6E1A"/>
  </w:footnote>
  <w:footnote w:id="2">
    <w:p w14:paraId="5CE14329" w14:textId="0B83D566" w:rsidR="00937448" w:rsidRPr="00F300AB" w:rsidRDefault="00937448" w:rsidP="00F300AB">
      <w:pPr>
        <w:pStyle w:val="Notedebasdepage"/>
        <w:ind w:firstLine="0"/>
        <w:jc w:val="left"/>
        <w:rPr>
          <w:szCs w:val="18"/>
          <w:lang w:val="en-US"/>
        </w:rPr>
      </w:pPr>
      <w:r w:rsidRPr="00F300AB">
        <w:rPr>
          <w:rStyle w:val="Appelnotedebasdep"/>
          <w:sz w:val="18"/>
          <w:szCs w:val="18"/>
        </w:rPr>
        <w:footnoteRef/>
      </w:r>
      <w:r w:rsidRPr="00F300AB">
        <w:rPr>
          <w:szCs w:val="18"/>
        </w:rPr>
        <w:t xml:space="preserve"> </w:t>
      </w:r>
      <w:r w:rsidR="00861A04" w:rsidRPr="00861A04">
        <w:rPr>
          <w:szCs w:val="18"/>
          <w:lang w:val="en-US"/>
        </w:rPr>
        <w:t xml:space="preserve">Le premier </w:t>
      </w:r>
      <w:proofErr w:type="spellStart"/>
      <w:r w:rsidR="00861A04" w:rsidRPr="00861A04">
        <w:rPr>
          <w:szCs w:val="18"/>
          <w:lang w:val="en-US"/>
        </w:rPr>
        <w:t>projet</w:t>
      </w:r>
      <w:proofErr w:type="spellEnd"/>
      <w:r w:rsidR="00861A04" w:rsidRPr="00861A04">
        <w:rPr>
          <w:szCs w:val="18"/>
          <w:lang w:val="en-US"/>
        </w:rPr>
        <w:t xml:space="preserve"> de </w:t>
      </w:r>
      <w:r w:rsidR="00FC1632">
        <w:rPr>
          <w:szCs w:val="18"/>
          <w:lang w:val="en-US"/>
        </w:rPr>
        <w:t>C</w:t>
      </w:r>
      <w:r w:rsidR="00861A04" w:rsidRPr="00861A04">
        <w:rPr>
          <w:szCs w:val="18"/>
          <w:lang w:val="en-US"/>
        </w:rPr>
        <w:t xml:space="preserve">adre </w:t>
      </w:r>
      <w:proofErr w:type="spellStart"/>
      <w:r w:rsidR="00861A04" w:rsidRPr="00861A04">
        <w:rPr>
          <w:szCs w:val="18"/>
          <w:lang w:val="en-US"/>
        </w:rPr>
        <w:t>mondial</w:t>
      </w:r>
      <w:proofErr w:type="spellEnd"/>
      <w:r w:rsidR="00861A04" w:rsidRPr="00861A04">
        <w:rPr>
          <w:szCs w:val="18"/>
          <w:lang w:val="en-US"/>
        </w:rPr>
        <w:t xml:space="preserve"> de la </w:t>
      </w:r>
      <w:proofErr w:type="spellStart"/>
      <w:r w:rsidR="00861A04" w:rsidRPr="00861A04">
        <w:rPr>
          <w:szCs w:val="18"/>
          <w:lang w:val="en-US"/>
        </w:rPr>
        <w:t>biodiversité</w:t>
      </w:r>
      <w:proofErr w:type="spellEnd"/>
      <w:r w:rsidR="00861A04" w:rsidRPr="00861A04">
        <w:rPr>
          <w:szCs w:val="18"/>
          <w:lang w:val="en-US"/>
        </w:rPr>
        <w:t xml:space="preserve"> pour l'après-2020 figure dans le document CBD/WG2020/3/3. La </w:t>
      </w:r>
      <w:proofErr w:type="spellStart"/>
      <w:r w:rsidR="00861A04" w:rsidRPr="00861A04">
        <w:rPr>
          <w:szCs w:val="18"/>
          <w:lang w:val="en-US"/>
        </w:rPr>
        <w:t>liste</w:t>
      </w:r>
      <w:proofErr w:type="spellEnd"/>
      <w:r w:rsidR="00861A04" w:rsidRPr="00861A04">
        <w:rPr>
          <w:szCs w:val="18"/>
          <w:lang w:val="en-US"/>
        </w:rPr>
        <w:t xml:space="preserve"> des </w:t>
      </w:r>
      <w:proofErr w:type="spellStart"/>
      <w:r w:rsidR="00861A04" w:rsidRPr="00861A04">
        <w:rPr>
          <w:szCs w:val="18"/>
          <w:lang w:val="en-US"/>
        </w:rPr>
        <w:t>indicateurs</w:t>
      </w:r>
      <w:proofErr w:type="spellEnd"/>
      <w:r w:rsidR="00861A04" w:rsidRPr="00861A04">
        <w:rPr>
          <w:szCs w:val="18"/>
          <w:lang w:val="en-US"/>
        </w:rPr>
        <w:t xml:space="preserve"> </w:t>
      </w:r>
      <w:r w:rsidR="00FC1632">
        <w:rPr>
          <w:szCs w:val="18"/>
          <w:lang w:val="en-US"/>
        </w:rPr>
        <w:t>phares</w:t>
      </w:r>
      <w:r w:rsidR="00861A04" w:rsidRPr="00861A04">
        <w:rPr>
          <w:szCs w:val="18"/>
          <w:lang w:val="en-US"/>
        </w:rPr>
        <w:t xml:space="preserve"> du </w:t>
      </w:r>
      <w:r w:rsidR="00FC1632">
        <w:rPr>
          <w:szCs w:val="18"/>
          <w:lang w:val="en-US"/>
        </w:rPr>
        <w:t>C</w:t>
      </w:r>
      <w:r w:rsidR="00861A04" w:rsidRPr="00861A04">
        <w:rPr>
          <w:szCs w:val="18"/>
          <w:lang w:val="en-US"/>
        </w:rPr>
        <w:t xml:space="preserve">adre </w:t>
      </w:r>
      <w:proofErr w:type="spellStart"/>
      <w:r w:rsidR="00861A04" w:rsidRPr="00861A04">
        <w:rPr>
          <w:szCs w:val="18"/>
          <w:lang w:val="en-US"/>
        </w:rPr>
        <w:t>mondial</w:t>
      </w:r>
      <w:proofErr w:type="spellEnd"/>
      <w:r w:rsidR="00861A04" w:rsidRPr="00861A04">
        <w:rPr>
          <w:szCs w:val="18"/>
          <w:lang w:val="en-US"/>
        </w:rPr>
        <w:t xml:space="preserve"> </w:t>
      </w:r>
      <w:proofErr w:type="spellStart"/>
      <w:r w:rsidR="00861A04" w:rsidRPr="00861A04">
        <w:rPr>
          <w:szCs w:val="18"/>
          <w:lang w:val="en-US"/>
        </w:rPr>
        <w:t>est</w:t>
      </w:r>
      <w:proofErr w:type="spellEnd"/>
      <w:r w:rsidR="00861A04" w:rsidRPr="00861A04">
        <w:rPr>
          <w:szCs w:val="18"/>
          <w:lang w:val="en-US"/>
        </w:rPr>
        <w:t xml:space="preserve"> </w:t>
      </w:r>
      <w:proofErr w:type="spellStart"/>
      <w:r w:rsidR="00861A04" w:rsidRPr="00861A04">
        <w:rPr>
          <w:szCs w:val="18"/>
          <w:lang w:val="en-US"/>
        </w:rPr>
        <w:t>présentée</w:t>
      </w:r>
      <w:proofErr w:type="spellEnd"/>
      <w:r w:rsidR="00861A04" w:rsidRPr="00861A04">
        <w:rPr>
          <w:szCs w:val="18"/>
          <w:lang w:val="en-US"/>
        </w:rPr>
        <w:t xml:space="preserve"> dans le document CBD/WG2020/3/3/Add.1. </w:t>
      </w:r>
      <w:proofErr w:type="spellStart"/>
      <w:r w:rsidR="00861A04" w:rsidRPr="00861A04">
        <w:rPr>
          <w:szCs w:val="18"/>
          <w:lang w:val="en-US"/>
        </w:rPr>
        <w:t>L'addendum</w:t>
      </w:r>
      <w:proofErr w:type="spellEnd"/>
      <w:r w:rsidR="00861A04" w:rsidRPr="00861A04">
        <w:rPr>
          <w:szCs w:val="18"/>
          <w:lang w:val="en-US"/>
        </w:rPr>
        <w:t xml:space="preserve">, CBD/WG2020/3/3/Add.1, </w:t>
      </w:r>
      <w:proofErr w:type="spellStart"/>
      <w:r w:rsidR="00861A04" w:rsidRPr="00861A04">
        <w:rPr>
          <w:szCs w:val="18"/>
          <w:lang w:val="en-US"/>
        </w:rPr>
        <w:t>décrit</w:t>
      </w:r>
      <w:proofErr w:type="spellEnd"/>
      <w:r w:rsidR="00861A04" w:rsidRPr="00861A04">
        <w:rPr>
          <w:szCs w:val="18"/>
          <w:lang w:val="en-US"/>
        </w:rPr>
        <w:t xml:space="preserve"> les documents </w:t>
      </w:r>
      <w:proofErr w:type="spellStart"/>
      <w:r w:rsidR="00861A04" w:rsidRPr="00861A04">
        <w:rPr>
          <w:szCs w:val="18"/>
          <w:lang w:val="en-US"/>
        </w:rPr>
        <w:t>d'information</w:t>
      </w:r>
      <w:proofErr w:type="spellEnd"/>
      <w:r w:rsidR="00861A04" w:rsidRPr="00861A04">
        <w:rPr>
          <w:szCs w:val="18"/>
          <w:lang w:val="en-US"/>
        </w:rPr>
        <w:t xml:space="preserve"> </w:t>
      </w:r>
      <w:proofErr w:type="spellStart"/>
      <w:r w:rsidR="00861A04" w:rsidRPr="00861A04">
        <w:rPr>
          <w:szCs w:val="18"/>
          <w:lang w:val="en-US"/>
        </w:rPr>
        <w:t>relatifs</w:t>
      </w:r>
      <w:proofErr w:type="spellEnd"/>
      <w:r w:rsidR="00861A04" w:rsidRPr="00861A04">
        <w:rPr>
          <w:szCs w:val="18"/>
          <w:lang w:val="en-US"/>
        </w:rPr>
        <w:t xml:space="preserve"> au cadre de </w:t>
      </w:r>
      <w:proofErr w:type="spellStart"/>
      <w:r w:rsidR="00861A04" w:rsidRPr="00861A04">
        <w:rPr>
          <w:szCs w:val="18"/>
          <w:lang w:val="en-US"/>
        </w:rPr>
        <w:t>suivi</w:t>
      </w:r>
      <w:proofErr w:type="spellEnd"/>
      <w:r w:rsidR="00861A04" w:rsidRPr="00861A04">
        <w:rPr>
          <w:szCs w:val="18"/>
          <w:lang w:val="en-US"/>
        </w:rPr>
        <w:t xml:space="preserve">, y </w:t>
      </w:r>
      <w:proofErr w:type="spellStart"/>
      <w:r w:rsidR="00861A04" w:rsidRPr="00861A04">
        <w:rPr>
          <w:szCs w:val="18"/>
          <w:lang w:val="en-US"/>
        </w:rPr>
        <w:t>compris</w:t>
      </w:r>
      <w:proofErr w:type="spellEnd"/>
      <w:r w:rsidR="00861A04" w:rsidRPr="00861A04">
        <w:rPr>
          <w:szCs w:val="18"/>
          <w:lang w:val="en-US"/>
        </w:rPr>
        <w:t xml:space="preserve"> </w:t>
      </w:r>
      <w:proofErr w:type="spellStart"/>
      <w:r w:rsidR="00861A04" w:rsidRPr="00861A04">
        <w:rPr>
          <w:szCs w:val="18"/>
          <w:lang w:val="en-US"/>
        </w:rPr>
        <w:t>ceux</w:t>
      </w:r>
      <w:proofErr w:type="spellEnd"/>
      <w:r w:rsidR="00861A04" w:rsidRPr="00861A04">
        <w:rPr>
          <w:szCs w:val="18"/>
          <w:lang w:val="en-US"/>
        </w:rPr>
        <w:t xml:space="preserve"> </w:t>
      </w:r>
      <w:proofErr w:type="spellStart"/>
      <w:r w:rsidR="00861A04" w:rsidRPr="00861A04">
        <w:rPr>
          <w:szCs w:val="18"/>
          <w:lang w:val="en-US"/>
        </w:rPr>
        <w:t>relatifs</w:t>
      </w:r>
      <w:proofErr w:type="spellEnd"/>
      <w:r w:rsidR="00861A04" w:rsidRPr="00861A04">
        <w:rPr>
          <w:szCs w:val="18"/>
          <w:lang w:val="en-US"/>
        </w:rPr>
        <w:t xml:space="preserve"> aux </w:t>
      </w:r>
      <w:proofErr w:type="spellStart"/>
      <w:r w:rsidR="00861A04" w:rsidRPr="00861A04">
        <w:rPr>
          <w:szCs w:val="18"/>
          <w:lang w:val="en-US"/>
        </w:rPr>
        <w:t>indicateurs</w:t>
      </w:r>
      <w:proofErr w:type="spellEnd"/>
      <w:r w:rsidR="00861A04" w:rsidRPr="00861A04">
        <w:rPr>
          <w:szCs w:val="18"/>
          <w:lang w:val="en-US"/>
        </w:rPr>
        <w:t xml:space="preserve"> de </w:t>
      </w:r>
      <w:proofErr w:type="spellStart"/>
      <w:r w:rsidR="00861A04" w:rsidRPr="00861A04">
        <w:rPr>
          <w:szCs w:val="18"/>
          <w:lang w:val="en-US"/>
        </w:rPr>
        <w:t>composantes</w:t>
      </w:r>
      <w:proofErr w:type="spellEnd"/>
      <w:r w:rsidR="00861A04" w:rsidRPr="00861A04">
        <w:rPr>
          <w:szCs w:val="18"/>
          <w:lang w:val="en-US"/>
        </w:rPr>
        <w:t xml:space="preserve"> et aux </w:t>
      </w:r>
      <w:proofErr w:type="spellStart"/>
      <w:r w:rsidR="00861A04" w:rsidRPr="00861A04">
        <w:rPr>
          <w:szCs w:val="18"/>
          <w:lang w:val="en-US"/>
        </w:rPr>
        <w:t>indicateurs</w:t>
      </w:r>
      <w:proofErr w:type="spellEnd"/>
      <w:r w:rsidR="00861A04" w:rsidRPr="00861A04">
        <w:rPr>
          <w:szCs w:val="18"/>
          <w:lang w:val="en-US"/>
        </w:rPr>
        <w:t xml:space="preserve"> </w:t>
      </w:r>
      <w:proofErr w:type="spellStart"/>
      <w:r w:rsidR="00861A04" w:rsidRPr="00861A04">
        <w:rPr>
          <w:szCs w:val="18"/>
          <w:lang w:val="en-US"/>
        </w:rPr>
        <w:t>complémentaires</w:t>
      </w:r>
      <w:proofErr w:type="spellEnd"/>
      <w:r w:rsidR="00861A04" w:rsidRPr="00861A04">
        <w:rPr>
          <w:szCs w:val="18"/>
          <w:lang w:val="en-US"/>
        </w:rPr>
        <w:t xml:space="preserve">, </w:t>
      </w:r>
      <w:proofErr w:type="spellStart"/>
      <w:r w:rsidR="00861A04" w:rsidRPr="00861A04">
        <w:rPr>
          <w:szCs w:val="18"/>
          <w:lang w:val="en-US"/>
        </w:rPr>
        <w:t>ainsi</w:t>
      </w:r>
      <w:proofErr w:type="spellEnd"/>
      <w:r w:rsidR="00861A04" w:rsidRPr="00861A04">
        <w:rPr>
          <w:szCs w:val="18"/>
          <w:lang w:val="en-US"/>
        </w:rPr>
        <w:t xml:space="preserve"> que </w:t>
      </w:r>
      <w:proofErr w:type="spellStart"/>
      <w:r w:rsidR="00861A04" w:rsidRPr="00861A04">
        <w:rPr>
          <w:szCs w:val="18"/>
          <w:lang w:val="en-US"/>
        </w:rPr>
        <w:t>d'autres</w:t>
      </w:r>
      <w:proofErr w:type="spellEnd"/>
      <w:r w:rsidR="00861A04" w:rsidRPr="00861A04">
        <w:rPr>
          <w:szCs w:val="18"/>
          <w:lang w:val="en-US"/>
        </w:rPr>
        <w:t xml:space="preserve"> </w:t>
      </w:r>
      <w:proofErr w:type="spellStart"/>
      <w:proofErr w:type="gramStart"/>
      <w:r w:rsidR="00861A04" w:rsidRPr="00861A04">
        <w:rPr>
          <w:szCs w:val="18"/>
          <w:lang w:val="en-US"/>
        </w:rPr>
        <w:t>informations</w:t>
      </w:r>
      <w:proofErr w:type="spellEnd"/>
      <w:proofErr w:type="gramEnd"/>
      <w:r w:rsidR="00861A04" w:rsidRPr="00861A04">
        <w:rPr>
          <w:szCs w:val="18"/>
          <w:lang w:val="en-US"/>
        </w:rPr>
        <w:t xml:space="preserve"> relatives aux </w:t>
      </w:r>
      <w:proofErr w:type="spellStart"/>
      <w:r w:rsidR="00861A04" w:rsidRPr="00861A04">
        <w:rPr>
          <w:szCs w:val="18"/>
          <w:lang w:val="en-US"/>
        </w:rPr>
        <w:t>indicateurs</w:t>
      </w:r>
      <w:proofErr w:type="spellEnd"/>
      <w:r w:rsidRPr="00F300AB">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0A3F" w14:textId="57D0F8F6" w:rsidR="00147F4A" w:rsidRPr="00F300AB" w:rsidRDefault="00AE6E1A" w:rsidP="003B5508">
    <w:pPr>
      <w:pStyle w:val="En-tte"/>
      <w:suppressLineNumbers/>
      <w:tabs>
        <w:tab w:val="clear" w:pos="4320"/>
        <w:tab w:val="clear" w:pos="8640"/>
      </w:tabs>
      <w:suppressAutoHyphens/>
      <w:jc w:val="left"/>
      <w:rPr>
        <w:kern w:val="22"/>
      </w:rPr>
    </w:pPr>
    <w:sdt>
      <w:sdtPr>
        <w:rPr>
          <w:kern w:val="22"/>
        </w:rPr>
        <w:alias w:val="Subject"/>
        <w:tag w:val=""/>
        <w:id w:val="-520545480"/>
        <w:placeholder>
          <w:docPart w:val="11AFA67BE5664AABBF54AB971FE4C132"/>
        </w:placeholder>
        <w:dataBinding w:prefixMappings="xmlns:ns0='http://purl.org/dc/elements/1.1/' xmlns:ns1='http://schemas.openxmlformats.org/package/2006/metadata/core-properties' " w:xpath="/ns1:coreProperties[1]/ns0:subject[1]" w:storeItemID="{6C3C8BC8-F283-45AE-878A-BAB7291924A1}"/>
        <w:text/>
      </w:sdtPr>
      <w:sdtEndPr>
        <w:rPr>
          <w:noProof/>
          <w:lang w:val="fr-FR"/>
        </w:rPr>
      </w:sdtEndPr>
      <w:sdtContent>
        <w:r w:rsidR="007A3C05" w:rsidRPr="00B51E4D">
          <w:rPr>
            <w:kern w:val="22"/>
          </w:rPr>
          <w:t>CBD/WG2020/3/3/Add.2</w:t>
        </w:r>
      </w:sdtContent>
    </w:sdt>
  </w:p>
  <w:p w14:paraId="1E0FDE0B" w14:textId="7F007A8F" w:rsidR="00147F4A" w:rsidRPr="00F300AB" w:rsidRDefault="00147F4A" w:rsidP="003B5508">
    <w:pPr>
      <w:pStyle w:val="En-tte"/>
      <w:suppressLineNumbers/>
      <w:tabs>
        <w:tab w:val="clear" w:pos="4320"/>
        <w:tab w:val="clear" w:pos="8640"/>
      </w:tabs>
      <w:suppressAutoHyphens/>
      <w:jc w:val="left"/>
      <w:rPr>
        <w:kern w:val="22"/>
      </w:rPr>
    </w:pPr>
    <w:r w:rsidRPr="00F300AB">
      <w:rPr>
        <w:kern w:val="22"/>
      </w:rPr>
      <w:t xml:space="preserve">Page </w:t>
    </w:r>
    <w:r w:rsidRPr="00F300AB">
      <w:rPr>
        <w:noProof/>
        <w:kern w:val="22"/>
      </w:rPr>
      <w:fldChar w:fldCharType="begin"/>
    </w:r>
    <w:r w:rsidRPr="00F300AB">
      <w:rPr>
        <w:kern w:val="22"/>
      </w:rPr>
      <w:instrText xml:space="preserve"> PAGE   \* MERGEFORMAT </w:instrText>
    </w:r>
    <w:r w:rsidRPr="00F300AB">
      <w:rPr>
        <w:kern w:val="22"/>
      </w:rPr>
      <w:fldChar w:fldCharType="separate"/>
    </w:r>
    <w:r w:rsidR="00D85619" w:rsidRPr="00F300AB">
      <w:rPr>
        <w:kern w:val="22"/>
      </w:rPr>
      <w:t>6</w:t>
    </w:r>
    <w:r w:rsidRPr="00F300AB">
      <w:rPr>
        <w:kern w:val="22"/>
      </w:rPr>
      <w:fldChar w:fldCharType="end"/>
    </w:r>
  </w:p>
  <w:p w14:paraId="61C60697" w14:textId="77777777" w:rsidR="00147F4A" w:rsidRPr="00F300AB" w:rsidRDefault="00147F4A" w:rsidP="003B5508">
    <w:pPr>
      <w:pStyle w:val="En-tte"/>
      <w:suppressLineNumbers/>
      <w:tabs>
        <w:tab w:val="clear" w:pos="4320"/>
        <w:tab w:val="clear" w:pos="8640"/>
      </w:tabs>
      <w:suppressAutoHyphens/>
      <w:jc w:val="left"/>
      <w:rPr>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EC37E" w14:textId="06EBD13C" w:rsidR="00147F4A" w:rsidRPr="00F300AB" w:rsidRDefault="00AE6E1A" w:rsidP="003B5508">
    <w:pPr>
      <w:pStyle w:val="En-tte"/>
      <w:suppressLineNumbers/>
      <w:tabs>
        <w:tab w:val="clear" w:pos="4320"/>
        <w:tab w:val="clear" w:pos="8640"/>
      </w:tabs>
      <w:suppressAutoHyphens/>
      <w:jc w:val="right"/>
      <w:rPr>
        <w:kern w:val="22"/>
      </w:rPr>
    </w:pPr>
    <w:sdt>
      <w:sdtPr>
        <w:rPr>
          <w:kern w:val="22"/>
        </w:rPr>
        <w:alias w:val="Subject"/>
        <w:tag w:val=""/>
        <w:id w:val="1847820970"/>
        <w:dataBinding w:prefixMappings="xmlns:ns0='http://purl.org/dc/elements/1.1/' xmlns:ns1='http://schemas.openxmlformats.org/package/2006/metadata/core-properties' " w:xpath="/ns1:coreProperties[1]/ns0:subject[1]" w:storeItemID="{6C3C8BC8-F283-45AE-878A-BAB7291924A1}"/>
        <w:text/>
      </w:sdtPr>
      <w:sdtEndPr>
        <w:rPr>
          <w:noProof/>
          <w:lang w:val="fr-FR"/>
        </w:rPr>
      </w:sdtEndPr>
      <w:sdtContent>
        <w:r w:rsidR="007A3C05" w:rsidRPr="00B51E4D">
          <w:rPr>
            <w:kern w:val="22"/>
          </w:rPr>
          <w:t>CBD/WG2020/3/3/Add.2</w:t>
        </w:r>
      </w:sdtContent>
    </w:sdt>
  </w:p>
  <w:p w14:paraId="64AE8439" w14:textId="2B3D7FC6" w:rsidR="00147F4A" w:rsidRPr="00F300AB" w:rsidRDefault="00147F4A" w:rsidP="003B5508">
    <w:pPr>
      <w:pStyle w:val="En-tte"/>
      <w:suppressLineNumbers/>
      <w:tabs>
        <w:tab w:val="clear" w:pos="4320"/>
        <w:tab w:val="clear" w:pos="8640"/>
      </w:tabs>
      <w:suppressAutoHyphens/>
      <w:jc w:val="right"/>
      <w:rPr>
        <w:kern w:val="22"/>
      </w:rPr>
    </w:pPr>
    <w:r w:rsidRPr="00F300AB">
      <w:rPr>
        <w:kern w:val="22"/>
      </w:rPr>
      <w:t xml:space="preserve">Page </w:t>
    </w:r>
    <w:r w:rsidRPr="00F300AB">
      <w:rPr>
        <w:noProof/>
        <w:kern w:val="22"/>
      </w:rPr>
      <w:fldChar w:fldCharType="begin"/>
    </w:r>
    <w:r w:rsidRPr="00F300AB">
      <w:rPr>
        <w:kern w:val="22"/>
      </w:rPr>
      <w:instrText xml:space="preserve"> PAGE   \* MERGEFORMAT </w:instrText>
    </w:r>
    <w:r w:rsidRPr="00F300AB">
      <w:rPr>
        <w:kern w:val="22"/>
      </w:rPr>
      <w:fldChar w:fldCharType="separate"/>
    </w:r>
    <w:r w:rsidR="00D85619" w:rsidRPr="00F300AB">
      <w:rPr>
        <w:kern w:val="22"/>
      </w:rPr>
      <w:t>7</w:t>
    </w:r>
    <w:r w:rsidRPr="00F300AB">
      <w:rPr>
        <w:kern w:val="22"/>
      </w:rPr>
      <w:fldChar w:fldCharType="end"/>
    </w:r>
  </w:p>
  <w:p w14:paraId="16137B8A" w14:textId="77777777" w:rsidR="00147F4A" w:rsidRPr="00F300AB" w:rsidRDefault="00147F4A" w:rsidP="003B5508">
    <w:pPr>
      <w:pStyle w:val="En-tte"/>
      <w:suppressLineNumbers/>
      <w:tabs>
        <w:tab w:val="clear" w:pos="4320"/>
        <w:tab w:val="clear" w:pos="8640"/>
      </w:tabs>
      <w:suppressAutoHyphens/>
      <w:jc w:val="right"/>
      <w:rPr>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646"/>
    <w:multiLevelType w:val="hybridMultilevel"/>
    <w:tmpl w:val="41EEA966"/>
    <w:lvl w:ilvl="0" w:tplc="1009000F">
      <w:start w:val="1"/>
      <w:numFmt w:val="decimal"/>
      <w:lvlText w:val="%1."/>
      <w:lvlJc w:val="left"/>
      <w:pPr>
        <w:ind w:left="6840" w:hanging="360"/>
      </w:pPr>
    </w:lvl>
    <w:lvl w:ilvl="1" w:tplc="433CA98A">
      <w:start w:val="1"/>
      <w:numFmt w:val="lowerLetter"/>
      <w:lvlText w:val="(%2)"/>
      <w:lvlJc w:val="left"/>
      <w:pPr>
        <w:ind w:left="7560" w:hanging="360"/>
      </w:pPr>
      <w:rPr>
        <w:rFonts w:hint="default"/>
      </w:rPr>
    </w:lvl>
    <w:lvl w:ilvl="2" w:tplc="C1E625D2">
      <w:start w:val="1"/>
      <w:numFmt w:val="lowerRoman"/>
      <w:lvlText w:val="(%3)"/>
      <w:lvlJc w:val="right"/>
      <w:pPr>
        <w:ind w:left="8280" w:hanging="180"/>
      </w:pPr>
      <w:rPr>
        <w:rFonts w:hint="default"/>
      </w:rPr>
    </w:lvl>
    <w:lvl w:ilvl="3" w:tplc="1009000F">
      <w:start w:val="1"/>
      <w:numFmt w:val="decimal"/>
      <w:lvlText w:val="%4."/>
      <w:lvlJc w:val="left"/>
      <w:pPr>
        <w:ind w:left="9000" w:hanging="360"/>
      </w:pPr>
    </w:lvl>
    <w:lvl w:ilvl="4" w:tplc="10090019">
      <w:start w:val="1"/>
      <w:numFmt w:val="lowerLetter"/>
      <w:lvlText w:val="%5."/>
      <w:lvlJc w:val="left"/>
      <w:pPr>
        <w:ind w:left="9720" w:hanging="360"/>
      </w:pPr>
    </w:lvl>
    <w:lvl w:ilvl="5" w:tplc="1009001B">
      <w:start w:val="1"/>
      <w:numFmt w:val="lowerRoman"/>
      <w:lvlText w:val="%6."/>
      <w:lvlJc w:val="right"/>
      <w:pPr>
        <w:ind w:left="10440" w:hanging="180"/>
      </w:pPr>
    </w:lvl>
    <w:lvl w:ilvl="6" w:tplc="1009000F">
      <w:start w:val="1"/>
      <w:numFmt w:val="decimal"/>
      <w:lvlText w:val="%7."/>
      <w:lvlJc w:val="left"/>
      <w:pPr>
        <w:ind w:left="11160" w:hanging="360"/>
      </w:pPr>
    </w:lvl>
    <w:lvl w:ilvl="7" w:tplc="10090019">
      <w:start w:val="1"/>
      <w:numFmt w:val="lowerLetter"/>
      <w:lvlText w:val="%8."/>
      <w:lvlJc w:val="left"/>
      <w:pPr>
        <w:ind w:left="11880" w:hanging="360"/>
      </w:pPr>
    </w:lvl>
    <w:lvl w:ilvl="8" w:tplc="1009001B">
      <w:start w:val="1"/>
      <w:numFmt w:val="lowerRoman"/>
      <w:lvlText w:val="%9."/>
      <w:lvlJc w:val="right"/>
      <w:pPr>
        <w:ind w:left="1260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7D45E2"/>
    <w:multiLevelType w:val="multilevel"/>
    <w:tmpl w:val="C5CA635E"/>
    <w:lvl w:ilvl="0">
      <w:start w:val="1"/>
      <w:numFmt w:val="upperRoman"/>
      <w:lvlText w:val="%1."/>
      <w:lvlJc w:val="left"/>
      <w:pPr>
        <w:ind w:left="360" w:hanging="72"/>
      </w:pPr>
      <w:rPr>
        <w:rFonts w:hint="default"/>
        <w:b/>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CB70DC"/>
    <w:multiLevelType w:val="hybridMultilevel"/>
    <w:tmpl w:val="0CD82086"/>
    <w:lvl w:ilvl="0" w:tplc="1009000F">
      <w:start w:val="1"/>
      <w:numFmt w:val="decimal"/>
      <w:lvlText w:val="%1."/>
      <w:lvlJc w:val="left"/>
      <w:pPr>
        <w:ind w:left="6840" w:hanging="360"/>
      </w:pPr>
    </w:lvl>
    <w:lvl w:ilvl="1" w:tplc="433CA98A">
      <w:start w:val="1"/>
      <w:numFmt w:val="lowerLetter"/>
      <w:lvlText w:val="(%2)"/>
      <w:lvlJc w:val="left"/>
      <w:pPr>
        <w:ind w:left="7560" w:hanging="360"/>
      </w:pPr>
      <w:rPr>
        <w:rFonts w:hint="default"/>
      </w:rPr>
    </w:lvl>
    <w:lvl w:ilvl="2" w:tplc="1009001B">
      <w:start w:val="1"/>
      <w:numFmt w:val="lowerRoman"/>
      <w:lvlText w:val="%3."/>
      <w:lvlJc w:val="right"/>
      <w:pPr>
        <w:ind w:left="8280" w:hanging="180"/>
      </w:pPr>
    </w:lvl>
    <w:lvl w:ilvl="3" w:tplc="1009000F">
      <w:start w:val="1"/>
      <w:numFmt w:val="decimal"/>
      <w:lvlText w:val="%4."/>
      <w:lvlJc w:val="left"/>
      <w:pPr>
        <w:ind w:left="9000" w:hanging="360"/>
      </w:pPr>
    </w:lvl>
    <w:lvl w:ilvl="4" w:tplc="10090019">
      <w:start w:val="1"/>
      <w:numFmt w:val="lowerLetter"/>
      <w:lvlText w:val="%5."/>
      <w:lvlJc w:val="left"/>
      <w:pPr>
        <w:ind w:left="9720" w:hanging="360"/>
      </w:pPr>
    </w:lvl>
    <w:lvl w:ilvl="5" w:tplc="1009001B">
      <w:start w:val="1"/>
      <w:numFmt w:val="lowerRoman"/>
      <w:lvlText w:val="%6."/>
      <w:lvlJc w:val="right"/>
      <w:pPr>
        <w:ind w:left="10440" w:hanging="180"/>
      </w:pPr>
    </w:lvl>
    <w:lvl w:ilvl="6" w:tplc="1009000F">
      <w:start w:val="1"/>
      <w:numFmt w:val="decimal"/>
      <w:lvlText w:val="%7."/>
      <w:lvlJc w:val="left"/>
      <w:pPr>
        <w:ind w:left="11160" w:hanging="360"/>
      </w:pPr>
    </w:lvl>
    <w:lvl w:ilvl="7" w:tplc="10090019">
      <w:start w:val="1"/>
      <w:numFmt w:val="lowerLetter"/>
      <w:lvlText w:val="%8."/>
      <w:lvlJc w:val="left"/>
      <w:pPr>
        <w:ind w:left="11880" w:hanging="360"/>
      </w:pPr>
    </w:lvl>
    <w:lvl w:ilvl="8" w:tplc="1009001B">
      <w:start w:val="1"/>
      <w:numFmt w:val="lowerRoman"/>
      <w:lvlText w:val="%9."/>
      <w:lvlJc w:val="right"/>
      <w:pPr>
        <w:ind w:left="12600" w:hanging="180"/>
      </w:pPr>
    </w:lvl>
  </w:abstractNum>
  <w:abstractNum w:abstractNumId="6" w15:restartNumberingAfterBreak="0">
    <w:nsid w:val="21457CFB"/>
    <w:multiLevelType w:val="hybridMultilevel"/>
    <w:tmpl w:val="19C2AD22"/>
    <w:lvl w:ilvl="0" w:tplc="4342ADA0">
      <w:start w:val="1"/>
      <w:numFmt w:val="upperRoman"/>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1C871DF"/>
    <w:multiLevelType w:val="hybridMultilevel"/>
    <w:tmpl w:val="5734D5AE"/>
    <w:lvl w:ilvl="0" w:tplc="7D081C2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5B61A11"/>
    <w:multiLevelType w:val="hybridMultilevel"/>
    <w:tmpl w:val="7A72D4DA"/>
    <w:lvl w:ilvl="0" w:tplc="442EEA8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603078A"/>
    <w:multiLevelType w:val="hybridMultilevel"/>
    <w:tmpl w:val="9B5CB722"/>
    <w:lvl w:ilvl="0" w:tplc="37A412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5B521F"/>
    <w:multiLevelType w:val="hybridMultilevel"/>
    <w:tmpl w:val="A16A0180"/>
    <w:lvl w:ilvl="0" w:tplc="1009000F">
      <w:start w:val="1"/>
      <w:numFmt w:val="decimal"/>
      <w:lvlText w:val="%1."/>
      <w:lvlJc w:val="left"/>
      <w:pPr>
        <w:ind w:left="6840" w:hanging="360"/>
      </w:pPr>
    </w:lvl>
    <w:lvl w:ilvl="1" w:tplc="433CA98A">
      <w:start w:val="1"/>
      <w:numFmt w:val="lowerLetter"/>
      <w:lvlText w:val="(%2)"/>
      <w:lvlJc w:val="left"/>
      <w:pPr>
        <w:ind w:left="7560" w:hanging="360"/>
      </w:pPr>
      <w:rPr>
        <w:rFonts w:hint="default"/>
      </w:rPr>
    </w:lvl>
    <w:lvl w:ilvl="2" w:tplc="1009001B">
      <w:start w:val="1"/>
      <w:numFmt w:val="lowerRoman"/>
      <w:lvlText w:val="%3."/>
      <w:lvlJc w:val="right"/>
      <w:pPr>
        <w:ind w:left="8280" w:hanging="180"/>
      </w:pPr>
    </w:lvl>
    <w:lvl w:ilvl="3" w:tplc="1009000F">
      <w:start w:val="1"/>
      <w:numFmt w:val="decimal"/>
      <w:lvlText w:val="%4."/>
      <w:lvlJc w:val="left"/>
      <w:pPr>
        <w:ind w:left="9000" w:hanging="360"/>
      </w:pPr>
    </w:lvl>
    <w:lvl w:ilvl="4" w:tplc="10090019">
      <w:start w:val="1"/>
      <w:numFmt w:val="lowerLetter"/>
      <w:lvlText w:val="%5."/>
      <w:lvlJc w:val="left"/>
      <w:pPr>
        <w:ind w:left="9720" w:hanging="360"/>
      </w:pPr>
    </w:lvl>
    <w:lvl w:ilvl="5" w:tplc="1009001B">
      <w:start w:val="1"/>
      <w:numFmt w:val="lowerRoman"/>
      <w:lvlText w:val="%6."/>
      <w:lvlJc w:val="right"/>
      <w:pPr>
        <w:ind w:left="10440" w:hanging="180"/>
      </w:pPr>
    </w:lvl>
    <w:lvl w:ilvl="6" w:tplc="1009000F">
      <w:start w:val="1"/>
      <w:numFmt w:val="decimal"/>
      <w:lvlText w:val="%7."/>
      <w:lvlJc w:val="left"/>
      <w:pPr>
        <w:ind w:left="11160" w:hanging="360"/>
      </w:pPr>
    </w:lvl>
    <w:lvl w:ilvl="7" w:tplc="10090019">
      <w:start w:val="1"/>
      <w:numFmt w:val="lowerLetter"/>
      <w:lvlText w:val="%8."/>
      <w:lvlJc w:val="left"/>
      <w:pPr>
        <w:ind w:left="11880" w:hanging="360"/>
      </w:pPr>
    </w:lvl>
    <w:lvl w:ilvl="8" w:tplc="1009001B">
      <w:start w:val="1"/>
      <w:numFmt w:val="lowerRoman"/>
      <w:lvlText w:val="%9."/>
      <w:lvlJc w:val="right"/>
      <w:pPr>
        <w:ind w:left="12600" w:hanging="180"/>
      </w:pPr>
    </w:lvl>
  </w:abstractNum>
  <w:abstractNum w:abstractNumId="17"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265376"/>
    <w:multiLevelType w:val="hybridMultilevel"/>
    <w:tmpl w:val="8766BC96"/>
    <w:lvl w:ilvl="0" w:tplc="56B2537C">
      <w:start w:val="1"/>
      <w:numFmt w:val="decimal"/>
      <w:lvlText w:val="%1."/>
      <w:lvlJc w:val="left"/>
      <w:pPr>
        <w:ind w:left="360" w:hanging="360"/>
      </w:pPr>
      <w:rPr>
        <w:b w:val="0"/>
        <w:i w:val="0"/>
      </w:rPr>
    </w:lvl>
    <w:lvl w:ilvl="1" w:tplc="10090019">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0"/>
  </w:num>
  <w:num w:numId="4">
    <w:abstractNumId w:val="13"/>
  </w:num>
  <w:num w:numId="5">
    <w:abstractNumId w:val="12"/>
  </w:num>
  <w:num w:numId="6">
    <w:abstractNumId w:val="1"/>
  </w:num>
  <w:num w:numId="7">
    <w:abstractNumId w:val="3"/>
  </w:num>
  <w:num w:numId="8">
    <w:abstractNumId w:val="10"/>
    <w:lvlOverride w:ilvl="0">
      <w:startOverride w:val="1"/>
    </w:lvlOverride>
  </w:num>
  <w:num w:numId="9">
    <w:abstractNumId w:val="19"/>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7"/>
  </w:num>
  <w:num w:numId="15">
    <w:abstractNumId w:val="15"/>
  </w:num>
  <w:num w:numId="16">
    <w:abstractNumId w:val="2"/>
  </w:num>
  <w:num w:numId="17">
    <w:abstractNumId w:val="20"/>
  </w:num>
  <w:num w:numId="18">
    <w:abstractNumId w:val="21"/>
  </w:num>
  <w:num w:numId="19">
    <w:abstractNumId w:val="18"/>
  </w:num>
  <w:num w:numId="20">
    <w:abstractNumId w:val="11"/>
  </w:num>
  <w:num w:numId="21">
    <w:abstractNumId w:val="9"/>
  </w:num>
  <w:num w:numId="22">
    <w:abstractNumId w:val="14"/>
  </w:num>
  <w:num w:numId="23">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6"/>
  </w:num>
  <w:num w:numId="26">
    <w:abstractNumId w:val="16"/>
  </w:num>
  <w:num w:numId="27">
    <w:abstractNumId w:val="13"/>
  </w:num>
  <w:num w:numId="28">
    <w:abstractNumId w:val="5"/>
  </w:num>
  <w:num w:numId="29">
    <w:abstractNumId w:val="13"/>
  </w:num>
  <w:num w:numId="30">
    <w:abstractNumId w:val="13"/>
  </w:num>
  <w:num w:numId="31">
    <w:abstractNumId w:val="13"/>
  </w:num>
  <w:num w:numId="32">
    <w:abstractNumId w:val="13"/>
  </w:num>
  <w:num w:numId="33">
    <w:abstractNumId w:val="0"/>
  </w:num>
  <w:num w:numId="34">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hideSpellingErrors/>
  <w:hideGrammaticalErrors/>
  <w:proofState w:spelling="clean"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ABKm5ubmhkbGFko6SsGpxcWZ+XkgBRa1AAGgrqksAAAA"/>
  </w:docVars>
  <w:rsids>
    <w:rsidRoot w:val="00C9161D"/>
    <w:rsid w:val="0000152A"/>
    <w:rsid w:val="00002545"/>
    <w:rsid w:val="000054D6"/>
    <w:rsid w:val="000065F7"/>
    <w:rsid w:val="00007982"/>
    <w:rsid w:val="00012E2B"/>
    <w:rsid w:val="0002037F"/>
    <w:rsid w:val="00022999"/>
    <w:rsid w:val="00027A4B"/>
    <w:rsid w:val="00027E4D"/>
    <w:rsid w:val="00031A46"/>
    <w:rsid w:val="00032200"/>
    <w:rsid w:val="00033044"/>
    <w:rsid w:val="000363D4"/>
    <w:rsid w:val="0003663B"/>
    <w:rsid w:val="00037E8C"/>
    <w:rsid w:val="00040ACD"/>
    <w:rsid w:val="00042572"/>
    <w:rsid w:val="0004745D"/>
    <w:rsid w:val="00052FDA"/>
    <w:rsid w:val="0005410E"/>
    <w:rsid w:val="00054A50"/>
    <w:rsid w:val="000573CA"/>
    <w:rsid w:val="00070DA8"/>
    <w:rsid w:val="000715B3"/>
    <w:rsid w:val="0007171B"/>
    <w:rsid w:val="0007395D"/>
    <w:rsid w:val="0007541D"/>
    <w:rsid w:val="00087067"/>
    <w:rsid w:val="00087521"/>
    <w:rsid w:val="00092D21"/>
    <w:rsid w:val="00092E93"/>
    <w:rsid w:val="00094828"/>
    <w:rsid w:val="000949B7"/>
    <w:rsid w:val="000974DF"/>
    <w:rsid w:val="0009766D"/>
    <w:rsid w:val="000A2FF2"/>
    <w:rsid w:val="000A4391"/>
    <w:rsid w:val="000A4A32"/>
    <w:rsid w:val="000A6A84"/>
    <w:rsid w:val="000A72BA"/>
    <w:rsid w:val="000B010C"/>
    <w:rsid w:val="000B23E6"/>
    <w:rsid w:val="000B61C9"/>
    <w:rsid w:val="000B6E78"/>
    <w:rsid w:val="000C2701"/>
    <w:rsid w:val="000C6D7F"/>
    <w:rsid w:val="000D052E"/>
    <w:rsid w:val="000D24C3"/>
    <w:rsid w:val="000D2B6E"/>
    <w:rsid w:val="000D67EF"/>
    <w:rsid w:val="000E02A5"/>
    <w:rsid w:val="000E673A"/>
    <w:rsid w:val="000E7787"/>
    <w:rsid w:val="000F1C9D"/>
    <w:rsid w:val="000F7437"/>
    <w:rsid w:val="000F74F5"/>
    <w:rsid w:val="00102793"/>
    <w:rsid w:val="00104147"/>
    <w:rsid w:val="00105372"/>
    <w:rsid w:val="00106F7F"/>
    <w:rsid w:val="00110858"/>
    <w:rsid w:val="001135FB"/>
    <w:rsid w:val="00115DC3"/>
    <w:rsid w:val="00117B22"/>
    <w:rsid w:val="00123C9F"/>
    <w:rsid w:val="00126A74"/>
    <w:rsid w:val="001275B7"/>
    <w:rsid w:val="001312AD"/>
    <w:rsid w:val="00131E7A"/>
    <w:rsid w:val="00134846"/>
    <w:rsid w:val="001355AB"/>
    <w:rsid w:val="001407A2"/>
    <w:rsid w:val="001442A8"/>
    <w:rsid w:val="001443BB"/>
    <w:rsid w:val="001462D9"/>
    <w:rsid w:val="00147F4A"/>
    <w:rsid w:val="0015103A"/>
    <w:rsid w:val="00154D99"/>
    <w:rsid w:val="001610EF"/>
    <w:rsid w:val="00162CCB"/>
    <w:rsid w:val="00165834"/>
    <w:rsid w:val="00165BAC"/>
    <w:rsid w:val="00166D79"/>
    <w:rsid w:val="00167A47"/>
    <w:rsid w:val="001707A3"/>
    <w:rsid w:val="00172AF6"/>
    <w:rsid w:val="00176CEE"/>
    <w:rsid w:val="001778A0"/>
    <w:rsid w:val="001811A4"/>
    <w:rsid w:val="00181AF3"/>
    <w:rsid w:val="00186969"/>
    <w:rsid w:val="00186DD8"/>
    <w:rsid w:val="001936D6"/>
    <w:rsid w:val="00194B7D"/>
    <w:rsid w:val="00194C03"/>
    <w:rsid w:val="00195A54"/>
    <w:rsid w:val="001A0BE9"/>
    <w:rsid w:val="001A2097"/>
    <w:rsid w:val="001B13FE"/>
    <w:rsid w:val="001B15BB"/>
    <w:rsid w:val="001B3E42"/>
    <w:rsid w:val="001C0451"/>
    <w:rsid w:val="001C73A4"/>
    <w:rsid w:val="001D0BDC"/>
    <w:rsid w:val="001D1B4D"/>
    <w:rsid w:val="001D3A4D"/>
    <w:rsid w:val="001D572B"/>
    <w:rsid w:val="001D582F"/>
    <w:rsid w:val="001E1882"/>
    <w:rsid w:val="001E6C6A"/>
    <w:rsid w:val="001E74D1"/>
    <w:rsid w:val="001E7C97"/>
    <w:rsid w:val="001F3016"/>
    <w:rsid w:val="001F3541"/>
    <w:rsid w:val="001F3BC2"/>
    <w:rsid w:val="001F7B59"/>
    <w:rsid w:val="0020075F"/>
    <w:rsid w:val="00203402"/>
    <w:rsid w:val="00207EEA"/>
    <w:rsid w:val="00220BA9"/>
    <w:rsid w:val="0022296E"/>
    <w:rsid w:val="002229C7"/>
    <w:rsid w:val="00222C0C"/>
    <w:rsid w:val="0022410B"/>
    <w:rsid w:val="0022737F"/>
    <w:rsid w:val="00231DA2"/>
    <w:rsid w:val="00237C1B"/>
    <w:rsid w:val="00244CC2"/>
    <w:rsid w:val="00251441"/>
    <w:rsid w:val="0025275A"/>
    <w:rsid w:val="00252B64"/>
    <w:rsid w:val="002572E4"/>
    <w:rsid w:val="00261F4B"/>
    <w:rsid w:val="00262151"/>
    <w:rsid w:val="00262707"/>
    <w:rsid w:val="00270ECF"/>
    <w:rsid w:val="002723EA"/>
    <w:rsid w:val="002726C6"/>
    <w:rsid w:val="00277F07"/>
    <w:rsid w:val="0028045B"/>
    <w:rsid w:val="00282E10"/>
    <w:rsid w:val="00287080"/>
    <w:rsid w:val="00292E0E"/>
    <w:rsid w:val="00293D6E"/>
    <w:rsid w:val="00294B9A"/>
    <w:rsid w:val="00295FC8"/>
    <w:rsid w:val="00296E92"/>
    <w:rsid w:val="002A3E5D"/>
    <w:rsid w:val="002A7AF0"/>
    <w:rsid w:val="002B4E2C"/>
    <w:rsid w:val="002C1E86"/>
    <w:rsid w:val="002C1FA1"/>
    <w:rsid w:val="002C34FE"/>
    <w:rsid w:val="002C3701"/>
    <w:rsid w:val="002C40F4"/>
    <w:rsid w:val="002C5EE5"/>
    <w:rsid w:val="002D469D"/>
    <w:rsid w:val="002D5970"/>
    <w:rsid w:val="002E3A63"/>
    <w:rsid w:val="002E3E82"/>
    <w:rsid w:val="002E742D"/>
    <w:rsid w:val="002F139F"/>
    <w:rsid w:val="002F29BD"/>
    <w:rsid w:val="002F2AEC"/>
    <w:rsid w:val="002F74F1"/>
    <w:rsid w:val="00300C0A"/>
    <w:rsid w:val="0030169D"/>
    <w:rsid w:val="00304E69"/>
    <w:rsid w:val="00305872"/>
    <w:rsid w:val="003060EB"/>
    <w:rsid w:val="0030667E"/>
    <w:rsid w:val="00310456"/>
    <w:rsid w:val="00311F35"/>
    <w:rsid w:val="003153EB"/>
    <w:rsid w:val="00321985"/>
    <w:rsid w:val="00330714"/>
    <w:rsid w:val="00331472"/>
    <w:rsid w:val="00333613"/>
    <w:rsid w:val="00336401"/>
    <w:rsid w:val="003411C6"/>
    <w:rsid w:val="00341526"/>
    <w:rsid w:val="0034158A"/>
    <w:rsid w:val="00344207"/>
    <w:rsid w:val="0034459A"/>
    <w:rsid w:val="00345E23"/>
    <w:rsid w:val="00351205"/>
    <w:rsid w:val="00354965"/>
    <w:rsid w:val="00355D41"/>
    <w:rsid w:val="0036033F"/>
    <w:rsid w:val="00362AE0"/>
    <w:rsid w:val="00363016"/>
    <w:rsid w:val="00363DA1"/>
    <w:rsid w:val="00366992"/>
    <w:rsid w:val="0036742C"/>
    <w:rsid w:val="00371B74"/>
    <w:rsid w:val="00372F74"/>
    <w:rsid w:val="003744A3"/>
    <w:rsid w:val="00387D0C"/>
    <w:rsid w:val="0039056F"/>
    <w:rsid w:val="00392253"/>
    <w:rsid w:val="0039333B"/>
    <w:rsid w:val="003A27F9"/>
    <w:rsid w:val="003A4837"/>
    <w:rsid w:val="003A6432"/>
    <w:rsid w:val="003A7193"/>
    <w:rsid w:val="003B5508"/>
    <w:rsid w:val="003B7922"/>
    <w:rsid w:val="003B79F8"/>
    <w:rsid w:val="003C003F"/>
    <w:rsid w:val="003C034F"/>
    <w:rsid w:val="003C0E5B"/>
    <w:rsid w:val="003C4249"/>
    <w:rsid w:val="003D1835"/>
    <w:rsid w:val="003D4D3C"/>
    <w:rsid w:val="003E3C92"/>
    <w:rsid w:val="003E4113"/>
    <w:rsid w:val="003F5AB0"/>
    <w:rsid w:val="003F6B05"/>
    <w:rsid w:val="003F7224"/>
    <w:rsid w:val="00401856"/>
    <w:rsid w:val="004020C3"/>
    <w:rsid w:val="00403451"/>
    <w:rsid w:val="00404C94"/>
    <w:rsid w:val="00410BF2"/>
    <w:rsid w:val="0041585B"/>
    <w:rsid w:val="00415A8D"/>
    <w:rsid w:val="00417494"/>
    <w:rsid w:val="00426EC4"/>
    <w:rsid w:val="00427D21"/>
    <w:rsid w:val="004302C3"/>
    <w:rsid w:val="00430AEE"/>
    <w:rsid w:val="00431366"/>
    <w:rsid w:val="0043137F"/>
    <w:rsid w:val="00441045"/>
    <w:rsid w:val="004415E8"/>
    <w:rsid w:val="00444DB6"/>
    <w:rsid w:val="00454F39"/>
    <w:rsid w:val="00457AE0"/>
    <w:rsid w:val="004644C2"/>
    <w:rsid w:val="004648E2"/>
    <w:rsid w:val="00467F9C"/>
    <w:rsid w:val="00470ADF"/>
    <w:rsid w:val="00472B05"/>
    <w:rsid w:val="004740B0"/>
    <w:rsid w:val="00474D5D"/>
    <w:rsid w:val="00482C31"/>
    <w:rsid w:val="004834A7"/>
    <w:rsid w:val="00490EAF"/>
    <w:rsid w:val="004944DA"/>
    <w:rsid w:val="004A2EA2"/>
    <w:rsid w:val="004A4E05"/>
    <w:rsid w:val="004A5FE2"/>
    <w:rsid w:val="004A78AD"/>
    <w:rsid w:val="004B590C"/>
    <w:rsid w:val="004B6BB8"/>
    <w:rsid w:val="004B74B6"/>
    <w:rsid w:val="004C6BF9"/>
    <w:rsid w:val="004D1C69"/>
    <w:rsid w:val="004D572B"/>
    <w:rsid w:val="004D7290"/>
    <w:rsid w:val="004E0152"/>
    <w:rsid w:val="004E0156"/>
    <w:rsid w:val="004E1BEF"/>
    <w:rsid w:val="004E2CC3"/>
    <w:rsid w:val="004E4284"/>
    <w:rsid w:val="004E4E7E"/>
    <w:rsid w:val="004E6CA4"/>
    <w:rsid w:val="004F39D8"/>
    <w:rsid w:val="004F4991"/>
    <w:rsid w:val="004F4F0E"/>
    <w:rsid w:val="004F6722"/>
    <w:rsid w:val="004F7971"/>
    <w:rsid w:val="004F7B65"/>
    <w:rsid w:val="00503F01"/>
    <w:rsid w:val="00514852"/>
    <w:rsid w:val="00515FF5"/>
    <w:rsid w:val="00516B52"/>
    <w:rsid w:val="00516BAD"/>
    <w:rsid w:val="00516F9D"/>
    <w:rsid w:val="00520169"/>
    <w:rsid w:val="00521AA5"/>
    <w:rsid w:val="005222F3"/>
    <w:rsid w:val="00522E7F"/>
    <w:rsid w:val="00525099"/>
    <w:rsid w:val="00526BC4"/>
    <w:rsid w:val="00530337"/>
    <w:rsid w:val="005313C4"/>
    <w:rsid w:val="00533276"/>
    <w:rsid w:val="00533966"/>
    <w:rsid w:val="00534681"/>
    <w:rsid w:val="00534C2F"/>
    <w:rsid w:val="00535BC5"/>
    <w:rsid w:val="005361AF"/>
    <w:rsid w:val="00536820"/>
    <w:rsid w:val="00541312"/>
    <w:rsid w:val="00546814"/>
    <w:rsid w:val="0055056A"/>
    <w:rsid w:val="00550FA2"/>
    <w:rsid w:val="00551162"/>
    <w:rsid w:val="00551872"/>
    <w:rsid w:val="00557726"/>
    <w:rsid w:val="00557AC0"/>
    <w:rsid w:val="00557D48"/>
    <w:rsid w:val="00563442"/>
    <w:rsid w:val="00565B42"/>
    <w:rsid w:val="00566264"/>
    <w:rsid w:val="00571812"/>
    <w:rsid w:val="0057291B"/>
    <w:rsid w:val="005734CD"/>
    <w:rsid w:val="0057534A"/>
    <w:rsid w:val="005762FB"/>
    <w:rsid w:val="00581AA6"/>
    <w:rsid w:val="005826CE"/>
    <w:rsid w:val="0059211F"/>
    <w:rsid w:val="00592F0D"/>
    <w:rsid w:val="005947CF"/>
    <w:rsid w:val="005971A7"/>
    <w:rsid w:val="005A2D02"/>
    <w:rsid w:val="005A3044"/>
    <w:rsid w:val="005A3F8E"/>
    <w:rsid w:val="005A4CFA"/>
    <w:rsid w:val="005A55F5"/>
    <w:rsid w:val="005A7570"/>
    <w:rsid w:val="005B3DAD"/>
    <w:rsid w:val="005B5F5F"/>
    <w:rsid w:val="005B6FE5"/>
    <w:rsid w:val="005C0404"/>
    <w:rsid w:val="005C10B9"/>
    <w:rsid w:val="005C1A6C"/>
    <w:rsid w:val="005C35E1"/>
    <w:rsid w:val="005C4CE6"/>
    <w:rsid w:val="005C69E4"/>
    <w:rsid w:val="005C731F"/>
    <w:rsid w:val="005D0750"/>
    <w:rsid w:val="005D3FD3"/>
    <w:rsid w:val="005D5469"/>
    <w:rsid w:val="005D5AE6"/>
    <w:rsid w:val="005D746A"/>
    <w:rsid w:val="005E487F"/>
    <w:rsid w:val="005E62BB"/>
    <w:rsid w:val="005F174A"/>
    <w:rsid w:val="005F2FD7"/>
    <w:rsid w:val="005F520C"/>
    <w:rsid w:val="006007D9"/>
    <w:rsid w:val="0061102D"/>
    <w:rsid w:val="006122BA"/>
    <w:rsid w:val="00614958"/>
    <w:rsid w:val="00615390"/>
    <w:rsid w:val="006170FE"/>
    <w:rsid w:val="006173B0"/>
    <w:rsid w:val="00622D64"/>
    <w:rsid w:val="006264AB"/>
    <w:rsid w:val="0063003C"/>
    <w:rsid w:val="0063377F"/>
    <w:rsid w:val="00644B89"/>
    <w:rsid w:val="00645CE2"/>
    <w:rsid w:val="00646980"/>
    <w:rsid w:val="00647B2C"/>
    <w:rsid w:val="0065227E"/>
    <w:rsid w:val="006541D0"/>
    <w:rsid w:val="00654FCB"/>
    <w:rsid w:val="00655E42"/>
    <w:rsid w:val="00656344"/>
    <w:rsid w:val="006579B0"/>
    <w:rsid w:val="006624D1"/>
    <w:rsid w:val="00662A05"/>
    <w:rsid w:val="0066392E"/>
    <w:rsid w:val="00667512"/>
    <w:rsid w:val="00675A9A"/>
    <w:rsid w:val="00684A88"/>
    <w:rsid w:val="006857C2"/>
    <w:rsid w:val="00685ADC"/>
    <w:rsid w:val="00687BBF"/>
    <w:rsid w:val="006921A5"/>
    <w:rsid w:val="006929F4"/>
    <w:rsid w:val="006932E2"/>
    <w:rsid w:val="006940D4"/>
    <w:rsid w:val="006957D9"/>
    <w:rsid w:val="00696272"/>
    <w:rsid w:val="00697237"/>
    <w:rsid w:val="006A029D"/>
    <w:rsid w:val="006A3878"/>
    <w:rsid w:val="006A56BE"/>
    <w:rsid w:val="006A686E"/>
    <w:rsid w:val="006A77D5"/>
    <w:rsid w:val="006B14D8"/>
    <w:rsid w:val="006B2290"/>
    <w:rsid w:val="006B2EC9"/>
    <w:rsid w:val="006B30A9"/>
    <w:rsid w:val="006B633A"/>
    <w:rsid w:val="006B6CB3"/>
    <w:rsid w:val="006C7931"/>
    <w:rsid w:val="006D31AA"/>
    <w:rsid w:val="006D32FA"/>
    <w:rsid w:val="006D463C"/>
    <w:rsid w:val="006D5BDA"/>
    <w:rsid w:val="006D7CA4"/>
    <w:rsid w:val="006E0D3B"/>
    <w:rsid w:val="006E10AC"/>
    <w:rsid w:val="006E15A3"/>
    <w:rsid w:val="006E4D8F"/>
    <w:rsid w:val="006E6DFB"/>
    <w:rsid w:val="006F3ABF"/>
    <w:rsid w:val="006F3D5F"/>
    <w:rsid w:val="006F527B"/>
    <w:rsid w:val="006F5ABE"/>
    <w:rsid w:val="00705387"/>
    <w:rsid w:val="00705967"/>
    <w:rsid w:val="007119BE"/>
    <w:rsid w:val="00714E1E"/>
    <w:rsid w:val="00717D88"/>
    <w:rsid w:val="007244FC"/>
    <w:rsid w:val="0072537B"/>
    <w:rsid w:val="00725CCB"/>
    <w:rsid w:val="00727096"/>
    <w:rsid w:val="00727739"/>
    <w:rsid w:val="0073193E"/>
    <w:rsid w:val="00733DE6"/>
    <w:rsid w:val="0074166C"/>
    <w:rsid w:val="007427F6"/>
    <w:rsid w:val="0074356D"/>
    <w:rsid w:val="00746935"/>
    <w:rsid w:val="0074715C"/>
    <w:rsid w:val="00751713"/>
    <w:rsid w:val="00751A1B"/>
    <w:rsid w:val="007533B1"/>
    <w:rsid w:val="00755A59"/>
    <w:rsid w:val="00764A8F"/>
    <w:rsid w:val="007716A3"/>
    <w:rsid w:val="0077430B"/>
    <w:rsid w:val="00784E6C"/>
    <w:rsid w:val="00786056"/>
    <w:rsid w:val="007942D3"/>
    <w:rsid w:val="007A3C05"/>
    <w:rsid w:val="007A3DE6"/>
    <w:rsid w:val="007A5C79"/>
    <w:rsid w:val="007A7762"/>
    <w:rsid w:val="007A7AD9"/>
    <w:rsid w:val="007A7E97"/>
    <w:rsid w:val="007B2099"/>
    <w:rsid w:val="007B25F7"/>
    <w:rsid w:val="007B3860"/>
    <w:rsid w:val="007B6C09"/>
    <w:rsid w:val="007B7741"/>
    <w:rsid w:val="007C3CF1"/>
    <w:rsid w:val="007C428C"/>
    <w:rsid w:val="007C471F"/>
    <w:rsid w:val="007C50E2"/>
    <w:rsid w:val="007C5C6C"/>
    <w:rsid w:val="007C7C22"/>
    <w:rsid w:val="007E05B3"/>
    <w:rsid w:val="007E09DA"/>
    <w:rsid w:val="007E1857"/>
    <w:rsid w:val="007E1B4B"/>
    <w:rsid w:val="007E1C79"/>
    <w:rsid w:val="007E1E46"/>
    <w:rsid w:val="007E2177"/>
    <w:rsid w:val="007E2E2E"/>
    <w:rsid w:val="007E556C"/>
    <w:rsid w:val="007E5CD0"/>
    <w:rsid w:val="007E628C"/>
    <w:rsid w:val="007F3942"/>
    <w:rsid w:val="007F6342"/>
    <w:rsid w:val="00802FA7"/>
    <w:rsid w:val="008037AF"/>
    <w:rsid w:val="00804243"/>
    <w:rsid w:val="00806C8E"/>
    <w:rsid w:val="00807325"/>
    <w:rsid w:val="008077A4"/>
    <w:rsid w:val="0081093C"/>
    <w:rsid w:val="0081131C"/>
    <w:rsid w:val="008134EE"/>
    <w:rsid w:val="00813EBF"/>
    <w:rsid w:val="008178B6"/>
    <w:rsid w:val="008207C5"/>
    <w:rsid w:val="0082091C"/>
    <w:rsid w:val="00822B23"/>
    <w:rsid w:val="00823CD5"/>
    <w:rsid w:val="00824506"/>
    <w:rsid w:val="00824F27"/>
    <w:rsid w:val="00827CAE"/>
    <w:rsid w:val="00827EE2"/>
    <w:rsid w:val="0083001F"/>
    <w:rsid w:val="008311A8"/>
    <w:rsid w:val="00833C73"/>
    <w:rsid w:val="00842A66"/>
    <w:rsid w:val="0084782B"/>
    <w:rsid w:val="008479E7"/>
    <w:rsid w:val="00847D76"/>
    <w:rsid w:val="00847D9A"/>
    <w:rsid w:val="008514E2"/>
    <w:rsid w:val="00854C9D"/>
    <w:rsid w:val="00854EBA"/>
    <w:rsid w:val="00861472"/>
    <w:rsid w:val="00861A04"/>
    <w:rsid w:val="00861A6C"/>
    <w:rsid w:val="00862A97"/>
    <w:rsid w:val="0086420F"/>
    <w:rsid w:val="00865B74"/>
    <w:rsid w:val="00871432"/>
    <w:rsid w:val="00880FC5"/>
    <w:rsid w:val="008813DC"/>
    <w:rsid w:val="00881A22"/>
    <w:rsid w:val="00882387"/>
    <w:rsid w:val="008833EB"/>
    <w:rsid w:val="00890EFF"/>
    <w:rsid w:val="00893244"/>
    <w:rsid w:val="00894707"/>
    <w:rsid w:val="008974F0"/>
    <w:rsid w:val="008A1770"/>
    <w:rsid w:val="008A2929"/>
    <w:rsid w:val="008B012A"/>
    <w:rsid w:val="008B1076"/>
    <w:rsid w:val="008B32F5"/>
    <w:rsid w:val="008B3578"/>
    <w:rsid w:val="008C0358"/>
    <w:rsid w:val="008C03EB"/>
    <w:rsid w:val="008C0A66"/>
    <w:rsid w:val="008C46F1"/>
    <w:rsid w:val="008C4ACA"/>
    <w:rsid w:val="008D5FE7"/>
    <w:rsid w:val="008D704F"/>
    <w:rsid w:val="008D7922"/>
    <w:rsid w:val="008E0BA3"/>
    <w:rsid w:val="008E410D"/>
    <w:rsid w:val="008E517F"/>
    <w:rsid w:val="008F2CFD"/>
    <w:rsid w:val="008F3869"/>
    <w:rsid w:val="00902892"/>
    <w:rsid w:val="0090348D"/>
    <w:rsid w:val="00906E17"/>
    <w:rsid w:val="0091538E"/>
    <w:rsid w:val="00916D5E"/>
    <w:rsid w:val="00920A86"/>
    <w:rsid w:val="009222D2"/>
    <w:rsid w:val="00923C09"/>
    <w:rsid w:val="00925B00"/>
    <w:rsid w:val="0092740F"/>
    <w:rsid w:val="009278DF"/>
    <w:rsid w:val="00930BA1"/>
    <w:rsid w:val="0093169E"/>
    <w:rsid w:val="00932D12"/>
    <w:rsid w:val="0093461D"/>
    <w:rsid w:val="009359A9"/>
    <w:rsid w:val="00937448"/>
    <w:rsid w:val="00942D8A"/>
    <w:rsid w:val="009472A7"/>
    <w:rsid w:val="009478A9"/>
    <w:rsid w:val="009505C9"/>
    <w:rsid w:val="00950752"/>
    <w:rsid w:val="0095145B"/>
    <w:rsid w:val="00951506"/>
    <w:rsid w:val="00957954"/>
    <w:rsid w:val="009614C8"/>
    <w:rsid w:val="00962CD7"/>
    <w:rsid w:val="00966424"/>
    <w:rsid w:val="00967367"/>
    <w:rsid w:val="009745B7"/>
    <w:rsid w:val="00977133"/>
    <w:rsid w:val="0098087D"/>
    <w:rsid w:val="00980886"/>
    <w:rsid w:val="009813C1"/>
    <w:rsid w:val="0098166E"/>
    <w:rsid w:val="00983CF9"/>
    <w:rsid w:val="00987091"/>
    <w:rsid w:val="00992F64"/>
    <w:rsid w:val="00995DB9"/>
    <w:rsid w:val="009965D7"/>
    <w:rsid w:val="009A0F4C"/>
    <w:rsid w:val="009A1A36"/>
    <w:rsid w:val="009A3F46"/>
    <w:rsid w:val="009A4660"/>
    <w:rsid w:val="009A467D"/>
    <w:rsid w:val="009A7D0B"/>
    <w:rsid w:val="009B1CB4"/>
    <w:rsid w:val="009B3034"/>
    <w:rsid w:val="009B6B01"/>
    <w:rsid w:val="009C2DE6"/>
    <w:rsid w:val="009C3019"/>
    <w:rsid w:val="009C586C"/>
    <w:rsid w:val="009C72A8"/>
    <w:rsid w:val="009D0FFC"/>
    <w:rsid w:val="009D538A"/>
    <w:rsid w:val="009D73E9"/>
    <w:rsid w:val="009E0E20"/>
    <w:rsid w:val="009E1727"/>
    <w:rsid w:val="009F0EF3"/>
    <w:rsid w:val="009F2D10"/>
    <w:rsid w:val="009F3C5A"/>
    <w:rsid w:val="009F73D3"/>
    <w:rsid w:val="00A0249D"/>
    <w:rsid w:val="00A0251E"/>
    <w:rsid w:val="00A07621"/>
    <w:rsid w:val="00A0773D"/>
    <w:rsid w:val="00A11525"/>
    <w:rsid w:val="00A124B1"/>
    <w:rsid w:val="00A13E91"/>
    <w:rsid w:val="00A2016B"/>
    <w:rsid w:val="00A2198E"/>
    <w:rsid w:val="00A225D4"/>
    <w:rsid w:val="00A25186"/>
    <w:rsid w:val="00A2625D"/>
    <w:rsid w:val="00A3202B"/>
    <w:rsid w:val="00A33ABB"/>
    <w:rsid w:val="00A36B30"/>
    <w:rsid w:val="00A36FFE"/>
    <w:rsid w:val="00A40419"/>
    <w:rsid w:val="00A410FF"/>
    <w:rsid w:val="00A413EC"/>
    <w:rsid w:val="00A42254"/>
    <w:rsid w:val="00A43688"/>
    <w:rsid w:val="00A4408F"/>
    <w:rsid w:val="00A47FA1"/>
    <w:rsid w:val="00A53024"/>
    <w:rsid w:val="00A552D0"/>
    <w:rsid w:val="00A605A5"/>
    <w:rsid w:val="00A65070"/>
    <w:rsid w:val="00A65B76"/>
    <w:rsid w:val="00A6728E"/>
    <w:rsid w:val="00A70ABE"/>
    <w:rsid w:val="00A80139"/>
    <w:rsid w:val="00A80646"/>
    <w:rsid w:val="00A81175"/>
    <w:rsid w:val="00A822DC"/>
    <w:rsid w:val="00A850ED"/>
    <w:rsid w:val="00A85635"/>
    <w:rsid w:val="00A86CEF"/>
    <w:rsid w:val="00A87059"/>
    <w:rsid w:val="00A900A7"/>
    <w:rsid w:val="00A9173F"/>
    <w:rsid w:val="00A970DB"/>
    <w:rsid w:val="00AA57BF"/>
    <w:rsid w:val="00AA6F92"/>
    <w:rsid w:val="00AB6934"/>
    <w:rsid w:val="00AC2B66"/>
    <w:rsid w:val="00AC4BB9"/>
    <w:rsid w:val="00AC4C55"/>
    <w:rsid w:val="00AD04F5"/>
    <w:rsid w:val="00AD060C"/>
    <w:rsid w:val="00AD4206"/>
    <w:rsid w:val="00AD530A"/>
    <w:rsid w:val="00AD618C"/>
    <w:rsid w:val="00AE3C8F"/>
    <w:rsid w:val="00AE4819"/>
    <w:rsid w:val="00AE6E1A"/>
    <w:rsid w:val="00AF164C"/>
    <w:rsid w:val="00AF413C"/>
    <w:rsid w:val="00AF42DE"/>
    <w:rsid w:val="00AF4361"/>
    <w:rsid w:val="00B04E11"/>
    <w:rsid w:val="00B05654"/>
    <w:rsid w:val="00B0577E"/>
    <w:rsid w:val="00B07380"/>
    <w:rsid w:val="00B102FB"/>
    <w:rsid w:val="00B11B17"/>
    <w:rsid w:val="00B2193A"/>
    <w:rsid w:val="00B25084"/>
    <w:rsid w:val="00B25155"/>
    <w:rsid w:val="00B3369F"/>
    <w:rsid w:val="00B3525D"/>
    <w:rsid w:val="00B37695"/>
    <w:rsid w:val="00B435FA"/>
    <w:rsid w:val="00B51E4D"/>
    <w:rsid w:val="00B5603E"/>
    <w:rsid w:val="00B61D68"/>
    <w:rsid w:val="00B634B0"/>
    <w:rsid w:val="00B6352B"/>
    <w:rsid w:val="00B638ED"/>
    <w:rsid w:val="00B677A7"/>
    <w:rsid w:val="00B701F5"/>
    <w:rsid w:val="00B7742E"/>
    <w:rsid w:val="00B87169"/>
    <w:rsid w:val="00B94503"/>
    <w:rsid w:val="00B94C72"/>
    <w:rsid w:val="00B94E6C"/>
    <w:rsid w:val="00B95B5E"/>
    <w:rsid w:val="00B95ED6"/>
    <w:rsid w:val="00BA125C"/>
    <w:rsid w:val="00BA4930"/>
    <w:rsid w:val="00BA4E49"/>
    <w:rsid w:val="00BB12E0"/>
    <w:rsid w:val="00BB3108"/>
    <w:rsid w:val="00BB4606"/>
    <w:rsid w:val="00BB482B"/>
    <w:rsid w:val="00BB517D"/>
    <w:rsid w:val="00BC0C45"/>
    <w:rsid w:val="00BC4768"/>
    <w:rsid w:val="00BC6694"/>
    <w:rsid w:val="00BC7027"/>
    <w:rsid w:val="00BD0858"/>
    <w:rsid w:val="00BD7BE7"/>
    <w:rsid w:val="00BE0F41"/>
    <w:rsid w:val="00BE1C83"/>
    <w:rsid w:val="00BE6050"/>
    <w:rsid w:val="00BF024E"/>
    <w:rsid w:val="00BF14D3"/>
    <w:rsid w:val="00BF61BE"/>
    <w:rsid w:val="00C003CB"/>
    <w:rsid w:val="00C00F3F"/>
    <w:rsid w:val="00C03C82"/>
    <w:rsid w:val="00C03FC7"/>
    <w:rsid w:val="00C13F3F"/>
    <w:rsid w:val="00C13F61"/>
    <w:rsid w:val="00C22F4F"/>
    <w:rsid w:val="00C23D2F"/>
    <w:rsid w:val="00C258C7"/>
    <w:rsid w:val="00C2769D"/>
    <w:rsid w:val="00C34DCA"/>
    <w:rsid w:val="00C365EC"/>
    <w:rsid w:val="00C37C9C"/>
    <w:rsid w:val="00C413C9"/>
    <w:rsid w:val="00C443BD"/>
    <w:rsid w:val="00C4478F"/>
    <w:rsid w:val="00C451C5"/>
    <w:rsid w:val="00C50F52"/>
    <w:rsid w:val="00C624B9"/>
    <w:rsid w:val="00C628BC"/>
    <w:rsid w:val="00C62A19"/>
    <w:rsid w:val="00C630C8"/>
    <w:rsid w:val="00C6457E"/>
    <w:rsid w:val="00C67307"/>
    <w:rsid w:val="00C71B3E"/>
    <w:rsid w:val="00C72ACD"/>
    <w:rsid w:val="00C737BD"/>
    <w:rsid w:val="00C87668"/>
    <w:rsid w:val="00C8786E"/>
    <w:rsid w:val="00C90134"/>
    <w:rsid w:val="00C90372"/>
    <w:rsid w:val="00C90D7F"/>
    <w:rsid w:val="00C9161D"/>
    <w:rsid w:val="00C918F6"/>
    <w:rsid w:val="00CA0723"/>
    <w:rsid w:val="00CA0C1D"/>
    <w:rsid w:val="00CA1E6B"/>
    <w:rsid w:val="00CA262C"/>
    <w:rsid w:val="00CA4311"/>
    <w:rsid w:val="00CA4AA1"/>
    <w:rsid w:val="00CA62B1"/>
    <w:rsid w:val="00CB0040"/>
    <w:rsid w:val="00CB0A89"/>
    <w:rsid w:val="00CB27B3"/>
    <w:rsid w:val="00CB3D6A"/>
    <w:rsid w:val="00CB73FE"/>
    <w:rsid w:val="00CC23CC"/>
    <w:rsid w:val="00CD3E27"/>
    <w:rsid w:val="00CD43A6"/>
    <w:rsid w:val="00CE6BE7"/>
    <w:rsid w:val="00CF1848"/>
    <w:rsid w:val="00CF5FD3"/>
    <w:rsid w:val="00CF714D"/>
    <w:rsid w:val="00D013D1"/>
    <w:rsid w:val="00D023F2"/>
    <w:rsid w:val="00D03FE7"/>
    <w:rsid w:val="00D04162"/>
    <w:rsid w:val="00D05167"/>
    <w:rsid w:val="00D07372"/>
    <w:rsid w:val="00D10EE9"/>
    <w:rsid w:val="00D12044"/>
    <w:rsid w:val="00D1446F"/>
    <w:rsid w:val="00D14524"/>
    <w:rsid w:val="00D17745"/>
    <w:rsid w:val="00D211A0"/>
    <w:rsid w:val="00D230D7"/>
    <w:rsid w:val="00D25D29"/>
    <w:rsid w:val="00D26AE8"/>
    <w:rsid w:val="00D27087"/>
    <w:rsid w:val="00D330CA"/>
    <w:rsid w:val="00D33EFC"/>
    <w:rsid w:val="00D34E62"/>
    <w:rsid w:val="00D35C41"/>
    <w:rsid w:val="00D37AE7"/>
    <w:rsid w:val="00D40DBC"/>
    <w:rsid w:val="00D40F72"/>
    <w:rsid w:val="00D41B73"/>
    <w:rsid w:val="00D47521"/>
    <w:rsid w:val="00D475A5"/>
    <w:rsid w:val="00D5258C"/>
    <w:rsid w:val="00D55366"/>
    <w:rsid w:val="00D62BD3"/>
    <w:rsid w:val="00D67378"/>
    <w:rsid w:val="00D67B7B"/>
    <w:rsid w:val="00D72067"/>
    <w:rsid w:val="00D73411"/>
    <w:rsid w:val="00D7493C"/>
    <w:rsid w:val="00D756D0"/>
    <w:rsid w:val="00D76A18"/>
    <w:rsid w:val="00D80849"/>
    <w:rsid w:val="00D81B4C"/>
    <w:rsid w:val="00D82172"/>
    <w:rsid w:val="00D82E8F"/>
    <w:rsid w:val="00D84136"/>
    <w:rsid w:val="00D85281"/>
    <w:rsid w:val="00D853EB"/>
    <w:rsid w:val="00D85619"/>
    <w:rsid w:val="00D86193"/>
    <w:rsid w:val="00D91DA9"/>
    <w:rsid w:val="00DA0CC4"/>
    <w:rsid w:val="00DA5AE6"/>
    <w:rsid w:val="00DB1EA7"/>
    <w:rsid w:val="00DB2F04"/>
    <w:rsid w:val="00DC55A6"/>
    <w:rsid w:val="00DC7017"/>
    <w:rsid w:val="00DD118C"/>
    <w:rsid w:val="00DD5F11"/>
    <w:rsid w:val="00DD6529"/>
    <w:rsid w:val="00DE153C"/>
    <w:rsid w:val="00DE24F6"/>
    <w:rsid w:val="00DE2F84"/>
    <w:rsid w:val="00DE5CD6"/>
    <w:rsid w:val="00DE6582"/>
    <w:rsid w:val="00DF20B4"/>
    <w:rsid w:val="00DF4A07"/>
    <w:rsid w:val="00DF4D8A"/>
    <w:rsid w:val="00E0202B"/>
    <w:rsid w:val="00E04409"/>
    <w:rsid w:val="00E12BCF"/>
    <w:rsid w:val="00E145AC"/>
    <w:rsid w:val="00E150C9"/>
    <w:rsid w:val="00E16550"/>
    <w:rsid w:val="00E21739"/>
    <w:rsid w:val="00E24624"/>
    <w:rsid w:val="00E26216"/>
    <w:rsid w:val="00E3204F"/>
    <w:rsid w:val="00E3400C"/>
    <w:rsid w:val="00E34636"/>
    <w:rsid w:val="00E35D30"/>
    <w:rsid w:val="00E52E90"/>
    <w:rsid w:val="00E555B0"/>
    <w:rsid w:val="00E573C4"/>
    <w:rsid w:val="00E57C0B"/>
    <w:rsid w:val="00E62AB9"/>
    <w:rsid w:val="00E66235"/>
    <w:rsid w:val="00E70C56"/>
    <w:rsid w:val="00E76BE8"/>
    <w:rsid w:val="00E76E86"/>
    <w:rsid w:val="00E83C24"/>
    <w:rsid w:val="00E913B5"/>
    <w:rsid w:val="00E9318D"/>
    <w:rsid w:val="00E94120"/>
    <w:rsid w:val="00E94600"/>
    <w:rsid w:val="00E96450"/>
    <w:rsid w:val="00E96811"/>
    <w:rsid w:val="00E96B4D"/>
    <w:rsid w:val="00E970E7"/>
    <w:rsid w:val="00EA067E"/>
    <w:rsid w:val="00EA146A"/>
    <w:rsid w:val="00EA1800"/>
    <w:rsid w:val="00EA461C"/>
    <w:rsid w:val="00EA468B"/>
    <w:rsid w:val="00EA501C"/>
    <w:rsid w:val="00EB1866"/>
    <w:rsid w:val="00EB59AF"/>
    <w:rsid w:val="00EC35FB"/>
    <w:rsid w:val="00EC3E67"/>
    <w:rsid w:val="00EC4B8B"/>
    <w:rsid w:val="00EC6B28"/>
    <w:rsid w:val="00EC7E86"/>
    <w:rsid w:val="00ED06B2"/>
    <w:rsid w:val="00ED4D00"/>
    <w:rsid w:val="00ED70C2"/>
    <w:rsid w:val="00ED7C67"/>
    <w:rsid w:val="00EE3B42"/>
    <w:rsid w:val="00EE5425"/>
    <w:rsid w:val="00EE5617"/>
    <w:rsid w:val="00EE5A08"/>
    <w:rsid w:val="00EE7F2A"/>
    <w:rsid w:val="00EF3036"/>
    <w:rsid w:val="00EF3919"/>
    <w:rsid w:val="00F02172"/>
    <w:rsid w:val="00F0304F"/>
    <w:rsid w:val="00F036F0"/>
    <w:rsid w:val="00F03C3D"/>
    <w:rsid w:val="00F109B5"/>
    <w:rsid w:val="00F209F3"/>
    <w:rsid w:val="00F2229A"/>
    <w:rsid w:val="00F22E96"/>
    <w:rsid w:val="00F262E7"/>
    <w:rsid w:val="00F26EF6"/>
    <w:rsid w:val="00F300AB"/>
    <w:rsid w:val="00F3072D"/>
    <w:rsid w:val="00F324B7"/>
    <w:rsid w:val="00F34805"/>
    <w:rsid w:val="00F50853"/>
    <w:rsid w:val="00F52755"/>
    <w:rsid w:val="00F53193"/>
    <w:rsid w:val="00F570A8"/>
    <w:rsid w:val="00F62DDE"/>
    <w:rsid w:val="00F6586C"/>
    <w:rsid w:val="00F6639C"/>
    <w:rsid w:val="00F66BE7"/>
    <w:rsid w:val="00F675B6"/>
    <w:rsid w:val="00F71BAB"/>
    <w:rsid w:val="00F82682"/>
    <w:rsid w:val="00F83AC7"/>
    <w:rsid w:val="00F84347"/>
    <w:rsid w:val="00F9089E"/>
    <w:rsid w:val="00F92158"/>
    <w:rsid w:val="00F94774"/>
    <w:rsid w:val="00F94982"/>
    <w:rsid w:val="00F962B1"/>
    <w:rsid w:val="00FA5583"/>
    <w:rsid w:val="00FA663B"/>
    <w:rsid w:val="00FB2468"/>
    <w:rsid w:val="00FB4641"/>
    <w:rsid w:val="00FB72BF"/>
    <w:rsid w:val="00FC0FFD"/>
    <w:rsid w:val="00FC1632"/>
    <w:rsid w:val="00FC35C8"/>
    <w:rsid w:val="00FC36FA"/>
    <w:rsid w:val="00FC53DB"/>
    <w:rsid w:val="00FC70A3"/>
    <w:rsid w:val="00FD0B5E"/>
    <w:rsid w:val="00FD1015"/>
    <w:rsid w:val="00FD4A90"/>
    <w:rsid w:val="00FD70B8"/>
    <w:rsid w:val="00FD75D2"/>
    <w:rsid w:val="00FD7A62"/>
    <w:rsid w:val="00FE0477"/>
    <w:rsid w:val="00FE2EDB"/>
    <w:rsid w:val="00FE6E59"/>
    <w:rsid w:val="00FF1AFD"/>
    <w:rsid w:val="00FF2CE6"/>
    <w:rsid w:val="00FF76F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4B5DE"/>
  <w15:docId w15:val="{E519F327-B46C-444D-ABF7-DFCE4345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semiHidden/>
    <w:rsid w:val="007E09DA"/>
    <w:rPr>
      <w:sz w:val="16"/>
    </w:rPr>
  </w:style>
  <w:style w:type="paragraph" w:styleId="Commentaire">
    <w:name w:val="annotation text"/>
    <w:basedOn w:val="Normal"/>
    <w:link w:val="CommentaireCar"/>
    <w:uiPriority w:val="99"/>
    <w:semiHidden/>
    <w:rsid w:val="007E09DA"/>
    <w:pPr>
      <w:spacing w:after="120" w:line="240" w:lineRule="exact"/>
    </w:pPr>
  </w:style>
  <w:style w:type="character" w:customStyle="1" w:styleId="CommentaireCar">
    <w:name w:val="Commentaire Car"/>
    <w:basedOn w:val="Policepardfaut"/>
    <w:link w:val="Commentaire"/>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F83AC7"/>
    <w:pPr>
      <w:spacing w:after="160" w:line="240" w:lineRule="exact"/>
      <w:jc w:val="left"/>
    </w:pPr>
    <w:rPr>
      <w:rFonts w:asciiTheme="minorHAnsi" w:eastAsiaTheme="minorEastAsia" w:hAnsiTheme="minorHAnsi" w:cstheme="minorBidi"/>
      <w:vertAlign w:val="superscript"/>
      <w:lang w:val="fr-CA"/>
    </w:rPr>
  </w:style>
  <w:style w:type="paragraph" w:customStyle="1" w:styleId="CBD-Para">
    <w:name w:val="CBD-Para"/>
    <w:basedOn w:val="Normal"/>
    <w:link w:val="CBD-ParaCharChar"/>
    <w:uiPriority w:val="99"/>
    <w:rsid w:val="00BA4E49"/>
    <w:pPr>
      <w:keepLines/>
      <w:numPr>
        <w:numId w:val="21"/>
      </w:numPr>
      <w:spacing w:before="120" w:after="120"/>
    </w:pPr>
    <w:rPr>
      <w:szCs w:val="22"/>
      <w:lang w:val="en-US"/>
    </w:rPr>
  </w:style>
  <w:style w:type="character" w:customStyle="1" w:styleId="CBD-ParaCharChar">
    <w:name w:val="CBD-Para Char Char"/>
    <w:link w:val="CBD-Para"/>
    <w:uiPriority w:val="99"/>
    <w:locked/>
    <w:rsid w:val="00BA4E49"/>
    <w:rPr>
      <w:rFonts w:ascii="Times New Roman" w:eastAsia="Times New Roman" w:hAnsi="Times New Roman" w:cs="Times New Roman"/>
      <w:sz w:val="22"/>
      <w:szCs w:val="22"/>
      <w:lang w:val="en-US"/>
    </w:rPr>
  </w:style>
  <w:style w:type="character" w:customStyle="1" w:styleId="UnresolvedMention1">
    <w:name w:val="Unresolved Mention1"/>
    <w:basedOn w:val="Policepardfaut"/>
    <w:uiPriority w:val="99"/>
    <w:semiHidden/>
    <w:unhideWhenUsed/>
    <w:rsid w:val="004E2CC3"/>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9D538A"/>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9D538A"/>
    <w:rPr>
      <w:rFonts w:ascii="Times New Roman" w:eastAsia="Times New Roman" w:hAnsi="Times New Roman" w:cs="Times New Roman"/>
      <w:b/>
      <w:bCs/>
      <w:sz w:val="20"/>
      <w:szCs w:val="20"/>
      <w:lang w:val="en-GB"/>
    </w:rPr>
  </w:style>
  <w:style w:type="paragraph" w:customStyle="1" w:styleId="Default">
    <w:name w:val="Default"/>
    <w:rsid w:val="009A1A36"/>
    <w:pPr>
      <w:autoSpaceDE w:val="0"/>
      <w:autoSpaceDN w:val="0"/>
      <w:adjustRightInd w:val="0"/>
    </w:pPr>
    <w:rPr>
      <w:rFonts w:ascii="Times New Roman" w:hAnsi="Times New Roman" w:cs="Times New Roman"/>
      <w:color w:val="000000"/>
      <w:lang w:val="en-US"/>
    </w:rPr>
  </w:style>
  <w:style w:type="paragraph" w:styleId="Rvision">
    <w:name w:val="Revision"/>
    <w:hidden/>
    <w:uiPriority w:val="99"/>
    <w:semiHidden/>
    <w:rsid w:val="0072537B"/>
    <w:rPr>
      <w:rFonts w:ascii="Times New Roman" w:eastAsia="Times New Roman" w:hAnsi="Times New Roman" w:cs="Times New Roman"/>
      <w:sz w:val="22"/>
      <w:lang w:val="en-GB"/>
    </w:rPr>
  </w:style>
  <w:style w:type="character" w:customStyle="1" w:styleId="UnresolvedMention2">
    <w:name w:val="Unresolved Mention2"/>
    <w:basedOn w:val="Policepardfaut"/>
    <w:uiPriority w:val="99"/>
    <w:semiHidden/>
    <w:unhideWhenUsed/>
    <w:rsid w:val="00F324B7"/>
    <w:rPr>
      <w:color w:val="605E5C"/>
      <w:shd w:val="clear" w:color="auto" w:fill="E1DFDD"/>
    </w:rPr>
  </w:style>
  <w:style w:type="character" w:styleId="Mentionnonrsolue">
    <w:name w:val="Unresolved Mention"/>
    <w:basedOn w:val="Policepardfaut"/>
    <w:uiPriority w:val="99"/>
    <w:semiHidden/>
    <w:unhideWhenUsed/>
    <w:rsid w:val="00B51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296769">
      <w:bodyDiv w:val="1"/>
      <w:marLeft w:val="0"/>
      <w:marRight w:val="0"/>
      <w:marTop w:val="0"/>
      <w:marBottom w:val="0"/>
      <w:divBdr>
        <w:top w:val="none" w:sz="0" w:space="0" w:color="auto"/>
        <w:left w:val="none" w:sz="0" w:space="0" w:color="auto"/>
        <w:bottom w:val="none" w:sz="0" w:space="0" w:color="auto"/>
        <w:right w:val="none" w:sz="0" w:space="0" w:color="auto"/>
      </w:divBdr>
    </w:div>
    <w:div w:id="718475992">
      <w:bodyDiv w:val="1"/>
      <w:marLeft w:val="0"/>
      <w:marRight w:val="0"/>
      <w:marTop w:val="0"/>
      <w:marBottom w:val="0"/>
      <w:divBdr>
        <w:top w:val="none" w:sz="0" w:space="0" w:color="auto"/>
        <w:left w:val="none" w:sz="0" w:space="0" w:color="auto"/>
        <w:bottom w:val="none" w:sz="0" w:space="0" w:color="auto"/>
        <w:right w:val="none" w:sz="0" w:space="0" w:color="auto"/>
      </w:divBdr>
    </w:div>
    <w:div w:id="777454244">
      <w:bodyDiv w:val="1"/>
      <w:marLeft w:val="0"/>
      <w:marRight w:val="0"/>
      <w:marTop w:val="0"/>
      <w:marBottom w:val="0"/>
      <w:divBdr>
        <w:top w:val="none" w:sz="0" w:space="0" w:color="auto"/>
        <w:left w:val="none" w:sz="0" w:space="0" w:color="auto"/>
        <w:bottom w:val="none" w:sz="0" w:space="0" w:color="auto"/>
        <w:right w:val="none" w:sz="0" w:space="0" w:color="auto"/>
      </w:divBdr>
    </w:div>
    <w:div w:id="796487730">
      <w:bodyDiv w:val="1"/>
      <w:marLeft w:val="0"/>
      <w:marRight w:val="0"/>
      <w:marTop w:val="0"/>
      <w:marBottom w:val="0"/>
      <w:divBdr>
        <w:top w:val="none" w:sz="0" w:space="0" w:color="auto"/>
        <w:left w:val="none" w:sz="0" w:space="0" w:color="auto"/>
        <w:bottom w:val="none" w:sz="0" w:space="0" w:color="auto"/>
        <w:right w:val="none" w:sz="0" w:space="0" w:color="auto"/>
      </w:divBdr>
    </w:div>
    <w:div w:id="1097873536">
      <w:bodyDiv w:val="1"/>
      <w:marLeft w:val="0"/>
      <w:marRight w:val="0"/>
      <w:marTop w:val="0"/>
      <w:marBottom w:val="0"/>
      <w:divBdr>
        <w:top w:val="none" w:sz="0" w:space="0" w:color="auto"/>
        <w:left w:val="none" w:sz="0" w:space="0" w:color="auto"/>
        <w:bottom w:val="none" w:sz="0" w:space="0" w:color="auto"/>
        <w:right w:val="none" w:sz="0" w:space="0" w:color="auto"/>
      </w:divBdr>
    </w:div>
    <w:div w:id="1132015066">
      <w:bodyDiv w:val="1"/>
      <w:marLeft w:val="0"/>
      <w:marRight w:val="0"/>
      <w:marTop w:val="0"/>
      <w:marBottom w:val="0"/>
      <w:divBdr>
        <w:top w:val="none" w:sz="0" w:space="0" w:color="auto"/>
        <w:left w:val="none" w:sz="0" w:space="0" w:color="auto"/>
        <w:bottom w:val="none" w:sz="0" w:space="0" w:color="auto"/>
        <w:right w:val="none" w:sz="0" w:space="0" w:color="auto"/>
      </w:divBdr>
    </w:div>
    <w:div w:id="1389256333">
      <w:bodyDiv w:val="1"/>
      <w:marLeft w:val="0"/>
      <w:marRight w:val="0"/>
      <w:marTop w:val="0"/>
      <w:marBottom w:val="0"/>
      <w:divBdr>
        <w:top w:val="none" w:sz="0" w:space="0" w:color="auto"/>
        <w:left w:val="none" w:sz="0" w:space="0" w:color="auto"/>
        <w:bottom w:val="none" w:sz="0" w:space="0" w:color="auto"/>
        <w:right w:val="none" w:sz="0" w:space="0" w:color="auto"/>
      </w:divBdr>
    </w:div>
    <w:div w:id="1449080836">
      <w:bodyDiv w:val="1"/>
      <w:marLeft w:val="0"/>
      <w:marRight w:val="0"/>
      <w:marTop w:val="0"/>
      <w:marBottom w:val="0"/>
      <w:divBdr>
        <w:top w:val="none" w:sz="0" w:space="0" w:color="auto"/>
        <w:left w:val="none" w:sz="0" w:space="0" w:color="auto"/>
        <w:bottom w:val="none" w:sz="0" w:space="0" w:color="auto"/>
        <w:right w:val="none" w:sz="0" w:space="0" w:color="auto"/>
      </w:divBdr>
    </w:div>
    <w:div w:id="1498769969">
      <w:bodyDiv w:val="1"/>
      <w:marLeft w:val="0"/>
      <w:marRight w:val="0"/>
      <w:marTop w:val="0"/>
      <w:marBottom w:val="0"/>
      <w:divBdr>
        <w:top w:val="none" w:sz="0" w:space="0" w:color="auto"/>
        <w:left w:val="none" w:sz="0" w:space="0" w:color="auto"/>
        <w:bottom w:val="none" w:sz="0" w:space="0" w:color="auto"/>
        <w:right w:val="none" w:sz="0" w:space="0" w:color="auto"/>
      </w:divBdr>
    </w:div>
    <w:div w:id="1506944685">
      <w:bodyDiv w:val="1"/>
      <w:marLeft w:val="0"/>
      <w:marRight w:val="0"/>
      <w:marTop w:val="0"/>
      <w:marBottom w:val="0"/>
      <w:divBdr>
        <w:top w:val="none" w:sz="0" w:space="0" w:color="auto"/>
        <w:left w:val="none" w:sz="0" w:space="0" w:color="auto"/>
        <w:bottom w:val="none" w:sz="0" w:space="0" w:color="auto"/>
        <w:right w:val="none" w:sz="0" w:space="0" w:color="auto"/>
      </w:divBdr>
    </w:div>
    <w:div w:id="1516572086">
      <w:bodyDiv w:val="1"/>
      <w:marLeft w:val="0"/>
      <w:marRight w:val="0"/>
      <w:marTop w:val="0"/>
      <w:marBottom w:val="0"/>
      <w:divBdr>
        <w:top w:val="none" w:sz="0" w:space="0" w:color="auto"/>
        <w:left w:val="none" w:sz="0" w:space="0" w:color="auto"/>
        <w:bottom w:val="none" w:sz="0" w:space="0" w:color="auto"/>
        <w:right w:val="none" w:sz="0" w:space="0" w:color="auto"/>
      </w:divBdr>
    </w:div>
    <w:div w:id="1979606106">
      <w:bodyDiv w:val="1"/>
      <w:marLeft w:val="0"/>
      <w:marRight w:val="0"/>
      <w:marTop w:val="0"/>
      <w:marBottom w:val="0"/>
      <w:divBdr>
        <w:top w:val="none" w:sz="0" w:space="0" w:color="auto"/>
        <w:left w:val="none" w:sz="0" w:space="0" w:color="auto"/>
        <w:bottom w:val="none" w:sz="0" w:space="0" w:color="auto"/>
        <w:right w:val="none" w:sz="0" w:space="0" w:color="auto"/>
      </w:divBdr>
    </w:div>
    <w:div w:id="2112889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bd.int/doc/c/db88/d435/3dd90f9fc8b285509c63d9b2/wg2020-03-03-fr.pdf" TargetMode="External"/><Relationship Id="rId26" Type="http://schemas.openxmlformats.org/officeDocument/2006/relationships/hyperlink" Target="https://ipbes.net/models-drivers-biodiversity-ecosystem-change" TargetMode="External"/><Relationship Id="rId39" Type="http://schemas.openxmlformats.org/officeDocument/2006/relationships/hyperlink" Target="https://bch.cbd.int/protocol/text/" TargetMode="External"/><Relationship Id="rId21" Type="http://schemas.openxmlformats.org/officeDocument/2006/relationships/hyperlink" Target="https://www.cbd.int/doc/c/30e3/8b5b/3da5cefe1ad79bd936d26dd5/sbstta-24-03-add2-rev1-fr.pdf" TargetMode="External"/><Relationship Id="rId34" Type="http://schemas.openxmlformats.org/officeDocument/2006/relationships/hyperlink" Target="https://www.cbd.int/doc/c/30e3/8b5b/3da5cefe1ad79bd936d26dd5/sbstta-24-03-add2-rev1-fr.pdf" TargetMode="External"/><Relationship Id="rId42"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bd.int/doc/recommendations/sbstta-23/sbstta-23-rec-01-fr.pdf" TargetMode="External"/><Relationship Id="rId29" Type="http://schemas.openxmlformats.org/officeDocument/2006/relationships/hyperlink" Target="https://www.cbd.int/doc/c/fcd6/bfba/38ebc826221543e322173507/post2020-ws-2019-11-03-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093/biosci/biy029" TargetMode="External"/><Relationship Id="rId32" Type="http://schemas.openxmlformats.org/officeDocument/2006/relationships/hyperlink" Target="https://www.cbd.int/doc/meetings/sbstta/sbstta-18/official/sbstta-18-09-add1-fr.pdf" TargetMode="External"/><Relationship Id="rId37" Type="http://schemas.openxmlformats.org/officeDocument/2006/relationships/hyperlink" Target="http://www.fao.org/sustainability/background/fr/" TargetMode="External"/><Relationship Id="rId40" Type="http://schemas.openxmlformats.org/officeDocument/2006/relationships/hyperlink" Target="https://ec.europa.eu/environment/enveco/taxation/pdf/Harmful%20Subsidies%20Report.pdf"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bd.int/doc/recommendations/wg2020-01/wg2020-01-rec-01-fr.pdf" TargetMode="External"/><Relationship Id="rId23" Type="http://schemas.openxmlformats.org/officeDocument/2006/relationships/hyperlink" Target="https://www.cbd.int/doc/c/30e3/8b5b/3da5cefe1ad79bd936d26dd5/sbstta-24-03-add2-rev1-fr.pdf" TargetMode="External"/><Relationship Id="rId28" Type="http://schemas.openxmlformats.org/officeDocument/2006/relationships/hyperlink" Target="https://www.decadeonrestoration.org/what-ecosystem-restoration" TargetMode="External"/><Relationship Id="rId36" Type="http://schemas.openxmlformats.org/officeDocument/2006/relationships/hyperlink" Target="https://www.cbd.int/doc/publications/cbd-ts-85-en.pdf" TargetMode="External"/><Relationship Id="rId10" Type="http://schemas.openxmlformats.org/officeDocument/2006/relationships/footnotes" Target="footnotes.xml"/><Relationship Id="rId19" Type="http://schemas.openxmlformats.org/officeDocument/2006/relationships/hyperlink" Target="https://www.cbd.int/doc/c/30e3/8b5b/3da5cefe1ad79bd936d26dd5/sbstta-24-03-add2-rev1-fr.pdf" TargetMode="External"/><Relationship Id="rId31" Type="http://schemas.openxmlformats.org/officeDocument/2006/relationships/hyperlink" Target="https://www.cbd.int/doc/strategic-plan/targets/T9-quick-guide-en.pdf"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doi.org/10.32942/osf.io/eyqw5" TargetMode="External"/><Relationship Id="rId27" Type="http://schemas.openxmlformats.org/officeDocument/2006/relationships/hyperlink" Target="https://www.cbd.int/doc/c/fcd6/bfba/38ebc826221543e322173507/post2020-ws-2019-11-03-en.pdf" TargetMode="External"/><Relationship Id="rId30" Type="http://schemas.openxmlformats.org/officeDocument/2006/relationships/hyperlink" Target="https://www.cbd.int/doc/c/e823/b80c/8b0e8a08470a476865e9b203/sbstta-24-03-add2-rev1-en.pdf" TargetMode="External"/><Relationship Id="rId35" Type="http://schemas.openxmlformats.org/officeDocument/2006/relationships/hyperlink" Target="http://www.fao.org/fileadmin/templates/agphome/documents/Pests_Pesticides/Code/Code_French_2015_Final.pdf"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www.cbd.int/doc/c/46bf/8fcc/4fc82767c058517caa96892d/sbstta-24-inf-11-en.pdf" TargetMode="External"/><Relationship Id="rId25" Type="http://schemas.openxmlformats.org/officeDocument/2006/relationships/hyperlink" Target="https://www.nature.com/articles/s41893-017-0007-7" TargetMode="External"/><Relationship Id="rId33" Type="http://schemas.openxmlformats.org/officeDocument/2006/relationships/hyperlink" Target="https://neobiota.pensoft.net/article/53543/" TargetMode="External"/><Relationship Id="rId38" Type="http://schemas.openxmlformats.org/officeDocument/2006/relationships/hyperlink" Target="https://www.cbd.int/convention/articles/?a=cbd-02" TargetMode="External"/><Relationship Id="rId20" Type="http://schemas.openxmlformats.org/officeDocument/2006/relationships/hyperlink" Target="https://www.cms.int/sites/default/files/document/cms_cop13_res.12.26_rev.cop13_f.pdf" TargetMode="External"/><Relationship Id="rId41"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edelespacerserv"/>
            </w:rPr>
            <w:t>[Subject]</w:t>
          </w:r>
        </w:p>
      </w:docPartBody>
    </w:docPart>
    <w:docPart>
      <w:docPartPr>
        <w:name w:val="11AFA67BE5664AABBF54AB971FE4C132"/>
        <w:category>
          <w:name w:val="General"/>
          <w:gallery w:val="placeholder"/>
        </w:category>
        <w:types>
          <w:type w:val="bbPlcHdr"/>
        </w:types>
        <w:behaviors>
          <w:behavior w:val="content"/>
        </w:behaviors>
        <w:guid w:val="{C6970E5C-F69C-4601-8281-A585601858B9}"/>
      </w:docPartPr>
      <w:docPartBody>
        <w:p w:rsidR="0075279B" w:rsidRDefault="00037FBC" w:rsidP="00037FBC">
          <w:pPr>
            <w:pStyle w:val="11AFA67BE5664AABBF54AB971FE4C132"/>
          </w:pPr>
          <w:r w:rsidRPr="00AB60F6">
            <w:rPr>
              <w:rStyle w:val="Textedelespacerserv"/>
            </w:rPr>
            <w:t>Click here to enter text.</w:t>
          </w:r>
        </w:p>
      </w:docPartBody>
    </w:docPart>
    <w:docPart>
      <w:docPartPr>
        <w:name w:val="2627E4AE865149E7AAF884B58EE01DD0"/>
        <w:category>
          <w:name w:val="General"/>
          <w:gallery w:val="placeholder"/>
        </w:category>
        <w:types>
          <w:type w:val="bbPlcHdr"/>
        </w:types>
        <w:behaviors>
          <w:behavior w:val="content"/>
        </w:behaviors>
        <w:guid w:val="{7826C880-EAEE-4465-9DE3-A7DE656EC0A1}"/>
      </w:docPartPr>
      <w:docPartBody>
        <w:p w:rsidR="009477B9" w:rsidRDefault="00D60B41" w:rsidP="00D60B41">
          <w:pPr>
            <w:pStyle w:val="2627E4AE865149E7AAF884B58EE01DD0"/>
          </w:pPr>
          <w:r>
            <w:rPr>
              <w:rStyle w:val="Textedelespacerserv"/>
            </w:rPr>
            <w:t>[Title]</w:t>
          </w:r>
        </w:p>
      </w:docPartBody>
    </w:docPart>
    <w:docPart>
      <w:docPartPr>
        <w:name w:val="050655028AA31143814F0F2499A2842A"/>
        <w:category>
          <w:name w:val="Général"/>
          <w:gallery w:val="placeholder"/>
        </w:category>
        <w:types>
          <w:type w:val="bbPlcHdr"/>
        </w:types>
        <w:behaviors>
          <w:behavior w:val="content"/>
        </w:behaviors>
        <w:guid w:val="{5FA2483A-5FAC-3549-BE39-2C8AE21D10A0}"/>
      </w:docPartPr>
      <w:docPartBody>
        <w:p w:rsidR="00000000" w:rsidRDefault="004A2DC9" w:rsidP="004A2DC9">
          <w:pPr>
            <w:pStyle w:val="050655028AA31143814F0F2499A2842A"/>
          </w:pPr>
          <w:r>
            <w:rPr>
              <w:rStyle w:val="Textedelespacerserv"/>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panose1 w:val="020B0604020202020204"/>
    <w:charset w:val="00"/>
    <w:family w:val="swiss"/>
    <w:pitch w:val="variable"/>
    <w:sig w:usb0="80000287" w:usb1="00000000" w:usb2="00000000" w:usb3="00000000" w:csb0="0000000F" w:csb1="00000000"/>
  </w:font>
  <w:font w:name="Lucida Grande">
    <w:altName w:val="﷽﷽﷽﷽﷽﷽﷽﷽w Roman"/>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37FBC"/>
    <w:rsid w:val="000573FA"/>
    <w:rsid w:val="0011769A"/>
    <w:rsid w:val="001D6177"/>
    <w:rsid w:val="001E083E"/>
    <w:rsid w:val="00203A70"/>
    <w:rsid w:val="002332FF"/>
    <w:rsid w:val="00245ECD"/>
    <w:rsid w:val="002A754D"/>
    <w:rsid w:val="00361F63"/>
    <w:rsid w:val="00447C5A"/>
    <w:rsid w:val="0046422C"/>
    <w:rsid w:val="004760CF"/>
    <w:rsid w:val="004A2DC9"/>
    <w:rsid w:val="004E092F"/>
    <w:rsid w:val="004E0A62"/>
    <w:rsid w:val="00500A2B"/>
    <w:rsid w:val="00513E26"/>
    <w:rsid w:val="0057387D"/>
    <w:rsid w:val="0058288D"/>
    <w:rsid w:val="00633D02"/>
    <w:rsid w:val="00665C6B"/>
    <w:rsid w:val="006801B3"/>
    <w:rsid w:val="0075279B"/>
    <w:rsid w:val="0075646B"/>
    <w:rsid w:val="0079200D"/>
    <w:rsid w:val="007947F1"/>
    <w:rsid w:val="007E2E2D"/>
    <w:rsid w:val="00801FEF"/>
    <w:rsid w:val="00807BF5"/>
    <w:rsid w:val="00810A55"/>
    <w:rsid w:val="00831457"/>
    <w:rsid w:val="008C6619"/>
    <w:rsid w:val="008D420E"/>
    <w:rsid w:val="009477B9"/>
    <w:rsid w:val="0098642F"/>
    <w:rsid w:val="009B2CEE"/>
    <w:rsid w:val="00B07844"/>
    <w:rsid w:val="00B84982"/>
    <w:rsid w:val="00BA5F19"/>
    <w:rsid w:val="00BB0BF3"/>
    <w:rsid w:val="00C8104B"/>
    <w:rsid w:val="00CA30B0"/>
    <w:rsid w:val="00CB1475"/>
    <w:rsid w:val="00D31D12"/>
    <w:rsid w:val="00D60B41"/>
    <w:rsid w:val="00D64486"/>
    <w:rsid w:val="00F74B87"/>
    <w:rsid w:val="00F8054B"/>
    <w:rsid w:val="00FB3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67"/>
    <w:rsid w:val="004A2DC9"/>
    <w:rPr>
      <w:color w:val="808080"/>
    </w:rPr>
  </w:style>
  <w:style w:type="paragraph" w:customStyle="1" w:styleId="050655028AA31143814F0F2499A2842A">
    <w:name w:val="050655028AA31143814F0F2499A2842A"/>
    <w:rsid w:val="004A2DC9"/>
    <w:pPr>
      <w:spacing w:after="0" w:line="240" w:lineRule="auto"/>
    </w:pPr>
    <w:rPr>
      <w:sz w:val="24"/>
      <w:szCs w:val="24"/>
      <w:lang w:val="fr-FR" w:eastAsia="zh-CN"/>
    </w:rPr>
  </w:style>
  <w:style w:type="paragraph" w:customStyle="1" w:styleId="11AFA67BE5664AABBF54AB971FE4C132">
    <w:name w:val="11AFA67BE5664AABBF54AB971FE4C132"/>
    <w:rsid w:val="00037FBC"/>
    <w:pPr>
      <w:spacing w:after="160" w:line="259" w:lineRule="auto"/>
    </w:pPr>
    <w:rPr>
      <w:lang w:val="en-CA" w:eastAsia="en-CA"/>
    </w:rPr>
  </w:style>
  <w:style w:type="paragraph" w:customStyle="1" w:styleId="2627E4AE865149E7AAF884B58EE01DD0">
    <w:name w:val="2627E4AE865149E7AAF884B58EE01DD0"/>
    <w:rsid w:val="00D60B41"/>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6 July 202</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271B7A-16DB-428F-B38E-76605527636A}">
  <ds:schemaRefs>
    <ds:schemaRef ds:uri="http://schemas.openxmlformats.org/officeDocument/2006/bibliography"/>
  </ds:schemaRefs>
</ds:datastoreItem>
</file>

<file path=customXml/itemProps4.xml><?xml version="1.0" encoding="utf-8"?>
<ds:datastoreItem xmlns:ds="http://schemas.openxmlformats.org/officeDocument/2006/customXml" ds:itemID="{891ECF90-1DBD-40B0-BE70-334B66BFB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3528</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Glossary for the first draft of the post-2020 global biodiversity framework</vt:lpstr>
    </vt:vector>
  </TitlesOfParts>
  <Company>SCBD</Company>
  <LinksUpToDate>false</LinksUpToDate>
  <CharactersWithSpaces>22887</CharactersWithSpaces>
  <SharedDoc>false</SharedDoc>
  <HLinks>
    <vt:vector size="162" baseType="variant">
      <vt:variant>
        <vt:i4>5636121</vt:i4>
      </vt:variant>
      <vt:variant>
        <vt:i4>78</vt:i4>
      </vt:variant>
      <vt:variant>
        <vt:i4>0</vt:i4>
      </vt:variant>
      <vt:variant>
        <vt:i4>5</vt:i4>
      </vt:variant>
      <vt:variant>
        <vt:lpwstr>https://ec.europa.eu/environment/enveco/taxation/pdf/Harmful Subsidies Report.pdf</vt:lpwstr>
      </vt:variant>
      <vt:variant>
        <vt:lpwstr/>
      </vt:variant>
      <vt:variant>
        <vt:i4>8061041</vt:i4>
      </vt:variant>
      <vt:variant>
        <vt:i4>75</vt:i4>
      </vt:variant>
      <vt:variant>
        <vt:i4>0</vt:i4>
      </vt:variant>
      <vt:variant>
        <vt:i4>5</vt:i4>
      </vt:variant>
      <vt:variant>
        <vt:lpwstr>https://bch.cbd.int/protocol/text/</vt:lpwstr>
      </vt:variant>
      <vt:variant>
        <vt:lpwstr/>
      </vt:variant>
      <vt:variant>
        <vt:i4>1310809</vt:i4>
      </vt:variant>
      <vt:variant>
        <vt:i4>72</vt:i4>
      </vt:variant>
      <vt:variant>
        <vt:i4>0</vt:i4>
      </vt:variant>
      <vt:variant>
        <vt:i4>5</vt:i4>
      </vt:variant>
      <vt:variant>
        <vt:lpwstr>https://www.cbd.int/kb/record/article/6872?RecordType=article</vt:lpwstr>
      </vt:variant>
      <vt:variant>
        <vt:lpwstr/>
      </vt:variant>
      <vt:variant>
        <vt:i4>5439508</vt:i4>
      </vt:variant>
      <vt:variant>
        <vt:i4>69</vt:i4>
      </vt:variant>
      <vt:variant>
        <vt:i4>0</vt:i4>
      </vt:variant>
      <vt:variant>
        <vt:i4>5</vt:i4>
      </vt:variant>
      <vt:variant>
        <vt:lpwstr>http://www.fao.org/sustainability/background/en/</vt:lpwstr>
      </vt:variant>
      <vt:variant>
        <vt:lpwstr/>
      </vt:variant>
      <vt:variant>
        <vt:i4>5439576</vt:i4>
      </vt:variant>
      <vt:variant>
        <vt:i4>66</vt:i4>
      </vt:variant>
      <vt:variant>
        <vt:i4>0</vt:i4>
      </vt:variant>
      <vt:variant>
        <vt:i4>5</vt:i4>
      </vt:variant>
      <vt:variant>
        <vt:lpwstr>https://www.cbd.int/doc/publications/cbd-ts-85-en.pdf</vt:lpwstr>
      </vt:variant>
      <vt:variant>
        <vt:lpwstr/>
      </vt:variant>
      <vt:variant>
        <vt:i4>2949184</vt:i4>
      </vt:variant>
      <vt:variant>
        <vt:i4>63</vt:i4>
      </vt:variant>
      <vt:variant>
        <vt:i4>0</vt:i4>
      </vt:variant>
      <vt:variant>
        <vt:i4>5</vt:i4>
      </vt:variant>
      <vt:variant>
        <vt:lpwstr>http://www.fao.org/fileadmin/templates/agphome/documents/Pests_Pesticides/Code/CODE_2014Sep_ENG.pdf</vt:lpwstr>
      </vt:variant>
      <vt:variant>
        <vt:lpwstr/>
      </vt:variant>
      <vt:variant>
        <vt:i4>2162749</vt:i4>
      </vt:variant>
      <vt:variant>
        <vt:i4>60</vt:i4>
      </vt:variant>
      <vt:variant>
        <vt:i4>0</vt:i4>
      </vt:variant>
      <vt:variant>
        <vt:i4>5</vt:i4>
      </vt:variant>
      <vt:variant>
        <vt:lpwstr>https://www.cbd.int/doc/c/e823/b80c/8b0e8a08470a476865e9b203/sbstta-24-03-add2-rev1-en.pdf</vt:lpwstr>
      </vt:variant>
      <vt:variant>
        <vt:lpwstr/>
      </vt:variant>
      <vt:variant>
        <vt:i4>3604514</vt:i4>
      </vt:variant>
      <vt:variant>
        <vt:i4>57</vt:i4>
      </vt:variant>
      <vt:variant>
        <vt:i4>0</vt:i4>
      </vt:variant>
      <vt:variant>
        <vt:i4>5</vt:i4>
      </vt:variant>
      <vt:variant>
        <vt:lpwstr>https://www.cbd.int/doc/meetings/sbstta/sbstta-18/official/sbstta-18-09-add1-en.pdf</vt:lpwstr>
      </vt:variant>
      <vt:variant>
        <vt:lpwstr/>
      </vt:variant>
      <vt:variant>
        <vt:i4>327745</vt:i4>
      </vt:variant>
      <vt:variant>
        <vt:i4>54</vt:i4>
      </vt:variant>
      <vt:variant>
        <vt:i4>0</vt:i4>
      </vt:variant>
      <vt:variant>
        <vt:i4>5</vt:i4>
      </vt:variant>
      <vt:variant>
        <vt:lpwstr>https://www.cbd.int/doc/strategic-plan/targets/T9-quick-guide-en.pdf</vt:lpwstr>
      </vt:variant>
      <vt:variant>
        <vt:lpwstr/>
      </vt:variant>
      <vt:variant>
        <vt:i4>2162749</vt:i4>
      </vt:variant>
      <vt:variant>
        <vt:i4>51</vt:i4>
      </vt:variant>
      <vt:variant>
        <vt:i4>0</vt:i4>
      </vt:variant>
      <vt:variant>
        <vt:i4>5</vt:i4>
      </vt:variant>
      <vt:variant>
        <vt:lpwstr>https://www.cbd.int/doc/c/e823/b80c/8b0e8a08470a476865e9b203/sbstta-24-03-add2-rev1-en.pdf</vt:lpwstr>
      </vt:variant>
      <vt:variant>
        <vt:lpwstr/>
      </vt:variant>
      <vt:variant>
        <vt:i4>2293798</vt:i4>
      </vt:variant>
      <vt:variant>
        <vt:i4>48</vt:i4>
      </vt:variant>
      <vt:variant>
        <vt:i4>0</vt:i4>
      </vt:variant>
      <vt:variant>
        <vt:i4>5</vt:i4>
      </vt:variant>
      <vt:variant>
        <vt:lpwstr>https://www.cbd.int/doc/c/fcd6/bfba/38ebc826221543e322173507/post2020-ws-2019-11-03-en.pdf</vt:lpwstr>
      </vt:variant>
      <vt:variant>
        <vt:lpwstr/>
      </vt:variant>
      <vt:variant>
        <vt:i4>3276836</vt:i4>
      </vt:variant>
      <vt:variant>
        <vt:i4>45</vt:i4>
      </vt:variant>
      <vt:variant>
        <vt:i4>0</vt:i4>
      </vt:variant>
      <vt:variant>
        <vt:i4>5</vt:i4>
      </vt:variant>
      <vt:variant>
        <vt:lpwstr>https://www.decadeonrestoration.org/what-ecosystem-restoration</vt:lpwstr>
      </vt:variant>
      <vt:variant>
        <vt:lpwstr/>
      </vt:variant>
      <vt:variant>
        <vt:i4>2293798</vt:i4>
      </vt:variant>
      <vt:variant>
        <vt:i4>42</vt:i4>
      </vt:variant>
      <vt:variant>
        <vt:i4>0</vt:i4>
      </vt:variant>
      <vt:variant>
        <vt:i4>5</vt:i4>
      </vt:variant>
      <vt:variant>
        <vt:lpwstr>https://www.cbd.int/doc/c/fcd6/bfba/38ebc826221543e322173507/post2020-ws-2019-11-03-en.pdf</vt:lpwstr>
      </vt:variant>
      <vt:variant>
        <vt:lpwstr/>
      </vt:variant>
      <vt:variant>
        <vt:i4>6357031</vt:i4>
      </vt:variant>
      <vt:variant>
        <vt:i4>39</vt:i4>
      </vt:variant>
      <vt:variant>
        <vt:i4>0</vt:i4>
      </vt:variant>
      <vt:variant>
        <vt:i4>5</vt:i4>
      </vt:variant>
      <vt:variant>
        <vt:lpwstr>https://ipbes.net/models-drivers-biodiversity-ecosystem-change</vt:lpwstr>
      </vt:variant>
      <vt:variant>
        <vt:lpwstr/>
      </vt:variant>
      <vt:variant>
        <vt:i4>4194369</vt:i4>
      </vt:variant>
      <vt:variant>
        <vt:i4>36</vt:i4>
      </vt:variant>
      <vt:variant>
        <vt:i4>0</vt:i4>
      </vt:variant>
      <vt:variant>
        <vt:i4>5</vt:i4>
      </vt:variant>
      <vt:variant>
        <vt:lpwstr>https://doi.org/10.1093/biosci/biy029</vt:lpwstr>
      </vt:variant>
      <vt:variant>
        <vt:lpwstr/>
      </vt:variant>
      <vt:variant>
        <vt:i4>4522071</vt:i4>
      </vt:variant>
      <vt:variant>
        <vt:i4>33</vt:i4>
      </vt:variant>
      <vt:variant>
        <vt:i4>0</vt:i4>
      </vt:variant>
      <vt:variant>
        <vt:i4>5</vt:i4>
      </vt:variant>
      <vt:variant>
        <vt:lpwstr>javascript:;</vt:lpwstr>
      </vt:variant>
      <vt:variant>
        <vt:lpwstr/>
      </vt:variant>
      <vt:variant>
        <vt:i4>4522071</vt:i4>
      </vt:variant>
      <vt:variant>
        <vt:i4>30</vt:i4>
      </vt:variant>
      <vt:variant>
        <vt:i4>0</vt:i4>
      </vt:variant>
      <vt:variant>
        <vt:i4>5</vt:i4>
      </vt:variant>
      <vt:variant>
        <vt:lpwstr>javascript:;</vt:lpwstr>
      </vt:variant>
      <vt:variant>
        <vt:lpwstr/>
      </vt:variant>
      <vt:variant>
        <vt:i4>2162749</vt:i4>
      </vt:variant>
      <vt:variant>
        <vt:i4>27</vt:i4>
      </vt:variant>
      <vt:variant>
        <vt:i4>0</vt:i4>
      </vt:variant>
      <vt:variant>
        <vt:i4>5</vt:i4>
      </vt:variant>
      <vt:variant>
        <vt:lpwstr>https://www.cbd.int/doc/c/e823/b80c/8b0e8a08470a476865e9b203/sbstta-24-03-add2-rev1-en.pdf</vt:lpwstr>
      </vt:variant>
      <vt:variant>
        <vt:lpwstr/>
      </vt:variant>
      <vt:variant>
        <vt:i4>4456533</vt:i4>
      </vt:variant>
      <vt:variant>
        <vt:i4>24</vt:i4>
      </vt:variant>
      <vt:variant>
        <vt:i4>0</vt:i4>
      </vt:variant>
      <vt:variant>
        <vt:i4>5</vt:i4>
      </vt:variant>
      <vt:variant>
        <vt:lpwstr>https://doi.org/10.32942/osf.io/eyqw5</vt:lpwstr>
      </vt:variant>
      <vt:variant>
        <vt:lpwstr/>
      </vt:variant>
      <vt:variant>
        <vt:i4>2162749</vt:i4>
      </vt:variant>
      <vt:variant>
        <vt:i4>21</vt:i4>
      </vt:variant>
      <vt:variant>
        <vt:i4>0</vt:i4>
      </vt:variant>
      <vt:variant>
        <vt:i4>5</vt:i4>
      </vt:variant>
      <vt:variant>
        <vt:lpwstr>https://www.cbd.int/doc/c/e823/b80c/8b0e8a08470a476865e9b203/sbstta-24-03-add2-rev1-en.pdf</vt:lpwstr>
      </vt:variant>
      <vt:variant>
        <vt:lpwstr/>
      </vt:variant>
      <vt:variant>
        <vt:i4>2949221</vt:i4>
      </vt:variant>
      <vt:variant>
        <vt:i4>18</vt:i4>
      </vt:variant>
      <vt:variant>
        <vt:i4>0</vt:i4>
      </vt:variant>
      <vt:variant>
        <vt:i4>5</vt:i4>
      </vt:variant>
      <vt:variant>
        <vt:lpwstr>mailto:https://www.cms.int/sites/default/files/document/cms_cop13_res.12.26_rev.cop13_e.pdf</vt:lpwstr>
      </vt:variant>
      <vt:variant>
        <vt:lpwstr/>
      </vt:variant>
      <vt:variant>
        <vt:i4>2162749</vt:i4>
      </vt:variant>
      <vt:variant>
        <vt:i4>15</vt:i4>
      </vt:variant>
      <vt:variant>
        <vt:i4>0</vt:i4>
      </vt:variant>
      <vt:variant>
        <vt:i4>5</vt:i4>
      </vt:variant>
      <vt:variant>
        <vt:lpwstr>https://www.cbd.int/doc/c/e823/b80c/8b0e8a08470a476865e9b203/sbstta-24-03-add2-rev1-en.pdf</vt:lpwstr>
      </vt:variant>
      <vt:variant>
        <vt:lpwstr/>
      </vt:variant>
      <vt:variant>
        <vt:i4>917512</vt:i4>
      </vt:variant>
      <vt:variant>
        <vt:i4>12</vt:i4>
      </vt:variant>
      <vt:variant>
        <vt:i4>0</vt:i4>
      </vt:variant>
      <vt:variant>
        <vt:i4>5</vt:i4>
      </vt:variant>
      <vt:variant>
        <vt:lpwstr>https://www.cbd.int/doc/c/abb5/591f/2e46096d3f0330b08ce87a45/wg2020-03-03-en.pdf</vt:lpwstr>
      </vt:variant>
      <vt:variant>
        <vt:lpwstr/>
      </vt:variant>
      <vt:variant>
        <vt:i4>393229</vt:i4>
      </vt:variant>
      <vt:variant>
        <vt:i4>9</vt:i4>
      </vt:variant>
      <vt:variant>
        <vt:i4>0</vt:i4>
      </vt:variant>
      <vt:variant>
        <vt:i4>5</vt:i4>
      </vt:variant>
      <vt:variant>
        <vt:lpwstr>https://www.cbd.int/doc/c/46bf/8fcc/4fc82767c058517caa96892d/sbstta-24-inf-11-en.pdf</vt:lpwstr>
      </vt:variant>
      <vt:variant>
        <vt:lpwstr/>
      </vt:variant>
      <vt:variant>
        <vt:i4>1114202</vt:i4>
      </vt:variant>
      <vt:variant>
        <vt:i4>6</vt:i4>
      </vt:variant>
      <vt:variant>
        <vt:i4>0</vt:i4>
      </vt:variant>
      <vt:variant>
        <vt:i4>5</vt:i4>
      </vt:variant>
      <vt:variant>
        <vt:lpwstr>https://www.cbd.int/doc/recommendations/sbstta-23/sbstta-23-rec-01-en.pdf</vt:lpwstr>
      </vt:variant>
      <vt:variant>
        <vt:lpwstr/>
      </vt:variant>
      <vt:variant>
        <vt:i4>1114202</vt:i4>
      </vt:variant>
      <vt:variant>
        <vt:i4>3</vt:i4>
      </vt:variant>
      <vt:variant>
        <vt:i4>0</vt:i4>
      </vt:variant>
      <vt:variant>
        <vt:i4>5</vt:i4>
      </vt:variant>
      <vt:variant>
        <vt:lpwstr>https://www.cbd.int/doc/recommendations/wg2020-01/wg2020-01-rec-01-en.pdf</vt:lpwstr>
      </vt:variant>
      <vt:variant>
        <vt:lpwstr/>
      </vt:variant>
      <vt:variant>
        <vt:i4>720969</vt:i4>
      </vt:variant>
      <vt:variant>
        <vt:i4>0</vt:i4>
      </vt:variant>
      <vt:variant>
        <vt:i4>0</vt:i4>
      </vt:variant>
      <vt:variant>
        <vt:i4>5</vt:i4>
      </vt:variant>
      <vt:variant>
        <vt:lpwstr>https://www.cbd.int/doc/decisions/cop-14/cop-14-dec-34-en.pdf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GLOSSAIRE RELATIF AU PREMIER PROJET DE CADRE MONDIAL DE LA BIODIVERSITÉ POUR L'APRÈS-2020</dc:title>
  <dc:subject>CBD/WG2020/3/3/Add.2</dc:subject>
  <dc:creator>SCBD</dc:creator>
  <cp:keywords>Open-ended Working Group on the Post-2020 Global Biodiversity Framework, third meeting, 23 August - 3 September 2021, Convention on Biological Diversity</cp:keywords>
  <cp:revision>9</cp:revision>
  <cp:lastPrinted>2020-01-21T22:30:00Z</cp:lastPrinted>
  <dcterms:created xsi:type="dcterms:W3CDTF">2021-07-23T14:11:00Z</dcterms:created>
  <dcterms:modified xsi:type="dcterms:W3CDTF">2021-07-23T14:57:00Z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