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CB1042" w:rsidRPr="00EA442C" w14:paraId="5876F40F" w14:textId="77777777">
        <w:trPr>
          <w:trHeight w:val="851"/>
        </w:trPr>
        <w:tc>
          <w:tcPr>
            <w:tcW w:w="465" w:type="pct"/>
            <w:tcBorders>
              <w:bottom w:val="single" w:sz="8" w:space="0" w:color="auto"/>
            </w:tcBorders>
            <w:vAlign w:val="bottom"/>
          </w:tcPr>
          <w:p w14:paraId="54F20C00" w14:textId="77777777" w:rsidR="00CB1042" w:rsidRPr="00550DCE" w:rsidRDefault="00CB1042">
            <w:pPr>
              <w:spacing w:after="120"/>
            </w:pPr>
            <w:bookmarkStart w:id="0" w:name="_Hlk137651738"/>
            <w:r w:rsidRPr="00550DCE">
              <w:rPr>
                <w:noProof/>
              </w:rPr>
              <w:drawing>
                <wp:inline distT="0" distB="0" distL="0" distR="0" wp14:anchorId="58CCCCEB" wp14:editId="43DE3E9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4C33C6E" w14:textId="77777777" w:rsidR="00CB1042" w:rsidRPr="00550DCE" w:rsidRDefault="00CB1042">
            <w:pPr>
              <w:spacing w:after="120"/>
            </w:pPr>
            <w:r w:rsidRPr="002E2C0B">
              <w:rPr>
                <w:noProof/>
              </w:rPr>
              <w:drawing>
                <wp:inline distT="0" distB="0" distL="0" distR="0" wp14:anchorId="40142449" wp14:editId="5FC0E0E8">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0F23F66" w14:textId="45282F2D" w:rsidR="00CB1042" w:rsidRPr="00A60428" w:rsidRDefault="00CB1042">
            <w:pPr>
              <w:spacing w:after="120"/>
              <w:ind w:left="2021"/>
              <w:jc w:val="right"/>
              <w:rPr>
                <w:rFonts w:ascii="Times New Roman" w:hAnsi="Times New Roman" w:cs="Times New Roman"/>
                <w:szCs w:val="22"/>
              </w:rPr>
            </w:pPr>
            <w:r w:rsidRPr="00A60428">
              <w:rPr>
                <w:rFonts w:ascii="Times New Roman" w:hAnsi="Times New Roman" w:cs="Times New Roman"/>
                <w:sz w:val="40"/>
                <w:szCs w:val="40"/>
              </w:rPr>
              <w:t>CBD</w:t>
            </w:r>
            <w:r w:rsidRPr="00A60428">
              <w:rPr>
                <w:rFonts w:ascii="Times New Roman" w:hAnsi="Times New Roman" w:cs="Times New Roman"/>
              </w:rPr>
              <w:t>/SBSTTA/26/</w:t>
            </w:r>
            <w:r w:rsidR="002E2C0B" w:rsidRPr="00A60428">
              <w:rPr>
                <w:rFonts w:ascii="Times New Roman" w:hAnsi="Times New Roman" w:cs="Times New Roman"/>
              </w:rPr>
              <w:t>5/Add.1</w:t>
            </w:r>
          </w:p>
        </w:tc>
      </w:tr>
      <w:tr w:rsidR="00CB1042" w:rsidRPr="00EA442C" w14:paraId="2D72907E" w14:textId="77777777">
        <w:tc>
          <w:tcPr>
            <w:tcW w:w="2297" w:type="pct"/>
            <w:gridSpan w:val="2"/>
            <w:tcBorders>
              <w:top w:val="single" w:sz="8" w:space="0" w:color="auto"/>
              <w:bottom w:val="single" w:sz="12" w:space="0" w:color="auto"/>
            </w:tcBorders>
          </w:tcPr>
          <w:p w14:paraId="667DD2A4" w14:textId="77777777" w:rsidR="00CB1042" w:rsidRPr="00550DCE" w:rsidRDefault="00CB1042">
            <w:pPr>
              <w:pStyle w:val="Cornernotation"/>
              <w:suppressLineNumbers/>
              <w:suppressAutoHyphens/>
              <w:spacing w:before="120" w:after="120"/>
              <w:ind w:right="0"/>
            </w:pPr>
            <w:r w:rsidRPr="00550DCE">
              <w:rPr>
                <w:b/>
                <w:bCs/>
                <w:noProof/>
              </w:rPr>
              <w:drawing>
                <wp:inline distT="0" distB="0" distL="0" distR="0" wp14:anchorId="0580FCB3" wp14:editId="406B1F6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406CCB3" w14:textId="77777777" w:rsidR="00CB1042" w:rsidRPr="00A60428" w:rsidRDefault="00CB1042">
            <w:pPr>
              <w:ind w:left="2584"/>
              <w:rPr>
                <w:rFonts w:ascii="Times New Roman" w:hAnsi="Times New Roman" w:cs="Times New Roman"/>
                <w:sz w:val="22"/>
                <w:szCs w:val="22"/>
              </w:rPr>
            </w:pPr>
            <w:r w:rsidRPr="00A60428">
              <w:rPr>
                <w:rFonts w:ascii="Times New Roman" w:hAnsi="Times New Roman" w:cs="Times New Roman"/>
              </w:rPr>
              <w:t>Distr.: General</w:t>
            </w:r>
          </w:p>
          <w:p w14:paraId="13E7B0D1" w14:textId="749DB46C" w:rsidR="00CB1042" w:rsidRPr="00A60428" w:rsidRDefault="002E2C0B">
            <w:pPr>
              <w:ind w:left="2584"/>
              <w:rPr>
                <w:rFonts w:ascii="Times New Roman" w:hAnsi="Times New Roman" w:cs="Times New Roman"/>
                <w:sz w:val="22"/>
                <w:szCs w:val="22"/>
              </w:rPr>
            </w:pPr>
            <w:r>
              <w:rPr>
                <w:rFonts w:ascii="Times New Roman" w:hAnsi="Times New Roman" w:cs="Times New Roman"/>
                <w:sz w:val="22"/>
                <w:szCs w:val="22"/>
              </w:rPr>
              <w:t>13 March</w:t>
            </w:r>
            <w:r w:rsidR="00CB1042" w:rsidRPr="00A60428">
              <w:rPr>
                <w:rFonts w:ascii="Times New Roman" w:hAnsi="Times New Roman" w:cs="Times New Roman"/>
              </w:rPr>
              <w:t xml:space="preserve"> 202</w:t>
            </w:r>
            <w:r>
              <w:rPr>
                <w:rFonts w:ascii="Times New Roman" w:hAnsi="Times New Roman" w:cs="Times New Roman"/>
                <w:sz w:val="22"/>
                <w:szCs w:val="22"/>
              </w:rPr>
              <w:t>4</w:t>
            </w:r>
          </w:p>
          <w:p w14:paraId="3A7707D6" w14:textId="77777777" w:rsidR="00CB1042" w:rsidRPr="00A60428" w:rsidRDefault="00CB1042">
            <w:pPr>
              <w:ind w:left="2584"/>
              <w:rPr>
                <w:rFonts w:ascii="Times New Roman" w:hAnsi="Times New Roman" w:cs="Times New Roman"/>
                <w:sz w:val="22"/>
                <w:szCs w:val="22"/>
              </w:rPr>
            </w:pPr>
          </w:p>
          <w:p w14:paraId="03746248" w14:textId="77777777" w:rsidR="00CB1042" w:rsidRPr="00A60428" w:rsidRDefault="00CB1042">
            <w:pPr>
              <w:ind w:left="2584"/>
              <w:rPr>
                <w:rFonts w:ascii="Times New Roman" w:hAnsi="Times New Roman" w:cs="Times New Roman"/>
                <w:sz w:val="22"/>
                <w:szCs w:val="22"/>
              </w:rPr>
            </w:pPr>
            <w:r w:rsidRPr="00A60428">
              <w:rPr>
                <w:rFonts w:ascii="Times New Roman" w:hAnsi="Times New Roman" w:cs="Times New Roman"/>
              </w:rPr>
              <w:t>Original: English</w:t>
            </w:r>
          </w:p>
          <w:p w14:paraId="22EB06DA" w14:textId="77777777" w:rsidR="00CB1042" w:rsidRPr="00A60428" w:rsidRDefault="00CB1042">
            <w:pPr>
              <w:rPr>
                <w:rFonts w:ascii="Times New Roman" w:hAnsi="Times New Roman" w:cs="Times New Roman"/>
              </w:rPr>
            </w:pPr>
          </w:p>
        </w:tc>
      </w:tr>
    </w:tbl>
    <w:p w14:paraId="1F1E0D90" w14:textId="77777777" w:rsidR="00CB1042" w:rsidRPr="00A60428" w:rsidRDefault="00CB1042" w:rsidP="00A60428">
      <w:pPr>
        <w:pStyle w:val="Cornernotation"/>
        <w:ind w:left="0" w:right="5249" w:firstLine="0"/>
        <w:rPr>
          <w:b/>
          <w:sz w:val="24"/>
          <w:szCs w:val="24"/>
        </w:rPr>
      </w:pPr>
      <w:r w:rsidRPr="00A60428">
        <w:rPr>
          <w:b/>
          <w:sz w:val="24"/>
          <w:szCs w:val="24"/>
        </w:rPr>
        <w:t>Subsidiary Body on Scientific, Technical and Technological Advice</w:t>
      </w:r>
    </w:p>
    <w:p w14:paraId="5EFB1458" w14:textId="77777777" w:rsidR="00CB1042" w:rsidRPr="00A60428" w:rsidRDefault="00CB1042" w:rsidP="00CB1042">
      <w:pPr>
        <w:pStyle w:val="Cornernotation"/>
        <w:rPr>
          <w:b/>
        </w:rPr>
      </w:pPr>
      <w:r w:rsidRPr="00A60428">
        <w:rPr>
          <w:b/>
        </w:rPr>
        <w:t xml:space="preserve">Twenty-sixth meeting </w:t>
      </w:r>
    </w:p>
    <w:p w14:paraId="6148554D" w14:textId="77777777" w:rsidR="00CB1042" w:rsidRPr="00935461" w:rsidRDefault="00CB1042" w:rsidP="00CB1042">
      <w:pPr>
        <w:pStyle w:val="Venuedate"/>
        <w:rPr>
          <w:lang w:val="en-CA"/>
        </w:rPr>
      </w:pPr>
      <w:r w:rsidRPr="00435A96">
        <w:rPr>
          <w:lang w:val="en-CA"/>
        </w:rPr>
        <w:t>Nairobi, 1</w:t>
      </w:r>
      <w:r>
        <w:rPr>
          <w:lang w:val="en-CA"/>
        </w:rPr>
        <w:t>3</w:t>
      </w:r>
      <w:r w:rsidRPr="00435A96">
        <w:rPr>
          <w:lang w:val="en-CA"/>
        </w:rPr>
        <w:t>–</w:t>
      </w:r>
      <w:r>
        <w:rPr>
          <w:lang w:val="en-CA"/>
        </w:rPr>
        <w:t>18</w:t>
      </w:r>
      <w:r w:rsidRPr="00435A96">
        <w:rPr>
          <w:lang w:val="en-CA"/>
        </w:rPr>
        <w:t xml:space="preserve"> </w:t>
      </w:r>
      <w:r>
        <w:rPr>
          <w:lang w:val="en-CA"/>
        </w:rPr>
        <w:t>May</w:t>
      </w:r>
      <w:r w:rsidRPr="00435A96">
        <w:rPr>
          <w:lang w:val="en-CA"/>
        </w:rPr>
        <w:t xml:space="preserve"> 202</w:t>
      </w:r>
      <w:r>
        <w:rPr>
          <w:lang w:val="en-CA"/>
        </w:rPr>
        <w:t>4</w:t>
      </w:r>
    </w:p>
    <w:p w14:paraId="2EFD42F1" w14:textId="5AF6176F" w:rsidR="00CB1042" w:rsidRPr="007A7247" w:rsidRDefault="00CB1042" w:rsidP="00CB1042">
      <w:pPr>
        <w:pStyle w:val="Cornernotation-Item"/>
        <w:rPr>
          <w:b w:val="0"/>
          <w:bCs w:val="0"/>
        </w:rPr>
      </w:pPr>
      <w:r w:rsidRPr="007A7247">
        <w:rPr>
          <w:b w:val="0"/>
          <w:bCs w:val="0"/>
        </w:rPr>
        <w:t xml:space="preserve">Item </w:t>
      </w:r>
      <w:r w:rsidR="00C704E0">
        <w:rPr>
          <w:b w:val="0"/>
          <w:bCs w:val="0"/>
        </w:rPr>
        <w:t>6</w:t>
      </w:r>
      <w:r w:rsidRPr="007A7247">
        <w:rPr>
          <w:b w:val="0"/>
          <w:bCs w:val="0"/>
        </w:rPr>
        <w:t xml:space="preserve"> of the provisional agenda</w:t>
      </w:r>
      <w:r w:rsidRPr="007A7247">
        <w:rPr>
          <w:rStyle w:val="FootnoteReference"/>
          <w:rFonts w:eastAsia="Arial"/>
          <w:b w:val="0"/>
          <w:bCs w:val="0"/>
        </w:rPr>
        <w:footnoteReference w:customMarkFollows="1" w:id="2"/>
        <w:t>*</w:t>
      </w:r>
    </w:p>
    <w:p w14:paraId="62EC18C4" w14:textId="135A2A42" w:rsidR="00C704E0" w:rsidRDefault="00C704E0" w:rsidP="00D81BA9">
      <w:pPr>
        <w:pStyle w:val="Cornernotation-Item"/>
      </w:pPr>
      <w:r w:rsidRPr="00C704E0">
        <w:t xml:space="preserve">Risk assessment and risk </w:t>
      </w:r>
      <w:proofErr w:type="gramStart"/>
      <w:r w:rsidRPr="00C704E0">
        <w:t>management</w:t>
      </w:r>
      <w:proofErr w:type="gramEnd"/>
    </w:p>
    <w:p w14:paraId="01C6DC5A" w14:textId="63DBD20F" w:rsidR="00C704E0" w:rsidRPr="00A60428" w:rsidRDefault="00D81BA9" w:rsidP="00A60428">
      <w:pPr>
        <w:pStyle w:val="Cornernotation-Item"/>
        <w:spacing w:before="240" w:after="240"/>
        <w:ind w:left="567" w:right="998"/>
        <w:rPr>
          <w:sz w:val="28"/>
          <w:szCs w:val="28"/>
        </w:rPr>
      </w:pPr>
      <w:r w:rsidRPr="00A60428">
        <w:rPr>
          <w:sz w:val="28"/>
          <w:szCs w:val="28"/>
        </w:rPr>
        <w:t>Additional voluntary guidance materials to support case-by-case risk assessment</w:t>
      </w:r>
      <w:r w:rsidR="009F5DAB">
        <w:rPr>
          <w:sz w:val="28"/>
          <w:szCs w:val="28"/>
        </w:rPr>
        <w:t>s</w:t>
      </w:r>
      <w:r w:rsidRPr="00A60428">
        <w:rPr>
          <w:sz w:val="28"/>
          <w:szCs w:val="28"/>
        </w:rPr>
        <w:t xml:space="preserve"> of living modified organisms containing engineered gene </w:t>
      </w:r>
      <w:proofErr w:type="gramStart"/>
      <w:r w:rsidRPr="00A60428">
        <w:rPr>
          <w:sz w:val="28"/>
          <w:szCs w:val="28"/>
        </w:rPr>
        <w:t>drives</w:t>
      </w:r>
      <w:proofErr w:type="gramEnd"/>
    </w:p>
    <w:p w14:paraId="152BE972" w14:textId="76969ACC" w:rsidR="00C704E0" w:rsidRDefault="00D81BA9" w:rsidP="00A60428">
      <w:pPr>
        <w:pStyle w:val="Cornernotation-Item"/>
        <w:ind w:left="567"/>
      </w:pPr>
      <w:r>
        <w:t>Note by the Secretariat</w:t>
      </w:r>
    </w:p>
    <w:p w14:paraId="0495D57E" w14:textId="7CEE0CE7" w:rsidR="00C43513" w:rsidRDefault="00C43513" w:rsidP="00C43513">
      <w:pPr>
        <w:pStyle w:val="Para10"/>
        <w:numPr>
          <w:ilvl w:val="0"/>
          <w:numId w:val="109"/>
        </w:numPr>
        <w:ind w:left="562" w:firstLine="0"/>
      </w:pPr>
      <w:r>
        <w:t>The</w:t>
      </w:r>
      <w:r>
        <w:rPr>
          <w:lang w:val="en-GB"/>
        </w:rPr>
        <w:t xml:space="preserve"> </w:t>
      </w:r>
      <w:r w:rsidR="009F5DAB">
        <w:rPr>
          <w:lang w:val="en-GB"/>
        </w:rPr>
        <w:t xml:space="preserve">present </w:t>
      </w:r>
      <w:r>
        <w:rPr>
          <w:lang w:val="en-GB"/>
        </w:rPr>
        <w:t>addendum contains the</w:t>
      </w:r>
      <w:r>
        <w:t xml:space="preserve"> </w:t>
      </w:r>
      <w:r w:rsidR="001C0475">
        <w:t xml:space="preserve">draft </w:t>
      </w:r>
      <w:r>
        <w:t>additional voluntary guidance materials to support case-by-case risk assessment</w:t>
      </w:r>
      <w:r w:rsidR="00E34187">
        <w:t>s</w:t>
      </w:r>
      <w:r>
        <w:t xml:space="preserve"> of living modified organisms containing engineered gene drives developed by the Ad Hoc Technical Expert Group on Risk Assessment </w:t>
      </w:r>
      <w:r w:rsidR="00275BA0">
        <w:t>at its second meeting, held fr</w:t>
      </w:r>
      <w:r w:rsidR="00CC6828">
        <w:t xml:space="preserve">om 27 February to 1 March 2024, </w:t>
      </w:r>
      <w:r>
        <w:t>pursuant to decision</w:t>
      </w:r>
      <w:r w:rsidR="007622E8">
        <w:t> </w:t>
      </w:r>
      <w:r>
        <w:t>CP</w:t>
      </w:r>
      <w:r w:rsidR="00E36E8B">
        <w:noBreakHyphen/>
      </w:r>
      <w:r>
        <w:t>10/10</w:t>
      </w:r>
      <w:r w:rsidR="008C6A0E">
        <w:t xml:space="preserve"> of the Conference of the Parties serving as the meeting to the Parties to the Cartagena Protocol on Biosafety</w:t>
      </w:r>
      <w:r>
        <w:t>.</w:t>
      </w:r>
    </w:p>
    <w:p w14:paraId="032BF92D" w14:textId="5BD4E3CF" w:rsidR="00C43513" w:rsidRDefault="00A16BD1" w:rsidP="00767010">
      <w:pPr>
        <w:pStyle w:val="Para10"/>
        <w:numPr>
          <w:ilvl w:val="0"/>
          <w:numId w:val="109"/>
        </w:numPr>
        <w:ind w:left="562" w:firstLine="0"/>
      </w:pPr>
      <w:r>
        <w:t>The present draft</w:t>
      </w:r>
      <w:r w:rsidR="00611156">
        <w:t xml:space="preserve"> </w:t>
      </w:r>
      <w:r w:rsidR="001F3D01">
        <w:t xml:space="preserve">is </w:t>
      </w:r>
      <w:r w:rsidR="007518BB">
        <w:t>issued without formal</w:t>
      </w:r>
      <w:r w:rsidR="00C43513">
        <w:t xml:space="preserve"> edit</w:t>
      </w:r>
      <w:r w:rsidR="00A02701">
        <w:t>ing</w:t>
      </w:r>
      <w:r w:rsidR="00676F4A">
        <w:t>,</w:t>
      </w:r>
      <w:r w:rsidR="003E6505">
        <w:t xml:space="preserve"> owing to </w:t>
      </w:r>
      <w:r w:rsidR="0049528A">
        <w:t xml:space="preserve">the limited </w:t>
      </w:r>
      <w:r w:rsidR="003E6505">
        <w:t xml:space="preserve">time </w:t>
      </w:r>
      <w:r w:rsidR="0049528A">
        <w:t>between the second meeting of the Expert Group and the deadline for documents for the t</w:t>
      </w:r>
      <w:r w:rsidR="0049528A" w:rsidRPr="0049528A">
        <w:t>wenty-sixth meeting</w:t>
      </w:r>
      <w:r w:rsidR="0049528A">
        <w:t xml:space="preserve"> of </w:t>
      </w:r>
      <w:r w:rsidR="00250C49">
        <w:t xml:space="preserve">the </w:t>
      </w:r>
      <w:r w:rsidR="0049528A" w:rsidRPr="00696C39">
        <w:t>Subsidiary Body on Scientific, Technical and Technological Advice</w:t>
      </w:r>
      <w:r w:rsidR="00C43513">
        <w:t xml:space="preserve">. </w:t>
      </w:r>
      <w:r w:rsidR="006B1E80">
        <w:t xml:space="preserve">It </w:t>
      </w:r>
      <w:r w:rsidR="008D1D88">
        <w:t xml:space="preserve">will </w:t>
      </w:r>
      <w:r w:rsidR="006B1E80">
        <w:t xml:space="preserve">be </w:t>
      </w:r>
      <w:r w:rsidR="008D1D88">
        <w:t>edited</w:t>
      </w:r>
      <w:r w:rsidR="000E3C54">
        <w:t xml:space="preserve"> </w:t>
      </w:r>
      <w:r w:rsidR="00832AB0">
        <w:t xml:space="preserve">after the present meeting </w:t>
      </w:r>
      <w:r w:rsidR="008D1D88">
        <w:t xml:space="preserve">and reissued </w:t>
      </w:r>
      <w:r w:rsidR="00B542C2">
        <w:t>in all</w:t>
      </w:r>
      <w:r w:rsidR="00B542C2" w:rsidRPr="00A60428">
        <w:t xml:space="preserve"> official languages</w:t>
      </w:r>
      <w:r w:rsidR="00B542C2">
        <w:t xml:space="preserve"> </w:t>
      </w:r>
      <w:r w:rsidR="006B1E80">
        <w:t xml:space="preserve">as a document </w:t>
      </w:r>
      <w:r w:rsidR="006B0609">
        <w:t xml:space="preserve">for </w:t>
      </w:r>
      <w:r w:rsidR="00767010">
        <w:t xml:space="preserve">consideration by </w:t>
      </w:r>
      <w:r w:rsidR="006B0609">
        <w:t>the Conference of the Parties serving as the meeting of the Parties to the Cartagena Protocol</w:t>
      </w:r>
      <w:r w:rsidR="00767010">
        <w:t xml:space="preserve"> at its eleventh meeting</w:t>
      </w:r>
      <w:r w:rsidR="001559B2">
        <w:t>.</w:t>
      </w:r>
    </w:p>
    <w:p w14:paraId="2611D408" w14:textId="77777777" w:rsidR="00774FC9" w:rsidRDefault="00774FC9" w:rsidP="00CB1042">
      <w:pPr>
        <w:pStyle w:val="Cornernotation-Item"/>
      </w:pPr>
    </w:p>
    <w:p w14:paraId="2EF722E5" w14:textId="77777777" w:rsidR="00774FC9" w:rsidRDefault="00774FC9" w:rsidP="00CB1042">
      <w:pPr>
        <w:pStyle w:val="Cornernotation-Item"/>
      </w:pPr>
    </w:p>
    <w:bookmarkEnd w:id="0"/>
    <w:p w14:paraId="3F4747E2" w14:textId="77777777" w:rsidR="00FE767C" w:rsidRDefault="00FE767C" w:rsidP="00212686">
      <w:pPr>
        <w:spacing w:before="240" w:line="276" w:lineRule="auto"/>
        <w:jc w:val="center"/>
        <w:rPr>
          <w:rFonts w:ascii="Times New Roman" w:hAnsi="Times New Roman" w:cs="Times New Roman"/>
          <w:b/>
          <w:bCs/>
          <w:sz w:val="28"/>
          <w:szCs w:val="28"/>
        </w:rPr>
        <w:sectPr w:rsidR="00FE767C" w:rsidSect="003724BD">
          <w:headerReference w:type="even" r:id="rId14"/>
          <w:headerReference w:type="default" r:id="rId15"/>
          <w:footerReference w:type="even" r:id="rId16"/>
          <w:footerReference w:type="default" r:id="rId17"/>
          <w:type w:val="continuous"/>
          <w:pgSz w:w="12240" w:h="15840"/>
          <w:pgMar w:top="1440" w:right="1440" w:bottom="1440" w:left="1440" w:header="708" w:footer="708" w:gutter="0"/>
          <w:cols w:space="708"/>
          <w:titlePg/>
          <w:docGrid w:linePitch="360"/>
        </w:sectPr>
      </w:pPr>
    </w:p>
    <w:p w14:paraId="0B2B51B0" w14:textId="557196CE" w:rsidR="00DC2E53" w:rsidRPr="00EC0AB1" w:rsidRDefault="009702C8" w:rsidP="00212686">
      <w:pPr>
        <w:spacing w:before="240" w:line="276"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A</w:t>
      </w:r>
      <w:r w:rsidR="00EC0AB1">
        <w:rPr>
          <w:rFonts w:ascii="Times New Roman" w:hAnsi="Times New Roman" w:cs="Times New Roman"/>
          <w:b/>
          <w:bCs/>
          <w:sz w:val="28"/>
          <w:szCs w:val="28"/>
        </w:rPr>
        <w:t xml:space="preserve">dditional </w:t>
      </w:r>
      <w:r w:rsidR="00B774C0">
        <w:rPr>
          <w:rFonts w:ascii="Times New Roman" w:hAnsi="Times New Roman" w:cs="Times New Roman"/>
          <w:b/>
          <w:bCs/>
          <w:sz w:val="28"/>
          <w:szCs w:val="28"/>
        </w:rPr>
        <w:t xml:space="preserve">voluntary guidance materials </w:t>
      </w:r>
      <w:r w:rsidR="00A62600" w:rsidRPr="00A62600">
        <w:rPr>
          <w:rFonts w:ascii="Times New Roman" w:hAnsi="Times New Roman" w:cs="Times New Roman"/>
          <w:b/>
          <w:bCs/>
          <w:sz w:val="28"/>
          <w:szCs w:val="28"/>
        </w:rPr>
        <w:t>to support case-by-case risk assessment</w:t>
      </w:r>
      <w:r w:rsidR="00996E32">
        <w:rPr>
          <w:rFonts w:ascii="Times New Roman" w:hAnsi="Times New Roman" w:cs="Times New Roman"/>
          <w:b/>
          <w:bCs/>
          <w:sz w:val="28"/>
          <w:szCs w:val="28"/>
        </w:rPr>
        <w:t>s</w:t>
      </w:r>
      <w:r w:rsidR="00A62600" w:rsidRPr="00A62600">
        <w:rPr>
          <w:rFonts w:ascii="Times New Roman" w:hAnsi="Times New Roman" w:cs="Times New Roman"/>
          <w:b/>
          <w:bCs/>
          <w:sz w:val="28"/>
          <w:szCs w:val="28"/>
        </w:rPr>
        <w:t xml:space="preserve"> of living modified organisms containing engineered gene </w:t>
      </w:r>
      <w:proofErr w:type="gramStart"/>
      <w:r w:rsidR="00A62600" w:rsidRPr="00A62600">
        <w:rPr>
          <w:rFonts w:ascii="Times New Roman" w:hAnsi="Times New Roman" w:cs="Times New Roman"/>
          <w:b/>
          <w:bCs/>
          <w:sz w:val="28"/>
          <w:szCs w:val="28"/>
        </w:rPr>
        <w:t>drives</w:t>
      </w:r>
      <w:proofErr w:type="gramEnd"/>
    </w:p>
    <w:p w14:paraId="17E98330" w14:textId="10972936" w:rsidR="00DC2E53" w:rsidRPr="00845AD8" w:rsidRDefault="00DA3DC0" w:rsidP="00212686">
      <w:pPr>
        <w:pStyle w:val="Heading1"/>
        <w:pageBreakBefore/>
        <w:spacing w:line="276" w:lineRule="auto"/>
        <w:rPr>
          <w:rFonts w:ascii="Times New Roman" w:hAnsi="Times New Roman" w:cs="Times New Roman"/>
          <w:b/>
          <w:color w:val="auto"/>
          <w:sz w:val="28"/>
          <w:szCs w:val="28"/>
          <w:lang w:val="en-GB"/>
        </w:rPr>
      </w:pPr>
      <w:bookmarkStart w:id="1" w:name="_Toc161220470"/>
      <w:r w:rsidRPr="00845AD8">
        <w:rPr>
          <w:rFonts w:ascii="Times New Roman" w:hAnsi="Times New Roman" w:cs="Times New Roman"/>
          <w:b/>
          <w:color w:val="auto"/>
          <w:sz w:val="28"/>
          <w:szCs w:val="28"/>
          <w:lang w:val="en-GB"/>
        </w:rPr>
        <w:lastRenderedPageBreak/>
        <w:t>C</w:t>
      </w:r>
      <w:r w:rsidR="00580F83" w:rsidRPr="00845AD8">
        <w:rPr>
          <w:rFonts w:ascii="Times New Roman" w:hAnsi="Times New Roman" w:cs="Times New Roman"/>
          <w:b/>
          <w:color w:val="auto"/>
          <w:sz w:val="28"/>
          <w:szCs w:val="28"/>
          <w:lang w:val="en-GB"/>
        </w:rPr>
        <w:t>ontents</w:t>
      </w:r>
      <w:bookmarkEnd w:id="1"/>
    </w:p>
    <w:sdt>
      <w:sdtPr>
        <w:rPr>
          <w:rFonts w:ascii="Times New Roman" w:hAnsi="Times New Roman" w:cs="Times New Roman"/>
        </w:rPr>
        <w:id w:val="477966763"/>
        <w:docPartObj>
          <w:docPartGallery w:val="Table of Contents"/>
          <w:docPartUnique/>
        </w:docPartObj>
      </w:sdtPr>
      <w:sdtEndPr>
        <w:rPr>
          <w:b/>
          <w:bCs/>
          <w:highlight w:val="yellow"/>
        </w:rPr>
      </w:sdtEndPr>
      <w:sdtContent>
        <w:p w14:paraId="168C49CB" w14:textId="4586D0B9" w:rsidR="00650CCD" w:rsidRPr="00D356EB" w:rsidRDefault="005430B6">
          <w:pPr>
            <w:pStyle w:val="TOC1"/>
            <w:tabs>
              <w:tab w:val="right" w:leader="dot" w:pos="9350"/>
            </w:tabs>
            <w:rPr>
              <w:rFonts w:ascii="Times New Roman" w:eastAsiaTheme="minorEastAsia" w:hAnsi="Times New Roman" w:cs="Times New Roman"/>
              <w:noProof/>
              <w:kern w:val="2"/>
              <w:sz w:val="24"/>
              <w:szCs w:val="24"/>
              <w:lang w:val="en-US" w:eastAsia="zh-CN"/>
            </w:rPr>
          </w:pPr>
          <w:r w:rsidRPr="00BB5241">
            <w:rPr>
              <w:rFonts w:ascii="Times New Roman" w:hAnsi="Times New Roman" w:cs="Times New Roman"/>
            </w:rPr>
            <w:fldChar w:fldCharType="begin"/>
          </w:r>
          <w:r w:rsidRPr="00BB5241">
            <w:rPr>
              <w:rFonts w:ascii="Times New Roman" w:hAnsi="Times New Roman" w:cs="Times New Roman"/>
            </w:rPr>
            <w:instrText xml:space="preserve">TOC \o "1-9" \h \t "Heading 1;1;Heading 2;2;Heading 3;3;Heading 4;4;Heading 5;5;Heading 6;6;Heading 7;7;Heading 8;8;Heading 9;9" </w:instrText>
          </w:r>
          <w:r w:rsidRPr="00BB5241">
            <w:rPr>
              <w:rFonts w:ascii="Times New Roman" w:hAnsi="Times New Roman" w:cs="Times New Roman"/>
            </w:rPr>
            <w:fldChar w:fldCharType="separate"/>
          </w:r>
          <w:hyperlink w:anchor="_Toc161220470" w:history="1">
            <w:r w:rsidR="00650CCD" w:rsidRPr="00D356EB">
              <w:rPr>
                <w:rStyle w:val="Hyperlink"/>
                <w:rFonts w:ascii="Times New Roman" w:hAnsi="Times New Roman" w:cs="Times New Roman"/>
                <w:b/>
                <w:noProof/>
              </w:rPr>
              <w:t>Contents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_Toc161220470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3</w:t>
            </w:r>
            <w:r w:rsidR="00650CCD" w:rsidRPr="00D356EB">
              <w:rPr>
                <w:rFonts w:ascii="Times New Roman" w:hAnsi="Times New Roman" w:cs="Times New Roman"/>
                <w:noProof/>
              </w:rPr>
              <w:fldChar w:fldCharType="end"/>
            </w:r>
          </w:hyperlink>
        </w:p>
        <w:p w14:paraId="1EF79E14" w14:textId="4CFBD58C" w:rsidR="00650CCD" w:rsidRPr="00D356EB" w:rsidRDefault="00FA4183">
          <w:pPr>
            <w:pStyle w:val="TOC1"/>
            <w:tabs>
              <w:tab w:val="right" w:leader="dot" w:pos="9350"/>
            </w:tabs>
            <w:rPr>
              <w:rFonts w:ascii="Times New Roman" w:eastAsiaTheme="minorEastAsia" w:hAnsi="Times New Roman" w:cs="Times New Roman"/>
              <w:noProof/>
              <w:kern w:val="2"/>
              <w:sz w:val="24"/>
              <w:szCs w:val="24"/>
              <w:lang w:val="en-US" w:eastAsia="zh-CN"/>
            </w:rPr>
          </w:pPr>
          <w:hyperlink w:anchor="_Toc161220471" w:history="1">
            <w:r w:rsidR="00650CCD" w:rsidRPr="00D356EB">
              <w:rPr>
                <w:rStyle w:val="Hyperlink"/>
                <w:rFonts w:ascii="Times New Roman" w:hAnsi="Times New Roman" w:cs="Times New Roman"/>
                <w:b/>
                <w:noProof/>
              </w:rPr>
              <w:t>List of figures</w:t>
            </w:r>
            <w:r w:rsidR="00650CCD" w:rsidRPr="00D356EB">
              <w:rPr>
                <w:rStyle w:val="Hyperlink"/>
                <w:rFonts w:ascii="Times New Roman" w:hAnsi="Times New Roman" w:cs="Times New Roman"/>
                <w:b/>
                <w:bCs/>
                <w:noProof/>
              </w:rPr>
              <w:t xml:space="preserve"> and tables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_Toc161220471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5</w:t>
            </w:r>
            <w:r w:rsidR="00650CCD" w:rsidRPr="00D356EB">
              <w:rPr>
                <w:rFonts w:ascii="Times New Roman" w:hAnsi="Times New Roman" w:cs="Times New Roman"/>
                <w:noProof/>
              </w:rPr>
              <w:fldChar w:fldCharType="end"/>
            </w:r>
          </w:hyperlink>
        </w:p>
        <w:p w14:paraId="1C783AFC" w14:textId="474C0A06" w:rsidR="00650CCD" w:rsidRPr="00D356EB" w:rsidRDefault="00FA4183">
          <w:pPr>
            <w:pStyle w:val="TOC1"/>
            <w:tabs>
              <w:tab w:val="right" w:leader="dot" w:pos="9350"/>
            </w:tabs>
            <w:rPr>
              <w:rFonts w:ascii="Times New Roman" w:eastAsiaTheme="minorEastAsia" w:hAnsi="Times New Roman" w:cs="Times New Roman"/>
              <w:noProof/>
              <w:kern w:val="2"/>
              <w:sz w:val="24"/>
              <w:szCs w:val="24"/>
              <w:lang w:val="en-US" w:eastAsia="zh-CN"/>
            </w:rPr>
          </w:pPr>
          <w:hyperlink w:anchor="_Toc161220472" w:history="1">
            <w:r w:rsidR="00650CCD" w:rsidRPr="00D356EB">
              <w:rPr>
                <w:rStyle w:val="Hyperlink"/>
                <w:rFonts w:ascii="Times New Roman" w:hAnsi="Times New Roman" w:cs="Times New Roman"/>
                <w:b/>
                <w:noProof/>
              </w:rPr>
              <w:t>List of boxes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_Toc161220472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6</w:t>
            </w:r>
            <w:r w:rsidR="00650CCD" w:rsidRPr="00D356EB">
              <w:rPr>
                <w:rFonts w:ascii="Times New Roman" w:hAnsi="Times New Roman" w:cs="Times New Roman"/>
                <w:noProof/>
              </w:rPr>
              <w:fldChar w:fldCharType="end"/>
            </w:r>
          </w:hyperlink>
        </w:p>
        <w:p w14:paraId="4B7BA798" w14:textId="0DA22B7E" w:rsidR="00650CCD" w:rsidRPr="00D356EB" w:rsidRDefault="00FA4183">
          <w:pPr>
            <w:pStyle w:val="TOC1"/>
            <w:tabs>
              <w:tab w:val="right" w:leader="dot" w:pos="9350"/>
            </w:tabs>
            <w:rPr>
              <w:rFonts w:ascii="Times New Roman" w:eastAsiaTheme="minorEastAsia" w:hAnsi="Times New Roman" w:cs="Times New Roman"/>
              <w:noProof/>
              <w:kern w:val="2"/>
              <w:sz w:val="24"/>
              <w:szCs w:val="24"/>
              <w:lang w:val="en-US" w:eastAsia="zh-CN"/>
            </w:rPr>
          </w:pPr>
          <w:hyperlink w:anchor="_Toc161220473" w:history="1">
            <w:r w:rsidR="00650CCD" w:rsidRPr="00D356EB">
              <w:rPr>
                <w:rStyle w:val="Hyperlink"/>
                <w:rFonts w:ascii="Times New Roman" w:hAnsi="Times New Roman" w:cs="Times New Roman"/>
                <w:b/>
                <w:noProof/>
              </w:rPr>
              <w:t>Acknowledgements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_Toc161220473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7</w:t>
            </w:r>
            <w:r w:rsidR="00650CCD" w:rsidRPr="00D356EB">
              <w:rPr>
                <w:rFonts w:ascii="Times New Roman" w:hAnsi="Times New Roman" w:cs="Times New Roman"/>
                <w:noProof/>
              </w:rPr>
              <w:fldChar w:fldCharType="end"/>
            </w:r>
          </w:hyperlink>
        </w:p>
        <w:p w14:paraId="61D94816" w14:textId="28AF0DB3" w:rsidR="00650CCD" w:rsidRPr="00D356EB" w:rsidRDefault="00FA4183">
          <w:pPr>
            <w:pStyle w:val="TOC1"/>
            <w:tabs>
              <w:tab w:val="right" w:leader="dot" w:pos="9350"/>
            </w:tabs>
            <w:rPr>
              <w:rFonts w:ascii="Times New Roman" w:eastAsiaTheme="minorEastAsia" w:hAnsi="Times New Roman" w:cs="Times New Roman"/>
              <w:noProof/>
              <w:kern w:val="2"/>
              <w:sz w:val="24"/>
              <w:szCs w:val="24"/>
              <w:lang w:val="en-US" w:eastAsia="zh-CN"/>
            </w:rPr>
          </w:pPr>
          <w:hyperlink w:anchor="_Toc161220474" w:history="1">
            <w:r w:rsidR="00650CCD" w:rsidRPr="00D356EB">
              <w:rPr>
                <w:rStyle w:val="Hyperlink"/>
                <w:rFonts w:ascii="Times New Roman" w:hAnsi="Times New Roman" w:cs="Times New Roman"/>
                <w:b/>
                <w:bCs/>
                <w:noProof/>
                <w:lang w:val="en-CA"/>
              </w:rPr>
              <w:t>1. Objective and scope</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_Toc161220474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8</w:t>
            </w:r>
            <w:r w:rsidR="00650CCD" w:rsidRPr="00D356EB">
              <w:rPr>
                <w:rFonts w:ascii="Times New Roman" w:hAnsi="Times New Roman" w:cs="Times New Roman"/>
                <w:noProof/>
              </w:rPr>
              <w:fldChar w:fldCharType="end"/>
            </w:r>
          </w:hyperlink>
        </w:p>
        <w:p w14:paraId="67AF53F9" w14:textId="3B0D5FA2"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475" w:history="1">
            <w:r w:rsidR="00650CCD" w:rsidRPr="00D356EB">
              <w:rPr>
                <w:rStyle w:val="Hyperlink"/>
                <w:rFonts w:ascii="Times New Roman" w:hAnsi="Times New Roman" w:cs="Times New Roman"/>
                <w:b/>
                <w:bCs/>
                <w:noProof/>
              </w:rPr>
              <w:t>1.1. Structure</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_Toc161220475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8</w:t>
            </w:r>
            <w:r w:rsidR="00650CCD" w:rsidRPr="00D356EB">
              <w:rPr>
                <w:rFonts w:ascii="Times New Roman" w:hAnsi="Times New Roman" w:cs="Times New Roman"/>
                <w:noProof/>
              </w:rPr>
              <w:fldChar w:fldCharType="end"/>
            </w:r>
          </w:hyperlink>
        </w:p>
        <w:p w14:paraId="4C356B72" w14:textId="1914C2D2" w:rsidR="00650CCD" w:rsidRPr="00D356EB" w:rsidRDefault="00FA4183">
          <w:pPr>
            <w:pStyle w:val="TOC1"/>
            <w:tabs>
              <w:tab w:val="right" w:leader="dot" w:pos="9350"/>
            </w:tabs>
            <w:rPr>
              <w:rFonts w:ascii="Times New Roman" w:eastAsiaTheme="minorEastAsia" w:hAnsi="Times New Roman" w:cs="Times New Roman"/>
              <w:noProof/>
              <w:kern w:val="2"/>
              <w:sz w:val="24"/>
              <w:szCs w:val="24"/>
              <w:lang w:val="en-US" w:eastAsia="zh-CN"/>
            </w:rPr>
          </w:pPr>
          <w:hyperlink w:anchor="_Toc161220476" w:history="1">
            <w:r w:rsidR="00650CCD" w:rsidRPr="00D356EB">
              <w:rPr>
                <w:rStyle w:val="Hyperlink"/>
                <w:rFonts w:ascii="Times New Roman" w:hAnsi="Times New Roman" w:cs="Times New Roman"/>
                <w:b/>
                <w:bCs/>
                <w:noProof/>
              </w:rPr>
              <w:t>2. Introduction</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_Toc161220476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10</w:t>
            </w:r>
            <w:r w:rsidR="00650CCD" w:rsidRPr="00D356EB">
              <w:rPr>
                <w:rFonts w:ascii="Times New Roman" w:hAnsi="Times New Roman" w:cs="Times New Roman"/>
                <w:noProof/>
              </w:rPr>
              <w:fldChar w:fldCharType="end"/>
            </w:r>
          </w:hyperlink>
        </w:p>
        <w:p w14:paraId="3867D526" w14:textId="4A7D291E"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477" w:history="1">
            <w:r w:rsidR="00650CCD" w:rsidRPr="00D356EB">
              <w:rPr>
                <w:rStyle w:val="Hyperlink"/>
                <w:rFonts w:ascii="Times New Roman" w:hAnsi="Times New Roman" w:cs="Times New Roman"/>
                <w:b/>
                <w:bCs/>
                <w:noProof/>
              </w:rPr>
              <w:t>2.1. Precautionary approach</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_Toc161220477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11</w:t>
            </w:r>
            <w:r w:rsidR="00650CCD" w:rsidRPr="00D356EB">
              <w:rPr>
                <w:rFonts w:ascii="Times New Roman" w:hAnsi="Times New Roman" w:cs="Times New Roman"/>
                <w:noProof/>
              </w:rPr>
              <w:fldChar w:fldCharType="end"/>
            </w:r>
          </w:hyperlink>
        </w:p>
        <w:p w14:paraId="0268D964" w14:textId="7E160D12"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478" w:history="1">
            <w:r w:rsidR="00650CCD" w:rsidRPr="00D356EB">
              <w:rPr>
                <w:rStyle w:val="Hyperlink"/>
                <w:rFonts w:ascii="Times New Roman" w:hAnsi="Times New Roman" w:cs="Times New Roman"/>
                <w:b/>
                <w:bCs/>
                <w:noProof/>
              </w:rPr>
              <w:t>2.2. Establishing the context</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_Toc161220478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11</w:t>
            </w:r>
            <w:r w:rsidR="00650CCD" w:rsidRPr="00D356EB">
              <w:rPr>
                <w:rFonts w:ascii="Times New Roman" w:hAnsi="Times New Roman" w:cs="Times New Roman"/>
                <w:noProof/>
              </w:rPr>
              <w:fldChar w:fldCharType="end"/>
            </w:r>
          </w:hyperlink>
        </w:p>
        <w:p w14:paraId="0B6888DB" w14:textId="3CE4B8C6"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479" w:history="1">
            <w:r w:rsidR="00650CCD" w:rsidRPr="00D356EB">
              <w:rPr>
                <w:rStyle w:val="Hyperlink"/>
                <w:rFonts w:ascii="Times New Roman" w:hAnsi="Times New Roman" w:cs="Times New Roman"/>
                <w:b/>
                <w:bCs/>
                <w:noProof/>
              </w:rPr>
              <w:t>3.1. Engineered gene drive strategies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_Toc161220479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17</w:t>
            </w:r>
            <w:r w:rsidR="00650CCD" w:rsidRPr="00D356EB">
              <w:rPr>
                <w:rFonts w:ascii="Times New Roman" w:hAnsi="Times New Roman" w:cs="Times New Roman"/>
                <w:noProof/>
              </w:rPr>
              <w:fldChar w:fldCharType="end"/>
            </w:r>
          </w:hyperlink>
        </w:p>
        <w:p w14:paraId="0A4DCADD" w14:textId="3AA7D8AE"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482" w:history="1">
            <w:r w:rsidR="00650CCD" w:rsidRPr="00D356EB">
              <w:rPr>
                <w:rStyle w:val="Hyperlink"/>
                <w:rFonts w:ascii="Times New Roman" w:hAnsi="Times New Roman" w:cs="Times New Roman"/>
                <w:b/>
                <w:bCs/>
                <w:noProof/>
              </w:rPr>
              <w:t>3.2. Opportunities and risk concerns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_Toc161220482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20</w:t>
            </w:r>
            <w:r w:rsidR="00650CCD" w:rsidRPr="00D356EB">
              <w:rPr>
                <w:rFonts w:ascii="Times New Roman" w:hAnsi="Times New Roman" w:cs="Times New Roman"/>
                <w:noProof/>
              </w:rPr>
              <w:fldChar w:fldCharType="end"/>
            </w:r>
          </w:hyperlink>
        </w:p>
        <w:p w14:paraId="656C260C" w14:textId="614DC220"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483" w:history="1">
            <w:r w:rsidR="00650CCD" w:rsidRPr="00D356EB">
              <w:rPr>
                <w:rStyle w:val="Hyperlink"/>
                <w:rFonts w:ascii="Times New Roman" w:eastAsia="Times New Roman" w:hAnsi="Times New Roman" w:cs="Times New Roman"/>
                <w:b/>
                <w:bCs/>
                <w:noProof/>
              </w:rPr>
              <w:t>3.2.1.  Opportunities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_Toc161220483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20</w:t>
            </w:r>
            <w:r w:rsidR="00650CCD" w:rsidRPr="00D356EB">
              <w:rPr>
                <w:rFonts w:ascii="Times New Roman" w:hAnsi="Times New Roman" w:cs="Times New Roman"/>
                <w:noProof/>
              </w:rPr>
              <w:fldChar w:fldCharType="end"/>
            </w:r>
          </w:hyperlink>
        </w:p>
        <w:p w14:paraId="00FC892F" w14:textId="1B330B12"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484" w:history="1">
            <w:r w:rsidR="00650CCD" w:rsidRPr="00D356EB">
              <w:rPr>
                <w:rStyle w:val="Hyperlink"/>
                <w:rFonts w:ascii="Times New Roman" w:eastAsia="Times New Roman" w:hAnsi="Times New Roman" w:cs="Times New Roman"/>
                <w:b/>
                <w:bCs/>
                <w:noProof/>
              </w:rPr>
              <w:t>3.2.2 Risk Concerns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_Toc161220484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21</w:t>
            </w:r>
            <w:r w:rsidR="00650CCD" w:rsidRPr="00D356EB">
              <w:rPr>
                <w:rFonts w:ascii="Times New Roman" w:hAnsi="Times New Roman" w:cs="Times New Roman"/>
                <w:noProof/>
              </w:rPr>
              <w:fldChar w:fldCharType="end"/>
            </w:r>
          </w:hyperlink>
        </w:p>
        <w:p w14:paraId="732775FC" w14:textId="77BCDEF8" w:rsidR="00650CCD" w:rsidRPr="00D356EB" w:rsidRDefault="00FA4183">
          <w:pPr>
            <w:pStyle w:val="TOC1"/>
            <w:tabs>
              <w:tab w:val="right" w:leader="dot" w:pos="9350"/>
            </w:tabs>
            <w:rPr>
              <w:rFonts w:ascii="Times New Roman" w:eastAsiaTheme="minorEastAsia" w:hAnsi="Times New Roman" w:cs="Times New Roman"/>
              <w:noProof/>
              <w:kern w:val="2"/>
              <w:sz w:val="24"/>
              <w:szCs w:val="24"/>
              <w:lang w:val="en-US" w:eastAsia="zh-CN"/>
            </w:rPr>
          </w:pPr>
          <w:hyperlink w:anchor="_Toc161220485" w:history="1">
            <w:r w:rsidR="00650CCD" w:rsidRPr="00D356EB">
              <w:rPr>
                <w:rStyle w:val="Hyperlink"/>
                <w:rFonts w:ascii="Times New Roman" w:hAnsi="Times New Roman" w:cs="Times New Roman"/>
                <w:b/>
                <w:bCs/>
                <w:noProof/>
              </w:rPr>
              <w:t>4. General risk assessment considerations for living modified organism containing engineered gene drives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_Toc161220485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22</w:t>
            </w:r>
            <w:r w:rsidR="00650CCD" w:rsidRPr="00D356EB">
              <w:rPr>
                <w:rFonts w:ascii="Times New Roman" w:hAnsi="Times New Roman" w:cs="Times New Roman"/>
                <w:noProof/>
              </w:rPr>
              <w:fldChar w:fldCharType="end"/>
            </w:r>
          </w:hyperlink>
        </w:p>
        <w:p w14:paraId="4BE6414E" w14:textId="0003704C"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486" w:history="1">
            <w:r w:rsidR="00650CCD" w:rsidRPr="00D356EB">
              <w:rPr>
                <w:rStyle w:val="Hyperlink"/>
                <w:rFonts w:ascii="Times New Roman" w:hAnsi="Times New Roman" w:cs="Times New Roman"/>
                <w:b/>
                <w:bCs/>
                <w:noProof/>
              </w:rPr>
              <w:t>4.1. Problem formulation</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_Toc161220486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22</w:t>
            </w:r>
            <w:r w:rsidR="00650CCD" w:rsidRPr="00D356EB">
              <w:rPr>
                <w:rFonts w:ascii="Times New Roman" w:hAnsi="Times New Roman" w:cs="Times New Roman"/>
                <w:noProof/>
              </w:rPr>
              <w:fldChar w:fldCharType="end"/>
            </w:r>
          </w:hyperlink>
        </w:p>
        <w:p w14:paraId="5B641CFC" w14:textId="21A913A9"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487" w:history="1">
            <w:r w:rsidR="00650CCD" w:rsidRPr="00D356EB">
              <w:rPr>
                <w:rStyle w:val="Hyperlink"/>
                <w:rFonts w:ascii="Times New Roman" w:hAnsi="Times New Roman" w:cs="Times New Roman"/>
                <w:b/>
                <w:bCs/>
                <w:noProof/>
              </w:rPr>
              <w:t>4.1.1. Identification and operationalization of the protection goals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_Toc161220487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23</w:t>
            </w:r>
            <w:r w:rsidR="00650CCD" w:rsidRPr="00D356EB">
              <w:rPr>
                <w:rFonts w:ascii="Times New Roman" w:hAnsi="Times New Roman" w:cs="Times New Roman"/>
                <w:noProof/>
              </w:rPr>
              <w:fldChar w:fldCharType="end"/>
            </w:r>
          </w:hyperlink>
        </w:p>
        <w:p w14:paraId="2AB8CC9C" w14:textId="0D6B05F0"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488" w:history="1">
            <w:r w:rsidR="00650CCD" w:rsidRPr="00D356EB">
              <w:rPr>
                <w:rStyle w:val="Hyperlink"/>
                <w:rFonts w:ascii="Times New Roman" w:hAnsi="Times New Roman" w:cs="Times New Roman"/>
                <w:b/>
                <w:bCs/>
                <w:noProof/>
              </w:rPr>
              <w:t>4.1.2. Identification of potential adverse effects on the assessment endpoints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_Toc161220488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26</w:t>
            </w:r>
            <w:r w:rsidR="00650CCD" w:rsidRPr="00D356EB">
              <w:rPr>
                <w:rFonts w:ascii="Times New Roman" w:hAnsi="Times New Roman" w:cs="Times New Roman"/>
                <w:noProof/>
              </w:rPr>
              <w:fldChar w:fldCharType="end"/>
            </w:r>
          </w:hyperlink>
        </w:p>
        <w:p w14:paraId="4BCA6DA3" w14:textId="7C7472AB"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493" w:history="1">
            <w:r w:rsidR="00650CCD" w:rsidRPr="00D356EB">
              <w:rPr>
                <w:rStyle w:val="Hyperlink"/>
                <w:rFonts w:ascii="Times New Roman" w:hAnsi="Times New Roman" w:cs="Times New Roman"/>
                <w:b/>
                <w:bCs/>
                <w:noProof/>
              </w:rPr>
              <w:t>4.1.3. Devising plausible pathways to harm</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_Toc161220493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29</w:t>
            </w:r>
            <w:r w:rsidR="00650CCD" w:rsidRPr="00D356EB">
              <w:rPr>
                <w:rFonts w:ascii="Times New Roman" w:hAnsi="Times New Roman" w:cs="Times New Roman"/>
                <w:noProof/>
              </w:rPr>
              <w:fldChar w:fldCharType="end"/>
            </w:r>
          </w:hyperlink>
        </w:p>
        <w:p w14:paraId="2FDCE1DA" w14:textId="6ED84229"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494" w:history="1">
            <w:r w:rsidR="00650CCD" w:rsidRPr="00D356EB">
              <w:rPr>
                <w:rStyle w:val="Hyperlink"/>
                <w:rFonts w:ascii="Times New Roman" w:hAnsi="Times New Roman" w:cs="Times New Roman"/>
                <w:b/>
                <w:bCs/>
                <w:noProof/>
              </w:rPr>
              <w:t>4.1.4. Formulation of risk hypotheses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_Toc161220494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30</w:t>
            </w:r>
            <w:r w:rsidR="00650CCD" w:rsidRPr="00D356EB">
              <w:rPr>
                <w:rFonts w:ascii="Times New Roman" w:hAnsi="Times New Roman" w:cs="Times New Roman"/>
                <w:noProof/>
              </w:rPr>
              <w:fldChar w:fldCharType="end"/>
            </w:r>
          </w:hyperlink>
        </w:p>
        <w:p w14:paraId="47D147A7" w14:textId="330C61AA"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495" w:history="1">
            <w:r w:rsidR="00650CCD" w:rsidRPr="00D356EB">
              <w:rPr>
                <w:rStyle w:val="Hyperlink"/>
                <w:rFonts w:ascii="Times New Roman" w:hAnsi="Times New Roman" w:cs="Times New Roman"/>
                <w:b/>
                <w:bCs/>
                <w:noProof/>
              </w:rPr>
              <w:t>4.1.5. Participation of and engagement with stakeholders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_Toc161220495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33</w:t>
            </w:r>
            <w:r w:rsidR="00650CCD" w:rsidRPr="00D356EB">
              <w:rPr>
                <w:rFonts w:ascii="Times New Roman" w:hAnsi="Times New Roman" w:cs="Times New Roman"/>
                <w:noProof/>
              </w:rPr>
              <w:fldChar w:fldCharType="end"/>
            </w:r>
          </w:hyperlink>
        </w:p>
        <w:p w14:paraId="42B6BB3E" w14:textId="406F06FA"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496" w:history="1">
            <w:r w:rsidR="00650CCD" w:rsidRPr="00D356EB">
              <w:rPr>
                <w:rStyle w:val="Hyperlink"/>
                <w:rFonts w:ascii="Times New Roman" w:hAnsi="Times New Roman" w:cs="Times New Roman"/>
                <w:b/>
                <w:bCs/>
                <w:noProof/>
              </w:rPr>
              <w:t>4.2. Testing risk hypotheses to characterize (overall) risk(s)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_Toc161220496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34</w:t>
            </w:r>
            <w:r w:rsidR="00650CCD" w:rsidRPr="00D356EB">
              <w:rPr>
                <w:rFonts w:ascii="Times New Roman" w:hAnsi="Times New Roman" w:cs="Times New Roman"/>
                <w:noProof/>
              </w:rPr>
              <w:fldChar w:fldCharType="end"/>
            </w:r>
          </w:hyperlink>
        </w:p>
        <w:p w14:paraId="773A10BD" w14:textId="7D93634E"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497" w:history="1">
            <w:r w:rsidR="00650CCD" w:rsidRPr="00D356EB">
              <w:rPr>
                <w:rStyle w:val="Hyperlink"/>
                <w:rFonts w:ascii="Times New Roman" w:eastAsia="Times New Roman" w:hAnsi="Times New Roman" w:cs="Times New Roman"/>
                <w:b/>
                <w:bCs/>
                <w:noProof/>
              </w:rPr>
              <w:t>4.2.1. Sources and quality of information</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_Toc161220497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35</w:t>
            </w:r>
            <w:r w:rsidR="00650CCD" w:rsidRPr="00D356EB">
              <w:rPr>
                <w:rFonts w:ascii="Times New Roman" w:hAnsi="Times New Roman" w:cs="Times New Roman"/>
                <w:noProof/>
              </w:rPr>
              <w:fldChar w:fldCharType="end"/>
            </w:r>
          </w:hyperlink>
        </w:p>
        <w:p w14:paraId="09A10CFD" w14:textId="606E48E2"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498" w:history="1">
            <w:r w:rsidR="00650CCD" w:rsidRPr="00D356EB">
              <w:rPr>
                <w:rStyle w:val="Hyperlink"/>
                <w:rFonts w:ascii="Times New Roman" w:eastAsia="Times New Roman" w:hAnsi="Times New Roman" w:cs="Times New Roman"/>
                <w:b/>
                <w:bCs/>
                <w:noProof/>
              </w:rPr>
              <w:t>4.2.2. Modelling</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_Toc161220498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36</w:t>
            </w:r>
            <w:r w:rsidR="00650CCD" w:rsidRPr="00D356EB">
              <w:rPr>
                <w:rFonts w:ascii="Times New Roman" w:hAnsi="Times New Roman" w:cs="Times New Roman"/>
                <w:noProof/>
              </w:rPr>
              <w:fldChar w:fldCharType="end"/>
            </w:r>
          </w:hyperlink>
        </w:p>
        <w:p w14:paraId="027BEFCD" w14:textId="44990C25"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499" w:history="1">
            <w:r w:rsidR="00650CCD" w:rsidRPr="00D356EB">
              <w:rPr>
                <w:rStyle w:val="Hyperlink"/>
                <w:rFonts w:ascii="Times New Roman" w:eastAsia="Times New Roman" w:hAnsi="Times New Roman" w:cs="Times New Roman"/>
                <w:b/>
                <w:bCs/>
                <w:noProof/>
              </w:rPr>
              <w:t>4.2.3. Comparators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_Toc161220499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38</w:t>
            </w:r>
            <w:r w:rsidR="00650CCD" w:rsidRPr="00D356EB">
              <w:rPr>
                <w:rFonts w:ascii="Times New Roman" w:hAnsi="Times New Roman" w:cs="Times New Roman"/>
                <w:noProof/>
              </w:rPr>
              <w:fldChar w:fldCharType="end"/>
            </w:r>
          </w:hyperlink>
        </w:p>
        <w:p w14:paraId="67AB2D30" w14:textId="7971B3D6"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500" w:history="1">
            <w:r w:rsidR="00650CCD" w:rsidRPr="00D356EB">
              <w:rPr>
                <w:rStyle w:val="Hyperlink"/>
                <w:rFonts w:ascii="Times New Roman" w:eastAsia="Times New Roman" w:hAnsi="Times New Roman" w:cs="Times New Roman"/>
                <w:b/>
                <w:bCs/>
                <w:noProof/>
              </w:rPr>
              <w:t>4.2.4. Tiered-based testing</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_Toc161220500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40</w:t>
            </w:r>
            <w:r w:rsidR="00650CCD" w:rsidRPr="00D356EB">
              <w:rPr>
                <w:rFonts w:ascii="Times New Roman" w:hAnsi="Times New Roman" w:cs="Times New Roman"/>
                <w:noProof/>
              </w:rPr>
              <w:fldChar w:fldCharType="end"/>
            </w:r>
          </w:hyperlink>
        </w:p>
        <w:p w14:paraId="2CF1809A" w14:textId="03FB883C"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501" w:history="1">
            <w:r w:rsidR="00650CCD" w:rsidRPr="00D356EB">
              <w:rPr>
                <w:rStyle w:val="Hyperlink"/>
                <w:rFonts w:ascii="Times New Roman" w:eastAsia="Times New Roman" w:hAnsi="Times New Roman" w:cs="Times New Roman"/>
                <w:b/>
                <w:bCs/>
                <w:noProof/>
              </w:rPr>
              <w:t>4.2.5. Limits of concern</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_Toc161220501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41</w:t>
            </w:r>
            <w:r w:rsidR="00650CCD" w:rsidRPr="00D356EB">
              <w:rPr>
                <w:rFonts w:ascii="Times New Roman" w:hAnsi="Times New Roman" w:cs="Times New Roman"/>
                <w:noProof/>
              </w:rPr>
              <w:fldChar w:fldCharType="end"/>
            </w:r>
          </w:hyperlink>
        </w:p>
        <w:p w14:paraId="47DF6F95" w14:textId="742D5ABB"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502" w:history="1">
            <w:r w:rsidR="00650CCD" w:rsidRPr="00D356EB">
              <w:rPr>
                <w:rStyle w:val="Hyperlink"/>
                <w:rFonts w:ascii="Times New Roman" w:eastAsia="Times New Roman" w:hAnsi="Times New Roman" w:cs="Times New Roman"/>
                <w:b/>
                <w:bCs/>
                <w:noProof/>
              </w:rPr>
              <w:t>4.2.6. Weight of evidence</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_Toc161220502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41</w:t>
            </w:r>
            <w:r w:rsidR="00650CCD" w:rsidRPr="00D356EB">
              <w:rPr>
                <w:rFonts w:ascii="Times New Roman" w:hAnsi="Times New Roman" w:cs="Times New Roman"/>
                <w:noProof/>
              </w:rPr>
              <w:fldChar w:fldCharType="end"/>
            </w:r>
          </w:hyperlink>
        </w:p>
        <w:p w14:paraId="61C88696" w14:textId="67B196A2"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503" w:history="1">
            <w:r w:rsidR="00650CCD" w:rsidRPr="00D356EB">
              <w:rPr>
                <w:rStyle w:val="Hyperlink"/>
                <w:rFonts w:ascii="Times New Roman" w:eastAsia="Times New Roman" w:hAnsi="Times New Roman" w:cs="Times New Roman"/>
                <w:b/>
                <w:bCs/>
                <w:noProof/>
              </w:rPr>
              <w:t>4.2.7. Uncertainties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_Toc161220503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41</w:t>
            </w:r>
            <w:r w:rsidR="00650CCD" w:rsidRPr="00D356EB">
              <w:rPr>
                <w:rFonts w:ascii="Times New Roman" w:hAnsi="Times New Roman" w:cs="Times New Roman"/>
                <w:noProof/>
              </w:rPr>
              <w:fldChar w:fldCharType="end"/>
            </w:r>
          </w:hyperlink>
        </w:p>
        <w:p w14:paraId="64E01210" w14:textId="6AE9D9F6"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04" w:history="1">
            <w:r w:rsidR="00650CCD" w:rsidRPr="00D356EB">
              <w:rPr>
                <w:rStyle w:val="Hyperlink"/>
                <w:rFonts w:ascii="Times New Roman" w:hAnsi="Times New Roman" w:cs="Times New Roman"/>
                <w:b/>
                <w:noProof/>
              </w:rPr>
              <w:t>5</w:t>
            </w:r>
            <w:r w:rsidR="00650CCD" w:rsidRPr="00D356EB">
              <w:rPr>
                <w:rStyle w:val="Hyperlink"/>
                <w:rFonts w:ascii="Times New Roman" w:hAnsi="Times New Roman" w:cs="Times New Roman"/>
                <w:b/>
                <w:bCs/>
                <w:noProof/>
              </w:rPr>
              <w:t xml:space="preserve">. </w:t>
            </w:r>
            <w:r w:rsidR="00650CCD" w:rsidRPr="00D356EB">
              <w:rPr>
                <w:rStyle w:val="Hyperlink"/>
                <w:rFonts w:ascii="Times New Roman" w:hAnsi="Times New Roman" w:cs="Times New Roman"/>
                <w:b/>
                <w:noProof/>
              </w:rPr>
              <w:t>Recommendation of acceptability of risk and identification of risk management strategies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_Toc161220504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43</w:t>
            </w:r>
            <w:r w:rsidR="00650CCD" w:rsidRPr="00D356EB">
              <w:rPr>
                <w:rFonts w:ascii="Times New Roman" w:hAnsi="Times New Roman" w:cs="Times New Roman"/>
                <w:noProof/>
              </w:rPr>
              <w:fldChar w:fldCharType="end"/>
            </w:r>
          </w:hyperlink>
        </w:p>
        <w:p w14:paraId="479CFFA7" w14:textId="5EE75357"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06" w:history="1">
            <w:r w:rsidR="00650CCD" w:rsidRPr="00D356EB">
              <w:rPr>
                <w:rStyle w:val="Hyperlink"/>
                <w:rFonts w:ascii="Times New Roman" w:hAnsi="Times New Roman" w:cs="Times New Roman"/>
                <w:b/>
                <w:bCs/>
                <w:noProof/>
              </w:rPr>
              <w:t>6. Monitoring</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_Toc161220506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43</w:t>
            </w:r>
            <w:r w:rsidR="00650CCD" w:rsidRPr="00D356EB">
              <w:rPr>
                <w:rFonts w:ascii="Times New Roman" w:hAnsi="Times New Roman" w:cs="Times New Roman"/>
                <w:noProof/>
              </w:rPr>
              <w:fldChar w:fldCharType="end"/>
            </w:r>
          </w:hyperlink>
        </w:p>
        <w:p w14:paraId="6D0879D7" w14:textId="08A4F4F9"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07" w:history="1">
            <w:r w:rsidR="00650CCD" w:rsidRPr="00D356EB">
              <w:rPr>
                <w:rStyle w:val="Hyperlink"/>
                <w:rFonts w:ascii="Times New Roman" w:hAnsi="Times New Roman" w:cs="Times New Roman"/>
                <w:b/>
                <w:bCs/>
                <w:noProof/>
              </w:rPr>
              <w:t>6.1. Considerations for monitoring</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_Toc161220507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45</w:t>
            </w:r>
            <w:r w:rsidR="00650CCD" w:rsidRPr="00D356EB">
              <w:rPr>
                <w:rFonts w:ascii="Times New Roman" w:hAnsi="Times New Roman" w:cs="Times New Roman"/>
                <w:noProof/>
              </w:rPr>
              <w:fldChar w:fldCharType="end"/>
            </w:r>
          </w:hyperlink>
        </w:p>
        <w:p w14:paraId="79372B95" w14:textId="04BAA16B"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508" w:history="1">
            <w:r w:rsidR="00650CCD" w:rsidRPr="00D356EB">
              <w:rPr>
                <w:rStyle w:val="Hyperlink"/>
                <w:rFonts w:ascii="Times New Roman" w:hAnsi="Times New Roman" w:cs="Times New Roman"/>
                <w:b/>
                <w:noProof/>
              </w:rPr>
              <w:t>6.1.1. What to monitor</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_Toc161220508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45</w:t>
            </w:r>
            <w:r w:rsidR="00650CCD" w:rsidRPr="00D356EB">
              <w:rPr>
                <w:rFonts w:ascii="Times New Roman" w:hAnsi="Times New Roman" w:cs="Times New Roman"/>
                <w:noProof/>
              </w:rPr>
              <w:fldChar w:fldCharType="end"/>
            </w:r>
          </w:hyperlink>
        </w:p>
        <w:p w14:paraId="548FE458" w14:textId="5425FC0B"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509" w:history="1">
            <w:r w:rsidR="00650CCD" w:rsidRPr="00D356EB">
              <w:rPr>
                <w:rStyle w:val="Hyperlink"/>
                <w:rFonts w:ascii="Times New Roman" w:eastAsia="Times New Roman" w:hAnsi="Times New Roman" w:cs="Times New Roman"/>
                <w:b/>
                <w:noProof/>
              </w:rPr>
              <w:t>6.1.2. How to monitor</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_Toc161220509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45</w:t>
            </w:r>
            <w:r w:rsidR="00650CCD" w:rsidRPr="00D356EB">
              <w:rPr>
                <w:rFonts w:ascii="Times New Roman" w:hAnsi="Times New Roman" w:cs="Times New Roman"/>
                <w:noProof/>
              </w:rPr>
              <w:fldChar w:fldCharType="end"/>
            </w:r>
          </w:hyperlink>
        </w:p>
        <w:p w14:paraId="2F37EF7E" w14:textId="35D6B1AD"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510" w:history="1">
            <w:r w:rsidR="00650CCD" w:rsidRPr="00D356EB">
              <w:rPr>
                <w:rStyle w:val="Hyperlink"/>
                <w:rFonts w:ascii="Times New Roman" w:eastAsia="Times New Roman" w:hAnsi="Times New Roman" w:cs="Times New Roman"/>
                <w:b/>
                <w:noProof/>
              </w:rPr>
              <w:t>6.1.3. Where to monitor</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_Toc161220510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46</w:t>
            </w:r>
            <w:r w:rsidR="00650CCD" w:rsidRPr="00D356EB">
              <w:rPr>
                <w:rFonts w:ascii="Times New Roman" w:hAnsi="Times New Roman" w:cs="Times New Roman"/>
                <w:noProof/>
              </w:rPr>
              <w:fldChar w:fldCharType="end"/>
            </w:r>
          </w:hyperlink>
        </w:p>
        <w:p w14:paraId="0FEB815A" w14:textId="0CF0AEDB"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511" w:history="1">
            <w:r w:rsidR="00650CCD" w:rsidRPr="00D356EB">
              <w:rPr>
                <w:rStyle w:val="Hyperlink"/>
                <w:rFonts w:ascii="Times New Roman" w:eastAsia="Times New Roman" w:hAnsi="Times New Roman" w:cs="Times New Roman"/>
                <w:b/>
                <w:noProof/>
              </w:rPr>
              <w:t>6.1.4. How long to monitor</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_Toc161220511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47</w:t>
            </w:r>
            <w:r w:rsidR="00650CCD" w:rsidRPr="00D356EB">
              <w:rPr>
                <w:rFonts w:ascii="Times New Roman" w:hAnsi="Times New Roman" w:cs="Times New Roman"/>
                <w:noProof/>
              </w:rPr>
              <w:fldChar w:fldCharType="end"/>
            </w:r>
          </w:hyperlink>
        </w:p>
        <w:p w14:paraId="58CE2599" w14:textId="6A703B29" w:rsidR="00650CCD" w:rsidRPr="00D356EB" w:rsidRDefault="00FA4183">
          <w:pPr>
            <w:pStyle w:val="TOC3"/>
            <w:tabs>
              <w:tab w:val="right" w:leader="dot" w:pos="9350"/>
            </w:tabs>
            <w:rPr>
              <w:rFonts w:ascii="Times New Roman" w:eastAsiaTheme="minorEastAsia" w:hAnsi="Times New Roman" w:cs="Times New Roman"/>
              <w:noProof/>
              <w:kern w:val="2"/>
              <w:sz w:val="24"/>
              <w:szCs w:val="24"/>
              <w:lang w:val="en-US" w:eastAsia="zh-CN"/>
            </w:rPr>
          </w:pPr>
          <w:hyperlink w:anchor="_Toc161220512" w:history="1">
            <w:r w:rsidR="00650CCD" w:rsidRPr="00D356EB">
              <w:rPr>
                <w:rStyle w:val="Hyperlink"/>
                <w:rFonts w:ascii="Times New Roman" w:eastAsia="Times New Roman" w:hAnsi="Times New Roman" w:cs="Times New Roman"/>
                <w:b/>
                <w:noProof/>
              </w:rPr>
              <w:t>6.1.5. How to report data/findings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_Toc161220512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47</w:t>
            </w:r>
            <w:r w:rsidR="00650CCD" w:rsidRPr="00D356EB">
              <w:rPr>
                <w:rFonts w:ascii="Times New Roman" w:hAnsi="Times New Roman" w:cs="Times New Roman"/>
                <w:noProof/>
              </w:rPr>
              <w:fldChar w:fldCharType="end"/>
            </w:r>
          </w:hyperlink>
        </w:p>
        <w:p w14:paraId="4CD538C7" w14:textId="37DD7B09"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14" w:history="1">
            <w:r w:rsidR="00650CCD" w:rsidRPr="00D356EB">
              <w:rPr>
                <w:rStyle w:val="Hyperlink"/>
                <w:rFonts w:ascii="Times New Roman" w:hAnsi="Times New Roman" w:cs="Times New Roman"/>
                <w:b/>
                <w:bCs/>
                <w:noProof/>
              </w:rPr>
              <w:t>7. Related issues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_Toc161220514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48</w:t>
            </w:r>
            <w:r w:rsidR="00650CCD" w:rsidRPr="00D356EB">
              <w:rPr>
                <w:rFonts w:ascii="Times New Roman" w:hAnsi="Times New Roman" w:cs="Times New Roman"/>
                <w:noProof/>
              </w:rPr>
              <w:fldChar w:fldCharType="end"/>
            </w:r>
          </w:hyperlink>
        </w:p>
        <w:p w14:paraId="2AEFFFA3" w14:textId="2F49ABD0"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15" w:history="1">
            <w:r w:rsidR="00650CCD" w:rsidRPr="00D356EB">
              <w:rPr>
                <w:rStyle w:val="Hyperlink"/>
                <w:rFonts w:ascii="Times New Roman" w:hAnsi="Times New Roman" w:cs="Times New Roman"/>
                <w:b/>
                <w:noProof/>
              </w:rPr>
              <w:t>7.1. Risk assessment and assessing the benefits as components of the decision-making process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_Toc161220515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48</w:t>
            </w:r>
            <w:r w:rsidR="00650CCD" w:rsidRPr="00D356EB">
              <w:rPr>
                <w:rFonts w:ascii="Times New Roman" w:hAnsi="Times New Roman" w:cs="Times New Roman"/>
                <w:noProof/>
              </w:rPr>
              <w:fldChar w:fldCharType="end"/>
            </w:r>
          </w:hyperlink>
        </w:p>
        <w:p w14:paraId="542EE5C8" w14:textId="1992B040"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16" w:history="1">
            <w:r w:rsidR="00650CCD" w:rsidRPr="00D356EB">
              <w:rPr>
                <w:rStyle w:val="Hyperlink"/>
                <w:rFonts w:ascii="Times New Roman" w:hAnsi="Times New Roman" w:cs="Times New Roman"/>
                <w:b/>
                <w:noProof/>
              </w:rPr>
              <w:t>7.2. Consideration of the benefits to human health</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_Toc161220516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49</w:t>
            </w:r>
            <w:r w:rsidR="00650CCD" w:rsidRPr="00D356EB">
              <w:rPr>
                <w:rFonts w:ascii="Times New Roman" w:hAnsi="Times New Roman" w:cs="Times New Roman"/>
                <w:noProof/>
              </w:rPr>
              <w:fldChar w:fldCharType="end"/>
            </w:r>
          </w:hyperlink>
        </w:p>
        <w:p w14:paraId="26321422" w14:textId="747E9F07"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17" w:history="1">
            <w:r w:rsidR="00650CCD" w:rsidRPr="00D356EB">
              <w:rPr>
                <w:rStyle w:val="Hyperlink"/>
                <w:rFonts w:ascii="Times New Roman" w:hAnsi="Times New Roman" w:cs="Times New Roman"/>
                <w:b/>
                <w:bCs/>
                <w:noProof/>
              </w:rPr>
              <w:t>7.3. Socio-economic, cultural and ethical considerations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_Toc161220517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49</w:t>
            </w:r>
            <w:r w:rsidR="00650CCD" w:rsidRPr="00D356EB">
              <w:rPr>
                <w:rFonts w:ascii="Times New Roman" w:hAnsi="Times New Roman" w:cs="Times New Roman"/>
                <w:noProof/>
              </w:rPr>
              <w:fldChar w:fldCharType="end"/>
            </w:r>
          </w:hyperlink>
        </w:p>
        <w:p w14:paraId="6A3B1419" w14:textId="18556A16"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18" w:history="1">
            <w:r w:rsidR="00650CCD" w:rsidRPr="00D356EB">
              <w:rPr>
                <w:rStyle w:val="Hyperlink"/>
                <w:rFonts w:ascii="Times New Roman" w:hAnsi="Times New Roman" w:cs="Times New Roman"/>
                <w:b/>
                <w:noProof/>
              </w:rPr>
              <w:t>7.4. Free, prior and informed consent of indigenous peoples and local communities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_Toc161220518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50</w:t>
            </w:r>
            <w:r w:rsidR="00650CCD" w:rsidRPr="00D356EB">
              <w:rPr>
                <w:rFonts w:ascii="Times New Roman" w:hAnsi="Times New Roman" w:cs="Times New Roman"/>
                <w:noProof/>
              </w:rPr>
              <w:fldChar w:fldCharType="end"/>
            </w:r>
          </w:hyperlink>
        </w:p>
        <w:p w14:paraId="777EE250" w14:textId="10BE82E6"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19" w:history="1">
            <w:r w:rsidR="00650CCD" w:rsidRPr="00D356EB">
              <w:rPr>
                <w:rStyle w:val="Hyperlink"/>
                <w:rFonts w:ascii="Times New Roman" w:hAnsi="Times New Roman" w:cs="Times New Roman"/>
                <w:b/>
                <w:noProof/>
              </w:rPr>
              <w:t>7.5. Consideration of public awareness, education and participation (e.g., full and effective participation of indigenous peoples and local communities), and access to information and risk communication</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_Toc161220519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51</w:t>
            </w:r>
            <w:r w:rsidR="00650CCD" w:rsidRPr="00D356EB">
              <w:rPr>
                <w:rFonts w:ascii="Times New Roman" w:hAnsi="Times New Roman" w:cs="Times New Roman"/>
                <w:noProof/>
              </w:rPr>
              <w:fldChar w:fldCharType="end"/>
            </w:r>
          </w:hyperlink>
        </w:p>
        <w:p w14:paraId="59BD1218" w14:textId="445A5E80"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20" w:history="1">
            <w:r w:rsidR="00650CCD" w:rsidRPr="00D356EB">
              <w:rPr>
                <w:rStyle w:val="Hyperlink"/>
                <w:rFonts w:ascii="Times New Roman" w:hAnsi="Times New Roman" w:cs="Times New Roman"/>
                <w:b/>
                <w:bCs/>
                <w:noProof/>
              </w:rPr>
              <w:t>7.6. Comparisons of novel and alternative strategies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_Toc161220520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51</w:t>
            </w:r>
            <w:r w:rsidR="00650CCD" w:rsidRPr="00D356EB">
              <w:rPr>
                <w:rFonts w:ascii="Times New Roman" w:hAnsi="Times New Roman" w:cs="Times New Roman"/>
                <w:noProof/>
              </w:rPr>
              <w:fldChar w:fldCharType="end"/>
            </w:r>
          </w:hyperlink>
        </w:p>
        <w:p w14:paraId="456C0673" w14:textId="3D96B6A3"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21" w:history="1">
            <w:r w:rsidR="00650CCD" w:rsidRPr="00D356EB">
              <w:rPr>
                <w:rStyle w:val="Hyperlink"/>
                <w:rFonts w:ascii="Times New Roman" w:hAnsi="Times New Roman" w:cs="Times New Roman"/>
                <w:b/>
                <w:noProof/>
              </w:rPr>
              <w:t>7.7. Transboundary movements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_Toc161220521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52</w:t>
            </w:r>
            <w:r w:rsidR="00650CCD" w:rsidRPr="00D356EB">
              <w:rPr>
                <w:rFonts w:ascii="Times New Roman" w:hAnsi="Times New Roman" w:cs="Times New Roman"/>
                <w:noProof/>
              </w:rPr>
              <w:fldChar w:fldCharType="end"/>
            </w:r>
          </w:hyperlink>
        </w:p>
        <w:p w14:paraId="5C403A8C" w14:textId="6907A511"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22" w:history="1">
            <w:r w:rsidR="00650CCD" w:rsidRPr="00D356EB">
              <w:rPr>
                <w:rStyle w:val="Hyperlink"/>
                <w:rFonts w:ascii="Times New Roman" w:hAnsi="Times New Roman" w:cs="Times New Roman"/>
                <w:b/>
                <w:noProof/>
              </w:rPr>
              <w:t>7.8. Consideration of liability and redress elements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_Toc161220522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52</w:t>
            </w:r>
            <w:r w:rsidR="00650CCD" w:rsidRPr="00D356EB">
              <w:rPr>
                <w:rFonts w:ascii="Times New Roman" w:hAnsi="Times New Roman" w:cs="Times New Roman"/>
                <w:noProof/>
              </w:rPr>
              <w:fldChar w:fldCharType="end"/>
            </w:r>
          </w:hyperlink>
        </w:p>
        <w:p w14:paraId="271305B8" w14:textId="73C29646"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23" w:history="1">
            <w:r w:rsidR="00650CCD" w:rsidRPr="00D356EB">
              <w:rPr>
                <w:rStyle w:val="Hyperlink"/>
                <w:rFonts w:ascii="Times New Roman" w:hAnsi="Times New Roman" w:cs="Times New Roman"/>
                <w:b/>
                <w:bCs/>
                <w:noProof/>
              </w:rPr>
              <w:t>8. Bibliography</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_Toc161220523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53</w:t>
            </w:r>
            <w:r w:rsidR="00650CCD" w:rsidRPr="00D356EB">
              <w:rPr>
                <w:rFonts w:ascii="Times New Roman" w:hAnsi="Times New Roman" w:cs="Times New Roman"/>
                <w:noProof/>
              </w:rPr>
              <w:fldChar w:fldCharType="end"/>
            </w:r>
          </w:hyperlink>
        </w:p>
        <w:p w14:paraId="1FCF3D29" w14:textId="6165F9C6"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24" w:history="1">
            <w:r w:rsidR="00650CCD" w:rsidRPr="00D356EB">
              <w:rPr>
                <w:rStyle w:val="Hyperlink"/>
                <w:rFonts w:ascii="Times New Roman" w:hAnsi="Times New Roman" w:cs="Times New Roman"/>
                <w:b/>
                <w:bCs/>
                <w:noProof/>
              </w:rPr>
              <w:t>Annex I</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_Toc161220524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72</w:t>
            </w:r>
            <w:r w:rsidR="00650CCD" w:rsidRPr="00D356EB">
              <w:rPr>
                <w:rFonts w:ascii="Times New Roman" w:hAnsi="Times New Roman" w:cs="Times New Roman"/>
                <w:noProof/>
              </w:rPr>
              <w:fldChar w:fldCharType="end"/>
            </w:r>
          </w:hyperlink>
        </w:p>
        <w:p w14:paraId="3F379374" w14:textId="572290FB"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29" w:history="1">
            <w:r w:rsidR="00650CCD" w:rsidRPr="00D356EB">
              <w:rPr>
                <w:rStyle w:val="Hyperlink"/>
                <w:rFonts w:ascii="Times New Roman" w:hAnsi="Times New Roman" w:cs="Times New Roman"/>
                <w:b/>
                <w:noProof/>
              </w:rPr>
              <w:t>A</w:t>
            </w:r>
            <w:r w:rsidR="00650CCD" w:rsidRPr="00D356EB">
              <w:rPr>
                <w:rStyle w:val="Hyperlink"/>
                <w:rFonts w:ascii="Times New Roman" w:hAnsi="Times New Roman" w:cs="Times New Roman"/>
                <w:b/>
                <w:bCs/>
                <w:noProof/>
              </w:rPr>
              <w:t>nnex</w:t>
            </w:r>
            <w:r w:rsidR="00650CCD" w:rsidRPr="00D356EB">
              <w:rPr>
                <w:rStyle w:val="Hyperlink"/>
                <w:rFonts w:ascii="Times New Roman" w:hAnsi="Times New Roman" w:cs="Times New Roman"/>
                <w:b/>
                <w:noProof/>
              </w:rPr>
              <w:t xml:space="preserve"> II</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_Toc161220529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75</w:t>
            </w:r>
            <w:r w:rsidR="00650CCD" w:rsidRPr="00D356EB">
              <w:rPr>
                <w:rFonts w:ascii="Times New Roman" w:hAnsi="Times New Roman" w:cs="Times New Roman"/>
                <w:noProof/>
              </w:rPr>
              <w:fldChar w:fldCharType="end"/>
            </w:r>
          </w:hyperlink>
        </w:p>
        <w:p w14:paraId="5CD09F6A" w14:textId="59FE51A6"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34" w:history="1">
            <w:r w:rsidR="00650CCD" w:rsidRPr="00D356EB">
              <w:rPr>
                <w:rStyle w:val="Hyperlink"/>
                <w:rFonts w:ascii="Times New Roman" w:hAnsi="Times New Roman" w:cs="Times New Roman"/>
                <w:b/>
                <w:noProof/>
              </w:rPr>
              <w:t xml:space="preserve">Annex </w:t>
            </w:r>
            <w:r w:rsidR="00650CCD" w:rsidRPr="00D356EB">
              <w:rPr>
                <w:rStyle w:val="Hyperlink"/>
                <w:rFonts w:ascii="Times New Roman" w:hAnsi="Times New Roman" w:cs="Times New Roman"/>
                <w:b/>
                <w:bCs/>
                <w:noProof/>
              </w:rPr>
              <w:t>III</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_Toc161220534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79</w:t>
            </w:r>
            <w:r w:rsidR="00650CCD" w:rsidRPr="00D356EB">
              <w:rPr>
                <w:rFonts w:ascii="Times New Roman" w:hAnsi="Times New Roman" w:cs="Times New Roman"/>
                <w:noProof/>
              </w:rPr>
              <w:fldChar w:fldCharType="end"/>
            </w:r>
          </w:hyperlink>
        </w:p>
        <w:p w14:paraId="4A809D05" w14:textId="6EE579AF"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35" w:history="1">
            <w:r w:rsidR="00650CCD" w:rsidRPr="00D356EB">
              <w:rPr>
                <w:rStyle w:val="Hyperlink"/>
                <w:rFonts w:ascii="Times New Roman" w:hAnsi="Times New Roman" w:cs="Times New Roman"/>
                <w:b/>
                <w:noProof/>
              </w:rPr>
              <w:t xml:space="preserve">Annex </w:t>
            </w:r>
            <w:r w:rsidR="00650CCD" w:rsidRPr="00D356EB">
              <w:rPr>
                <w:rStyle w:val="Hyperlink"/>
                <w:rFonts w:ascii="Times New Roman" w:hAnsi="Times New Roman" w:cs="Times New Roman"/>
                <w:b/>
                <w:bCs/>
                <w:noProof/>
              </w:rPr>
              <w:t>IV</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_Toc161220535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80</w:t>
            </w:r>
            <w:r w:rsidR="00650CCD" w:rsidRPr="00D356EB">
              <w:rPr>
                <w:rFonts w:ascii="Times New Roman" w:hAnsi="Times New Roman" w:cs="Times New Roman"/>
                <w:noProof/>
              </w:rPr>
              <w:fldChar w:fldCharType="end"/>
            </w:r>
          </w:hyperlink>
        </w:p>
        <w:p w14:paraId="431497CA" w14:textId="0B11601F"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36" w:history="1">
            <w:r w:rsidR="00650CCD" w:rsidRPr="00D356EB">
              <w:rPr>
                <w:rStyle w:val="Hyperlink"/>
                <w:rFonts w:ascii="Times New Roman" w:hAnsi="Times New Roman" w:cs="Times New Roman"/>
                <w:b/>
                <w:noProof/>
              </w:rPr>
              <w:t xml:space="preserve">Annex </w:t>
            </w:r>
            <w:r w:rsidR="00650CCD" w:rsidRPr="00D356EB">
              <w:rPr>
                <w:rStyle w:val="Hyperlink"/>
                <w:rFonts w:ascii="Times New Roman" w:hAnsi="Times New Roman" w:cs="Times New Roman"/>
                <w:b/>
                <w:bCs/>
                <w:noProof/>
              </w:rPr>
              <w:t>V</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_Toc161220536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81</w:t>
            </w:r>
            <w:r w:rsidR="00650CCD" w:rsidRPr="00D356EB">
              <w:rPr>
                <w:rFonts w:ascii="Times New Roman" w:hAnsi="Times New Roman" w:cs="Times New Roman"/>
                <w:noProof/>
              </w:rPr>
              <w:fldChar w:fldCharType="end"/>
            </w:r>
          </w:hyperlink>
        </w:p>
        <w:p w14:paraId="08100B76" w14:textId="2633118B"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37" w:history="1">
            <w:r w:rsidR="00650CCD" w:rsidRPr="00D356EB">
              <w:rPr>
                <w:rStyle w:val="Hyperlink"/>
                <w:rFonts w:ascii="Times New Roman" w:hAnsi="Times New Roman" w:cs="Times New Roman"/>
                <w:b/>
                <w:bCs/>
                <w:noProof/>
              </w:rPr>
              <w:t>Annex VI</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_Toc161220537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84</w:t>
            </w:r>
            <w:r w:rsidR="00650CCD" w:rsidRPr="00D356EB">
              <w:rPr>
                <w:rFonts w:ascii="Times New Roman" w:hAnsi="Times New Roman" w:cs="Times New Roman"/>
                <w:noProof/>
              </w:rPr>
              <w:fldChar w:fldCharType="end"/>
            </w:r>
          </w:hyperlink>
        </w:p>
        <w:p w14:paraId="6A9450A2" w14:textId="548A9E09"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38" w:history="1">
            <w:r w:rsidR="00650CCD" w:rsidRPr="00D356EB">
              <w:rPr>
                <w:rStyle w:val="Hyperlink"/>
                <w:rFonts w:ascii="Times New Roman" w:hAnsi="Times New Roman" w:cs="Times New Roman"/>
                <w:b/>
                <w:noProof/>
              </w:rPr>
              <w:t xml:space="preserve">Annex </w:t>
            </w:r>
            <w:r w:rsidR="00650CCD" w:rsidRPr="00D356EB">
              <w:rPr>
                <w:rStyle w:val="Hyperlink"/>
                <w:rFonts w:ascii="Times New Roman" w:hAnsi="Times New Roman" w:cs="Times New Roman"/>
                <w:b/>
                <w:bCs/>
                <w:noProof/>
              </w:rPr>
              <w:t>VII</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_Toc161220538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87</w:t>
            </w:r>
            <w:r w:rsidR="00650CCD" w:rsidRPr="00D356EB">
              <w:rPr>
                <w:rFonts w:ascii="Times New Roman" w:hAnsi="Times New Roman" w:cs="Times New Roman"/>
                <w:noProof/>
              </w:rPr>
              <w:fldChar w:fldCharType="end"/>
            </w:r>
          </w:hyperlink>
        </w:p>
        <w:p w14:paraId="56E63B7B" w14:textId="283B6B53" w:rsidR="00650CCD" w:rsidRPr="00D356EB" w:rsidRDefault="00FA4183">
          <w:pPr>
            <w:pStyle w:val="TOC2"/>
            <w:tabs>
              <w:tab w:val="right" w:leader="dot" w:pos="9350"/>
            </w:tabs>
            <w:rPr>
              <w:rFonts w:ascii="Times New Roman" w:eastAsiaTheme="minorEastAsia" w:hAnsi="Times New Roman" w:cs="Times New Roman"/>
              <w:noProof/>
              <w:kern w:val="2"/>
              <w:sz w:val="24"/>
              <w:szCs w:val="24"/>
              <w:lang w:val="en-US" w:eastAsia="zh-CN"/>
            </w:rPr>
          </w:pPr>
          <w:hyperlink w:anchor="_Toc161220539" w:history="1">
            <w:r w:rsidR="00650CCD" w:rsidRPr="00D356EB">
              <w:rPr>
                <w:rStyle w:val="Hyperlink"/>
                <w:rFonts w:ascii="Times New Roman" w:eastAsia="Times New Roman" w:hAnsi="Times New Roman" w:cs="Times New Roman"/>
                <w:b/>
                <w:bCs/>
                <w:noProof/>
              </w:rPr>
              <w:t>List of Terms</w:t>
            </w:r>
            <w:r w:rsidR="00650CCD" w:rsidRPr="00D356EB">
              <w:rPr>
                <w:rFonts w:ascii="Times New Roman" w:hAnsi="Times New Roman" w:cs="Times New Roman"/>
                <w:noProof/>
              </w:rPr>
              <w:tab/>
            </w:r>
            <w:r w:rsidR="00650CCD" w:rsidRPr="00D356EB">
              <w:rPr>
                <w:rFonts w:ascii="Times New Roman" w:hAnsi="Times New Roman" w:cs="Times New Roman"/>
                <w:noProof/>
              </w:rPr>
              <w:fldChar w:fldCharType="begin"/>
            </w:r>
            <w:r w:rsidR="00650CCD" w:rsidRPr="00D356EB">
              <w:rPr>
                <w:rFonts w:ascii="Times New Roman" w:hAnsi="Times New Roman" w:cs="Times New Roman"/>
                <w:noProof/>
              </w:rPr>
              <w:instrText xml:space="preserve"> PAGEREF _Toc161220539 \h </w:instrText>
            </w:r>
            <w:r w:rsidR="00650CCD" w:rsidRPr="00D356EB">
              <w:rPr>
                <w:rFonts w:ascii="Times New Roman" w:hAnsi="Times New Roman" w:cs="Times New Roman"/>
                <w:noProof/>
              </w:rPr>
            </w:r>
            <w:r w:rsidR="00650CCD" w:rsidRPr="00D356EB">
              <w:rPr>
                <w:rFonts w:ascii="Times New Roman" w:hAnsi="Times New Roman" w:cs="Times New Roman"/>
                <w:noProof/>
              </w:rPr>
              <w:fldChar w:fldCharType="separate"/>
            </w:r>
            <w:r w:rsidR="00EE1790">
              <w:rPr>
                <w:rFonts w:ascii="Times New Roman" w:hAnsi="Times New Roman" w:cs="Times New Roman"/>
                <w:noProof/>
              </w:rPr>
              <w:t>90</w:t>
            </w:r>
            <w:r w:rsidR="00650CCD" w:rsidRPr="00D356EB">
              <w:rPr>
                <w:rFonts w:ascii="Times New Roman" w:hAnsi="Times New Roman" w:cs="Times New Roman"/>
                <w:noProof/>
              </w:rPr>
              <w:fldChar w:fldCharType="end"/>
            </w:r>
          </w:hyperlink>
        </w:p>
        <w:p w14:paraId="613D2AC4" w14:textId="70F26B56" w:rsidR="003E537C" w:rsidRDefault="005430B6" w:rsidP="00E14607">
          <w:pPr>
            <w:pStyle w:val="TOC2"/>
            <w:tabs>
              <w:tab w:val="right" w:leader="dot" w:pos="9350"/>
            </w:tabs>
            <w:spacing w:line="276" w:lineRule="auto"/>
            <w:ind w:left="0"/>
            <w:rPr>
              <w:rFonts w:ascii="Times New Roman" w:hAnsi="Times New Roman" w:cs="Times New Roman"/>
              <w:b/>
              <w:bCs/>
              <w:highlight w:val="yellow"/>
            </w:rPr>
          </w:pPr>
          <w:r w:rsidRPr="00BB5241">
            <w:rPr>
              <w:rFonts w:ascii="Times New Roman" w:hAnsi="Times New Roman" w:cs="Times New Roman"/>
            </w:rPr>
            <w:fldChar w:fldCharType="end"/>
          </w:r>
        </w:p>
      </w:sdtContent>
    </w:sdt>
    <w:p w14:paraId="210CC6F7" w14:textId="5DEBF84A" w:rsidR="00DC2E53" w:rsidRDefault="003E537C" w:rsidP="00845AD8">
      <w:pPr>
        <w:pStyle w:val="Heading1"/>
        <w:pageBreakBefore/>
        <w:spacing w:line="276" w:lineRule="auto"/>
        <w:rPr>
          <w:rFonts w:ascii="Times New Roman" w:hAnsi="Times New Roman" w:cs="Times New Roman"/>
          <w:b/>
          <w:color w:val="auto"/>
          <w:sz w:val="28"/>
          <w:szCs w:val="28"/>
          <w:lang w:val="en-GB"/>
        </w:rPr>
      </w:pPr>
      <w:bookmarkStart w:id="2" w:name="_Toc161220471"/>
      <w:r w:rsidRPr="00845AD8">
        <w:rPr>
          <w:rFonts w:ascii="Times New Roman" w:hAnsi="Times New Roman" w:cs="Times New Roman"/>
          <w:b/>
          <w:color w:val="auto"/>
          <w:sz w:val="28"/>
          <w:szCs w:val="28"/>
          <w:lang w:val="en-GB"/>
        </w:rPr>
        <w:lastRenderedPageBreak/>
        <w:t>List of figures</w:t>
      </w:r>
      <w:r w:rsidR="003102B0">
        <w:rPr>
          <w:rFonts w:ascii="Times New Roman" w:hAnsi="Times New Roman" w:cs="Times New Roman"/>
          <w:b/>
          <w:bCs/>
          <w:color w:val="auto"/>
          <w:sz w:val="28"/>
          <w:szCs w:val="28"/>
          <w:lang w:val="en-GB"/>
        </w:rPr>
        <w:t xml:space="preserve"> and tables</w:t>
      </w:r>
      <w:bookmarkEnd w:id="2"/>
    </w:p>
    <w:p w14:paraId="7BE1568B" w14:textId="63BB314E" w:rsidR="00845AD8" w:rsidRDefault="00845AD8" w:rsidP="00E62FC5">
      <w:pPr>
        <w:pStyle w:val="Caption"/>
        <w:rPr>
          <w:rFonts w:ascii="Times New Roman" w:hAnsi="Times New Roman" w:cs="Times New Roman"/>
          <w:b w:val="0"/>
          <w:bCs w:val="0"/>
          <w:color w:val="000000" w:themeColor="text1"/>
          <w:sz w:val="22"/>
          <w:szCs w:val="22"/>
        </w:rPr>
      </w:pPr>
      <w:r w:rsidRPr="006E3E92">
        <w:rPr>
          <w:rFonts w:ascii="Times New Roman" w:hAnsi="Times New Roman" w:cs="Times New Roman"/>
          <w:color w:val="000000" w:themeColor="text1"/>
          <w:sz w:val="22"/>
          <w:szCs w:val="22"/>
        </w:rPr>
        <w:t>Figure 1.</w:t>
      </w:r>
      <w:r w:rsidRPr="006E3E92">
        <w:rPr>
          <w:rFonts w:ascii="Times New Roman" w:hAnsi="Times New Roman" w:cs="Times New Roman"/>
          <w:b w:val="0"/>
          <w:bCs w:val="0"/>
          <w:color w:val="000000" w:themeColor="text1"/>
          <w:sz w:val="22"/>
          <w:szCs w:val="22"/>
        </w:rPr>
        <w:t xml:space="preserve"> Risk assessment steps presented in this guidance and their linkage to paragraphs 8(a) to 8(f) in Annex III of the Protocol </w:t>
      </w:r>
      <w:r w:rsidR="00CE6EC3" w:rsidRPr="00CE6EC3">
        <w:rPr>
          <w:rFonts w:ascii="Times New Roman" w:hAnsi="Times New Roman" w:cs="Times New Roman"/>
          <w:bCs w:val="0"/>
          <w:color w:val="000000" w:themeColor="text1"/>
        </w:rPr>
        <w:t>…………………………………………………………………………………………………</w:t>
      </w:r>
      <w:r w:rsidR="00CE6EC3">
        <w:rPr>
          <w:rFonts w:ascii="Times New Roman" w:hAnsi="Times New Roman" w:cs="Times New Roman"/>
          <w:bCs w:val="0"/>
          <w:color w:val="000000" w:themeColor="text1"/>
        </w:rPr>
        <w:t>.</w:t>
      </w:r>
      <w:r w:rsidR="00D356EB">
        <w:rPr>
          <w:rFonts w:ascii="Times New Roman" w:hAnsi="Times New Roman" w:cs="Times New Roman"/>
          <w:bCs w:val="0"/>
          <w:color w:val="000000" w:themeColor="text1"/>
        </w:rPr>
        <w:t>..</w:t>
      </w:r>
      <w:r w:rsidR="00CE6EC3">
        <w:rPr>
          <w:rFonts w:ascii="Times New Roman" w:hAnsi="Times New Roman" w:cs="Times New Roman"/>
          <w:b w:val="0"/>
          <w:bCs w:val="0"/>
          <w:color w:val="000000" w:themeColor="text1"/>
          <w:sz w:val="22"/>
          <w:szCs w:val="22"/>
        </w:rPr>
        <w:t xml:space="preserve"> </w:t>
      </w:r>
      <w:proofErr w:type="gramStart"/>
      <w:r w:rsidR="00CE6EC3">
        <w:rPr>
          <w:rFonts w:ascii="Times New Roman" w:hAnsi="Times New Roman" w:cs="Times New Roman"/>
          <w:b w:val="0"/>
          <w:bCs w:val="0"/>
          <w:color w:val="000000" w:themeColor="text1"/>
          <w:sz w:val="22"/>
          <w:szCs w:val="22"/>
        </w:rPr>
        <w:t>1</w:t>
      </w:r>
      <w:r w:rsidR="0082053D">
        <w:rPr>
          <w:rFonts w:ascii="Times New Roman" w:hAnsi="Times New Roman" w:cs="Times New Roman"/>
          <w:b w:val="0"/>
          <w:bCs w:val="0"/>
          <w:color w:val="000000" w:themeColor="text1"/>
          <w:sz w:val="22"/>
          <w:szCs w:val="22"/>
        </w:rPr>
        <w:t>4</w:t>
      </w:r>
      <w:proofErr w:type="gramEnd"/>
    </w:p>
    <w:p w14:paraId="6A73BBFC" w14:textId="1F5F5E72" w:rsidR="00FD64B7" w:rsidRPr="00FD64B7" w:rsidRDefault="00FD64B7" w:rsidP="00FD64B7">
      <w:pPr>
        <w:pStyle w:val="Caption"/>
        <w:rPr>
          <w:rFonts w:ascii="Times New Roman" w:hAnsi="Times New Roman" w:cs="Times New Roman"/>
          <w:b w:val="0"/>
          <w:bCs w:val="0"/>
          <w:color w:val="000000" w:themeColor="text1"/>
          <w:sz w:val="22"/>
          <w:szCs w:val="22"/>
        </w:rPr>
      </w:pPr>
      <w:r w:rsidRPr="00FD64B7">
        <w:rPr>
          <w:rFonts w:ascii="Times New Roman" w:hAnsi="Times New Roman" w:cs="Times New Roman"/>
          <w:color w:val="000000" w:themeColor="text1"/>
          <w:sz w:val="22"/>
          <w:szCs w:val="22"/>
        </w:rPr>
        <w:t>Figure 2.</w:t>
      </w:r>
      <w:r w:rsidRPr="00FD64B7">
        <w:rPr>
          <w:rFonts w:ascii="Times New Roman" w:hAnsi="Times New Roman" w:cs="Times New Roman"/>
          <w:b w:val="0"/>
          <w:bCs w:val="0"/>
          <w:color w:val="000000" w:themeColor="text1"/>
          <w:sz w:val="22"/>
          <w:szCs w:val="22"/>
        </w:rPr>
        <w:t xml:space="preserve"> An illustrative pathway to harm and how to test the underlying risk hypotheses</w:t>
      </w:r>
      <w:r w:rsidR="00941768">
        <w:rPr>
          <w:rFonts w:ascii="Times New Roman" w:hAnsi="Times New Roman" w:cs="Times New Roman"/>
          <w:b w:val="0"/>
          <w:bCs w:val="0"/>
          <w:color w:val="000000" w:themeColor="text1"/>
          <w:sz w:val="22"/>
          <w:szCs w:val="22"/>
        </w:rPr>
        <w:t xml:space="preserve"> ……</w:t>
      </w:r>
      <w:r w:rsidR="00941768" w:rsidRPr="00CE6EC3">
        <w:rPr>
          <w:rFonts w:ascii="Times New Roman" w:hAnsi="Times New Roman" w:cs="Times New Roman"/>
          <w:b w:val="0"/>
          <w:bCs w:val="0"/>
          <w:color w:val="000000" w:themeColor="text1"/>
          <w:sz w:val="22"/>
          <w:szCs w:val="22"/>
        </w:rPr>
        <w:t>….</w:t>
      </w:r>
      <w:r w:rsidR="00420AB8" w:rsidRPr="00CE6EC3">
        <w:rPr>
          <w:rFonts w:ascii="Times New Roman" w:hAnsi="Times New Roman" w:cs="Times New Roman"/>
          <w:bCs w:val="0"/>
          <w:color w:val="000000" w:themeColor="text1"/>
        </w:rPr>
        <w:t>…</w:t>
      </w:r>
      <w:proofErr w:type="gramStart"/>
      <w:r w:rsidR="00420AB8" w:rsidRPr="00CE6EC3">
        <w:rPr>
          <w:rFonts w:ascii="Times New Roman" w:hAnsi="Times New Roman" w:cs="Times New Roman"/>
          <w:bCs w:val="0"/>
          <w:color w:val="000000" w:themeColor="text1"/>
        </w:rPr>
        <w:t>…</w:t>
      </w:r>
      <w:r w:rsidR="00D356EB">
        <w:rPr>
          <w:rFonts w:ascii="Times New Roman" w:hAnsi="Times New Roman" w:cs="Times New Roman"/>
          <w:bCs w:val="0"/>
          <w:color w:val="000000" w:themeColor="text1"/>
        </w:rPr>
        <w:t>..</w:t>
      </w:r>
      <w:proofErr w:type="gramEnd"/>
      <w:r w:rsidR="00941768" w:rsidRPr="00CE6EC3">
        <w:rPr>
          <w:rFonts w:ascii="Times New Roman" w:hAnsi="Times New Roman" w:cs="Times New Roman"/>
          <w:b w:val="0"/>
          <w:bCs w:val="0"/>
          <w:color w:val="000000" w:themeColor="text1"/>
          <w:sz w:val="22"/>
          <w:szCs w:val="22"/>
        </w:rPr>
        <w:t xml:space="preserve"> </w:t>
      </w:r>
      <w:r w:rsidR="00941768">
        <w:rPr>
          <w:rFonts w:ascii="Times New Roman" w:hAnsi="Times New Roman" w:cs="Times New Roman"/>
          <w:b w:val="0"/>
          <w:bCs w:val="0"/>
          <w:color w:val="000000" w:themeColor="text1"/>
          <w:sz w:val="22"/>
          <w:szCs w:val="22"/>
        </w:rPr>
        <w:t>3</w:t>
      </w:r>
      <w:r w:rsidR="0082053D">
        <w:rPr>
          <w:rFonts w:ascii="Times New Roman" w:hAnsi="Times New Roman" w:cs="Times New Roman"/>
          <w:b w:val="0"/>
          <w:bCs w:val="0"/>
          <w:color w:val="000000" w:themeColor="text1"/>
          <w:sz w:val="22"/>
          <w:szCs w:val="22"/>
        </w:rPr>
        <w:t>1</w:t>
      </w:r>
    </w:p>
    <w:p w14:paraId="0992705E" w14:textId="77777777" w:rsidR="00845AD8" w:rsidRDefault="00845AD8" w:rsidP="00845AD8"/>
    <w:p w14:paraId="5B11F34A" w14:textId="28B6FE7A" w:rsidR="00E62FC5" w:rsidRDefault="00E62FC5" w:rsidP="00E62FC5">
      <w:pPr>
        <w:rPr>
          <w:rFonts w:ascii="Times New Roman" w:hAnsi="Times New Roman" w:cs="Times New Roman"/>
        </w:rPr>
      </w:pPr>
      <w:r w:rsidRPr="00CD09BE">
        <w:rPr>
          <w:rFonts w:ascii="Times New Roman" w:hAnsi="Times New Roman" w:cs="Times New Roman"/>
          <w:b/>
        </w:rPr>
        <w:t>Table 1</w:t>
      </w:r>
      <w:r>
        <w:rPr>
          <w:rFonts w:ascii="Times New Roman" w:hAnsi="Times New Roman" w:cs="Times New Roman"/>
          <w:b/>
        </w:rPr>
        <w:t xml:space="preserve">. </w:t>
      </w:r>
      <w:r w:rsidRPr="00E47107">
        <w:rPr>
          <w:rFonts w:ascii="Times New Roman" w:hAnsi="Times New Roman" w:cs="Times New Roman"/>
        </w:rPr>
        <w:t xml:space="preserve">Possible elements to categorize engineered gene drive strategies </w:t>
      </w:r>
      <w:r w:rsidR="0030673F">
        <w:rPr>
          <w:rFonts w:ascii="Times New Roman" w:hAnsi="Times New Roman" w:cs="Times New Roman"/>
          <w:bCs/>
        </w:rPr>
        <w:t>…………………………</w:t>
      </w:r>
      <w:proofErr w:type="gramStart"/>
      <w:r w:rsidR="0030673F">
        <w:rPr>
          <w:rFonts w:ascii="Times New Roman" w:hAnsi="Times New Roman" w:cs="Times New Roman"/>
          <w:bCs/>
        </w:rPr>
        <w:t>….</w:t>
      </w:r>
      <w:r w:rsidR="00D356EB">
        <w:rPr>
          <w:rFonts w:ascii="Times New Roman" w:hAnsi="Times New Roman" w:cs="Times New Roman"/>
          <w:bCs/>
        </w:rPr>
        <w:t>.</w:t>
      </w:r>
      <w:proofErr w:type="gramEnd"/>
      <w:r w:rsidR="0030673F">
        <w:rPr>
          <w:rFonts w:ascii="Times New Roman" w:hAnsi="Times New Roman" w:cs="Times New Roman"/>
        </w:rPr>
        <w:t xml:space="preserve"> 1</w:t>
      </w:r>
      <w:r w:rsidR="0082053D">
        <w:rPr>
          <w:rFonts w:ascii="Times New Roman" w:hAnsi="Times New Roman" w:cs="Times New Roman"/>
        </w:rPr>
        <w:t>8</w:t>
      </w:r>
    </w:p>
    <w:p w14:paraId="139A3B7F" w14:textId="25267B26" w:rsidR="003102B0" w:rsidRDefault="003102B0" w:rsidP="003102B0">
      <w:pPr>
        <w:rPr>
          <w:rFonts w:ascii="Times New Roman" w:hAnsi="Times New Roman" w:cs="Times New Roman"/>
          <w:bCs/>
        </w:rPr>
      </w:pPr>
      <w:r w:rsidRPr="003102B0">
        <w:rPr>
          <w:rFonts w:ascii="Times New Roman" w:hAnsi="Times New Roman" w:cs="Times New Roman"/>
          <w:b/>
        </w:rPr>
        <w:t>Table 2.</w:t>
      </w:r>
      <w:r>
        <w:rPr>
          <w:rFonts w:ascii="Times New Roman" w:hAnsi="Times New Roman" w:cs="Times New Roman"/>
          <w:b/>
        </w:rPr>
        <w:t xml:space="preserve"> </w:t>
      </w:r>
      <w:r w:rsidRPr="003102B0">
        <w:rPr>
          <w:rFonts w:ascii="Times New Roman" w:hAnsi="Times New Roman" w:cs="Times New Roman"/>
          <w:bCs/>
        </w:rPr>
        <w:t xml:space="preserve">Selected examples of </w:t>
      </w:r>
      <w:r>
        <w:rPr>
          <w:rFonts w:ascii="Times New Roman" w:hAnsi="Times New Roman" w:cs="Times New Roman"/>
          <w:bCs/>
        </w:rPr>
        <w:t>engineered gene drive</w:t>
      </w:r>
      <w:r w:rsidRPr="003102B0">
        <w:rPr>
          <w:rFonts w:ascii="Times New Roman" w:hAnsi="Times New Roman" w:cs="Times New Roman"/>
          <w:bCs/>
        </w:rPr>
        <w:t xml:space="preserve"> approaches in mosquitoes</w:t>
      </w:r>
      <w:r w:rsidR="00420AB8">
        <w:rPr>
          <w:rFonts w:ascii="Times New Roman" w:hAnsi="Times New Roman" w:cs="Times New Roman"/>
          <w:bCs/>
        </w:rPr>
        <w:t xml:space="preserve"> </w:t>
      </w:r>
      <w:r w:rsidR="00E67F48">
        <w:rPr>
          <w:rFonts w:ascii="Times New Roman" w:hAnsi="Times New Roman" w:cs="Times New Roman"/>
          <w:bCs/>
        </w:rPr>
        <w:t>…………………….</w:t>
      </w:r>
      <w:r w:rsidR="00DD515B">
        <w:rPr>
          <w:rFonts w:ascii="Times New Roman" w:hAnsi="Times New Roman" w:cs="Times New Roman"/>
          <w:bCs/>
        </w:rPr>
        <w:t>..</w:t>
      </w:r>
      <w:r w:rsidR="00D356EB">
        <w:rPr>
          <w:rFonts w:ascii="Times New Roman" w:hAnsi="Times New Roman" w:cs="Times New Roman"/>
          <w:bCs/>
        </w:rPr>
        <w:t>.</w:t>
      </w:r>
      <w:r w:rsidR="00420AB8">
        <w:rPr>
          <w:rFonts w:ascii="Times New Roman" w:hAnsi="Times New Roman" w:cs="Times New Roman"/>
          <w:bCs/>
        </w:rPr>
        <w:t xml:space="preserve"> </w:t>
      </w:r>
      <w:r w:rsidR="0082053D">
        <w:rPr>
          <w:rFonts w:ascii="Times New Roman" w:hAnsi="Times New Roman" w:cs="Times New Roman"/>
          <w:bCs/>
        </w:rPr>
        <w:t>20</w:t>
      </w:r>
    </w:p>
    <w:p w14:paraId="1C1ACE82" w14:textId="504F303A" w:rsidR="003102B0" w:rsidRDefault="003102B0" w:rsidP="003102B0">
      <w:pPr>
        <w:rPr>
          <w:rFonts w:ascii="Times New Roman" w:hAnsi="Times New Roman" w:cs="Times New Roman"/>
          <w:bCs/>
        </w:rPr>
      </w:pPr>
      <w:r w:rsidRPr="003102B0">
        <w:rPr>
          <w:rFonts w:ascii="Times New Roman" w:hAnsi="Times New Roman" w:cs="Times New Roman"/>
          <w:b/>
        </w:rPr>
        <w:t>Table 3</w:t>
      </w:r>
      <w:r>
        <w:rPr>
          <w:rFonts w:ascii="Times New Roman" w:hAnsi="Times New Roman" w:cs="Times New Roman"/>
          <w:b/>
        </w:rPr>
        <w:t xml:space="preserve">. </w:t>
      </w:r>
      <w:r w:rsidRPr="003102B0">
        <w:rPr>
          <w:rFonts w:ascii="Times New Roman" w:hAnsi="Times New Roman" w:cs="Times New Roman"/>
          <w:bCs/>
        </w:rPr>
        <w:t xml:space="preserve">Matrix for an operational definition of environmental harm with some selected examples of its application </w:t>
      </w:r>
      <w:r w:rsidR="00941768" w:rsidRPr="00CB1D88">
        <w:rPr>
          <w:rFonts w:ascii="Times New Roman" w:hAnsi="Times New Roman" w:cs="Times New Roman"/>
          <w:bCs/>
          <w:color w:val="000000" w:themeColor="text1"/>
        </w:rPr>
        <w:t>…………………</w:t>
      </w:r>
      <w:r w:rsidR="00420AB8" w:rsidRPr="00CB1D88">
        <w:rPr>
          <w:rFonts w:ascii="Times New Roman" w:hAnsi="Times New Roman" w:cs="Times New Roman"/>
          <w:bCs/>
          <w:color w:val="000000" w:themeColor="text1"/>
        </w:rPr>
        <w:t>…………………………………………………………………………</w:t>
      </w:r>
      <w:proofErr w:type="gramStart"/>
      <w:r w:rsidR="00420AB8" w:rsidRPr="00CB1D88">
        <w:rPr>
          <w:rFonts w:ascii="Times New Roman" w:hAnsi="Times New Roman" w:cs="Times New Roman"/>
          <w:bCs/>
          <w:color w:val="000000" w:themeColor="text1"/>
        </w:rPr>
        <w:t>…</w:t>
      </w:r>
      <w:r w:rsidR="00CE6EC3" w:rsidRPr="00CB1D88">
        <w:rPr>
          <w:rFonts w:ascii="Times New Roman" w:hAnsi="Times New Roman" w:cs="Times New Roman"/>
          <w:bCs/>
          <w:color w:val="000000" w:themeColor="text1"/>
        </w:rPr>
        <w:t>.</w:t>
      </w:r>
      <w:r w:rsidR="00D356EB">
        <w:rPr>
          <w:rFonts w:ascii="Times New Roman" w:hAnsi="Times New Roman" w:cs="Times New Roman"/>
          <w:bCs/>
          <w:color w:val="000000" w:themeColor="text1"/>
        </w:rPr>
        <w:t>.</w:t>
      </w:r>
      <w:proofErr w:type="gramEnd"/>
      <w:r w:rsidR="00420AB8">
        <w:rPr>
          <w:rFonts w:ascii="Times New Roman" w:hAnsi="Times New Roman" w:cs="Times New Roman"/>
          <w:bCs/>
        </w:rPr>
        <w:t xml:space="preserve"> </w:t>
      </w:r>
      <w:r w:rsidR="00941768">
        <w:rPr>
          <w:rFonts w:ascii="Times New Roman" w:hAnsi="Times New Roman" w:cs="Times New Roman"/>
          <w:bCs/>
        </w:rPr>
        <w:t>2</w:t>
      </w:r>
      <w:r w:rsidR="0082053D">
        <w:rPr>
          <w:rFonts w:ascii="Times New Roman" w:hAnsi="Times New Roman" w:cs="Times New Roman"/>
          <w:bCs/>
        </w:rPr>
        <w:t>5</w:t>
      </w:r>
    </w:p>
    <w:p w14:paraId="311B8560" w14:textId="08FA0F98" w:rsidR="001E769C" w:rsidRPr="003102B0" w:rsidRDefault="001E769C" w:rsidP="001E769C">
      <w:pPr>
        <w:rPr>
          <w:rFonts w:ascii="Times New Roman" w:hAnsi="Times New Roman" w:cs="Times New Roman"/>
          <w:bCs/>
        </w:rPr>
      </w:pPr>
      <w:r w:rsidRPr="001E769C">
        <w:rPr>
          <w:rFonts w:ascii="Times New Roman" w:hAnsi="Times New Roman" w:cs="Times New Roman"/>
          <w:b/>
        </w:rPr>
        <w:t>Table 4.</w:t>
      </w:r>
      <w:r>
        <w:rPr>
          <w:rFonts w:ascii="Times New Roman" w:hAnsi="Times New Roman" w:cs="Times New Roman"/>
          <w:bCs/>
        </w:rPr>
        <w:t xml:space="preserve"> </w:t>
      </w:r>
      <w:r w:rsidRPr="001E769C">
        <w:rPr>
          <w:rFonts w:ascii="Times New Roman" w:hAnsi="Times New Roman" w:cs="Times New Roman"/>
          <w:bCs/>
        </w:rPr>
        <w:t>Example of a risk matrix used to estimate the level of risk</w:t>
      </w:r>
      <w:r w:rsidR="00840B21">
        <w:rPr>
          <w:rFonts w:ascii="Times New Roman" w:hAnsi="Times New Roman" w:cs="Times New Roman"/>
          <w:bCs/>
        </w:rPr>
        <w:t xml:space="preserve"> …………………………………</w:t>
      </w:r>
      <w:r w:rsidR="00CB4B97">
        <w:rPr>
          <w:rFonts w:ascii="Times New Roman" w:hAnsi="Times New Roman" w:cs="Times New Roman"/>
          <w:bCs/>
        </w:rPr>
        <w:t xml:space="preserve">… </w:t>
      </w:r>
      <w:proofErr w:type="gramStart"/>
      <w:r w:rsidR="00840B21">
        <w:rPr>
          <w:rFonts w:ascii="Times New Roman" w:hAnsi="Times New Roman" w:cs="Times New Roman"/>
          <w:bCs/>
        </w:rPr>
        <w:t>3</w:t>
      </w:r>
      <w:r w:rsidR="0082053D">
        <w:rPr>
          <w:rFonts w:ascii="Times New Roman" w:hAnsi="Times New Roman" w:cs="Times New Roman"/>
          <w:bCs/>
        </w:rPr>
        <w:t>5</w:t>
      </w:r>
      <w:proofErr w:type="gramEnd"/>
    </w:p>
    <w:p w14:paraId="68963262" w14:textId="77777777" w:rsidR="00E62FC5" w:rsidRDefault="00E62FC5" w:rsidP="00845AD8"/>
    <w:p w14:paraId="579F3026" w14:textId="11070803" w:rsidR="00E62FC5" w:rsidRPr="00E62FC5" w:rsidRDefault="00E62FC5" w:rsidP="00E62FC5">
      <w:pPr>
        <w:tabs>
          <w:tab w:val="left" w:pos="2189"/>
        </w:tabs>
      </w:pPr>
      <w:r>
        <w:tab/>
      </w:r>
    </w:p>
    <w:p w14:paraId="7C6B9BD8" w14:textId="6408867F" w:rsidR="003E537C" w:rsidRDefault="003E537C" w:rsidP="00845AD8">
      <w:pPr>
        <w:pStyle w:val="Heading1"/>
        <w:pageBreakBefore/>
        <w:spacing w:line="276" w:lineRule="auto"/>
        <w:rPr>
          <w:rFonts w:ascii="Times New Roman" w:hAnsi="Times New Roman" w:cs="Times New Roman"/>
          <w:b/>
          <w:color w:val="auto"/>
          <w:sz w:val="28"/>
          <w:szCs w:val="28"/>
          <w:lang w:val="en-GB"/>
        </w:rPr>
      </w:pPr>
      <w:bookmarkStart w:id="3" w:name="_Toc161220472"/>
      <w:r w:rsidRPr="00845AD8">
        <w:rPr>
          <w:rFonts w:ascii="Times New Roman" w:hAnsi="Times New Roman" w:cs="Times New Roman"/>
          <w:b/>
          <w:color w:val="auto"/>
          <w:sz w:val="28"/>
          <w:szCs w:val="28"/>
          <w:lang w:val="en-GB"/>
        </w:rPr>
        <w:lastRenderedPageBreak/>
        <w:t xml:space="preserve">List </w:t>
      </w:r>
      <w:r w:rsidR="00130D14" w:rsidRPr="00845AD8">
        <w:rPr>
          <w:rFonts w:ascii="Times New Roman" w:hAnsi="Times New Roman" w:cs="Times New Roman"/>
          <w:b/>
          <w:color w:val="auto"/>
          <w:sz w:val="28"/>
          <w:szCs w:val="28"/>
          <w:lang w:val="en-GB"/>
        </w:rPr>
        <w:t>of boxes</w:t>
      </w:r>
      <w:bookmarkEnd w:id="3"/>
    </w:p>
    <w:p w14:paraId="4751CF13" w14:textId="7C34EA9E" w:rsidR="00F60177" w:rsidRPr="00A60428" w:rsidRDefault="009326C9" w:rsidP="00F60177">
      <w:pPr>
        <w:rPr>
          <w:rFonts w:ascii="Times New Roman" w:hAnsi="Times New Roman" w:cs="Times New Roman"/>
          <w:lang w:val="en-US"/>
        </w:rPr>
      </w:pPr>
      <w:r w:rsidRPr="00A60428">
        <w:rPr>
          <w:rFonts w:ascii="Times New Roman" w:hAnsi="Times New Roman" w:cs="Times New Roman"/>
          <w:lang w:val="en-US"/>
        </w:rPr>
        <w:t>Mosquitoes</w:t>
      </w:r>
      <w:r w:rsidR="00CB4B97" w:rsidRPr="00A60428">
        <w:rPr>
          <w:rFonts w:ascii="Times New Roman" w:hAnsi="Times New Roman" w:cs="Times New Roman"/>
          <w:lang w:val="en-US"/>
        </w:rPr>
        <w:t xml:space="preserve"> ……………………………………………………………………………………………… 1</w:t>
      </w:r>
      <w:r w:rsidR="0082053D">
        <w:rPr>
          <w:rFonts w:ascii="Times New Roman" w:hAnsi="Times New Roman" w:cs="Times New Roman"/>
          <w:lang w:val="en-US"/>
        </w:rPr>
        <w:t>5</w:t>
      </w:r>
    </w:p>
    <w:p w14:paraId="5868960C" w14:textId="1519BCA4" w:rsidR="009326C9" w:rsidRPr="00F17A3F" w:rsidRDefault="00356E86" w:rsidP="00C0087B">
      <w:pPr>
        <w:rPr>
          <w:rFonts w:ascii="Times New Roman" w:hAnsi="Times New Roman" w:cs="Times New Roman"/>
          <w:lang w:val="en-US"/>
        </w:rPr>
      </w:pPr>
      <w:r w:rsidRPr="00F17A3F">
        <w:rPr>
          <w:rFonts w:ascii="Times New Roman" w:hAnsi="Times New Roman" w:cs="Times New Roman"/>
          <w:lang w:val="en-US"/>
        </w:rPr>
        <w:t>Mosquitoes:</w:t>
      </w:r>
      <w:r w:rsidR="00C0087B" w:rsidRPr="00F17A3F">
        <w:rPr>
          <w:rFonts w:ascii="Times New Roman" w:hAnsi="Times New Roman" w:cs="Times New Roman"/>
          <w:lang w:val="en-US"/>
        </w:rPr>
        <w:t xml:space="preserve"> </w:t>
      </w:r>
      <w:r w:rsidR="009326C9" w:rsidRPr="00F17A3F">
        <w:rPr>
          <w:rFonts w:ascii="Times New Roman" w:hAnsi="Times New Roman" w:cs="Times New Roman"/>
          <w:lang w:val="en-US"/>
        </w:rPr>
        <w:t>Mosquito-borne diseases</w:t>
      </w:r>
      <w:r w:rsidR="00F17A3F" w:rsidRPr="00F17A3F">
        <w:rPr>
          <w:rFonts w:ascii="Times New Roman" w:hAnsi="Times New Roman" w:cs="Times New Roman"/>
          <w:lang w:val="en-US"/>
        </w:rPr>
        <w:t xml:space="preserve"> </w:t>
      </w:r>
      <w:r w:rsidR="00F17A3F">
        <w:rPr>
          <w:rFonts w:ascii="Times New Roman" w:hAnsi="Times New Roman" w:cs="Times New Roman"/>
        </w:rPr>
        <w:t>………………………………………………………………</w:t>
      </w:r>
      <w:proofErr w:type="gramStart"/>
      <w:r w:rsidR="00F17A3F">
        <w:rPr>
          <w:rFonts w:ascii="Times New Roman" w:hAnsi="Times New Roman" w:cs="Times New Roman"/>
        </w:rPr>
        <w:t>…..</w:t>
      </w:r>
      <w:proofErr w:type="gramEnd"/>
      <w:r w:rsidR="00F17A3F" w:rsidRPr="00F17A3F">
        <w:rPr>
          <w:rFonts w:ascii="Times New Roman" w:hAnsi="Times New Roman" w:cs="Times New Roman"/>
          <w:lang w:val="en-US"/>
        </w:rPr>
        <w:t xml:space="preserve"> 1</w:t>
      </w:r>
      <w:r w:rsidR="0082053D">
        <w:rPr>
          <w:rFonts w:ascii="Times New Roman" w:hAnsi="Times New Roman" w:cs="Times New Roman"/>
          <w:lang w:val="en-US"/>
        </w:rPr>
        <w:t>6</w:t>
      </w:r>
    </w:p>
    <w:p w14:paraId="7D5D83F6" w14:textId="1766A231" w:rsidR="009326C9" w:rsidRPr="00C0087B" w:rsidRDefault="00C0087B" w:rsidP="00C0087B">
      <w:pPr>
        <w:rPr>
          <w:rFonts w:ascii="Times New Roman" w:hAnsi="Times New Roman" w:cs="Times New Roman"/>
          <w:lang w:val="en-US"/>
        </w:rPr>
      </w:pPr>
      <w:r w:rsidRPr="00C0087B">
        <w:rPr>
          <w:rFonts w:ascii="Times New Roman" w:hAnsi="Times New Roman" w:cs="Times New Roman"/>
          <w:lang w:val="en-US"/>
        </w:rPr>
        <w:t xml:space="preserve">Mosquitoes: </w:t>
      </w:r>
      <w:r w:rsidR="009326C9" w:rsidRPr="009326C9">
        <w:rPr>
          <w:rFonts w:ascii="Times New Roman" w:hAnsi="Times New Roman" w:cs="Times New Roman"/>
        </w:rPr>
        <w:t>Engineered gene drive systems for living modified mosquitoes</w:t>
      </w:r>
      <w:r w:rsidR="00F17A3F">
        <w:rPr>
          <w:rFonts w:ascii="Times New Roman" w:hAnsi="Times New Roman" w:cs="Times New Roman"/>
        </w:rPr>
        <w:t xml:space="preserve"> ………………………</w:t>
      </w:r>
      <w:proofErr w:type="gramStart"/>
      <w:r w:rsidR="00F17A3F">
        <w:rPr>
          <w:rFonts w:ascii="Times New Roman" w:hAnsi="Times New Roman" w:cs="Times New Roman"/>
        </w:rPr>
        <w:t>…..</w:t>
      </w:r>
      <w:proofErr w:type="gramEnd"/>
      <w:r w:rsidR="00F17A3F">
        <w:rPr>
          <w:rFonts w:ascii="Times New Roman" w:hAnsi="Times New Roman" w:cs="Times New Roman"/>
        </w:rPr>
        <w:t xml:space="preserve"> </w:t>
      </w:r>
      <w:r w:rsidR="0082053D">
        <w:rPr>
          <w:rFonts w:ascii="Times New Roman" w:hAnsi="Times New Roman" w:cs="Times New Roman"/>
        </w:rPr>
        <w:t>18</w:t>
      </w:r>
    </w:p>
    <w:p w14:paraId="38B25EB8" w14:textId="5768F7A2" w:rsidR="009326C9" w:rsidRDefault="00C0087B" w:rsidP="00C0087B">
      <w:pPr>
        <w:rPr>
          <w:rFonts w:ascii="Times New Roman" w:hAnsi="Times New Roman" w:cs="Times New Roman"/>
        </w:rPr>
      </w:pPr>
      <w:r>
        <w:rPr>
          <w:rFonts w:ascii="Times New Roman" w:hAnsi="Times New Roman" w:cs="Times New Roman"/>
        </w:rPr>
        <w:t xml:space="preserve">Mosquitoes: </w:t>
      </w:r>
      <w:r w:rsidR="00DB074A" w:rsidRPr="00DB074A">
        <w:rPr>
          <w:rFonts w:ascii="Times New Roman" w:hAnsi="Times New Roman" w:cs="Times New Roman"/>
        </w:rPr>
        <w:t>Characterisation of the living modified mosquito containing an engineered gene drives and its likely potential receiving environments</w:t>
      </w:r>
      <w:r w:rsidR="00F17A3F">
        <w:rPr>
          <w:rFonts w:ascii="Times New Roman" w:hAnsi="Times New Roman" w:cs="Times New Roman"/>
        </w:rPr>
        <w:t xml:space="preserve"> ……………………………………………………………… 2</w:t>
      </w:r>
      <w:r w:rsidR="0082053D">
        <w:rPr>
          <w:rFonts w:ascii="Times New Roman" w:hAnsi="Times New Roman" w:cs="Times New Roman"/>
        </w:rPr>
        <w:t>7</w:t>
      </w:r>
    </w:p>
    <w:p w14:paraId="56D6EBA0" w14:textId="70F0E6C7" w:rsidR="00DB074A" w:rsidRDefault="00C0087B" w:rsidP="00C0087B">
      <w:pPr>
        <w:rPr>
          <w:rFonts w:ascii="Times New Roman" w:hAnsi="Times New Roman" w:cs="Times New Roman"/>
        </w:rPr>
      </w:pPr>
      <w:r>
        <w:rPr>
          <w:rFonts w:ascii="Times New Roman" w:hAnsi="Times New Roman" w:cs="Times New Roman"/>
        </w:rPr>
        <w:t xml:space="preserve">Mosquitoes: </w:t>
      </w:r>
      <w:r w:rsidR="00F03831" w:rsidRPr="00F03831">
        <w:rPr>
          <w:rFonts w:ascii="Times New Roman" w:hAnsi="Times New Roman" w:cs="Times New Roman"/>
        </w:rPr>
        <w:t>Postulated adverse effects of living modified mosquitoes containing engineered gene drives</w:t>
      </w:r>
      <w:r w:rsidR="00F17A3F">
        <w:rPr>
          <w:rFonts w:ascii="Times New Roman" w:hAnsi="Times New Roman" w:cs="Times New Roman"/>
        </w:rPr>
        <w:t xml:space="preserve"> ……………………………………………………………………………………………………………</w:t>
      </w:r>
      <w:r w:rsidR="002C581A">
        <w:rPr>
          <w:rFonts w:ascii="Times New Roman" w:hAnsi="Times New Roman" w:cs="Times New Roman"/>
        </w:rPr>
        <w:t xml:space="preserve"> </w:t>
      </w:r>
      <w:r w:rsidR="00F17A3F">
        <w:rPr>
          <w:rFonts w:ascii="Times New Roman" w:hAnsi="Times New Roman" w:cs="Times New Roman"/>
        </w:rPr>
        <w:t>2</w:t>
      </w:r>
      <w:r w:rsidR="0082053D">
        <w:rPr>
          <w:rFonts w:ascii="Times New Roman" w:hAnsi="Times New Roman" w:cs="Times New Roman"/>
        </w:rPr>
        <w:t>8</w:t>
      </w:r>
      <w:r w:rsidR="00F17A3F">
        <w:rPr>
          <w:rFonts w:ascii="Times New Roman" w:hAnsi="Times New Roman" w:cs="Times New Roman"/>
        </w:rPr>
        <w:t xml:space="preserve"> </w:t>
      </w:r>
    </w:p>
    <w:p w14:paraId="4DFC6BC6" w14:textId="64D253D5" w:rsidR="00F03831" w:rsidRDefault="00C0087B" w:rsidP="00C0087B">
      <w:pPr>
        <w:rPr>
          <w:rFonts w:ascii="Times New Roman" w:hAnsi="Times New Roman" w:cs="Times New Roman"/>
        </w:rPr>
      </w:pPr>
      <w:r>
        <w:rPr>
          <w:rFonts w:ascii="Times New Roman" w:hAnsi="Times New Roman" w:cs="Times New Roman"/>
        </w:rPr>
        <w:t xml:space="preserve">Mosquitoes: </w:t>
      </w:r>
      <w:r w:rsidR="00F03831" w:rsidRPr="00F03831">
        <w:rPr>
          <w:rFonts w:ascii="Times New Roman" w:hAnsi="Times New Roman" w:cs="Times New Roman"/>
        </w:rPr>
        <w:t>An illustrative pathway to harm and how to test the underlying risk hypotheses</w:t>
      </w:r>
      <w:r w:rsidR="00D53E07">
        <w:rPr>
          <w:rFonts w:ascii="Times New Roman" w:hAnsi="Times New Roman" w:cs="Times New Roman"/>
        </w:rPr>
        <w:t xml:space="preserve"> ………… 3</w:t>
      </w:r>
      <w:r w:rsidR="0082053D">
        <w:rPr>
          <w:rFonts w:ascii="Times New Roman" w:hAnsi="Times New Roman" w:cs="Times New Roman"/>
        </w:rPr>
        <w:t>1</w:t>
      </w:r>
    </w:p>
    <w:p w14:paraId="0F604313" w14:textId="73E6EFD0" w:rsidR="00F03831" w:rsidRDefault="00C0087B" w:rsidP="00C0087B">
      <w:pPr>
        <w:rPr>
          <w:rFonts w:ascii="Times New Roman" w:hAnsi="Times New Roman" w:cs="Times New Roman"/>
        </w:rPr>
      </w:pPr>
      <w:r>
        <w:rPr>
          <w:rFonts w:ascii="Times New Roman" w:hAnsi="Times New Roman" w:cs="Times New Roman"/>
        </w:rPr>
        <w:t xml:space="preserve">Mosquitoes: </w:t>
      </w:r>
      <w:r w:rsidR="00F03831" w:rsidRPr="00F03831">
        <w:rPr>
          <w:rFonts w:ascii="Times New Roman" w:hAnsi="Times New Roman" w:cs="Times New Roman"/>
        </w:rPr>
        <w:t>Illustrative examples of some potential adverse effects of living modified mosquitoes containing engineered gene drives</w:t>
      </w:r>
      <w:r w:rsidR="00D53E07">
        <w:rPr>
          <w:rFonts w:ascii="Times New Roman" w:hAnsi="Times New Roman" w:cs="Times New Roman"/>
        </w:rPr>
        <w:t xml:space="preserve"> ……………………………………………………………………… 3</w:t>
      </w:r>
      <w:r w:rsidR="0082053D">
        <w:rPr>
          <w:rFonts w:ascii="Times New Roman" w:hAnsi="Times New Roman" w:cs="Times New Roman"/>
        </w:rPr>
        <w:t>1</w:t>
      </w:r>
    </w:p>
    <w:p w14:paraId="726C7CC7" w14:textId="7D8AEBCE" w:rsidR="00F03831" w:rsidRDefault="00F03831" w:rsidP="00F60177">
      <w:pPr>
        <w:rPr>
          <w:rFonts w:ascii="Times New Roman" w:hAnsi="Times New Roman" w:cs="Times New Roman"/>
        </w:rPr>
      </w:pPr>
      <w:r w:rsidRPr="00F03831">
        <w:rPr>
          <w:rFonts w:ascii="Times New Roman" w:hAnsi="Times New Roman" w:cs="Times New Roman"/>
        </w:rPr>
        <w:t>Gene flow</w:t>
      </w:r>
      <w:r w:rsidR="00D53E07">
        <w:rPr>
          <w:rFonts w:ascii="Times New Roman" w:hAnsi="Times New Roman" w:cs="Times New Roman"/>
        </w:rPr>
        <w:t xml:space="preserve"> ……………………………………………………………………………………………</w:t>
      </w:r>
      <w:proofErr w:type="gramStart"/>
      <w:r w:rsidR="00D53E07">
        <w:rPr>
          <w:rFonts w:ascii="Times New Roman" w:hAnsi="Times New Roman" w:cs="Times New Roman"/>
        </w:rPr>
        <w:t>…..</w:t>
      </w:r>
      <w:proofErr w:type="gramEnd"/>
      <w:r w:rsidR="00D53E07">
        <w:rPr>
          <w:rFonts w:ascii="Times New Roman" w:hAnsi="Times New Roman" w:cs="Times New Roman"/>
        </w:rPr>
        <w:t xml:space="preserve"> 3</w:t>
      </w:r>
      <w:r w:rsidR="0082053D">
        <w:rPr>
          <w:rFonts w:ascii="Times New Roman" w:hAnsi="Times New Roman" w:cs="Times New Roman"/>
        </w:rPr>
        <w:t>3</w:t>
      </w:r>
    </w:p>
    <w:p w14:paraId="4F74B0EF" w14:textId="77777777" w:rsidR="00B83323" w:rsidRDefault="00C0087B" w:rsidP="00C0087B">
      <w:pPr>
        <w:rPr>
          <w:rFonts w:ascii="Times New Roman" w:hAnsi="Times New Roman" w:cs="Times New Roman"/>
        </w:rPr>
      </w:pPr>
      <w:r>
        <w:rPr>
          <w:rFonts w:ascii="Times New Roman" w:hAnsi="Times New Roman" w:cs="Times New Roman"/>
        </w:rPr>
        <w:t xml:space="preserve">Mosquitoes: </w:t>
      </w:r>
      <w:r w:rsidR="00F03831" w:rsidRPr="00F03831">
        <w:rPr>
          <w:rFonts w:ascii="Times New Roman" w:hAnsi="Times New Roman" w:cs="Times New Roman"/>
        </w:rPr>
        <w:t>Choice of comparators for living modified mosquitoes containing engineered gene drives</w:t>
      </w:r>
    </w:p>
    <w:p w14:paraId="616F1D04" w14:textId="558537BE" w:rsidR="00F03831" w:rsidRDefault="00B83323" w:rsidP="00C0087B">
      <w:pPr>
        <w:rPr>
          <w:rFonts w:ascii="Times New Roman" w:hAnsi="Times New Roman" w:cs="Times New Roman"/>
        </w:rPr>
      </w:pPr>
      <w:r>
        <w:rPr>
          <w:rFonts w:ascii="Times New Roman" w:hAnsi="Times New Roman" w:cs="Times New Roman"/>
        </w:rPr>
        <w:t>……………………………………………………………………………………………………………</w:t>
      </w:r>
      <w:r w:rsidR="00D53E07">
        <w:rPr>
          <w:rFonts w:ascii="Times New Roman" w:hAnsi="Times New Roman" w:cs="Times New Roman"/>
        </w:rPr>
        <w:t xml:space="preserve"> </w:t>
      </w:r>
      <w:r w:rsidR="005C73EC">
        <w:rPr>
          <w:rFonts w:ascii="Times New Roman" w:hAnsi="Times New Roman" w:cs="Times New Roman"/>
        </w:rPr>
        <w:t>3</w:t>
      </w:r>
      <w:r w:rsidR="0082053D">
        <w:rPr>
          <w:rFonts w:ascii="Times New Roman" w:hAnsi="Times New Roman" w:cs="Times New Roman"/>
        </w:rPr>
        <w:t>8</w:t>
      </w:r>
    </w:p>
    <w:p w14:paraId="732E6A96" w14:textId="72B8623D" w:rsidR="00F03831" w:rsidRDefault="00C0087B" w:rsidP="00C0087B">
      <w:pPr>
        <w:rPr>
          <w:rFonts w:ascii="Times New Roman" w:hAnsi="Times New Roman" w:cs="Times New Roman"/>
        </w:rPr>
      </w:pPr>
      <w:r>
        <w:rPr>
          <w:rFonts w:ascii="Times New Roman" w:hAnsi="Times New Roman" w:cs="Times New Roman"/>
        </w:rPr>
        <w:t xml:space="preserve">Mosquitoes: </w:t>
      </w:r>
      <w:r w:rsidR="00F03831" w:rsidRPr="00F03831">
        <w:rPr>
          <w:rFonts w:ascii="Times New Roman" w:hAnsi="Times New Roman" w:cs="Times New Roman"/>
        </w:rPr>
        <w:t>Stepwise testing</w:t>
      </w:r>
      <w:r w:rsidR="005C73EC">
        <w:rPr>
          <w:rFonts w:ascii="Times New Roman" w:hAnsi="Times New Roman" w:cs="Times New Roman"/>
        </w:rPr>
        <w:t xml:space="preserve"> …………………………………………………………………………… </w:t>
      </w:r>
      <w:r w:rsidR="0082053D">
        <w:rPr>
          <w:rFonts w:ascii="Times New Roman" w:hAnsi="Times New Roman" w:cs="Times New Roman"/>
        </w:rPr>
        <w:t>40</w:t>
      </w:r>
    </w:p>
    <w:p w14:paraId="65AA2192" w14:textId="269DC5C8" w:rsidR="00F03831" w:rsidRDefault="00C0087B" w:rsidP="00C0087B">
      <w:pPr>
        <w:rPr>
          <w:rFonts w:ascii="Times New Roman" w:hAnsi="Times New Roman" w:cs="Times New Roman"/>
        </w:rPr>
      </w:pPr>
      <w:r>
        <w:rPr>
          <w:rFonts w:ascii="Times New Roman" w:hAnsi="Times New Roman" w:cs="Times New Roman"/>
        </w:rPr>
        <w:t xml:space="preserve">Mosquitoes: </w:t>
      </w:r>
      <w:r w:rsidR="00F03831" w:rsidRPr="00F03831">
        <w:rPr>
          <w:rFonts w:ascii="Times New Roman" w:hAnsi="Times New Roman" w:cs="Times New Roman"/>
        </w:rPr>
        <w:t>Risk management strategies</w:t>
      </w:r>
      <w:r w:rsidR="005C73EC">
        <w:rPr>
          <w:rFonts w:ascii="Times New Roman" w:hAnsi="Times New Roman" w:cs="Times New Roman"/>
        </w:rPr>
        <w:t xml:space="preserve"> ………………………………………………………………. </w:t>
      </w:r>
      <w:r w:rsidR="0082053D">
        <w:rPr>
          <w:rFonts w:ascii="Times New Roman" w:hAnsi="Times New Roman" w:cs="Times New Roman"/>
        </w:rPr>
        <w:t>43</w:t>
      </w:r>
    </w:p>
    <w:p w14:paraId="1618502C" w14:textId="0DB95ACF" w:rsidR="00356E86" w:rsidRDefault="00C0087B" w:rsidP="00C0087B">
      <w:pPr>
        <w:rPr>
          <w:rFonts w:ascii="Times New Roman" w:hAnsi="Times New Roman" w:cs="Times New Roman"/>
        </w:rPr>
      </w:pPr>
      <w:r>
        <w:rPr>
          <w:rFonts w:ascii="Times New Roman" w:hAnsi="Times New Roman" w:cs="Times New Roman"/>
        </w:rPr>
        <w:t xml:space="preserve">Mosquitoes: </w:t>
      </w:r>
      <w:r w:rsidR="00356E86">
        <w:rPr>
          <w:rFonts w:ascii="Times New Roman" w:hAnsi="Times New Roman" w:cs="Times New Roman"/>
        </w:rPr>
        <w:t>Considerations for monitoring</w:t>
      </w:r>
      <w:r w:rsidR="00B83323">
        <w:rPr>
          <w:rFonts w:ascii="Times New Roman" w:hAnsi="Times New Roman" w:cs="Times New Roman"/>
        </w:rPr>
        <w:t xml:space="preserve"> ……………………………………………………………. 4</w:t>
      </w:r>
      <w:r w:rsidR="0082053D">
        <w:rPr>
          <w:rFonts w:ascii="Times New Roman" w:hAnsi="Times New Roman" w:cs="Times New Roman"/>
        </w:rPr>
        <w:t>5</w:t>
      </w:r>
    </w:p>
    <w:p w14:paraId="0FFACDBC" w14:textId="1ADD5FD0" w:rsidR="00C0087B" w:rsidRDefault="00C0087B" w:rsidP="00C0087B">
      <w:pPr>
        <w:rPr>
          <w:rFonts w:ascii="Times New Roman" w:hAnsi="Times New Roman" w:cs="Times New Roman"/>
        </w:rPr>
      </w:pPr>
      <w:r w:rsidRPr="00C0087B">
        <w:rPr>
          <w:rFonts w:ascii="Times New Roman" w:hAnsi="Times New Roman" w:cs="Times New Roman"/>
        </w:rPr>
        <w:t>Mosquitoes:</w:t>
      </w:r>
      <w:r>
        <w:rPr>
          <w:rFonts w:ascii="Times New Roman" w:hAnsi="Times New Roman" w:cs="Times New Roman"/>
        </w:rPr>
        <w:t xml:space="preserve"> </w:t>
      </w:r>
      <w:r w:rsidRPr="00C0087B">
        <w:rPr>
          <w:rFonts w:ascii="Times New Roman" w:hAnsi="Times New Roman" w:cs="Times New Roman"/>
        </w:rPr>
        <w:t>Specific guidance for the monitoring of releases of living modified mosquitoes containing engineered gene drives</w:t>
      </w:r>
      <w:r w:rsidR="00B83323">
        <w:rPr>
          <w:rFonts w:ascii="Times New Roman" w:hAnsi="Times New Roman" w:cs="Times New Roman"/>
        </w:rPr>
        <w:t xml:space="preserve"> …………………………………………………………………………………. 4</w:t>
      </w:r>
      <w:r w:rsidR="0082053D">
        <w:rPr>
          <w:rFonts w:ascii="Times New Roman" w:hAnsi="Times New Roman" w:cs="Times New Roman"/>
        </w:rPr>
        <w:t>7</w:t>
      </w:r>
    </w:p>
    <w:p w14:paraId="62D804FE" w14:textId="77777777" w:rsidR="00F03831" w:rsidRDefault="00F03831" w:rsidP="00F60177">
      <w:pPr>
        <w:rPr>
          <w:rFonts w:ascii="Times New Roman" w:hAnsi="Times New Roman" w:cs="Times New Roman"/>
        </w:rPr>
      </w:pPr>
    </w:p>
    <w:p w14:paraId="5529CE91" w14:textId="77777777" w:rsidR="00F03831" w:rsidRDefault="00F03831" w:rsidP="00F60177">
      <w:pPr>
        <w:rPr>
          <w:rFonts w:ascii="Times New Roman" w:hAnsi="Times New Roman" w:cs="Times New Roman"/>
        </w:rPr>
      </w:pPr>
    </w:p>
    <w:p w14:paraId="733A408D" w14:textId="77777777" w:rsidR="00F03831" w:rsidRDefault="00F03831" w:rsidP="00F60177">
      <w:pPr>
        <w:rPr>
          <w:rFonts w:ascii="Times New Roman" w:hAnsi="Times New Roman" w:cs="Times New Roman"/>
        </w:rPr>
      </w:pPr>
    </w:p>
    <w:p w14:paraId="54192089" w14:textId="77777777" w:rsidR="00F03831" w:rsidRDefault="00F03831" w:rsidP="00F60177">
      <w:pPr>
        <w:rPr>
          <w:rFonts w:ascii="Times New Roman" w:hAnsi="Times New Roman" w:cs="Times New Roman"/>
        </w:rPr>
      </w:pPr>
    </w:p>
    <w:p w14:paraId="54493221" w14:textId="77777777" w:rsidR="009326C9" w:rsidRPr="009326C9" w:rsidRDefault="009326C9" w:rsidP="00F60177">
      <w:pPr>
        <w:rPr>
          <w:rFonts w:ascii="Times New Roman" w:hAnsi="Times New Roman" w:cs="Times New Roman"/>
        </w:rPr>
      </w:pPr>
    </w:p>
    <w:p w14:paraId="2346DF56" w14:textId="2F5149BC" w:rsidR="0062195E" w:rsidRDefault="0062195E" w:rsidP="00845AD8">
      <w:pPr>
        <w:pStyle w:val="Heading1"/>
        <w:pageBreakBefore/>
        <w:spacing w:line="276" w:lineRule="auto"/>
        <w:rPr>
          <w:rFonts w:ascii="Times New Roman" w:hAnsi="Times New Roman" w:cs="Times New Roman"/>
          <w:b/>
          <w:color w:val="auto"/>
          <w:sz w:val="28"/>
          <w:szCs w:val="28"/>
          <w:lang w:val="en-GB"/>
        </w:rPr>
      </w:pPr>
      <w:bookmarkStart w:id="4" w:name="_Toc161220473"/>
      <w:r w:rsidRPr="00845AD8">
        <w:rPr>
          <w:rFonts w:ascii="Times New Roman" w:hAnsi="Times New Roman" w:cs="Times New Roman"/>
          <w:b/>
          <w:color w:val="auto"/>
          <w:sz w:val="28"/>
          <w:szCs w:val="28"/>
          <w:lang w:val="en-GB"/>
        </w:rPr>
        <w:lastRenderedPageBreak/>
        <w:t>Acknowledgements</w:t>
      </w:r>
      <w:bookmarkEnd w:id="4"/>
      <w:r w:rsidRPr="00845AD8">
        <w:rPr>
          <w:rFonts w:ascii="Times New Roman" w:hAnsi="Times New Roman" w:cs="Times New Roman"/>
          <w:b/>
          <w:color w:val="auto"/>
          <w:sz w:val="28"/>
          <w:szCs w:val="28"/>
          <w:lang w:val="en-GB"/>
        </w:rPr>
        <w:t xml:space="preserve"> </w:t>
      </w:r>
    </w:p>
    <w:p w14:paraId="2DB1D0A0" w14:textId="4CB37566" w:rsidR="00BD3D1D" w:rsidRDefault="00BD3D1D" w:rsidP="00BD3D1D">
      <w:pPr>
        <w:rPr>
          <w:rFonts w:ascii="Times New Roman" w:hAnsi="Times New Roman" w:cs="Times New Roman"/>
        </w:rPr>
      </w:pPr>
      <w:r w:rsidRPr="00BD3D1D">
        <w:rPr>
          <w:rFonts w:ascii="Times New Roman" w:hAnsi="Times New Roman" w:cs="Times New Roman"/>
        </w:rPr>
        <w:t>The work underlying this document was kindly supported by grants from the</w:t>
      </w:r>
      <w:r>
        <w:rPr>
          <w:rFonts w:ascii="Times New Roman" w:hAnsi="Times New Roman" w:cs="Times New Roman"/>
        </w:rPr>
        <w:t xml:space="preserve"> European Union and</w:t>
      </w:r>
      <w:r w:rsidRPr="00BD3D1D">
        <w:rPr>
          <w:rFonts w:ascii="Times New Roman" w:hAnsi="Times New Roman" w:cs="Times New Roman"/>
        </w:rPr>
        <w:t xml:space="preserve"> Government of </w:t>
      </w:r>
      <w:r>
        <w:rPr>
          <w:rFonts w:ascii="Times New Roman" w:hAnsi="Times New Roman" w:cs="Times New Roman"/>
        </w:rPr>
        <w:t>Finland</w:t>
      </w:r>
      <w:r w:rsidRPr="00BD3D1D">
        <w:rPr>
          <w:rFonts w:ascii="Times New Roman" w:hAnsi="Times New Roman" w:cs="Times New Roman"/>
        </w:rPr>
        <w:t>.</w:t>
      </w:r>
    </w:p>
    <w:p w14:paraId="2799F3C8" w14:textId="75FD01BD" w:rsidR="00504D2C" w:rsidRDefault="00504D2C" w:rsidP="00BD3D1D">
      <w:pPr>
        <w:rPr>
          <w:rFonts w:ascii="Times New Roman" w:hAnsi="Times New Roman" w:cs="Times New Roman"/>
        </w:rPr>
      </w:pPr>
      <w:r>
        <w:rPr>
          <w:rFonts w:ascii="Times New Roman" w:hAnsi="Times New Roman" w:cs="Times New Roman"/>
        </w:rPr>
        <w:t xml:space="preserve">The Secretariat would also like to thank the members of the Ad Hoc Technical Expert Group on Risk Assessment for their </w:t>
      </w:r>
      <w:r w:rsidR="00DF3C70">
        <w:rPr>
          <w:rFonts w:ascii="Times New Roman" w:hAnsi="Times New Roman" w:cs="Times New Roman"/>
        </w:rPr>
        <w:t>extensive inputs on the detailed outline and drafting of this document.</w:t>
      </w:r>
    </w:p>
    <w:p w14:paraId="0239BB2A" w14:textId="77777777" w:rsidR="00DD7AFB" w:rsidRPr="009467C1" w:rsidRDefault="00DD7AFB" w:rsidP="0080679A">
      <w:pPr>
        <w:pStyle w:val="Heading1"/>
        <w:pageBreakBefore/>
        <w:ind w:left="562" w:hanging="562"/>
        <w:jc w:val="left"/>
        <w:rPr>
          <w:rFonts w:ascii="Times New Roman" w:hAnsi="Times New Roman"/>
          <w:b/>
          <w:bCs/>
          <w:color w:val="auto"/>
          <w:kern w:val="2"/>
          <w:sz w:val="28"/>
          <w:lang w:val="en-CA"/>
        </w:rPr>
      </w:pPr>
      <w:bookmarkStart w:id="5" w:name="_Toc2"/>
      <w:bookmarkStart w:id="6" w:name="_Toc161220474"/>
      <w:bookmarkStart w:id="7" w:name="_Toc1"/>
      <w:r w:rsidRPr="009467C1">
        <w:rPr>
          <w:rFonts w:ascii="Times New Roman" w:hAnsi="Times New Roman"/>
          <w:b/>
          <w:bCs/>
          <w:color w:val="auto"/>
          <w:kern w:val="2"/>
          <w:sz w:val="28"/>
          <w:lang w:val="en-CA"/>
        </w:rPr>
        <w:lastRenderedPageBreak/>
        <w:t>1. Objective and scope</w:t>
      </w:r>
      <w:bookmarkEnd w:id="5"/>
      <w:bookmarkEnd w:id="6"/>
    </w:p>
    <w:p w14:paraId="7BCDEE08" w14:textId="3A92CD9A" w:rsidR="00DD7AFB" w:rsidRPr="00BB5241" w:rsidRDefault="00DD7AFB" w:rsidP="00212686">
      <w:pPr>
        <w:spacing w:line="276" w:lineRule="auto"/>
        <w:jc w:val="both"/>
        <w:rPr>
          <w:rFonts w:ascii="Times New Roman" w:hAnsi="Times New Roman" w:cs="Times New Roman"/>
        </w:rPr>
      </w:pPr>
      <w:r w:rsidRPr="00BB5241">
        <w:rPr>
          <w:rFonts w:ascii="Times New Roman" w:hAnsi="Times New Roman" w:cs="Times New Roman"/>
        </w:rPr>
        <w:t xml:space="preserve">In its decision </w:t>
      </w:r>
      <w:hyperlink r:id="rId18" w:history="1">
        <w:r w:rsidRPr="003B0D1E">
          <w:rPr>
            <w:rStyle w:val="Hyperlink"/>
            <w:rFonts w:ascii="Times New Roman" w:hAnsi="Times New Roman" w:cs="Times New Roman"/>
          </w:rPr>
          <w:t>CP-10/10</w:t>
        </w:r>
      </w:hyperlink>
      <w:r w:rsidRPr="00BB5241">
        <w:rPr>
          <w:rFonts w:ascii="Times New Roman" w:hAnsi="Times New Roman" w:cs="Times New Roman"/>
        </w:rPr>
        <w:t xml:space="preserve">, the Conference of the Parties serving as the meeting of the Parties to the Cartagena Protocol on Biosafety agreed to develop additional voluntary guidance materials to support </w:t>
      </w:r>
      <w:r w:rsidR="00052D7B" w:rsidRPr="00BB5241">
        <w:rPr>
          <w:rFonts w:ascii="Times New Roman" w:hAnsi="Times New Roman" w:cs="Times New Roman"/>
        </w:rPr>
        <w:t xml:space="preserve">the </w:t>
      </w:r>
      <w:r w:rsidRPr="00BB5241">
        <w:rPr>
          <w:rFonts w:ascii="Times New Roman" w:hAnsi="Times New Roman" w:cs="Times New Roman"/>
        </w:rPr>
        <w:t>case-by-case risk assessment</w:t>
      </w:r>
      <w:r w:rsidR="00E34187">
        <w:rPr>
          <w:rFonts w:ascii="Times New Roman" w:hAnsi="Times New Roman" w:cs="Times New Roman"/>
        </w:rPr>
        <w:t>s</w:t>
      </w:r>
      <w:r w:rsidRPr="00BB5241">
        <w:rPr>
          <w:rFonts w:ascii="Times New Roman" w:hAnsi="Times New Roman" w:cs="Times New Roman"/>
        </w:rPr>
        <w:t xml:space="preserve"> of </w:t>
      </w:r>
      <w:r w:rsidR="001936F6" w:rsidRPr="00BB5241">
        <w:rPr>
          <w:rFonts w:ascii="Times New Roman" w:hAnsi="Times New Roman" w:cs="Times New Roman"/>
        </w:rPr>
        <w:t>living modified organisms</w:t>
      </w:r>
      <w:r w:rsidR="00BB31CC" w:rsidRPr="00BB5241">
        <w:rPr>
          <w:rFonts w:ascii="Times New Roman" w:hAnsi="Times New Roman" w:cs="Times New Roman"/>
        </w:rPr>
        <w:t xml:space="preserve"> (LMOs)</w:t>
      </w:r>
      <w:r w:rsidR="001936F6" w:rsidRPr="00BB5241">
        <w:rPr>
          <w:rFonts w:ascii="Times New Roman" w:hAnsi="Times New Roman" w:cs="Times New Roman"/>
        </w:rPr>
        <w:t xml:space="preserve"> containing engineered gene drives</w:t>
      </w:r>
      <w:r w:rsidR="001936F6" w:rsidRPr="00BB5241">
        <w:rPr>
          <w:rFonts w:ascii="Times New Roman" w:hAnsi="Times New Roman" w:cs="Times New Roman"/>
          <w:b/>
        </w:rPr>
        <w:t xml:space="preserve"> (</w:t>
      </w:r>
      <w:r w:rsidR="00BB31CC" w:rsidRPr="00BB5241">
        <w:rPr>
          <w:rFonts w:ascii="Times New Roman" w:hAnsi="Times New Roman" w:cs="Times New Roman"/>
          <w:bCs/>
        </w:rPr>
        <w:t>EGDs;</w:t>
      </w:r>
      <w:r w:rsidR="00BB31CC" w:rsidRPr="00BB5241">
        <w:rPr>
          <w:rFonts w:ascii="Times New Roman" w:hAnsi="Times New Roman" w:cs="Times New Roman"/>
          <w:b/>
        </w:rPr>
        <w:t xml:space="preserve"> </w:t>
      </w:r>
      <w:r w:rsidR="001936F6" w:rsidRPr="00BB5241">
        <w:rPr>
          <w:rFonts w:ascii="Times New Roman" w:hAnsi="Times New Roman" w:cs="Times New Roman"/>
        </w:rPr>
        <w:t>EGD-LMOs</w:t>
      </w:r>
      <w:r w:rsidR="001936F6" w:rsidRPr="00BB5241">
        <w:rPr>
          <w:rFonts w:ascii="Times New Roman" w:hAnsi="Times New Roman" w:cs="Times New Roman"/>
          <w:b/>
        </w:rPr>
        <w:t>)</w:t>
      </w:r>
      <w:r w:rsidR="001936F6" w:rsidRPr="00BB5241">
        <w:rPr>
          <w:rFonts w:ascii="Times New Roman" w:hAnsi="Times New Roman" w:cs="Times New Roman"/>
        </w:rPr>
        <w:t xml:space="preserve"> </w:t>
      </w:r>
      <w:r w:rsidRPr="00BB5241">
        <w:rPr>
          <w:rFonts w:ascii="Times New Roman" w:hAnsi="Times New Roman" w:cs="Times New Roman"/>
        </w:rPr>
        <w:t>in accordance with annex III to the Protocol</w:t>
      </w:r>
      <w:r w:rsidR="003A1E58" w:rsidRPr="00BB5241">
        <w:rPr>
          <w:rFonts w:ascii="Times New Roman" w:hAnsi="Times New Roman" w:cs="Times New Roman"/>
        </w:rPr>
        <w:t>.</w:t>
      </w:r>
      <w:r w:rsidRPr="00BB5241">
        <w:rPr>
          <w:rStyle w:val="FootnoteReference"/>
          <w:rFonts w:ascii="Times New Roman" w:hAnsi="Times New Roman" w:cs="Times New Roman"/>
        </w:rPr>
        <w:footnoteReference w:id="3"/>
      </w:r>
      <w:r w:rsidR="003A1E58" w:rsidRPr="00BB5241">
        <w:rPr>
          <w:rFonts w:ascii="Times New Roman" w:hAnsi="Times New Roman" w:cs="Times New Roman"/>
          <w:vertAlign w:val="superscript"/>
        </w:rPr>
        <w:t xml:space="preserve">, </w:t>
      </w:r>
      <w:r w:rsidRPr="00BB5241">
        <w:rPr>
          <w:rStyle w:val="FootnoteReference"/>
          <w:rFonts w:ascii="Times New Roman" w:hAnsi="Times New Roman" w:cs="Times New Roman"/>
        </w:rPr>
        <w:footnoteReference w:id="4"/>
      </w:r>
      <w:r w:rsidRPr="00BB5241">
        <w:rPr>
          <w:rFonts w:ascii="Times New Roman" w:hAnsi="Times New Roman" w:cs="Times New Roman"/>
        </w:rPr>
        <w:t xml:space="preserve"> The Conference of the Parties decided that this material should have a special focus on living modified mosquitoes (LMMs) that contain an EGD (E</w:t>
      </w:r>
      <w:r w:rsidR="00F85ABF">
        <w:rPr>
          <w:rFonts w:ascii="Times New Roman" w:hAnsi="Times New Roman" w:cs="Times New Roman"/>
        </w:rPr>
        <w:t>GD</w:t>
      </w:r>
      <w:r w:rsidRPr="00BB5241">
        <w:rPr>
          <w:rFonts w:ascii="Times New Roman" w:hAnsi="Times New Roman" w:cs="Times New Roman"/>
        </w:rPr>
        <w:t>-LMMs) taking into account</w:t>
      </w:r>
      <w:r w:rsidR="00D42051" w:rsidRPr="00BB5241">
        <w:rPr>
          <w:rFonts w:ascii="Times New Roman" w:hAnsi="Times New Roman" w:cs="Times New Roman"/>
        </w:rPr>
        <w:t xml:space="preserve"> </w:t>
      </w:r>
      <w:r w:rsidRPr="00BB5241">
        <w:rPr>
          <w:rFonts w:ascii="Times New Roman" w:hAnsi="Times New Roman" w:cs="Times New Roman"/>
        </w:rPr>
        <w:t xml:space="preserve"> the current experience with the organism, the type of EGD and specific issues of risk assessment identified in </w:t>
      </w:r>
      <w:r w:rsidR="008A007F" w:rsidRPr="00BB5241">
        <w:rPr>
          <w:rFonts w:ascii="Times New Roman" w:hAnsi="Times New Roman" w:cs="Times New Roman"/>
        </w:rPr>
        <w:t>annex</w:t>
      </w:r>
      <w:r w:rsidRPr="00BB5241">
        <w:rPr>
          <w:rFonts w:ascii="Times New Roman" w:hAnsi="Times New Roman" w:cs="Times New Roman"/>
        </w:rPr>
        <w:t xml:space="preserve"> I to decision </w:t>
      </w:r>
      <w:hyperlink r:id="rId19" w:history="1">
        <w:r w:rsidRPr="008B2F59">
          <w:rPr>
            <w:rStyle w:val="Hyperlink"/>
            <w:rFonts w:ascii="Times New Roman" w:hAnsi="Times New Roman" w:cs="Times New Roman"/>
          </w:rPr>
          <w:t>CP-9/13</w:t>
        </w:r>
      </w:hyperlink>
      <w:r w:rsidRPr="00BB5241">
        <w:rPr>
          <w:rFonts w:ascii="Times New Roman" w:hAnsi="Times New Roman" w:cs="Times New Roman"/>
        </w:rPr>
        <w:t xml:space="preserve">, including existing reports, general considerations of EGD-LMOs and existing national and regional risk assessment experiences. </w:t>
      </w:r>
      <w:r w:rsidR="00C931FD" w:rsidRPr="00BB5241">
        <w:rPr>
          <w:rFonts w:ascii="Times New Roman" w:hAnsi="Times New Roman" w:cs="Times New Roman"/>
        </w:rPr>
        <w:t>D</w:t>
      </w:r>
      <w:r w:rsidRPr="00BB5241">
        <w:rPr>
          <w:rFonts w:ascii="Times New Roman" w:hAnsi="Times New Roman" w:cs="Times New Roman"/>
        </w:rPr>
        <w:t xml:space="preserve">ecision </w:t>
      </w:r>
      <w:hyperlink r:id="rId20" w:history="1">
        <w:r w:rsidR="00C931FD" w:rsidRPr="003B0D1E">
          <w:rPr>
            <w:rStyle w:val="Hyperlink"/>
            <w:rFonts w:ascii="Times New Roman" w:hAnsi="Times New Roman" w:cs="Times New Roman"/>
          </w:rPr>
          <w:t>CP-10/10</w:t>
        </w:r>
      </w:hyperlink>
      <w:r w:rsidR="00C931FD" w:rsidRPr="00BB5241">
        <w:rPr>
          <w:rFonts w:ascii="Times New Roman" w:hAnsi="Times New Roman" w:cs="Times New Roman"/>
        </w:rPr>
        <w:t xml:space="preserve"> </w:t>
      </w:r>
      <w:r w:rsidRPr="00BB5241">
        <w:rPr>
          <w:rFonts w:ascii="Times New Roman" w:hAnsi="Times New Roman" w:cs="Times New Roman"/>
        </w:rPr>
        <w:t xml:space="preserve">also established an </w:t>
      </w:r>
      <w:r w:rsidRPr="006A4F12">
        <w:rPr>
          <w:rFonts w:ascii="Times New Roman" w:hAnsi="Times New Roman" w:cs="Times New Roman"/>
        </w:rPr>
        <w:t>Ad Hoc</w:t>
      </w:r>
      <w:r w:rsidRPr="00BB5241">
        <w:rPr>
          <w:rFonts w:ascii="Times New Roman" w:hAnsi="Times New Roman" w:cs="Times New Roman"/>
        </w:rPr>
        <w:t xml:space="preserve"> Technical Expert Group (AHTEG) on risk assessment </w:t>
      </w:r>
      <w:r w:rsidR="003805C5" w:rsidRPr="00BB5241">
        <w:rPr>
          <w:rFonts w:ascii="Times New Roman" w:hAnsi="Times New Roman" w:cs="Times New Roman"/>
        </w:rPr>
        <w:t xml:space="preserve">that is responsible </w:t>
      </w:r>
      <w:r w:rsidRPr="00BB5241">
        <w:rPr>
          <w:rFonts w:ascii="Times New Roman" w:hAnsi="Times New Roman" w:cs="Times New Roman"/>
        </w:rPr>
        <w:t>to develop the addition</w:t>
      </w:r>
      <w:r w:rsidR="003304F3" w:rsidRPr="00BB5241">
        <w:rPr>
          <w:rFonts w:ascii="Times New Roman" w:hAnsi="Times New Roman" w:cs="Times New Roman"/>
        </w:rPr>
        <w:t>al voluntary guidance materials</w:t>
      </w:r>
      <w:r w:rsidRPr="00BB5241">
        <w:rPr>
          <w:rFonts w:ascii="Times New Roman" w:hAnsi="Times New Roman" w:cs="Times New Roman"/>
        </w:rPr>
        <w:t xml:space="preserve"> and requested the convening of the Online Forum on Risk Assessment and Risk Management to contribute to this process. The Subsidiary Body on Scientific, Technical and Technological Advice will consider the draft guidance materials prepared by the AHTEG</w:t>
      </w:r>
      <w:r w:rsidR="003E3DB6" w:rsidRPr="00BB5241">
        <w:rPr>
          <w:rFonts w:ascii="Times New Roman" w:hAnsi="Times New Roman" w:cs="Times New Roman"/>
        </w:rPr>
        <w:t xml:space="preserve"> at its twenty-sixth meeting (13–18 May </w:t>
      </w:r>
      <w:r w:rsidR="00ED0E1B" w:rsidRPr="00BB5241">
        <w:rPr>
          <w:rFonts w:ascii="Times New Roman" w:hAnsi="Times New Roman" w:cs="Times New Roman"/>
        </w:rPr>
        <w:t>202</w:t>
      </w:r>
      <w:r w:rsidR="00ED0E1B">
        <w:rPr>
          <w:rFonts w:ascii="Times New Roman" w:hAnsi="Times New Roman" w:cs="Times New Roman"/>
        </w:rPr>
        <w:t>4</w:t>
      </w:r>
      <w:r w:rsidR="003E3DB6" w:rsidRPr="00BB5241">
        <w:rPr>
          <w:rFonts w:ascii="Times New Roman" w:hAnsi="Times New Roman" w:cs="Times New Roman"/>
        </w:rPr>
        <w:t>)</w:t>
      </w:r>
      <w:r w:rsidRPr="00BB5241">
        <w:rPr>
          <w:rFonts w:ascii="Times New Roman" w:hAnsi="Times New Roman" w:cs="Times New Roman"/>
        </w:rPr>
        <w:t xml:space="preserve">. </w:t>
      </w:r>
    </w:p>
    <w:p w14:paraId="26319675" w14:textId="132E0AFE" w:rsidR="00DD7AFB" w:rsidRPr="00BB5241" w:rsidRDefault="00DD7AFB" w:rsidP="00212686">
      <w:pPr>
        <w:spacing w:line="276" w:lineRule="auto"/>
        <w:jc w:val="both"/>
        <w:rPr>
          <w:rFonts w:ascii="Times New Roman" w:hAnsi="Times New Roman" w:cs="Times New Roman"/>
        </w:rPr>
      </w:pPr>
      <w:r w:rsidRPr="00BB5241">
        <w:rPr>
          <w:rFonts w:ascii="Times New Roman" w:hAnsi="Times New Roman" w:cs="Times New Roman"/>
        </w:rPr>
        <w:t xml:space="preserve">As a response, and with the financial support of the Government of Finland and the European Union, the Secretariat of the Convention on Biological Diversity commissioned the International Centre for Genetic Engineering and Biotechnology (ICGEB) to develop a </w:t>
      </w:r>
      <w:r w:rsidR="001936F6" w:rsidRPr="00BB5241">
        <w:rPr>
          <w:rFonts w:ascii="Times New Roman" w:hAnsi="Times New Roman" w:cs="Times New Roman"/>
        </w:rPr>
        <w:t xml:space="preserve">detailed </w:t>
      </w:r>
      <w:r w:rsidRPr="00BB5241">
        <w:rPr>
          <w:rFonts w:ascii="Times New Roman" w:hAnsi="Times New Roman" w:cs="Times New Roman"/>
        </w:rPr>
        <w:t xml:space="preserve">outline to support the development of the </w:t>
      </w:r>
      <w:r w:rsidR="00EC2B6A">
        <w:rPr>
          <w:rFonts w:ascii="Times New Roman" w:hAnsi="Times New Roman" w:cs="Times New Roman"/>
        </w:rPr>
        <w:t>a</w:t>
      </w:r>
      <w:r w:rsidR="00B834D9">
        <w:rPr>
          <w:rFonts w:ascii="Times New Roman" w:hAnsi="Times New Roman" w:cs="Times New Roman"/>
        </w:rPr>
        <w:t>dditional voluntary</w:t>
      </w:r>
      <w:r w:rsidRPr="00BB5241">
        <w:rPr>
          <w:rFonts w:ascii="Times New Roman" w:hAnsi="Times New Roman" w:cs="Times New Roman"/>
        </w:rPr>
        <w:t xml:space="preserve"> guidance materials </w:t>
      </w:r>
      <w:r w:rsidR="00945151" w:rsidRPr="00BB5241">
        <w:rPr>
          <w:rFonts w:ascii="Times New Roman" w:hAnsi="Times New Roman" w:cs="Times New Roman"/>
        </w:rPr>
        <w:t xml:space="preserve">on </w:t>
      </w:r>
      <w:r w:rsidRPr="00BB5241">
        <w:rPr>
          <w:rFonts w:ascii="Times New Roman" w:hAnsi="Times New Roman" w:cs="Times New Roman"/>
        </w:rPr>
        <w:t xml:space="preserve">the risk assessment of EGD-LMOs. </w:t>
      </w:r>
      <w:r w:rsidR="00F12F03" w:rsidRPr="00BB5241">
        <w:rPr>
          <w:rFonts w:ascii="Times New Roman" w:hAnsi="Times New Roman" w:cs="Times New Roman"/>
        </w:rPr>
        <w:t xml:space="preserve">The AHTEG revised the outline, then developed the detailed content of the guidance materials. </w:t>
      </w:r>
      <w:r w:rsidRPr="00BB5241">
        <w:rPr>
          <w:rFonts w:ascii="Times New Roman" w:hAnsi="Times New Roman" w:cs="Times New Roman"/>
        </w:rPr>
        <w:t xml:space="preserve">The objective </w:t>
      </w:r>
      <w:r w:rsidR="00156937">
        <w:rPr>
          <w:rFonts w:ascii="Times New Roman" w:hAnsi="Times New Roman" w:cs="Times New Roman"/>
        </w:rPr>
        <w:t>i</w:t>
      </w:r>
      <w:r w:rsidRPr="00BB5241">
        <w:rPr>
          <w:rFonts w:ascii="Times New Roman" w:hAnsi="Times New Roman" w:cs="Times New Roman"/>
        </w:rPr>
        <w:t>s to facilitate a case-by-case risk assessment process for EGD-LMOs, thereby complementing annex III and existing guidelines, while considering the established roadmap.</w:t>
      </w:r>
      <w:r w:rsidRPr="00BB5241">
        <w:rPr>
          <w:rStyle w:val="FootnoteReference"/>
          <w:rFonts w:ascii="Times New Roman" w:hAnsi="Times New Roman" w:cs="Times New Roman"/>
        </w:rPr>
        <w:footnoteReference w:id="5"/>
      </w:r>
      <w:r w:rsidRPr="00BB5241">
        <w:rPr>
          <w:rStyle w:val="FootnoteReference"/>
          <w:rFonts w:ascii="Times New Roman" w:hAnsi="Times New Roman" w:cs="Times New Roman"/>
          <w:vertAlign w:val="baseline"/>
        </w:rPr>
        <w:t xml:space="preserve"> </w:t>
      </w:r>
    </w:p>
    <w:p w14:paraId="36B69351" w14:textId="5695DA62" w:rsidR="00332946" w:rsidRPr="00BB5241" w:rsidRDefault="00332946" w:rsidP="00332946">
      <w:pPr>
        <w:pStyle w:val="Heading2"/>
        <w:spacing w:line="276" w:lineRule="auto"/>
        <w:rPr>
          <w:rFonts w:ascii="Times New Roman" w:hAnsi="Times New Roman" w:cs="Times New Roman"/>
          <w:b/>
          <w:bCs/>
          <w:color w:val="auto"/>
          <w:lang w:val="en-GB"/>
        </w:rPr>
      </w:pPr>
      <w:bookmarkStart w:id="8" w:name="_Toc161220475"/>
      <w:r w:rsidRPr="00BB5241">
        <w:rPr>
          <w:rFonts w:ascii="Times New Roman" w:hAnsi="Times New Roman" w:cs="Times New Roman"/>
          <w:b/>
          <w:bCs/>
          <w:color w:val="auto"/>
          <w:sz w:val="24"/>
          <w:szCs w:val="24"/>
          <w:lang w:val="en-GB"/>
        </w:rPr>
        <w:t>1.1. Structure</w:t>
      </w:r>
      <w:bookmarkEnd w:id="8"/>
    </w:p>
    <w:p w14:paraId="3351CEC8" w14:textId="152E88E2" w:rsidR="005E1BAC" w:rsidRPr="002920EA" w:rsidRDefault="005E1BAC" w:rsidP="002920EA">
      <w:pPr>
        <w:spacing w:line="276" w:lineRule="auto"/>
        <w:jc w:val="both"/>
        <w:rPr>
          <w:rFonts w:ascii="Times New Roman" w:hAnsi="Times New Roman" w:cs="Times New Roman"/>
        </w:rPr>
      </w:pPr>
      <w:r w:rsidRPr="002920EA">
        <w:rPr>
          <w:rFonts w:ascii="Times New Roman" w:hAnsi="Times New Roman" w:cs="Times New Roman"/>
        </w:rPr>
        <w:t xml:space="preserve">The </w:t>
      </w:r>
      <w:r w:rsidR="00B84740" w:rsidRPr="002920EA">
        <w:rPr>
          <w:rFonts w:ascii="Times New Roman" w:hAnsi="Times New Roman" w:cs="Times New Roman"/>
        </w:rPr>
        <w:t xml:space="preserve">additional voluntary </w:t>
      </w:r>
      <w:r w:rsidRPr="002920EA">
        <w:rPr>
          <w:rFonts w:ascii="Times New Roman" w:hAnsi="Times New Roman" w:cs="Times New Roman"/>
        </w:rPr>
        <w:t>guidance</w:t>
      </w:r>
      <w:r w:rsidR="00B84740" w:rsidRPr="002920EA">
        <w:rPr>
          <w:rFonts w:ascii="Times New Roman" w:hAnsi="Times New Roman" w:cs="Times New Roman"/>
        </w:rPr>
        <w:t xml:space="preserve"> materials</w:t>
      </w:r>
      <w:r w:rsidRPr="002920EA">
        <w:rPr>
          <w:rFonts w:ascii="Times New Roman" w:hAnsi="Times New Roman" w:cs="Times New Roman"/>
        </w:rPr>
        <w:t xml:space="preserve"> </w:t>
      </w:r>
      <w:r w:rsidR="00B84740" w:rsidRPr="002920EA">
        <w:rPr>
          <w:rFonts w:ascii="Times New Roman" w:hAnsi="Times New Roman" w:cs="Times New Roman"/>
        </w:rPr>
        <w:t>are</w:t>
      </w:r>
      <w:r w:rsidRPr="002920EA">
        <w:rPr>
          <w:rFonts w:ascii="Times New Roman" w:hAnsi="Times New Roman" w:cs="Times New Roman"/>
        </w:rPr>
        <w:t xml:space="preserve"> developed in accordance with annex III to the Cartagena Protocol on Biosafety, </w:t>
      </w:r>
      <w:proofErr w:type="gramStart"/>
      <w:r w:rsidRPr="002920EA">
        <w:rPr>
          <w:rFonts w:ascii="Times New Roman" w:hAnsi="Times New Roman" w:cs="Times New Roman"/>
        </w:rPr>
        <w:t>in particular with</w:t>
      </w:r>
      <w:proofErr w:type="gramEnd"/>
      <w:r w:rsidRPr="002920EA">
        <w:rPr>
          <w:rFonts w:ascii="Times New Roman" w:hAnsi="Times New Roman" w:cs="Times New Roman"/>
        </w:rPr>
        <w:t xml:space="preserve"> its paragraph 8, which outlines the sequential steps of the risk assessment process. </w:t>
      </w:r>
    </w:p>
    <w:p w14:paraId="666BF035" w14:textId="2F7659BC" w:rsidR="00FC2CCE" w:rsidRPr="002920EA" w:rsidRDefault="00E77F91" w:rsidP="4644E7B5">
      <w:pPr>
        <w:spacing w:line="276" w:lineRule="auto"/>
        <w:jc w:val="both"/>
        <w:rPr>
          <w:rFonts w:ascii="Times New Roman" w:hAnsi="Times New Roman" w:cs="Times New Roman"/>
        </w:rPr>
      </w:pPr>
      <w:r w:rsidRPr="002920EA">
        <w:rPr>
          <w:rFonts w:ascii="Times New Roman" w:hAnsi="Times New Roman" w:cs="Times New Roman"/>
        </w:rPr>
        <w:t>These materials</w:t>
      </w:r>
      <w:r w:rsidR="00FC2CCE" w:rsidRPr="002920EA">
        <w:rPr>
          <w:rFonts w:ascii="Times New Roman" w:hAnsi="Times New Roman" w:cs="Times New Roman"/>
        </w:rPr>
        <w:t xml:space="preserve"> are structured </w:t>
      </w:r>
      <w:r w:rsidRPr="002920EA">
        <w:rPr>
          <w:rFonts w:ascii="Times New Roman" w:hAnsi="Times New Roman" w:cs="Times New Roman"/>
        </w:rPr>
        <w:t>into</w:t>
      </w:r>
      <w:r w:rsidR="00FC2CCE" w:rsidRPr="002920EA">
        <w:rPr>
          <w:rFonts w:ascii="Times New Roman" w:hAnsi="Times New Roman" w:cs="Times New Roman"/>
        </w:rPr>
        <w:t xml:space="preserve"> the following sections: </w:t>
      </w:r>
    </w:p>
    <w:p w14:paraId="55EB1252" w14:textId="3C2F217B" w:rsidR="00FC2CCE" w:rsidRPr="00B7386D" w:rsidRDefault="00FC2CCE" w:rsidP="005E4B07">
      <w:pPr>
        <w:pStyle w:val="ListParagraph"/>
        <w:numPr>
          <w:ilvl w:val="0"/>
          <w:numId w:val="107"/>
        </w:numPr>
        <w:spacing w:line="276" w:lineRule="auto"/>
        <w:ind w:left="706"/>
        <w:rPr>
          <w:rFonts w:ascii="Times New Roman" w:hAnsi="Times New Roman"/>
          <w:lang w:val="en-GB"/>
        </w:rPr>
      </w:pPr>
      <w:r w:rsidRPr="00B7386D">
        <w:rPr>
          <w:rFonts w:ascii="Times New Roman" w:hAnsi="Times New Roman"/>
          <w:lang w:val="en-GB"/>
        </w:rPr>
        <w:t>Section 1</w:t>
      </w:r>
      <w:r w:rsidR="00E8401B" w:rsidRPr="00B7386D">
        <w:rPr>
          <w:rFonts w:ascii="Times New Roman" w:hAnsi="Times New Roman"/>
          <w:lang w:val="en-GB"/>
        </w:rPr>
        <w:t xml:space="preserve"> on </w:t>
      </w:r>
      <w:r w:rsidR="00946332" w:rsidRPr="00B7386D">
        <w:rPr>
          <w:rFonts w:ascii="Times New Roman" w:hAnsi="Times New Roman"/>
          <w:lang w:val="en-GB"/>
        </w:rPr>
        <w:t>o</w:t>
      </w:r>
      <w:r w:rsidR="00A01C1E" w:rsidRPr="00B7386D">
        <w:rPr>
          <w:rFonts w:ascii="Times New Roman" w:hAnsi="Times New Roman"/>
          <w:lang w:val="en-GB"/>
        </w:rPr>
        <w:t>bjective and scop</w:t>
      </w:r>
      <w:r w:rsidR="00870D3A" w:rsidRPr="00B7386D">
        <w:rPr>
          <w:rFonts w:ascii="Times New Roman" w:hAnsi="Times New Roman"/>
          <w:lang w:val="en-GB"/>
        </w:rPr>
        <w:t xml:space="preserve">e </w:t>
      </w:r>
      <w:r w:rsidR="00E8401B" w:rsidRPr="00B7386D">
        <w:rPr>
          <w:rFonts w:ascii="Times New Roman" w:hAnsi="Times New Roman"/>
          <w:lang w:val="en-GB"/>
        </w:rPr>
        <w:t>provides an overview</w:t>
      </w:r>
      <w:r w:rsidR="000133D4" w:rsidRPr="00B7386D">
        <w:rPr>
          <w:rFonts w:ascii="Times New Roman" w:hAnsi="Times New Roman"/>
          <w:lang w:val="en-GB"/>
        </w:rPr>
        <w:t xml:space="preserve"> of decision </w:t>
      </w:r>
      <w:hyperlink r:id="rId21" w:history="1">
        <w:r w:rsidR="000133D4" w:rsidRPr="00B7386D">
          <w:rPr>
            <w:rFonts w:ascii="Times New Roman" w:hAnsi="Times New Roman"/>
            <w:lang w:val="en-GB"/>
          </w:rPr>
          <w:t>CP-10/10</w:t>
        </w:r>
      </w:hyperlink>
      <w:r w:rsidR="000133D4" w:rsidRPr="00B7386D">
        <w:rPr>
          <w:rFonts w:ascii="Times New Roman" w:hAnsi="Times New Roman"/>
          <w:lang w:val="en-GB"/>
        </w:rPr>
        <w:t>;</w:t>
      </w:r>
    </w:p>
    <w:p w14:paraId="362AB14D" w14:textId="2D690280" w:rsidR="00FC2CCE" w:rsidRPr="00B7386D" w:rsidRDefault="00FC2CCE" w:rsidP="005E4B07">
      <w:pPr>
        <w:pStyle w:val="ListParagraph"/>
        <w:numPr>
          <w:ilvl w:val="0"/>
          <w:numId w:val="107"/>
        </w:numPr>
        <w:spacing w:line="276" w:lineRule="auto"/>
        <w:ind w:left="706"/>
        <w:rPr>
          <w:rFonts w:ascii="Times New Roman" w:hAnsi="Times New Roman"/>
          <w:lang w:val="en-GB"/>
        </w:rPr>
      </w:pPr>
      <w:r w:rsidRPr="00B7386D">
        <w:rPr>
          <w:rFonts w:ascii="Times New Roman" w:hAnsi="Times New Roman"/>
          <w:lang w:val="en-GB"/>
        </w:rPr>
        <w:t>Section 2</w:t>
      </w:r>
      <w:r w:rsidR="000133D4" w:rsidRPr="00B7386D">
        <w:rPr>
          <w:rFonts w:ascii="Times New Roman" w:hAnsi="Times New Roman"/>
          <w:lang w:val="en-GB"/>
        </w:rPr>
        <w:t xml:space="preserve"> </w:t>
      </w:r>
      <w:r w:rsidR="00533D3E" w:rsidRPr="00B7386D">
        <w:rPr>
          <w:rFonts w:ascii="Times New Roman" w:hAnsi="Times New Roman"/>
          <w:lang w:val="en-GB"/>
        </w:rPr>
        <w:t>introduces</w:t>
      </w:r>
      <w:r w:rsidR="00F56178" w:rsidRPr="00B7386D">
        <w:rPr>
          <w:rFonts w:ascii="Times New Roman" w:hAnsi="Times New Roman"/>
          <w:lang w:val="en-GB"/>
        </w:rPr>
        <w:t xml:space="preserve"> EGD-LMOs, </w:t>
      </w:r>
      <w:r w:rsidR="009075AB" w:rsidRPr="00B7386D">
        <w:rPr>
          <w:rFonts w:ascii="Times New Roman" w:hAnsi="Times New Roman"/>
          <w:lang w:val="en-GB"/>
        </w:rPr>
        <w:t xml:space="preserve">explains </w:t>
      </w:r>
      <w:r w:rsidR="00533D3E" w:rsidRPr="00B7386D">
        <w:rPr>
          <w:rFonts w:ascii="Times New Roman" w:hAnsi="Times New Roman"/>
          <w:lang w:val="en-GB"/>
        </w:rPr>
        <w:t xml:space="preserve">the precautionary approach and </w:t>
      </w:r>
      <w:r w:rsidR="009075AB" w:rsidRPr="00B7386D">
        <w:rPr>
          <w:rFonts w:ascii="Times New Roman" w:hAnsi="Times New Roman"/>
          <w:lang w:val="en-GB"/>
        </w:rPr>
        <w:t>establishes</w:t>
      </w:r>
      <w:r w:rsidR="00946332" w:rsidRPr="00B7386D">
        <w:rPr>
          <w:rFonts w:ascii="Times New Roman" w:hAnsi="Times New Roman"/>
          <w:lang w:val="en-GB"/>
        </w:rPr>
        <w:t xml:space="preserve"> </w:t>
      </w:r>
      <w:r w:rsidR="00533D3E" w:rsidRPr="00B7386D">
        <w:rPr>
          <w:rFonts w:ascii="Times New Roman" w:hAnsi="Times New Roman"/>
          <w:lang w:val="en-GB"/>
        </w:rPr>
        <w:t xml:space="preserve">the context </w:t>
      </w:r>
      <w:r w:rsidR="00946332" w:rsidRPr="00B7386D">
        <w:rPr>
          <w:rFonts w:ascii="Times New Roman" w:hAnsi="Times New Roman"/>
          <w:lang w:val="en-GB"/>
        </w:rPr>
        <w:t>of</w:t>
      </w:r>
      <w:r w:rsidR="00533D3E" w:rsidRPr="00B7386D">
        <w:rPr>
          <w:rFonts w:ascii="Times New Roman" w:hAnsi="Times New Roman"/>
          <w:lang w:val="en-GB"/>
        </w:rPr>
        <w:t xml:space="preserve"> </w:t>
      </w:r>
      <w:r w:rsidR="00946332" w:rsidRPr="00B7386D">
        <w:rPr>
          <w:rFonts w:ascii="Times New Roman" w:hAnsi="Times New Roman"/>
          <w:lang w:val="en-GB"/>
        </w:rPr>
        <w:t>the document</w:t>
      </w:r>
      <w:r w:rsidR="009075AB" w:rsidRPr="00B7386D">
        <w:rPr>
          <w:rFonts w:ascii="Times New Roman" w:hAnsi="Times New Roman"/>
          <w:lang w:val="en-GB"/>
        </w:rPr>
        <w:t>;</w:t>
      </w:r>
    </w:p>
    <w:p w14:paraId="1EE0A4D3" w14:textId="026A0805" w:rsidR="00FC2CCE" w:rsidRPr="00B7386D" w:rsidRDefault="00FC2CCE" w:rsidP="005E4B07">
      <w:pPr>
        <w:pStyle w:val="ListParagraph"/>
        <w:numPr>
          <w:ilvl w:val="0"/>
          <w:numId w:val="107"/>
        </w:numPr>
        <w:spacing w:line="276" w:lineRule="auto"/>
        <w:ind w:left="706"/>
        <w:rPr>
          <w:rFonts w:ascii="Times New Roman" w:hAnsi="Times New Roman"/>
          <w:lang w:val="en-GB"/>
        </w:rPr>
      </w:pPr>
      <w:r w:rsidRPr="00B7386D">
        <w:rPr>
          <w:rFonts w:ascii="Times New Roman" w:hAnsi="Times New Roman"/>
          <w:lang w:val="en-GB"/>
        </w:rPr>
        <w:t>Section 3</w:t>
      </w:r>
      <w:r w:rsidR="00946332" w:rsidRPr="00B7386D">
        <w:rPr>
          <w:rFonts w:ascii="Times New Roman" w:hAnsi="Times New Roman"/>
          <w:lang w:val="en-GB"/>
        </w:rPr>
        <w:t xml:space="preserve"> </w:t>
      </w:r>
      <w:r w:rsidR="000F0F38" w:rsidRPr="00B7386D">
        <w:rPr>
          <w:rFonts w:ascii="Times New Roman" w:hAnsi="Times New Roman"/>
          <w:lang w:val="en-GB"/>
        </w:rPr>
        <w:t xml:space="preserve">provides </w:t>
      </w:r>
      <w:r w:rsidR="00946332" w:rsidRPr="00B7386D">
        <w:rPr>
          <w:rFonts w:ascii="Times New Roman" w:hAnsi="Times New Roman"/>
          <w:lang w:val="en-GB"/>
        </w:rPr>
        <w:t>details</w:t>
      </w:r>
      <w:r w:rsidR="000F0F38" w:rsidRPr="00B7386D">
        <w:rPr>
          <w:rFonts w:ascii="Times New Roman" w:hAnsi="Times New Roman"/>
          <w:lang w:val="en-GB"/>
        </w:rPr>
        <w:t xml:space="preserve"> on</w:t>
      </w:r>
      <w:r w:rsidR="00870D3A" w:rsidRPr="00B7386D">
        <w:rPr>
          <w:rFonts w:ascii="Times New Roman" w:hAnsi="Times New Roman"/>
          <w:lang w:val="en-GB"/>
        </w:rPr>
        <w:t xml:space="preserve"> engineered gene drive</w:t>
      </w:r>
      <w:r w:rsidR="00F134CC" w:rsidRPr="00B7386D">
        <w:rPr>
          <w:rFonts w:ascii="Times New Roman" w:hAnsi="Times New Roman"/>
          <w:lang w:val="en-GB"/>
        </w:rPr>
        <w:t xml:space="preserve"> strategies,</w:t>
      </w:r>
      <w:r w:rsidR="000F0F38" w:rsidRPr="00B7386D">
        <w:rPr>
          <w:rFonts w:ascii="Times New Roman" w:hAnsi="Times New Roman"/>
          <w:lang w:val="en-GB"/>
        </w:rPr>
        <w:t xml:space="preserve"> </w:t>
      </w:r>
      <w:r w:rsidR="005C5749" w:rsidRPr="00B7386D">
        <w:rPr>
          <w:rFonts w:ascii="Times New Roman" w:hAnsi="Times New Roman"/>
          <w:lang w:val="en-GB"/>
        </w:rPr>
        <w:t>as well as</w:t>
      </w:r>
      <w:r w:rsidR="000F0F38" w:rsidRPr="00B7386D">
        <w:rPr>
          <w:rFonts w:ascii="Times New Roman" w:hAnsi="Times New Roman"/>
          <w:lang w:val="en-GB"/>
        </w:rPr>
        <w:t xml:space="preserve"> </w:t>
      </w:r>
      <w:r w:rsidR="00C50585" w:rsidRPr="00B7386D">
        <w:rPr>
          <w:rFonts w:ascii="Times New Roman" w:hAnsi="Times New Roman"/>
          <w:lang w:val="en-GB"/>
        </w:rPr>
        <w:t xml:space="preserve">opportunities and </w:t>
      </w:r>
      <w:r w:rsidR="000F0F38" w:rsidRPr="00B7386D">
        <w:rPr>
          <w:rFonts w:ascii="Times New Roman" w:hAnsi="Times New Roman"/>
          <w:lang w:val="en-GB"/>
        </w:rPr>
        <w:t>risk concerns</w:t>
      </w:r>
      <w:r w:rsidR="00F134CC" w:rsidRPr="00B7386D">
        <w:rPr>
          <w:rFonts w:ascii="Times New Roman" w:hAnsi="Times New Roman"/>
          <w:lang w:val="en-GB"/>
        </w:rPr>
        <w:t>;</w:t>
      </w:r>
      <w:r w:rsidRPr="00B7386D">
        <w:rPr>
          <w:rFonts w:ascii="Times New Roman" w:hAnsi="Times New Roman"/>
          <w:lang w:val="en-GB"/>
        </w:rPr>
        <w:t>  </w:t>
      </w:r>
    </w:p>
    <w:p w14:paraId="2B2001EE" w14:textId="784246CD" w:rsidR="00FC2CCE" w:rsidRPr="00B7386D" w:rsidRDefault="00FC2CCE" w:rsidP="005E4B07">
      <w:pPr>
        <w:pStyle w:val="ListParagraph"/>
        <w:numPr>
          <w:ilvl w:val="0"/>
          <w:numId w:val="107"/>
        </w:numPr>
        <w:spacing w:line="276" w:lineRule="auto"/>
        <w:ind w:left="706"/>
        <w:rPr>
          <w:rFonts w:ascii="Times New Roman" w:hAnsi="Times New Roman"/>
          <w:lang w:val="en-GB"/>
        </w:rPr>
      </w:pPr>
      <w:r w:rsidRPr="00B7386D">
        <w:rPr>
          <w:rFonts w:ascii="Times New Roman" w:hAnsi="Times New Roman"/>
          <w:lang w:val="en-GB"/>
        </w:rPr>
        <w:t>Section 4</w:t>
      </w:r>
      <w:r w:rsidR="005C5749" w:rsidRPr="00B7386D">
        <w:rPr>
          <w:rFonts w:ascii="Times New Roman" w:hAnsi="Times New Roman"/>
          <w:lang w:val="en-GB"/>
        </w:rPr>
        <w:t xml:space="preserve"> </w:t>
      </w:r>
      <w:r w:rsidR="004E326F" w:rsidRPr="00B7386D">
        <w:rPr>
          <w:rFonts w:ascii="Times New Roman" w:hAnsi="Times New Roman"/>
          <w:lang w:val="en-GB"/>
        </w:rPr>
        <w:t>outlines the g</w:t>
      </w:r>
      <w:r w:rsidR="00870D3A" w:rsidRPr="00B7386D">
        <w:rPr>
          <w:rFonts w:ascii="Times New Roman" w:hAnsi="Times New Roman"/>
          <w:lang w:val="en-GB"/>
        </w:rPr>
        <w:t>eneral risk assessment consideration</w:t>
      </w:r>
      <w:r w:rsidR="00907597" w:rsidRPr="00B7386D">
        <w:rPr>
          <w:rFonts w:ascii="Times New Roman" w:hAnsi="Times New Roman"/>
          <w:lang w:val="en-GB"/>
        </w:rPr>
        <w:t>s</w:t>
      </w:r>
      <w:r w:rsidR="00870D3A" w:rsidRPr="00B7386D">
        <w:rPr>
          <w:rFonts w:ascii="Times New Roman" w:hAnsi="Times New Roman"/>
          <w:lang w:val="en-GB"/>
        </w:rPr>
        <w:t xml:space="preserve"> for </w:t>
      </w:r>
      <w:r w:rsidR="00907597" w:rsidRPr="00B7386D">
        <w:rPr>
          <w:rFonts w:ascii="Times New Roman" w:hAnsi="Times New Roman"/>
          <w:lang w:val="en-GB"/>
        </w:rPr>
        <w:t xml:space="preserve">EGD-LMOs and addresses </w:t>
      </w:r>
      <w:r w:rsidR="004B446F" w:rsidRPr="00B7386D">
        <w:rPr>
          <w:rFonts w:ascii="Times New Roman" w:hAnsi="Times New Roman"/>
          <w:lang w:val="en-GB"/>
        </w:rPr>
        <w:t>steps of the problem formulation approach</w:t>
      </w:r>
      <w:r w:rsidR="00B53BDD" w:rsidRPr="00B7386D">
        <w:rPr>
          <w:rFonts w:ascii="Times New Roman" w:hAnsi="Times New Roman"/>
          <w:lang w:val="en-GB"/>
        </w:rPr>
        <w:t>,</w:t>
      </w:r>
      <w:r w:rsidR="007429D2" w:rsidRPr="00B7386D">
        <w:rPr>
          <w:rFonts w:ascii="Times New Roman" w:hAnsi="Times New Roman"/>
          <w:lang w:val="en-GB"/>
        </w:rPr>
        <w:t xml:space="preserve"> testing risk hypotheses, </w:t>
      </w:r>
      <w:r w:rsidR="00B53BDD" w:rsidRPr="00B7386D">
        <w:rPr>
          <w:rFonts w:ascii="Times New Roman" w:hAnsi="Times New Roman"/>
          <w:lang w:val="en-GB"/>
        </w:rPr>
        <w:t>including</w:t>
      </w:r>
      <w:r w:rsidR="007429D2" w:rsidRPr="00B7386D">
        <w:rPr>
          <w:rFonts w:ascii="Times New Roman" w:hAnsi="Times New Roman"/>
          <w:lang w:val="en-GB"/>
        </w:rPr>
        <w:t xml:space="preserve"> </w:t>
      </w:r>
      <w:r w:rsidR="00B53BDD" w:rsidRPr="00B7386D">
        <w:rPr>
          <w:rFonts w:ascii="Times New Roman" w:hAnsi="Times New Roman"/>
          <w:lang w:val="en-GB"/>
        </w:rPr>
        <w:t>sources and quality</w:t>
      </w:r>
      <w:r w:rsidR="00C50585" w:rsidRPr="00B7386D">
        <w:rPr>
          <w:rFonts w:ascii="Times New Roman" w:hAnsi="Times New Roman"/>
          <w:lang w:val="en-GB"/>
        </w:rPr>
        <w:t xml:space="preserve"> of information</w:t>
      </w:r>
      <w:r w:rsidR="00B53BDD" w:rsidRPr="00B7386D">
        <w:rPr>
          <w:rFonts w:ascii="Times New Roman" w:hAnsi="Times New Roman"/>
          <w:lang w:val="en-GB"/>
        </w:rPr>
        <w:t>,</w:t>
      </w:r>
      <w:r w:rsidR="00A66A35" w:rsidRPr="00B7386D">
        <w:rPr>
          <w:rFonts w:ascii="Times New Roman" w:hAnsi="Times New Roman"/>
          <w:lang w:val="en-GB"/>
        </w:rPr>
        <w:t xml:space="preserve"> </w:t>
      </w:r>
      <w:r w:rsidR="007429D2" w:rsidRPr="00B7386D">
        <w:rPr>
          <w:rFonts w:ascii="Times New Roman" w:hAnsi="Times New Roman"/>
          <w:lang w:val="en-GB"/>
        </w:rPr>
        <w:t>modelling,</w:t>
      </w:r>
      <w:r w:rsidR="00625198" w:rsidRPr="00B7386D">
        <w:rPr>
          <w:rFonts w:ascii="Times New Roman" w:hAnsi="Times New Roman"/>
          <w:lang w:val="en-GB"/>
        </w:rPr>
        <w:t xml:space="preserve"> </w:t>
      </w:r>
      <w:r w:rsidR="00A66A35" w:rsidRPr="00B7386D">
        <w:rPr>
          <w:rFonts w:ascii="Times New Roman" w:hAnsi="Times New Roman"/>
          <w:lang w:val="en-GB"/>
        </w:rPr>
        <w:t>comparators, tie</w:t>
      </w:r>
      <w:r w:rsidR="007875BD" w:rsidRPr="00B7386D">
        <w:rPr>
          <w:rFonts w:ascii="Times New Roman" w:hAnsi="Times New Roman"/>
          <w:lang w:val="en-GB"/>
        </w:rPr>
        <w:t>re</w:t>
      </w:r>
      <w:r w:rsidR="00A66A35" w:rsidRPr="00B7386D">
        <w:rPr>
          <w:rFonts w:ascii="Times New Roman" w:hAnsi="Times New Roman"/>
          <w:lang w:val="en-GB"/>
        </w:rPr>
        <w:t xml:space="preserve">d-based testing, limits of concern, weight of evidence and </w:t>
      </w:r>
      <w:r w:rsidR="007429D2" w:rsidRPr="00B7386D">
        <w:rPr>
          <w:rFonts w:ascii="Times New Roman" w:hAnsi="Times New Roman"/>
          <w:lang w:val="en-GB"/>
        </w:rPr>
        <w:t>uncertainties</w:t>
      </w:r>
      <w:r w:rsidR="00A66A35" w:rsidRPr="00B7386D">
        <w:rPr>
          <w:rFonts w:ascii="Times New Roman" w:hAnsi="Times New Roman"/>
          <w:lang w:val="en-GB"/>
        </w:rPr>
        <w:t>;</w:t>
      </w:r>
    </w:p>
    <w:p w14:paraId="05F6C1AF" w14:textId="2D690280" w:rsidR="00FC2CCE" w:rsidRPr="00B7386D" w:rsidRDefault="00FC2CCE" w:rsidP="005E4B07">
      <w:pPr>
        <w:pStyle w:val="ListParagraph"/>
        <w:numPr>
          <w:ilvl w:val="0"/>
          <w:numId w:val="107"/>
        </w:numPr>
        <w:spacing w:line="276" w:lineRule="auto"/>
        <w:ind w:left="706"/>
        <w:rPr>
          <w:rFonts w:ascii="Times New Roman" w:hAnsi="Times New Roman"/>
          <w:lang w:val="en-GB"/>
        </w:rPr>
      </w:pPr>
      <w:r w:rsidRPr="00B7386D">
        <w:rPr>
          <w:rFonts w:ascii="Times New Roman" w:hAnsi="Times New Roman"/>
          <w:lang w:val="en-GB"/>
        </w:rPr>
        <w:lastRenderedPageBreak/>
        <w:t>Section 5</w:t>
      </w:r>
      <w:r w:rsidR="00024D4C" w:rsidRPr="00B7386D">
        <w:rPr>
          <w:rFonts w:ascii="Times New Roman" w:hAnsi="Times New Roman"/>
          <w:lang w:val="en-GB"/>
        </w:rPr>
        <w:t xml:space="preserve"> considers r</w:t>
      </w:r>
      <w:r w:rsidR="00870D3A" w:rsidRPr="00B7386D">
        <w:rPr>
          <w:rFonts w:ascii="Times New Roman" w:hAnsi="Times New Roman"/>
          <w:lang w:val="en-GB"/>
        </w:rPr>
        <w:t>ecommendation</w:t>
      </w:r>
      <w:r w:rsidR="006E2FE3" w:rsidRPr="00B7386D">
        <w:rPr>
          <w:rFonts w:ascii="Times New Roman" w:hAnsi="Times New Roman"/>
          <w:lang w:val="en-GB"/>
        </w:rPr>
        <w:t xml:space="preserve"> of acceptability of risk and identification of risk management strategies</w:t>
      </w:r>
      <w:r w:rsidR="00024D4C" w:rsidRPr="00B7386D">
        <w:rPr>
          <w:rFonts w:ascii="Times New Roman" w:hAnsi="Times New Roman"/>
          <w:lang w:val="en-GB"/>
        </w:rPr>
        <w:t>;</w:t>
      </w:r>
      <w:r w:rsidRPr="00B7386D">
        <w:rPr>
          <w:rFonts w:ascii="Times New Roman" w:hAnsi="Times New Roman"/>
          <w:lang w:val="en-GB"/>
        </w:rPr>
        <w:t> </w:t>
      </w:r>
    </w:p>
    <w:p w14:paraId="66710F38" w14:textId="395C3980" w:rsidR="00FC2CCE" w:rsidRPr="00B7386D" w:rsidRDefault="00FC2CCE" w:rsidP="005E4B07">
      <w:pPr>
        <w:pStyle w:val="ListParagraph"/>
        <w:numPr>
          <w:ilvl w:val="0"/>
          <w:numId w:val="107"/>
        </w:numPr>
        <w:spacing w:line="276" w:lineRule="auto"/>
        <w:ind w:left="706"/>
        <w:rPr>
          <w:rFonts w:ascii="Times New Roman" w:hAnsi="Times New Roman"/>
          <w:lang w:val="en-GB"/>
        </w:rPr>
      </w:pPr>
      <w:r w:rsidRPr="00B7386D">
        <w:rPr>
          <w:rFonts w:ascii="Times New Roman" w:hAnsi="Times New Roman"/>
          <w:lang w:val="en-GB"/>
        </w:rPr>
        <w:t>Section 6</w:t>
      </w:r>
      <w:r w:rsidR="00024D4C" w:rsidRPr="00B7386D">
        <w:rPr>
          <w:rFonts w:ascii="Times New Roman" w:hAnsi="Times New Roman"/>
          <w:lang w:val="en-GB"/>
        </w:rPr>
        <w:t xml:space="preserve"> </w:t>
      </w:r>
      <w:r w:rsidR="00AC7773" w:rsidRPr="00B7386D">
        <w:rPr>
          <w:rFonts w:ascii="Times New Roman" w:hAnsi="Times New Roman"/>
          <w:lang w:val="en-GB"/>
        </w:rPr>
        <w:t xml:space="preserve">addresses </w:t>
      </w:r>
      <w:r w:rsidR="00E050CC" w:rsidRPr="00B7386D">
        <w:rPr>
          <w:rFonts w:ascii="Times New Roman" w:hAnsi="Times New Roman"/>
          <w:lang w:val="en-GB"/>
        </w:rPr>
        <w:t>m</w:t>
      </w:r>
      <w:r w:rsidR="001E3076" w:rsidRPr="00B7386D">
        <w:rPr>
          <w:rFonts w:ascii="Times New Roman" w:hAnsi="Times New Roman"/>
          <w:lang w:val="en-GB"/>
        </w:rPr>
        <w:t>onitoring</w:t>
      </w:r>
      <w:r w:rsidR="00E050CC" w:rsidRPr="00B7386D">
        <w:rPr>
          <w:rFonts w:ascii="Times New Roman" w:hAnsi="Times New Roman"/>
          <w:lang w:val="en-GB"/>
        </w:rPr>
        <w:t xml:space="preserve"> </w:t>
      </w:r>
      <w:r w:rsidR="000103C9" w:rsidRPr="00B7386D">
        <w:rPr>
          <w:rFonts w:ascii="Times New Roman" w:hAnsi="Times New Roman"/>
          <w:lang w:val="en-GB"/>
        </w:rPr>
        <w:t xml:space="preserve">of EGD-LMOs </w:t>
      </w:r>
      <w:proofErr w:type="gramStart"/>
      <w:r w:rsidR="00E050CC" w:rsidRPr="00B7386D">
        <w:rPr>
          <w:rFonts w:ascii="Times New Roman" w:hAnsi="Times New Roman"/>
          <w:lang w:val="en-GB"/>
        </w:rPr>
        <w:t>taking into account</w:t>
      </w:r>
      <w:proofErr w:type="gramEnd"/>
      <w:r w:rsidR="00E050CC" w:rsidRPr="00B7386D">
        <w:rPr>
          <w:rFonts w:ascii="Times New Roman" w:hAnsi="Times New Roman"/>
          <w:lang w:val="en-GB"/>
        </w:rPr>
        <w:t xml:space="preserve"> </w:t>
      </w:r>
      <w:r w:rsidR="000103C9" w:rsidRPr="00B7386D">
        <w:rPr>
          <w:rFonts w:ascii="Times New Roman" w:hAnsi="Times New Roman"/>
          <w:lang w:val="en-GB"/>
        </w:rPr>
        <w:t>general surveillance and case-</w:t>
      </w:r>
      <w:r w:rsidR="00637231" w:rsidRPr="00B7386D">
        <w:rPr>
          <w:rFonts w:ascii="Times New Roman" w:hAnsi="Times New Roman"/>
          <w:lang w:val="en-GB"/>
        </w:rPr>
        <w:t>specific monitoring</w:t>
      </w:r>
      <w:r w:rsidR="00E050CC" w:rsidRPr="00B7386D">
        <w:rPr>
          <w:rFonts w:ascii="Times New Roman" w:hAnsi="Times New Roman"/>
          <w:lang w:val="en-GB"/>
        </w:rPr>
        <w:t>;</w:t>
      </w:r>
    </w:p>
    <w:p w14:paraId="1D8014A2" w14:textId="03BA3BE8" w:rsidR="001E3076" w:rsidRPr="00B7386D" w:rsidRDefault="001E3076" w:rsidP="005E4B07">
      <w:pPr>
        <w:pStyle w:val="ListParagraph"/>
        <w:numPr>
          <w:ilvl w:val="0"/>
          <w:numId w:val="107"/>
        </w:numPr>
        <w:spacing w:line="276" w:lineRule="auto"/>
        <w:ind w:left="706"/>
        <w:rPr>
          <w:rFonts w:ascii="Times New Roman" w:hAnsi="Times New Roman"/>
          <w:lang w:val="en-GB"/>
        </w:rPr>
      </w:pPr>
      <w:r w:rsidRPr="00B7386D">
        <w:rPr>
          <w:rFonts w:ascii="Times New Roman" w:hAnsi="Times New Roman"/>
          <w:lang w:val="en-GB"/>
        </w:rPr>
        <w:t>Section 7</w:t>
      </w:r>
      <w:r w:rsidR="00CE08C6" w:rsidRPr="00B7386D">
        <w:rPr>
          <w:rFonts w:ascii="Times New Roman" w:hAnsi="Times New Roman"/>
          <w:lang w:val="en-GB"/>
        </w:rPr>
        <w:t xml:space="preserve"> describes r</w:t>
      </w:r>
      <w:r w:rsidRPr="00B7386D">
        <w:rPr>
          <w:rFonts w:ascii="Times New Roman" w:hAnsi="Times New Roman"/>
          <w:lang w:val="en-GB"/>
        </w:rPr>
        <w:t>e</w:t>
      </w:r>
      <w:r w:rsidR="00E84CFB" w:rsidRPr="00B7386D">
        <w:rPr>
          <w:rFonts w:ascii="Times New Roman" w:hAnsi="Times New Roman"/>
          <w:lang w:val="en-GB"/>
        </w:rPr>
        <w:t>lated issues</w:t>
      </w:r>
      <w:r w:rsidR="00E45DFB" w:rsidRPr="00B7386D">
        <w:rPr>
          <w:rFonts w:ascii="Times New Roman" w:hAnsi="Times New Roman"/>
          <w:lang w:val="en-GB"/>
        </w:rPr>
        <w:t xml:space="preserve"> to risk assessment</w:t>
      </w:r>
      <w:r w:rsidR="00556DF0" w:rsidRPr="00B7386D">
        <w:rPr>
          <w:rFonts w:ascii="Times New Roman" w:hAnsi="Times New Roman"/>
          <w:lang w:val="en-GB"/>
        </w:rPr>
        <w:t>;</w:t>
      </w:r>
      <w:r w:rsidR="00C84868" w:rsidRPr="00B7386D">
        <w:rPr>
          <w:rFonts w:ascii="Times New Roman" w:hAnsi="Times New Roman"/>
          <w:lang w:val="en-GB"/>
        </w:rPr>
        <w:t xml:space="preserve"> </w:t>
      </w:r>
    </w:p>
    <w:p w14:paraId="22294A4F" w14:textId="1877800D" w:rsidR="005112F6" w:rsidRPr="00B7386D" w:rsidRDefault="005112F6" w:rsidP="005E4B07">
      <w:pPr>
        <w:pStyle w:val="ListParagraph"/>
        <w:numPr>
          <w:ilvl w:val="0"/>
          <w:numId w:val="107"/>
        </w:numPr>
        <w:spacing w:line="276" w:lineRule="auto"/>
        <w:ind w:left="706"/>
        <w:rPr>
          <w:rFonts w:ascii="Times New Roman" w:hAnsi="Times New Roman"/>
          <w:lang w:val="en-GB"/>
        </w:rPr>
      </w:pPr>
      <w:r w:rsidRPr="00B7386D">
        <w:rPr>
          <w:rFonts w:ascii="Times New Roman" w:hAnsi="Times New Roman"/>
          <w:lang w:val="en-GB"/>
        </w:rPr>
        <w:t>Bibliographic references</w:t>
      </w:r>
      <w:r w:rsidR="003E0199" w:rsidRPr="00B7386D">
        <w:rPr>
          <w:rFonts w:ascii="Times New Roman" w:hAnsi="Times New Roman"/>
          <w:lang w:val="en-GB"/>
        </w:rPr>
        <w:t xml:space="preserve"> are included</w:t>
      </w:r>
      <w:r w:rsidR="00B944D0" w:rsidRPr="00B7386D">
        <w:rPr>
          <w:rFonts w:ascii="Times New Roman" w:hAnsi="Times New Roman"/>
          <w:lang w:val="en-GB"/>
        </w:rPr>
        <w:t xml:space="preserve"> in section 8</w:t>
      </w:r>
      <w:r w:rsidR="003E0199" w:rsidRPr="00B7386D">
        <w:rPr>
          <w:rFonts w:ascii="Times New Roman" w:hAnsi="Times New Roman"/>
          <w:lang w:val="en-GB"/>
        </w:rPr>
        <w:t>;</w:t>
      </w:r>
    </w:p>
    <w:p w14:paraId="28AEF30E" w14:textId="7B044797" w:rsidR="00E84CFB" w:rsidRPr="00B7386D" w:rsidRDefault="00E84CFB" w:rsidP="005E4B07">
      <w:pPr>
        <w:pStyle w:val="ListParagraph"/>
        <w:numPr>
          <w:ilvl w:val="0"/>
          <w:numId w:val="107"/>
        </w:numPr>
        <w:spacing w:line="276" w:lineRule="auto"/>
        <w:ind w:left="706"/>
        <w:rPr>
          <w:rFonts w:ascii="Times New Roman" w:hAnsi="Times New Roman"/>
          <w:lang w:val="en-GB"/>
        </w:rPr>
      </w:pPr>
      <w:r w:rsidRPr="00B7386D">
        <w:rPr>
          <w:rFonts w:ascii="Times New Roman" w:hAnsi="Times New Roman"/>
          <w:lang w:val="en-GB"/>
        </w:rPr>
        <w:t>Annexes</w:t>
      </w:r>
      <w:r w:rsidR="003E0199" w:rsidRPr="00B7386D">
        <w:rPr>
          <w:rFonts w:ascii="Times New Roman" w:hAnsi="Times New Roman"/>
          <w:lang w:val="en-GB"/>
        </w:rPr>
        <w:t xml:space="preserve"> </w:t>
      </w:r>
      <w:r w:rsidR="001028B2" w:rsidRPr="00B7386D">
        <w:rPr>
          <w:rFonts w:ascii="Times New Roman" w:hAnsi="Times New Roman"/>
          <w:lang w:val="en-GB"/>
        </w:rPr>
        <w:t xml:space="preserve">on </w:t>
      </w:r>
      <w:r w:rsidR="003E0199" w:rsidRPr="00B7386D">
        <w:rPr>
          <w:rFonts w:ascii="Times New Roman" w:hAnsi="Times New Roman"/>
          <w:lang w:val="en-GB"/>
        </w:rPr>
        <w:t>overview</w:t>
      </w:r>
      <w:r w:rsidR="00FC206D" w:rsidRPr="00B7386D">
        <w:rPr>
          <w:rFonts w:ascii="Times New Roman" w:hAnsi="Times New Roman"/>
          <w:lang w:val="en-GB"/>
        </w:rPr>
        <w:t xml:space="preserve"> of</w:t>
      </w:r>
      <w:r w:rsidR="00D03E99" w:rsidRPr="00B7386D">
        <w:rPr>
          <w:rFonts w:ascii="Times New Roman" w:hAnsi="Times New Roman"/>
          <w:lang w:val="en-GB"/>
        </w:rPr>
        <w:t xml:space="preserve"> modelling, uncertainties, the WHO</w:t>
      </w:r>
      <w:r w:rsidR="00547F57" w:rsidRPr="00B7386D">
        <w:rPr>
          <w:rFonts w:ascii="Times New Roman" w:hAnsi="Times New Roman"/>
          <w:lang w:val="en-GB"/>
        </w:rPr>
        <w:t xml:space="preserve"> guidance framework for </w:t>
      </w:r>
      <w:r w:rsidR="0043569A" w:rsidRPr="00B7386D">
        <w:rPr>
          <w:rFonts w:ascii="Times New Roman" w:hAnsi="Times New Roman"/>
          <w:lang w:val="en-GB"/>
        </w:rPr>
        <w:t>testing genetically modified mosquitoes, taxonomic classi</w:t>
      </w:r>
      <w:r w:rsidR="0079550A" w:rsidRPr="00B7386D">
        <w:rPr>
          <w:rFonts w:ascii="Times New Roman" w:hAnsi="Times New Roman"/>
          <w:lang w:val="en-GB"/>
        </w:rPr>
        <w:t xml:space="preserve">fication of Culicidae, mosquito vectors of diseases, </w:t>
      </w:r>
      <w:r w:rsidR="00095993" w:rsidRPr="00B7386D">
        <w:rPr>
          <w:rFonts w:ascii="Times New Roman" w:hAnsi="Times New Roman"/>
          <w:lang w:val="en-GB"/>
        </w:rPr>
        <w:t>current landscape for the development of EGD-LMOs for disease vector control and engineered gene drive systems;</w:t>
      </w:r>
      <w:r w:rsidR="00F15C02" w:rsidRPr="00B7386D">
        <w:rPr>
          <w:rFonts w:ascii="Times New Roman" w:hAnsi="Times New Roman"/>
          <w:lang w:val="en-GB"/>
        </w:rPr>
        <w:t xml:space="preserve"> and</w:t>
      </w:r>
    </w:p>
    <w:p w14:paraId="6824BD18" w14:textId="2D1B5D08" w:rsidR="00E84CFB" w:rsidRPr="00B7386D" w:rsidRDefault="00502694" w:rsidP="005E4B07">
      <w:pPr>
        <w:pStyle w:val="ListParagraph"/>
        <w:numPr>
          <w:ilvl w:val="0"/>
          <w:numId w:val="107"/>
        </w:numPr>
        <w:spacing w:line="276" w:lineRule="auto"/>
        <w:ind w:left="706"/>
        <w:rPr>
          <w:rFonts w:ascii="Times New Roman" w:hAnsi="Times New Roman"/>
          <w:lang w:val="en-GB"/>
        </w:rPr>
      </w:pPr>
      <w:r w:rsidRPr="00B7386D">
        <w:rPr>
          <w:rFonts w:ascii="Times New Roman" w:hAnsi="Times New Roman"/>
          <w:lang w:val="en-GB"/>
        </w:rPr>
        <w:t xml:space="preserve">A </w:t>
      </w:r>
      <w:r w:rsidR="006729FB" w:rsidRPr="00B7386D">
        <w:rPr>
          <w:rFonts w:ascii="Times New Roman" w:hAnsi="Times New Roman"/>
          <w:lang w:val="en-GB"/>
        </w:rPr>
        <w:t xml:space="preserve">list of terms </w:t>
      </w:r>
      <w:r w:rsidR="000C207B" w:rsidRPr="00B7386D">
        <w:rPr>
          <w:rFonts w:ascii="Times New Roman" w:hAnsi="Times New Roman"/>
          <w:lang w:val="en-GB"/>
        </w:rPr>
        <w:t>with citations</w:t>
      </w:r>
      <w:r w:rsidR="006729FB" w:rsidRPr="00B7386D">
        <w:rPr>
          <w:rFonts w:ascii="Times New Roman" w:hAnsi="Times New Roman"/>
          <w:lang w:val="en-GB"/>
        </w:rPr>
        <w:t xml:space="preserve"> </w:t>
      </w:r>
      <w:r w:rsidRPr="00B7386D">
        <w:rPr>
          <w:rFonts w:ascii="Times New Roman" w:hAnsi="Times New Roman"/>
          <w:lang w:val="en-GB"/>
        </w:rPr>
        <w:t xml:space="preserve">is included </w:t>
      </w:r>
      <w:r w:rsidR="00FE4FEE" w:rsidRPr="00B7386D">
        <w:rPr>
          <w:rFonts w:ascii="Times New Roman" w:hAnsi="Times New Roman"/>
          <w:lang w:val="en-GB"/>
        </w:rPr>
        <w:t xml:space="preserve">to </w:t>
      </w:r>
      <w:r w:rsidR="0037340E" w:rsidRPr="00B7386D">
        <w:rPr>
          <w:rFonts w:ascii="Times New Roman" w:hAnsi="Times New Roman"/>
          <w:lang w:val="en-GB"/>
        </w:rPr>
        <w:t xml:space="preserve">assist </w:t>
      </w:r>
      <w:r w:rsidR="00FE4FEE" w:rsidRPr="00B7386D">
        <w:rPr>
          <w:rFonts w:ascii="Times New Roman" w:hAnsi="Times New Roman"/>
          <w:lang w:val="en-GB"/>
        </w:rPr>
        <w:t xml:space="preserve">the </w:t>
      </w:r>
      <w:r w:rsidR="0037340E" w:rsidRPr="00B7386D">
        <w:rPr>
          <w:rFonts w:ascii="Times New Roman" w:hAnsi="Times New Roman"/>
          <w:lang w:val="en-GB"/>
        </w:rPr>
        <w:t>reader and does not constitute</w:t>
      </w:r>
      <w:r w:rsidR="006B2281" w:rsidRPr="00B7386D">
        <w:rPr>
          <w:rFonts w:ascii="Times New Roman" w:hAnsi="Times New Roman"/>
          <w:lang w:val="en-GB"/>
        </w:rPr>
        <w:t xml:space="preserve"> </w:t>
      </w:r>
      <w:r w:rsidR="008F63F3" w:rsidRPr="00B7386D">
        <w:rPr>
          <w:rFonts w:ascii="Times New Roman" w:hAnsi="Times New Roman"/>
          <w:lang w:val="en-GB"/>
        </w:rPr>
        <w:t xml:space="preserve">definitions </w:t>
      </w:r>
      <w:r w:rsidR="0037340E" w:rsidRPr="00B7386D">
        <w:rPr>
          <w:rFonts w:ascii="Times New Roman" w:hAnsi="Times New Roman"/>
          <w:lang w:val="en-GB"/>
        </w:rPr>
        <w:t>or a glossary of terms</w:t>
      </w:r>
      <w:r w:rsidR="008F63F3" w:rsidRPr="00B7386D">
        <w:rPr>
          <w:rFonts w:ascii="Times New Roman" w:hAnsi="Times New Roman"/>
          <w:lang w:val="en-GB"/>
        </w:rPr>
        <w:t>.</w:t>
      </w:r>
    </w:p>
    <w:p w14:paraId="5765C01F" w14:textId="6D0126AF" w:rsidR="00DC2E53" w:rsidRPr="00BB5241" w:rsidRDefault="00DD7AFB" w:rsidP="00212686">
      <w:pPr>
        <w:pStyle w:val="Heading1"/>
        <w:pageBreakBefore/>
        <w:spacing w:line="276" w:lineRule="auto"/>
        <w:rPr>
          <w:rFonts w:ascii="Times New Roman" w:hAnsi="Times New Roman" w:cs="Times New Roman"/>
          <w:b/>
          <w:bCs/>
          <w:color w:val="auto"/>
          <w:sz w:val="28"/>
          <w:szCs w:val="28"/>
          <w:lang w:val="en-GB"/>
        </w:rPr>
      </w:pPr>
      <w:bookmarkStart w:id="9" w:name="_Toc161220476"/>
      <w:r w:rsidRPr="4644E7B5">
        <w:rPr>
          <w:rFonts w:ascii="Times New Roman" w:hAnsi="Times New Roman" w:cs="Times New Roman"/>
          <w:b/>
          <w:bCs/>
          <w:color w:val="auto"/>
          <w:sz w:val="28"/>
          <w:szCs w:val="28"/>
          <w:lang w:val="en-GB"/>
        </w:rPr>
        <w:lastRenderedPageBreak/>
        <w:t>2</w:t>
      </w:r>
      <w:r w:rsidR="005430B6" w:rsidRPr="4644E7B5">
        <w:rPr>
          <w:rFonts w:ascii="Times New Roman" w:hAnsi="Times New Roman" w:cs="Times New Roman"/>
          <w:b/>
          <w:bCs/>
          <w:color w:val="auto"/>
          <w:sz w:val="28"/>
          <w:szCs w:val="28"/>
          <w:lang w:val="en-GB"/>
        </w:rPr>
        <w:t>. I</w:t>
      </w:r>
      <w:bookmarkEnd w:id="7"/>
      <w:r w:rsidR="00ED265C" w:rsidRPr="4644E7B5">
        <w:rPr>
          <w:rFonts w:ascii="Times New Roman" w:hAnsi="Times New Roman" w:cs="Times New Roman"/>
          <w:b/>
          <w:bCs/>
          <w:color w:val="auto"/>
          <w:sz w:val="28"/>
          <w:szCs w:val="28"/>
          <w:lang w:val="en-GB"/>
        </w:rPr>
        <w:t>ntroduction</w:t>
      </w:r>
      <w:bookmarkEnd w:id="9"/>
    </w:p>
    <w:p w14:paraId="7BB9CBF6" w14:textId="315787B1" w:rsidR="00BA72A0" w:rsidRPr="00524A72" w:rsidRDefault="00BA72A0" w:rsidP="00BA72A0">
      <w:pPr>
        <w:spacing w:line="276" w:lineRule="auto"/>
        <w:jc w:val="both"/>
        <w:rPr>
          <w:rFonts w:ascii="Times New Roman" w:eastAsia="Times New Roman" w:hAnsi="Times New Roman" w:cs="Times New Roman"/>
          <w:color w:val="000000" w:themeColor="text1"/>
        </w:rPr>
      </w:pPr>
      <w:r w:rsidRPr="002920EA">
        <w:rPr>
          <w:rFonts w:ascii="Times New Roman" w:eastAsia="Times New Roman" w:hAnsi="Times New Roman" w:cs="Times New Roman"/>
          <w:color w:val="000000" w:themeColor="text1"/>
        </w:rPr>
        <w:t xml:space="preserve">Advances in molecular and synthetic biology are enabling the engineering of </w:t>
      </w:r>
      <w:r w:rsidR="00002AFE" w:rsidRPr="002920EA">
        <w:rPr>
          <w:rFonts w:ascii="Times New Roman" w:eastAsia="Times New Roman" w:hAnsi="Times New Roman" w:cs="Times New Roman"/>
          <w:color w:val="000000" w:themeColor="text1"/>
        </w:rPr>
        <w:t>living organisms</w:t>
      </w:r>
      <w:r w:rsidR="001942A5" w:rsidRPr="002920EA">
        <w:rPr>
          <w:rFonts w:ascii="Times New Roman" w:eastAsia="Times New Roman" w:hAnsi="Times New Roman" w:cs="Times New Roman"/>
          <w:color w:val="000000" w:themeColor="text1"/>
        </w:rPr>
        <w:t xml:space="preserve"> with engineered gene drives</w:t>
      </w:r>
      <w:r w:rsidRPr="002920EA">
        <w:rPr>
          <w:rFonts w:ascii="Times New Roman" w:eastAsia="Times New Roman" w:hAnsi="Times New Roman" w:cs="Times New Roman"/>
          <w:color w:val="000000" w:themeColor="text1"/>
        </w:rPr>
        <w:t>. Such EGDs</w:t>
      </w:r>
      <w:r w:rsidRPr="002920EA">
        <w:rPr>
          <w:rFonts w:ascii="Times New Roman" w:hAnsi="Times New Roman" w:cs="Times New Roman"/>
          <w:color w:val="000000" w:themeColor="text1"/>
        </w:rPr>
        <w:t xml:space="preserve"> </w:t>
      </w:r>
      <w:r w:rsidRPr="002920EA">
        <w:rPr>
          <w:rFonts w:ascii="Times New Roman" w:eastAsia="Times New Roman" w:hAnsi="Times New Roman" w:cs="Times New Roman"/>
          <w:color w:val="000000" w:themeColor="text1"/>
        </w:rPr>
        <w:t xml:space="preserve">can be described as genetic elements that are </w:t>
      </w:r>
      <w:r w:rsidR="000C3E59" w:rsidRPr="002920EA">
        <w:rPr>
          <w:rFonts w:ascii="Times New Roman" w:eastAsia="Times New Roman" w:hAnsi="Times New Roman" w:cs="Times New Roman"/>
          <w:color w:val="000000" w:themeColor="text1"/>
        </w:rPr>
        <w:t xml:space="preserve">sexually </w:t>
      </w:r>
      <w:r w:rsidR="003C269B" w:rsidRPr="002920EA">
        <w:rPr>
          <w:rFonts w:ascii="Times New Roman" w:eastAsia="Times New Roman" w:hAnsi="Times New Roman" w:cs="Times New Roman"/>
          <w:color w:val="000000" w:themeColor="text1"/>
        </w:rPr>
        <w:t>transferred</w:t>
      </w:r>
      <w:r w:rsidR="007B3993" w:rsidRPr="002920EA">
        <w:rPr>
          <w:rFonts w:ascii="Times New Roman" w:eastAsia="Times New Roman" w:hAnsi="Times New Roman" w:cs="Times New Roman"/>
          <w:color w:val="000000" w:themeColor="text1"/>
        </w:rPr>
        <w:t xml:space="preserve"> </w:t>
      </w:r>
      <w:r w:rsidRPr="002920EA">
        <w:rPr>
          <w:rFonts w:ascii="Times New Roman" w:eastAsia="Times New Roman" w:hAnsi="Times New Roman" w:cs="Times New Roman"/>
          <w:color w:val="000000" w:themeColor="text1"/>
        </w:rPr>
        <w:t>to subsequent generations at a frequency greater than the 50% expected by Mendelian inheritanc</w:t>
      </w:r>
      <w:r w:rsidRPr="00524A72">
        <w:rPr>
          <w:rFonts w:ascii="Times New Roman" w:eastAsia="Times New Roman" w:hAnsi="Times New Roman" w:cs="Times New Roman"/>
          <w:color w:val="000000" w:themeColor="text1"/>
        </w:rPr>
        <w:t>e</w:t>
      </w:r>
      <w:r w:rsidR="00272071" w:rsidRPr="00524A72">
        <w:rPr>
          <w:rFonts w:ascii="Times New Roman" w:eastAsia="Times New Roman" w:hAnsi="Times New Roman" w:cs="Times New Roman"/>
          <w:color w:val="000000" w:themeColor="text1"/>
        </w:rPr>
        <w:t xml:space="preserve"> (</w:t>
      </w:r>
      <w:r w:rsidR="006A0A87" w:rsidRPr="00524A72">
        <w:rPr>
          <w:rFonts w:ascii="Times New Roman" w:eastAsia="Times New Roman" w:hAnsi="Times New Roman" w:cs="Times New Roman"/>
          <w:color w:val="000000" w:themeColor="text1"/>
        </w:rPr>
        <w:t>Burt, 2003; Burt and others, 2018; Champer and others, 2021; Hay and others, 2021</w:t>
      </w:r>
      <w:r w:rsidR="006A0A87" w:rsidRPr="00524A72">
        <w:rPr>
          <w:rFonts w:ascii="Times New Roman" w:eastAsia="Times New Roman" w:hAnsi="Times New Roman" w:cs="Times New Roman"/>
        </w:rPr>
        <w:t xml:space="preserve">; </w:t>
      </w:r>
      <w:r w:rsidR="00934157" w:rsidRPr="00524A72">
        <w:rPr>
          <w:rFonts w:ascii="Times New Roman" w:eastAsia="Times New Roman" w:hAnsi="Times New Roman" w:cs="Times New Roman"/>
          <w:color w:val="000000" w:themeColor="text1"/>
        </w:rPr>
        <w:t xml:space="preserve">Wang and others, 2022; </w:t>
      </w:r>
      <w:r w:rsidR="006A0A87" w:rsidRPr="00524A72">
        <w:rPr>
          <w:rFonts w:ascii="Times New Roman" w:eastAsia="Times New Roman" w:hAnsi="Times New Roman" w:cs="Times New Roman"/>
        </w:rPr>
        <w:t>Raban and others, 2023</w:t>
      </w:r>
      <w:r w:rsidR="00272071" w:rsidRPr="00524A72">
        <w:rPr>
          <w:rFonts w:ascii="Times New Roman" w:eastAsia="Times New Roman" w:hAnsi="Times New Roman" w:cs="Times New Roman"/>
          <w:color w:val="000000" w:themeColor="text1"/>
        </w:rPr>
        <w:t>)</w:t>
      </w:r>
      <w:r w:rsidRPr="00524A72">
        <w:rPr>
          <w:rFonts w:ascii="Times New Roman" w:eastAsia="Times New Roman" w:hAnsi="Times New Roman" w:cs="Times New Roman"/>
          <w:color w:val="000000" w:themeColor="text1"/>
        </w:rPr>
        <w:t>, thereby biasing their own inheritance. This preferential inheritance may allow EGD systems</w:t>
      </w:r>
      <w:r w:rsidR="0047142E" w:rsidRPr="00524A72">
        <w:rPr>
          <w:rFonts w:ascii="Times New Roman" w:eastAsia="Times New Roman" w:hAnsi="Times New Roman" w:cs="Times New Roman"/>
          <w:color w:val="000000" w:themeColor="text1"/>
        </w:rPr>
        <w:t xml:space="preserve"> (i.e., the engineered gene drive along with any genetically linked cargo/payload genes)</w:t>
      </w:r>
      <w:r w:rsidRPr="00524A72">
        <w:rPr>
          <w:rFonts w:ascii="Times New Roman" w:eastAsia="Times New Roman" w:hAnsi="Times New Roman" w:cs="Times New Roman"/>
          <w:color w:val="000000" w:themeColor="text1"/>
        </w:rPr>
        <w:t xml:space="preserve"> to rapidly spread in sexually reproducing populations</w:t>
      </w:r>
      <w:r w:rsidR="007431AF" w:rsidRPr="00524A72">
        <w:rPr>
          <w:rStyle w:val="FootnoteReference"/>
          <w:rFonts w:ascii="Times New Roman" w:eastAsia="Times New Roman" w:hAnsi="Times New Roman" w:cs="Times New Roman"/>
          <w:color w:val="000000" w:themeColor="text1"/>
        </w:rPr>
        <w:footnoteReference w:id="6"/>
      </w:r>
      <w:r w:rsidRPr="00524A72">
        <w:rPr>
          <w:rFonts w:ascii="Times New Roman" w:eastAsia="Times New Roman" w:hAnsi="Times New Roman" w:cs="Times New Roman"/>
          <w:color w:val="000000" w:themeColor="text1"/>
        </w:rPr>
        <w:t>, increasing their prevalenc</w:t>
      </w:r>
      <w:r w:rsidR="006F7B52" w:rsidRPr="00524A72">
        <w:rPr>
          <w:rFonts w:ascii="Times New Roman" w:eastAsia="Times New Roman" w:hAnsi="Times New Roman" w:cs="Times New Roman"/>
          <w:color w:val="000000" w:themeColor="text1"/>
        </w:rPr>
        <w:t>e</w:t>
      </w:r>
      <w:r w:rsidRPr="00524A72">
        <w:rPr>
          <w:rFonts w:ascii="Times New Roman" w:eastAsia="Times New Roman" w:hAnsi="Times New Roman" w:cs="Times New Roman"/>
          <w:color w:val="000000" w:themeColor="text1"/>
        </w:rPr>
        <w:t>. EGD</w:t>
      </w:r>
      <w:r w:rsidR="00EB3462" w:rsidRPr="00524A72">
        <w:rPr>
          <w:rFonts w:ascii="Times New Roman" w:eastAsia="Times New Roman" w:hAnsi="Times New Roman" w:cs="Times New Roman"/>
          <w:color w:val="000000" w:themeColor="text1"/>
        </w:rPr>
        <w:t xml:space="preserve"> </w:t>
      </w:r>
      <w:r w:rsidRPr="00524A72">
        <w:rPr>
          <w:rFonts w:ascii="Times New Roman" w:eastAsia="Times New Roman" w:hAnsi="Times New Roman" w:cs="Times New Roman"/>
          <w:color w:val="000000" w:themeColor="text1"/>
        </w:rPr>
        <w:t>s</w:t>
      </w:r>
      <w:r w:rsidR="00EB3462" w:rsidRPr="00524A72">
        <w:rPr>
          <w:rFonts w:ascii="Times New Roman" w:eastAsia="Times New Roman" w:hAnsi="Times New Roman" w:cs="Times New Roman"/>
          <w:color w:val="000000" w:themeColor="text1"/>
        </w:rPr>
        <w:t>ystems</w:t>
      </w:r>
      <w:r w:rsidRPr="00524A72">
        <w:rPr>
          <w:rFonts w:ascii="Times New Roman" w:eastAsia="Times New Roman" w:hAnsi="Times New Roman" w:cs="Times New Roman"/>
          <w:color w:val="000000" w:themeColor="text1"/>
        </w:rPr>
        <w:t xml:space="preserve"> can be designed either to suppress</w:t>
      </w:r>
      <w:r w:rsidR="00EE719C" w:rsidRPr="00524A72">
        <w:rPr>
          <w:rFonts w:ascii="Times New Roman" w:eastAsia="Times New Roman" w:hAnsi="Times New Roman" w:cs="Times New Roman"/>
          <w:color w:val="000000" w:themeColor="text1"/>
        </w:rPr>
        <w:t xml:space="preserve"> </w:t>
      </w:r>
      <w:r w:rsidR="009D573D" w:rsidRPr="00524A72">
        <w:rPr>
          <w:rFonts w:ascii="Times New Roman" w:eastAsia="Times New Roman" w:hAnsi="Times New Roman" w:cs="Times New Roman"/>
          <w:color w:val="000000" w:themeColor="text1"/>
        </w:rPr>
        <w:t>or reduce</w:t>
      </w:r>
      <w:r w:rsidR="00BB48B1" w:rsidRPr="00524A72">
        <w:rPr>
          <w:rFonts w:ascii="Times New Roman" w:eastAsia="Times New Roman" w:hAnsi="Times New Roman" w:cs="Times New Roman"/>
          <w:color w:val="000000" w:themeColor="text1"/>
        </w:rPr>
        <w:t xml:space="preserve"> </w:t>
      </w:r>
      <w:r w:rsidRPr="00524A72">
        <w:rPr>
          <w:rFonts w:ascii="Times New Roman" w:eastAsia="Times New Roman" w:hAnsi="Times New Roman" w:cs="Times New Roman"/>
          <w:color w:val="000000" w:themeColor="text1"/>
        </w:rPr>
        <w:t xml:space="preserve">interbreeding target populations or </w:t>
      </w:r>
      <w:r w:rsidR="00F572C8" w:rsidRPr="00524A72">
        <w:rPr>
          <w:rFonts w:ascii="Times New Roman" w:eastAsia="Times New Roman" w:hAnsi="Times New Roman" w:cs="Times New Roman"/>
          <w:color w:val="000000" w:themeColor="text1"/>
        </w:rPr>
        <w:t xml:space="preserve">to </w:t>
      </w:r>
      <w:r w:rsidRPr="00524A72">
        <w:rPr>
          <w:rFonts w:ascii="Times New Roman" w:eastAsia="Times New Roman" w:hAnsi="Times New Roman" w:cs="Times New Roman"/>
          <w:color w:val="000000" w:themeColor="text1"/>
        </w:rPr>
        <w:t xml:space="preserve">modify them with an altered genotype. </w:t>
      </w:r>
      <w:r w:rsidR="00BB48B1" w:rsidRPr="00524A72">
        <w:rPr>
          <w:rFonts w:ascii="Times New Roman" w:eastAsia="Times New Roman" w:hAnsi="Times New Roman" w:cs="Times New Roman"/>
          <w:color w:val="000000" w:themeColor="text1"/>
        </w:rPr>
        <w:t>D</w:t>
      </w:r>
      <w:r w:rsidRPr="00524A72">
        <w:rPr>
          <w:rFonts w:ascii="Times New Roman" w:eastAsia="Times New Roman" w:hAnsi="Times New Roman" w:cs="Times New Roman"/>
          <w:color w:val="000000" w:themeColor="text1"/>
        </w:rPr>
        <w:t xml:space="preserve">epending on the design of the EGD system, a genetic modification of interest could </w:t>
      </w:r>
      <w:r w:rsidR="00546469" w:rsidRPr="00524A72">
        <w:rPr>
          <w:rFonts w:ascii="Times New Roman" w:eastAsia="Times New Roman" w:hAnsi="Times New Roman" w:cs="Times New Roman"/>
          <w:color w:val="000000" w:themeColor="text1"/>
        </w:rPr>
        <w:t xml:space="preserve">potentially </w:t>
      </w:r>
      <w:r w:rsidRPr="00524A72">
        <w:rPr>
          <w:rFonts w:ascii="Times New Roman" w:eastAsia="Times New Roman" w:hAnsi="Times New Roman" w:cs="Times New Roman"/>
          <w:color w:val="000000" w:themeColor="text1"/>
        </w:rPr>
        <w:t xml:space="preserve">spread through target populations or species and persist </w:t>
      </w:r>
      <w:proofErr w:type="gramStart"/>
      <w:r w:rsidRPr="00524A72">
        <w:rPr>
          <w:rFonts w:ascii="Times New Roman" w:eastAsia="Times New Roman" w:hAnsi="Times New Roman" w:cs="Times New Roman"/>
          <w:color w:val="000000" w:themeColor="text1"/>
        </w:rPr>
        <w:t>indefinitely, or</w:t>
      </w:r>
      <w:proofErr w:type="gramEnd"/>
      <w:r w:rsidRPr="00524A72">
        <w:rPr>
          <w:rFonts w:ascii="Times New Roman" w:eastAsia="Times New Roman" w:hAnsi="Times New Roman" w:cs="Times New Roman"/>
          <w:color w:val="000000" w:themeColor="text1"/>
        </w:rPr>
        <w:t xml:space="preserve"> be restricted in its spread or persistence. </w:t>
      </w:r>
    </w:p>
    <w:p w14:paraId="64DD12D3" w14:textId="3194B9B0" w:rsidR="00D972C7" w:rsidRPr="00524A72" w:rsidRDefault="00D972C7" w:rsidP="00D972C7">
      <w:pPr>
        <w:spacing w:line="276" w:lineRule="auto"/>
        <w:jc w:val="both"/>
        <w:rPr>
          <w:rFonts w:ascii="Times New Roman" w:eastAsia="Times New Roman" w:hAnsi="Times New Roman" w:cs="Times New Roman"/>
        </w:rPr>
      </w:pPr>
      <w:r w:rsidRPr="00524A72">
        <w:rPr>
          <w:rFonts w:ascii="Times New Roman" w:eastAsia="Times New Roman" w:hAnsi="Times New Roman" w:cs="Times New Roman"/>
        </w:rPr>
        <w:t xml:space="preserve">Due to the nature of EGDs, EGD-LMOs may differ significantly from </w:t>
      </w:r>
      <w:r w:rsidRPr="00524A72">
        <w:rPr>
          <w:rFonts w:ascii="Times New Roman" w:eastAsia="Times New Roman" w:hAnsi="Times New Roman" w:cs="Times New Roman"/>
          <w:color w:val="000000" w:themeColor="text1"/>
        </w:rPr>
        <w:t>non-EGD</w:t>
      </w:r>
      <w:r w:rsidR="003D5FD4" w:rsidRPr="00524A72">
        <w:rPr>
          <w:rFonts w:ascii="Times New Roman" w:eastAsia="Times New Roman" w:hAnsi="Times New Roman" w:cs="Times New Roman"/>
          <w:color w:val="000000" w:themeColor="text1"/>
        </w:rPr>
        <w:t>-</w:t>
      </w:r>
      <w:r w:rsidR="00F21FF4" w:rsidRPr="00524A72">
        <w:rPr>
          <w:rFonts w:ascii="Times New Roman" w:eastAsia="Times New Roman" w:hAnsi="Times New Roman" w:cs="Times New Roman"/>
          <w:color w:val="000000" w:themeColor="text1"/>
        </w:rPr>
        <w:t>LMOs</w:t>
      </w:r>
      <w:r w:rsidRPr="00524A72">
        <w:rPr>
          <w:rFonts w:ascii="Times New Roman" w:eastAsia="Times New Roman" w:hAnsi="Times New Roman" w:cs="Times New Roman"/>
          <w:color w:val="000000" w:themeColor="text1"/>
        </w:rPr>
        <w:t xml:space="preserve"> in their potential to spread, increase in frequency, persist in and</w:t>
      </w:r>
      <w:r w:rsidR="00C96C87" w:rsidRPr="00524A72">
        <w:rPr>
          <w:rFonts w:ascii="Times New Roman" w:eastAsia="Times New Roman" w:hAnsi="Times New Roman" w:cs="Times New Roman"/>
          <w:color w:val="000000" w:themeColor="text1"/>
        </w:rPr>
        <w:t>/or</w:t>
      </w:r>
      <w:r w:rsidRPr="00524A72">
        <w:rPr>
          <w:rFonts w:ascii="Times New Roman" w:eastAsia="Times New Roman" w:hAnsi="Times New Roman" w:cs="Times New Roman"/>
          <w:color w:val="000000" w:themeColor="text1"/>
        </w:rPr>
        <w:t xml:space="preserve"> suppress interbreeding target populations. EGD-LMOs may also differ from LMOs used in agriculture, as EGDs are </w:t>
      </w:r>
      <w:r w:rsidR="00F871B7" w:rsidRPr="00524A72">
        <w:rPr>
          <w:rFonts w:ascii="Times New Roman" w:eastAsia="Times New Roman" w:hAnsi="Times New Roman" w:cs="Times New Roman"/>
          <w:color w:val="000000" w:themeColor="text1"/>
        </w:rPr>
        <w:t xml:space="preserve">generally </w:t>
      </w:r>
      <w:r w:rsidRPr="00524A72">
        <w:rPr>
          <w:rFonts w:ascii="Times New Roman" w:eastAsia="Times New Roman" w:hAnsi="Times New Roman" w:cs="Times New Roman"/>
          <w:color w:val="000000" w:themeColor="text1"/>
        </w:rPr>
        <w:t>designed to be applied in wild organisms (such as pests, disease vectors, invasive or endangered species), which commonly have higher genetic variability than domesticated organisms, and which may occur in receiving environments that are less well characterized and/or not managed by humans</w:t>
      </w:r>
      <w:r w:rsidR="000805E2" w:rsidRPr="00524A72">
        <w:rPr>
          <w:rFonts w:ascii="Times New Roman" w:eastAsia="Times New Roman" w:hAnsi="Times New Roman" w:cs="Times New Roman"/>
          <w:color w:val="000000" w:themeColor="text1"/>
        </w:rPr>
        <w:t xml:space="preserve"> (</w:t>
      </w:r>
      <w:proofErr w:type="spellStart"/>
      <w:r w:rsidR="000805E2" w:rsidRPr="00524A72">
        <w:rPr>
          <w:rFonts w:ascii="Times New Roman" w:eastAsia="Times New Roman" w:hAnsi="Times New Roman" w:cs="Times New Roman"/>
          <w:color w:val="000000" w:themeColor="text1"/>
        </w:rPr>
        <w:t>Legros</w:t>
      </w:r>
      <w:proofErr w:type="spellEnd"/>
      <w:r w:rsidR="000805E2" w:rsidRPr="00524A72">
        <w:rPr>
          <w:rFonts w:ascii="Times New Roman" w:eastAsia="Times New Roman" w:hAnsi="Times New Roman" w:cs="Times New Roman"/>
          <w:color w:val="000000" w:themeColor="text1"/>
        </w:rPr>
        <w:t xml:space="preserve"> and others, 2021)</w:t>
      </w:r>
      <w:r w:rsidRPr="00524A72">
        <w:rPr>
          <w:rFonts w:ascii="Times New Roman" w:eastAsia="Times New Roman" w:hAnsi="Times New Roman" w:cs="Times New Roman"/>
          <w:color w:val="000000" w:themeColor="text1"/>
        </w:rPr>
        <w:t>.</w:t>
      </w:r>
      <w:r w:rsidRPr="002920EA">
        <w:rPr>
          <w:rFonts w:ascii="Times New Roman" w:eastAsia="Times New Roman" w:hAnsi="Times New Roman" w:cs="Times New Roman"/>
          <w:color w:val="000000" w:themeColor="text1"/>
        </w:rPr>
        <w:t xml:space="preserve"> It has also been noted that </w:t>
      </w:r>
      <w:r w:rsidR="00EC4A9F" w:rsidRPr="002920EA">
        <w:rPr>
          <w:rFonts w:ascii="Times New Roman" w:eastAsia="Times New Roman" w:hAnsi="Times New Roman" w:cs="Times New Roman"/>
          <w:color w:val="000000" w:themeColor="text1"/>
        </w:rPr>
        <w:t xml:space="preserve">some </w:t>
      </w:r>
      <w:r w:rsidR="00192C78" w:rsidRPr="002920EA">
        <w:rPr>
          <w:rFonts w:ascii="Times New Roman" w:eastAsia="Times New Roman" w:hAnsi="Times New Roman" w:cs="Times New Roman"/>
          <w:color w:val="000000" w:themeColor="text1"/>
        </w:rPr>
        <w:t>EGD-LMO</w:t>
      </w:r>
      <w:r w:rsidR="007F1363" w:rsidRPr="002920EA">
        <w:rPr>
          <w:rFonts w:ascii="Times New Roman" w:eastAsia="Times New Roman" w:hAnsi="Times New Roman" w:cs="Times New Roman"/>
          <w:color w:val="000000" w:themeColor="text1"/>
        </w:rPr>
        <w:t>s</w:t>
      </w:r>
      <w:r w:rsidR="00002AFE" w:rsidRPr="002920EA">
        <w:rPr>
          <w:rFonts w:ascii="Times New Roman" w:eastAsia="Times New Roman" w:hAnsi="Times New Roman" w:cs="Times New Roman"/>
          <w:color w:val="000000" w:themeColor="text1"/>
        </w:rPr>
        <w:t xml:space="preserve"> may</w:t>
      </w:r>
      <w:r w:rsidRPr="002920EA">
        <w:rPr>
          <w:rFonts w:ascii="Times New Roman" w:eastAsia="Times New Roman" w:hAnsi="Times New Roman" w:cs="Times New Roman"/>
          <w:color w:val="000000" w:themeColor="text1"/>
        </w:rPr>
        <w:t xml:space="preserve"> belong to species complexes that contain both vector and non-vectors species, where some combinations of which </w:t>
      </w:r>
      <w:proofErr w:type="gramStart"/>
      <w:r w:rsidRPr="002920EA">
        <w:rPr>
          <w:rFonts w:ascii="Times New Roman" w:eastAsia="Times New Roman" w:hAnsi="Times New Roman" w:cs="Times New Roman"/>
          <w:color w:val="000000" w:themeColor="text1"/>
        </w:rPr>
        <w:t>are capable of producing</w:t>
      </w:r>
      <w:proofErr w:type="gramEnd"/>
      <w:r w:rsidRPr="002920EA">
        <w:rPr>
          <w:rFonts w:ascii="Times New Roman" w:eastAsia="Times New Roman" w:hAnsi="Times New Roman" w:cs="Times New Roman"/>
          <w:color w:val="000000" w:themeColor="text1"/>
        </w:rPr>
        <w:t xml:space="preserve"> fertile interspecific hybrids. Such “semi-permeable” or “porous” species boundaries facilitate introgression and could plausibly lead to vertical EGD transfer amongst sibling species </w:t>
      </w:r>
      <w:r w:rsidRPr="00524A72">
        <w:rPr>
          <w:rFonts w:ascii="Times New Roman" w:eastAsia="Times New Roman" w:hAnsi="Times New Roman" w:cs="Times New Roman"/>
          <w:color w:val="000000" w:themeColor="text1"/>
        </w:rPr>
        <w:t>(</w:t>
      </w:r>
      <w:r w:rsidR="006D5C5C" w:rsidRPr="00524A72">
        <w:rPr>
          <w:rFonts w:ascii="Times New Roman" w:eastAsia="Times New Roman" w:hAnsi="Times New Roman" w:cs="Times New Roman"/>
          <w:color w:val="000000" w:themeColor="text1"/>
        </w:rPr>
        <w:t>Courtier-</w:t>
      </w:r>
      <w:proofErr w:type="spellStart"/>
      <w:r w:rsidR="006D5C5C" w:rsidRPr="00524A72">
        <w:rPr>
          <w:rFonts w:ascii="Times New Roman" w:eastAsia="Times New Roman" w:hAnsi="Times New Roman" w:cs="Times New Roman"/>
          <w:color w:val="000000" w:themeColor="text1"/>
        </w:rPr>
        <w:t>Orgogozo</w:t>
      </w:r>
      <w:proofErr w:type="spellEnd"/>
      <w:r w:rsidR="006D5C5C" w:rsidRPr="00524A72">
        <w:rPr>
          <w:rFonts w:ascii="Times New Roman" w:eastAsia="Times New Roman" w:hAnsi="Times New Roman" w:cs="Times New Roman"/>
          <w:color w:val="000000" w:themeColor="text1"/>
        </w:rPr>
        <w:t xml:space="preserve"> and others, </w:t>
      </w:r>
      <w:r w:rsidR="006D5C5C" w:rsidRPr="00524A72">
        <w:rPr>
          <w:rFonts w:ascii="Times New Roman" w:eastAsia="Times New Roman" w:hAnsi="Times New Roman" w:cs="Times New Roman"/>
        </w:rPr>
        <w:t xml:space="preserve">2018; </w:t>
      </w:r>
      <w:r w:rsidRPr="00524A72">
        <w:rPr>
          <w:rFonts w:ascii="Times New Roman" w:eastAsia="Times New Roman" w:hAnsi="Times New Roman" w:cs="Times New Roman"/>
        </w:rPr>
        <w:t>Conn</w:t>
      </w:r>
      <w:r w:rsidR="004C0E75" w:rsidRPr="00524A72">
        <w:rPr>
          <w:rFonts w:ascii="Times New Roman" w:eastAsia="Times New Roman" w:hAnsi="Times New Roman" w:cs="Times New Roman"/>
        </w:rPr>
        <w:t>o</w:t>
      </w:r>
      <w:r w:rsidRPr="00524A72">
        <w:rPr>
          <w:rFonts w:ascii="Times New Roman" w:eastAsia="Times New Roman" w:hAnsi="Times New Roman" w:cs="Times New Roman"/>
        </w:rPr>
        <w:t>lly and others, 2023</w:t>
      </w:r>
      <w:r w:rsidR="0088671C" w:rsidRPr="00524A72">
        <w:rPr>
          <w:rFonts w:ascii="Times New Roman" w:eastAsia="Times New Roman" w:hAnsi="Times New Roman" w:cs="Times New Roman"/>
        </w:rPr>
        <w:t>b</w:t>
      </w:r>
      <w:r w:rsidRPr="00524A72">
        <w:rPr>
          <w:rFonts w:ascii="Times New Roman" w:eastAsia="Times New Roman" w:hAnsi="Times New Roman" w:cs="Times New Roman"/>
          <w:color w:val="000000" w:themeColor="text1"/>
        </w:rPr>
        <w:t>). Depending on the EGD system, the envisaged effect of a</w:t>
      </w:r>
      <w:r w:rsidR="008B4684" w:rsidRPr="00524A72">
        <w:rPr>
          <w:rFonts w:ascii="Times New Roman" w:eastAsia="Times New Roman" w:hAnsi="Times New Roman" w:cs="Times New Roman"/>
          <w:color w:val="000000" w:themeColor="text1"/>
        </w:rPr>
        <w:t>n intentional</w:t>
      </w:r>
      <w:r w:rsidRPr="00524A72">
        <w:rPr>
          <w:rFonts w:ascii="Times New Roman" w:eastAsia="Times New Roman" w:hAnsi="Times New Roman" w:cs="Times New Roman"/>
          <w:color w:val="000000" w:themeColor="text1"/>
        </w:rPr>
        <w:t xml:space="preserve"> </w:t>
      </w:r>
      <w:r w:rsidRPr="00524A72">
        <w:rPr>
          <w:rFonts w:ascii="Times New Roman" w:eastAsia="Times New Roman" w:hAnsi="Times New Roman" w:cs="Times New Roman"/>
        </w:rPr>
        <w:t xml:space="preserve">release may encompass several generations of the recipient organism. In comparison to non-EGD LMOs, an additional difference may pertain to the potential inability to halt the spread of the EGD (and EGD-LMO) or to reverse its action and effects. </w:t>
      </w:r>
    </w:p>
    <w:p w14:paraId="10280531" w14:textId="1F179050" w:rsidR="00D972C7" w:rsidRPr="002920EA" w:rsidRDefault="00D972C7" w:rsidP="00D972C7">
      <w:pPr>
        <w:spacing w:line="276" w:lineRule="auto"/>
        <w:jc w:val="both"/>
        <w:rPr>
          <w:rFonts w:ascii="Times New Roman" w:eastAsia="Times New Roman" w:hAnsi="Times New Roman" w:cs="Times New Roman"/>
          <w:color w:val="000000" w:themeColor="text1"/>
        </w:rPr>
      </w:pPr>
      <w:r w:rsidRPr="00524A72">
        <w:rPr>
          <w:rFonts w:ascii="Times New Roman" w:eastAsia="Times New Roman" w:hAnsi="Times New Roman" w:cs="Times New Roman"/>
        </w:rPr>
        <w:t>While research on EGDs and their a</w:t>
      </w:r>
      <w:r w:rsidRPr="00524A72">
        <w:rPr>
          <w:rFonts w:ascii="Times New Roman" w:eastAsia="Times New Roman" w:hAnsi="Times New Roman" w:cs="Times New Roman"/>
          <w:color w:val="000000" w:themeColor="text1"/>
        </w:rPr>
        <w:t xml:space="preserve">pplications in </w:t>
      </w:r>
      <w:r w:rsidR="00363097" w:rsidRPr="00524A72">
        <w:rPr>
          <w:rFonts w:ascii="Times New Roman" w:eastAsia="Times New Roman" w:hAnsi="Times New Roman" w:cs="Times New Roman"/>
          <w:color w:val="000000" w:themeColor="text1"/>
        </w:rPr>
        <w:t xml:space="preserve">living organisms </w:t>
      </w:r>
      <w:r w:rsidRPr="00524A72">
        <w:rPr>
          <w:rFonts w:ascii="Times New Roman" w:eastAsia="Times New Roman" w:hAnsi="Times New Roman" w:cs="Times New Roman"/>
          <w:color w:val="000000" w:themeColor="text1"/>
        </w:rPr>
        <w:t>is advancing, applications may take some years of technological development to move to practical applications for intentional release into the environment. Some living modified insects that contain an EGD (EGD-LMO) have been tested experimentally in the laboratory</w:t>
      </w:r>
      <w:r w:rsidR="002C5952" w:rsidRPr="00524A72">
        <w:rPr>
          <w:rFonts w:ascii="Times New Roman" w:eastAsia="Times New Roman" w:hAnsi="Times New Roman" w:cs="Times New Roman"/>
          <w:color w:val="000000" w:themeColor="text1"/>
        </w:rPr>
        <w:t xml:space="preserve">, </w:t>
      </w:r>
      <w:r w:rsidR="00CB7F70" w:rsidRPr="00524A72">
        <w:rPr>
          <w:rFonts w:ascii="Times New Roman" w:eastAsia="Times New Roman" w:hAnsi="Times New Roman" w:cs="Times New Roman"/>
          <w:color w:val="000000" w:themeColor="text1"/>
        </w:rPr>
        <w:t xml:space="preserve">as well as </w:t>
      </w:r>
      <w:r w:rsidR="002C5952" w:rsidRPr="00524A72">
        <w:rPr>
          <w:rFonts w:ascii="Times New Roman" w:eastAsia="Times New Roman" w:hAnsi="Times New Roman" w:cs="Times New Roman"/>
          <w:color w:val="000000" w:themeColor="text1"/>
        </w:rPr>
        <w:t>cage facilities</w:t>
      </w:r>
      <w:r w:rsidRPr="00524A72">
        <w:rPr>
          <w:rFonts w:ascii="Times New Roman" w:eastAsia="Times New Roman" w:hAnsi="Times New Roman" w:cs="Times New Roman"/>
          <w:color w:val="000000" w:themeColor="text1"/>
        </w:rPr>
        <w:t xml:space="preserve"> (e.g.</w:t>
      </w:r>
      <w:r w:rsidR="00A404A1" w:rsidRPr="00524A72">
        <w:rPr>
          <w:rFonts w:ascii="Times New Roman" w:eastAsia="Times New Roman" w:hAnsi="Times New Roman" w:cs="Times New Roman"/>
          <w:color w:val="000000" w:themeColor="text1"/>
        </w:rPr>
        <w:t>,</w:t>
      </w:r>
      <w:r w:rsidRPr="00524A72">
        <w:rPr>
          <w:rFonts w:ascii="Times New Roman" w:eastAsia="Times New Roman" w:hAnsi="Times New Roman" w:cs="Times New Roman"/>
          <w:color w:val="000000" w:themeColor="text1"/>
        </w:rPr>
        <w:t xml:space="preserve"> Raban and others, 2020</w:t>
      </w:r>
      <w:r w:rsidR="00F40E51" w:rsidRPr="00524A72">
        <w:rPr>
          <w:rFonts w:ascii="Times New Roman" w:eastAsia="Times New Roman" w:hAnsi="Times New Roman" w:cs="Times New Roman"/>
          <w:color w:val="000000" w:themeColor="text1"/>
        </w:rPr>
        <w:t>; Hammond and others, 2021</w:t>
      </w:r>
      <w:r w:rsidRPr="00524A72">
        <w:rPr>
          <w:rFonts w:ascii="Times New Roman" w:eastAsia="Times New Roman" w:hAnsi="Times New Roman" w:cs="Times New Roman"/>
          <w:color w:val="000000" w:themeColor="text1"/>
        </w:rPr>
        <w:t xml:space="preserve">), but to date </w:t>
      </w:r>
      <w:r w:rsidR="00F21097" w:rsidRPr="00524A72">
        <w:rPr>
          <w:rFonts w:ascii="Times New Roman" w:eastAsia="Times New Roman" w:hAnsi="Times New Roman" w:cs="Times New Roman"/>
          <w:color w:val="000000" w:themeColor="text1"/>
        </w:rPr>
        <w:t>(February 2024)</w:t>
      </w:r>
      <w:r w:rsidRPr="00524A72">
        <w:rPr>
          <w:rFonts w:ascii="Times New Roman" w:eastAsia="Times New Roman" w:hAnsi="Times New Roman" w:cs="Times New Roman"/>
          <w:color w:val="000000" w:themeColor="text1"/>
        </w:rPr>
        <w:t xml:space="preserve"> none have been</w:t>
      </w:r>
      <w:r w:rsidRPr="002920EA">
        <w:rPr>
          <w:rFonts w:ascii="Times New Roman" w:eastAsia="Times New Roman" w:hAnsi="Times New Roman" w:cs="Times New Roman"/>
          <w:color w:val="000000" w:themeColor="text1"/>
        </w:rPr>
        <w:t xml:space="preserve"> </w:t>
      </w:r>
      <w:r w:rsidR="00E8478C" w:rsidRPr="002920EA">
        <w:rPr>
          <w:rFonts w:ascii="Times New Roman" w:eastAsia="Times New Roman" w:hAnsi="Times New Roman" w:cs="Times New Roman"/>
          <w:color w:val="000000" w:themeColor="text1"/>
        </w:rPr>
        <w:t xml:space="preserve">released </w:t>
      </w:r>
      <w:r w:rsidRPr="002920EA">
        <w:rPr>
          <w:rFonts w:ascii="Times New Roman" w:eastAsia="Times New Roman" w:hAnsi="Times New Roman" w:cs="Times New Roman"/>
          <w:color w:val="000000" w:themeColor="text1"/>
        </w:rPr>
        <w:t>in small-scale confined or open release field trials.</w:t>
      </w:r>
    </w:p>
    <w:p w14:paraId="6A5BE8CA" w14:textId="34DB0AC7" w:rsidR="00D972C7" w:rsidRPr="002920EA" w:rsidRDefault="00D972C7" w:rsidP="00D972C7">
      <w:pPr>
        <w:spacing w:line="276" w:lineRule="auto"/>
        <w:jc w:val="both"/>
        <w:rPr>
          <w:rFonts w:ascii="Times New Roman" w:eastAsia="Times New Roman" w:hAnsi="Times New Roman" w:cs="Times New Roman"/>
          <w:color w:val="000000" w:themeColor="text1"/>
        </w:rPr>
      </w:pPr>
      <w:r w:rsidRPr="002920EA">
        <w:rPr>
          <w:rFonts w:ascii="Times New Roman" w:eastAsia="Times New Roman" w:hAnsi="Times New Roman" w:cs="Times New Roman"/>
          <w:color w:val="000000" w:themeColor="text1"/>
        </w:rPr>
        <w:t xml:space="preserve">Irrespective of their intended applications, concerns have been raised that the intentional release of EGD-LMOs into the environment may have adverse, unexpected and/or irreversible effects. </w:t>
      </w:r>
      <w:r w:rsidR="001F3C82" w:rsidRPr="002920EA">
        <w:rPr>
          <w:rFonts w:ascii="Times New Roman" w:eastAsia="Times New Roman" w:hAnsi="Times New Roman" w:cs="Times New Roman"/>
          <w:color w:val="000000" w:themeColor="text1"/>
        </w:rPr>
        <w:t>T</w:t>
      </w:r>
      <w:r w:rsidRPr="002920EA">
        <w:rPr>
          <w:rFonts w:ascii="Times New Roman" w:eastAsia="Times New Roman" w:hAnsi="Times New Roman" w:cs="Times New Roman"/>
          <w:color w:val="000000" w:themeColor="text1"/>
        </w:rPr>
        <w:t xml:space="preserve">hese effects could include direct and immediate effects, </w:t>
      </w:r>
      <w:r w:rsidR="00A64DE8" w:rsidRPr="002920EA">
        <w:rPr>
          <w:rFonts w:ascii="Times New Roman" w:eastAsia="Times New Roman" w:hAnsi="Times New Roman" w:cs="Times New Roman"/>
          <w:color w:val="000000" w:themeColor="text1"/>
        </w:rPr>
        <w:t>as well as</w:t>
      </w:r>
      <w:r w:rsidR="00CC41CC" w:rsidRPr="002920EA">
        <w:rPr>
          <w:rFonts w:ascii="Times New Roman" w:eastAsia="Times New Roman" w:hAnsi="Times New Roman" w:cs="Times New Roman"/>
          <w:color w:val="000000" w:themeColor="text1"/>
        </w:rPr>
        <w:t xml:space="preserve"> </w:t>
      </w:r>
      <w:r w:rsidRPr="002920EA">
        <w:rPr>
          <w:rFonts w:ascii="Times New Roman" w:eastAsia="Times New Roman" w:hAnsi="Times New Roman" w:cs="Times New Roman"/>
          <w:color w:val="000000" w:themeColor="text1"/>
        </w:rPr>
        <w:t>indirect, cumulative and</w:t>
      </w:r>
      <w:r w:rsidR="00403E06" w:rsidRPr="002920EA">
        <w:rPr>
          <w:rFonts w:ascii="Times New Roman" w:eastAsia="Times New Roman" w:hAnsi="Times New Roman" w:cs="Times New Roman"/>
          <w:color w:val="000000" w:themeColor="text1"/>
        </w:rPr>
        <w:t>/or</w:t>
      </w:r>
      <w:r w:rsidRPr="002920EA">
        <w:rPr>
          <w:rFonts w:ascii="Times New Roman" w:eastAsia="Times New Roman" w:hAnsi="Times New Roman" w:cs="Times New Roman"/>
          <w:color w:val="000000" w:themeColor="text1"/>
        </w:rPr>
        <w:t xml:space="preserve"> long-term effects. Therefore,</w:t>
      </w:r>
      <w:r w:rsidR="00B617F7" w:rsidRPr="002920EA">
        <w:rPr>
          <w:rFonts w:ascii="Times New Roman" w:eastAsia="Times New Roman" w:hAnsi="Times New Roman" w:cs="Times New Roman"/>
          <w:color w:val="000000" w:themeColor="text1"/>
        </w:rPr>
        <w:t xml:space="preserve"> </w:t>
      </w:r>
      <w:r w:rsidRPr="002920EA">
        <w:rPr>
          <w:rFonts w:ascii="Times New Roman" w:eastAsia="Times New Roman" w:hAnsi="Times New Roman" w:cs="Times New Roman"/>
          <w:color w:val="000000" w:themeColor="text1"/>
        </w:rPr>
        <w:t xml:space="preserve">discussions have been held at different levels amongst </w:t>
      </w:r>
      <w:r w:rsidR="00B614EB">
        <w:rPr>
          <w:rFonts w:ascii="Times New Roman" w:eastAsia="Times New Roman" w:hAnsi="Times New Roman" w:cs="Times New Roman"/>
          <w:color w:val="000000" w:themeColor="text1"/>
        </w:rPr>
        <w:t>indigenous peoples and local communitie</w:t>
      </w:r>
      <w:r w:rsidR="00BE108E" w:rsidRPr="002920EA">
        <w:rPr>
          <w:rFonts w:ascii="Times New Roman" w:eastAsia="Times New Roman" w:hAnsi="Times New Roman" w:cs="Times New Roman"/>
          <w:color w:val="000000" w:themeColor="text1"/>
        </w:rPr>
        <w:t>s</w:t>
      </w:r>
      <w:r w:rsidR="00AC4D90" w:rsidRPr="002920EA">
        <w:rPr>
          <w:rFonts w:ascii="Times New Roman" w:eastAsia="Times New Roman" w:hAnsi="Times New Roman" w:cs="Times New Roman"/>
          <w:color w:val="000000" w:themeColor="text1"/>
        </w:rPr>
        <w:t xml:space="preserve"> and </w:t>
      </w:r>
      <w:r w:rsidRPr="002920EA">
        <w:rPr>
          <w:rFonts w:ascii="Times New Roman" w:eastAsia="Times New Roman" w:hAnsi="Times New Roman" w:cs="Times New Roman"/>
          <w:color w:val="000000" w:themeColor="text1"/>
        </w:rPr>
        <w:t>various stakeholders, including policy makers, risk assessors, risk managers</w:t>
      </w:r>
      <w:r w:rsidR="00640889" w:rsidRPr="002920EA">
        <w:rPr>
          <w:rFonts w:ascii="Times New Roman" w:eastAsia="Times New Roman" w:hAnsi="Times New Roman" w:cs="Times New Roman"/>
          <w:color w:val="000000" w:themeColor="text1"/>
        </w:rPr>
        <w:t>, developers</w:t>
      </w:r>
      <w:r w:rsidRPr="002920EA">
        <w:rPr>
          <w:rFonts w:ascii="Times New Roman" w:eastAsia="Times New Roman" w:hAnsi="Times New Roman" w:cs="Times New Roman"/>
          <w:color w:val="000000" w:themeColor="text1"/>
        </w:rPr>
        <w:t xml:space="preserve"> and potential applicants, to determine whether there is a need to develop new or additional guidance for the risk </w:t>
      </w:r>
      <w:r w:rsidRPr="002920EA">
        <w:rPr>
          <w:rFonts w:ascii="Times New Roman" w:eastAsia="Times New Roman" w:hAnsi="Times New Roman" w:cs="Times New Roman"/>
          <w:color w:val="000000" w:themeColor="text1"/>
        </w:rPr>
        <w:lastRenderedPageBreak/>
        <w:t xml:space="preserve">assessment of EGD-LMOs for </w:t>
      </w:r>
      <w:r w:rsidR="00363097" w:rsidRPr="002920EA">
        <w:rPr>
          <w:rFonts w:ascii="Times New Roman" w:eastAsia="Times New Roman" w:hAnsi="Times New Roman" w:cs="Times New Roman"/>
          <w:color w:val="000000" w:themeColor="text1"/>
        </w:rPr>
        <w:t xml:space="preserve">intentional </w:t>
      </w:r>
      <w:r w:rsidRPr="002920EA">
        <w:rPr>
          <w:rFonts w:ascii="Times New Roman" w:eastAsia="Times New Roman" w:hAnsi="Times New Roman" w:cs="Times New Roman"/>
          <w:color w:val="000000" w:themeColor="text1"/>
        </w:rPr>
        <w:t xml:space="preserve">release into the environment </w:t>
      </w:r>
      <w:r w:rsidRPr="0013160B">
        <w:rPr>
          <w:rFonts w:ascii="Times New Roman" w:eastAsia="Times New Roman" w:hAnsi="Times New Roman" w:cs="Times New Roman"/>
          <w:color w:val="000000" w:themeColor="text1"/>
        </w:rPr>
        <w:t>(Simon</w:t>
      </w:r>
      <w:r w:rsidR="00F8214C" w:rsidRPr="0013160B">
        <w:rPr>
          <w:rFonts w:ascii="Times New Roman" w:eastAsia="Times New Roman" w:hAnsi="Times New Roman" w:cs="Times New Roman"/>
          <w:color w:val="000000" w:themeColor="text1"/>
        </w:rPr>
        <w:t xml:space="preserve"> and others</w:t>
      </w:r>
      <w:r w:rsidR="003F7199" w:rsidRPr="0013160B">
        <w:rPr>
          <w:rFonts w:ascii="Times New Roman" w:eastAsia="Times New Roman" w:hAnsi="Times New Roman" w:cs="Times New Roman"/>
          <w:color w:val="000000" w:themeColor="text1"/>
        </w:rPr>
        <w:t>,</w:t>
      </w:r>
      <w:r w:rsidRPr="0013160B">
        <w:rPr>
          <w:rFonts w:ascii="Times New Roman" w:eastAsia="Times New Roman" w:hAnsi="Times New Roman" w:cs="Times New Roman"/>
          <w:color w:val="000000" w:themeColor="text1"/>
        </w:rPr>
        <w:t xml:space="preserve"> 2018; Keiper and </w:t>
      </w:r>
      <w:proofErr w:type="spellStart"/>
      <w:r w:rsidRPr="0013160B">
        <w:rPr>
          <w:rFonts w:ascii="Times New Roman" w:eastAsia="Times New Roman" w:hAnsi="Times New Roman" w:cs="Times New Roman"/>
          <w:color w:val="000000" w:themeColor="text1"/>
        </w:rPr>
        <w:t>Atanassova</w:t>
      </w:r>
      <w:proofErr w:type="spellEnd"/>
      <w:r w:rsidRPr="0013160B">
        <w:rPr>
          <w:rFonts w:ascii="Times New Roman" w:eastAsia="Times New Roman" w:hAnsi="Times New Roman" w:cs="Times New Roman"/>
          <w:color w:val="000000" w:themeColor="text1"/>
        </w:rPr>
        <w:t>, 2020; Devos and others, 2020, 2021</w:t>
      </w:r>
      <w:proofErr w:type="gramStart"/>
      <w:r w:rsidRPr="0013160B">
        <w:rPr>
          <w:rFonts w:ascii="Times New Roman" w:eastAsia="Times New Roman" w:hAnsi="Times New Roman" w:cs="Times New Roman"/>
          <w:color w:val="000000" w:themeColor="text1"/>
        </w:rPr>
        <w:t>)</w:t>
      </w:r>
      <w:r w:rsidR="00F1641A" w:rsidRPr="0013160B">
        <w:rPr>
          <w:rFonts w:ascii="Times New Roman" w:eastAsia="Times New Roman" w:hAnsi="Times New Roman" w:cs="Times New Roman"/>
          <w:color w:val="000000" w:themeColor="text1"/>
        </w:rPr>
        <w:t xml:space="preserve"> </w:t>
      </w:r>
      <w:r w:rsidRPr="0013160B">
        <w:rPr>
          <w:rFonts w:ascii="Times New Roman" w:eastAsia="Times New Roman" w:hAnsi="Times New Roman" w:cs="Times New Roman"/>
          <w:color w:val="000000" w:themeColor="text1"/>
        </w:rPr>
        <w:t>.</w:t>
      </w:r>
      <w:proofErr w:type="gramEnd"/>
      <w:r w:rsidRPr="002920EA">
        <w:rPr>
          <w:rFonts w:ascii="Times New Roman" w:eastAsia="Times New Roman" w:hAnsi="Times New Roman" w:cs="Times New Roman"/>
          <w:color w:val="000000" w:themeColor="text1"/>
        </w:rPr>
        <w:t xml:space="preserve"> </w:t>
      </w:r>
    </w:p>
    <w:p w14:paraId="11AF72B2" w14:textId="58815829" w:rsidR="00A57AC9" w:rsidRDefault="00D972C7" w:rsidP="0047337E">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Overall, it has been recognized that there are specific areas where further guidance is needed for the risk assessment of EGD-LMOs to ensure appropriate levels of safety. In 2016, the</w:t>
      </w:r>
      <w:r w:rsidR="00787898">
        <w:rPr>
          <w:rFonts w:ascii="Times New Roman" w:eastAsia="Times New Roman" w:hAnsi="Times New Roman" w:cs="Times New Roman"/>
        </w:rPr>
        <w:t xml:space="preserve"> Secretariat of </w:t>
      </w:r>
      <w:r w:rsidR="009B0153">
        <w:rPr>
          <w:rFonts w:ascii="Times New Roman" w:eastAsia="Times New Roman" w:hAnsi="Times New Roman" w:cs="Times New Roman"/>
        </w:rPr>
        <w:t>the</w:t>
      </w:r>
      <w:r w:rsidRPr="00BB5241">
        <w:rPr>
          <w:rFonts w:ascii="Times New Roman" w:eastAsia="Times New Roman" w:hAnsi="Times New Roman" w:cs="Times New Roman"/>
        </w:rPr>
        <w:t xml:space="preserve"> Convention on Biological Diversity published general guidance on the risk assessment of LMOs,</w:t>
      </w:r>
      <w:r w:rsidRPr="00BB5241">
        <w:rPr>
          <w:rFonts w:ascii="Times New Roman" w:eastAsia="Times New Roman" w:hAnsi="Times New Roman" w:cs="Times New Roman"/>
          <w:vertAlign w:val="superscript"/>
        </w:rPr>
        <w:footnoteReference w:id="7"/>
      </w:r>
      <w:r w:rsidRPr="00BB5241">
        <w:rPr>
          <w:rFonts w:ascii="Times New Roman" w:eastAsia="Times New Roman" w:hAnsi="Times New Roman" w:cs="Times New Roman"/>
        </w:rPr>
        <w:t xml:space="preserve"> which included mosquitoes among the examples of specific types and traits of LMOs. However, it did not contain specific guidance on EGD-LMOs. In addition, there are other guidance materials available that may provide relevant information to EGD-LMOs as well (</w:t>
      </w:r>
      <w:r w:rsidRPr="0013160B">
        <w:rPr>
          <w:rFonts w:ascii="Times New Roman" w:eastAsia="Times New Roman" w:hAnsi="Times New Roman" w:cs="Times New Roman"/>
        </w:rPr>
        <w:t>NASEM, 2016; EFSA, 2020</w:t>
      </w:r>
      <w:r w:rsidRPr="00415BA7">
        <w:rPr>
          <w:rFonts w:ascii="Times New Roman" w:eastAsia="Times New Roman" w:hAnsi="Times New Roman" w:cs="Times New Roman"/>
        </w:rPr>
        <w:t>; WHO, 2021</w:t>
      </w:r>
      <w:r w:rsidR="00E25734">
        <w:rPr>
          <w:rFonts w:ascii="Times New Roman" w:eastAsia="Times New Roman" w:hAnsi="Times New Roman" w:cs="Times New Roman"/>
        </w:rPr>
        <w:t>b</w:t>
      </w:r>
      <w:r w:rsidRPr="0013160B">
        <w:rPr>
          <w:rFonts w:ascii="Times New Roman" w:eastAsia="Times New Roman" w:hAnsi="Times New Roman" w:cs="Times New Roman"/>
        </w:rPr>
        <w:t>).</w:t>
      </w:r>
      <w:r w:rsidRPr="00BB5241">
        <w:rPr>
          <w:rFonts w:ascii="Times New Roman" w:eastAsia="Times New Roman" w:hAnsi="Times New Roman" w:cs="Times New Roman"/>
        </w:rPr>
        <w:t xml:space="preserve"> </w:t>
      </w:r>
    </w:p>
    <w:p w14:paraId="7BB74BD6" w14:textId="65A0A290" w:rsidR="0047337E" w:rsidRDefault="0047337E" w:rsidP="0047337E">
      <w:pPr>
        <w:pStyle w:val="Heading2"/>
        <w:spacing w:line="276" w:lineRule="auto"/>
        <w:rPr>
          <w:rFonts w:ascii="Times New Roman" w:hAnsi="Times New Roman" w:cs="Times New Roman"/>
          <w:b/>
          <w:bCs/>
          <w:color w:val="auto"/>
          <w:sz w:val="24"/>
          <w:szCs w:val="24"/>
          <w:lang w:val="en-GB"/>
        </w:rPr>
      </w:pPr>
      <w:bookmarkStart w:id="10" w:name="_Toc161220477"/>
      <w:r>
        <w:rPr>
          <w:rFonts w:ascii="Times New Roman" w:hAnsi="Times New Roman" w:cs="Times New Roman"/>
          <w:b/>
          <w:bCs/>
          <w:color w:val="auto"/>
          <w:sz w:val="24"/>
          <w:szCs w:val="24"/>
          <w:lang w:val="en-GB"/>
        </w:rPr>
        <w:t>2</w:t>
      </w:r>
      <w:r w:rsidRPr="00BB5241">
        <w:rPr>
          <w:rFonts w:ascii="Times New Roman" w:hAnsi="Times New Roman" w:cs="Times New Roman"/>
          <w:b/>
          <w:bCs/>
          <w:color w:val="auto"/>
          <w:sz w:val="24"/>
          <w:szCs w:val="24"/>
          <w:lang w:val="en-GB"/>
        </w:rPr>
        <w:t>.</w:t>
      </w:r>
      <w:r>
        <w:rPr>
          <w:rFonts w:ascii="Times New Roman" w:hAnsi="Times New Roman" w:cs="Times New Roman"/>
          <w:b/>
          <w:bCs/>
          <w:color w:val="auto"/>
          <w:sz w:val="24"/>
          <w:szCs w:val="24"/>
          <w:lang w:val="en-GB"/>
        </w:rPr>
        <w:t>1</w:t>
      </w:r>
      <w:r w:rsidRPr="00BB5241">
        <w:rPr>
          <w:rFonts w:ascii="Times New Roman" w:hAnsi="Times New Roman" w:cs="Times New Roman"/>
          <w:b/>
          <w:bCs/>
          <w:color w:val="auto"/>
          <w:sz w:val="24"/>
          <w:szCs w:val="24"/>
          <w:lang w:val="en-GB"/>
        </w:rPr>
        <w:t xml:space="preserve">. </w:t>
      </w:r>
      <w:r>
        <w:rPr>
          <w:rFonts w:ascii="Times New Roman" w:hAnsi="Times New Roman" w:cs="Times New Roman"/>
          <w:b/>
          <w:bCs/>
          <w:color w:val="auto"/>
          <w:sz w:val="24"/>
          <w:szCs w:val="24"/>
          <w:lang w:val="en-GB"/>
        </w:rPr>
        <w:t>Precautionary approach</w:t>
      </w:r>
      <w:bookmarkEnd w:id="10"/>
    </w:p>
    <w:p w14:paraId="63F81DBB" w14:textId="01AB9A0E" w:rsidR="00990FB2" w:rsidRPr="002920EA" w:rsidRDefault="00990FB2" w:rsidP="00990FB2">
      <w:pPr>
        <w:spacing w:line="276" w:lineRule="auto"/>
        <w:jc w:val="both"/>
        <w:rPr>
          <w:rFonts w:ascii="Times New Roman" w:hAnsi="Times New Roman" w:cs="Times New Roman"/>
          <w:color w:val="000000" w:themeColor="text1"/>
          <w:lang w:val="en-US"/>
        </w:rPr>
      </w:pPr>
      <w:r w:rsidRPr="002920EA">
        <w:rPr>
          <w:rFonts w:ascii="Times New Roman" w:hAnsi="Times New Roman" w:cs="Times New Roman"/>
          <w:color w:val="000000" w:themeColor="text1"/>
          <w:lang w:val="en-US"/>
        </w:rPr>
        <w:t xml:space="preserve">Principle 15 of the Rio Declaration on Environment and </w:t>
      </w:r>
      <w:r w:rsidRPr="0013160B">
        <w:rPr>
          <w:rFonts w:ascii="Times New Roman" w:hAnsi="Times New Roman" w:cs="Times New Roman"/>
          <w:color w:val="000000" w:themeColor="text1"/>
          <w:lang w:val="en-US"/>
        </w:rPr>
        <w:t>Development (United Nations, 1992) states</w:t>
      </w:r>
      <w:r w:rsidRPr="002920EA">
        <w:rPr>
          <w:rFonts w:ascii="Times New Roman" w:hAnsi="Times New Roman" w:cs="Times New Roman"/>
          <w:color w:val="000000" w:themeColor="text1"/>
          <w:lang w:val="en-US"/>
        </w:rPr>
        <w:t xml:space="preserve"> that: “In order to protect the environment, the precautionary approach shall be widely applied by States according to their capabilities</w:t>
      </w:r>
      <w:r w:rsidR="00084F1E" w:rsidRPr="002920EA">
        <w:rPr>
          <w:rFonts w:ascii="Times New Roman" w:hAnsi="Times New Roman" w:cs="Times New Roman"/>
          <w:color w:val="000000" w:themeColor="text1"/>
          <w:lang w:val="en-US"/>
        </w:rPr>
        <w:t>,</w:t>
      </w:r>
      <w:r w:rsidR="00A80786" w:rsidRPr="002920EA">
        <w:rPr>
          <w:rFonts w:ascii="Times New Roman" w:hAnsi="Times New Roman" w:cs="Times New Roman"/>
          <w:color w:val="000000" w:themeColor="text1"/>
          <w:lang w:val="en-US"/>
        </w:rPr>
        <w:t xml:space="preserve"> </w:t>
      </w:r>
      <w:r w:rsidR="00084F1E" w:rsidRPr="002920EA">
        <w:rPr>
          <w:rFonts w:ascii="Times New Roman" w:hAnsi="Times New Roman" w:cs="Times New Roman"/>
          <w:color w:val="000000" w:themeColor="text1"/>
          <w:lang w:val="en-US"/>
        </w:rPr>
        <w:t>where there are threats of serious or irreversible damage, lack of full scientific certainty shall not be used as a reason for postponing cost-effective measures to prevent environmental degradation.”</w:t>
      </w:r>
    </w:p>
    <w:p w14:paraId="41E55990" w14:textId="01D0C1EF" w:rsidR="0047337E" w:rsidRPr="00BB5241" w:rsidRDefault="00F141E2" w:rsidP="0047337E">
      <w:pPr>
        <w:spacing w:line="276" w:lineRule="auto"/>
        <w:jc w:val="both"/>
        <w:rPr>
          <w:rFonts w:ascii="Times New Roman" w:hAnsi="Times New Roman" w:cs="Times New Roman"/>
          <w:lang w:val="en-US"/>
        </w:rPr>
      </w:pPr>
      <w:r w:rsidRPr="002920EA">
        <w:rPr>
          <w:rFonts w:ascii="Times New Roman" w:hAnsi="Times New Roman" w:cs="Times New Roman"/>
          <w:color w:val="000000" w:themeColor="text1"/>
          <w:lang w:val="en-US"/>
        </w:rPr>
        <w:t>Accordingly</w:t>
      </w:r>
      <w:r w:rsidR="009623E6" w:rsidRPr="002920EA">
        <w:rPr>
          <w:rFonts w:ascii="Times New Roman" w:hAnsi="Times New Roman" w:cs="Times New Roman"/>
          <w:color w:val="000000" w:themeColor="text1"/>
          <w:lang w:val="en-US"/>
        </w:rPr>
        <w:t xml:space="preserve">, </w:t>
      </w:r>
      <w:r w:rsidR="0047337E" w:rsidRPr="00BB5241">
        <w:rPr>
          <w:rFonts w:ascii="Times New Roman" w:hAnsi="Times New Roman" w:cs="Times New Roman"/>
          <w:lang w:val="en-US"/>
        </w:rPr>
        <w:t xml:space="preserve">Article 1 of the Cartagena Protocol provides as follows: “In accordance with the precautionary approach contained in Principle 15 of the Rio Declaration on Environment and Development, the objective of this Protocol is to contribute to ensuring an adequate level of protection in the field of the safe transfer, handling and use of living modified organisms resulting from modern biotechnology that may have adverse effects on the conservation and sustainable use of biological diversity, taking also into account risks to human health, and specifically focusing on transboundary movements”. </w:t>
      </w:r>
    </w:p>
    <w:p w14:paraId="07D9160E" w14:textId="52A6841F" w:rsidR="0047337E" w:rsidRPr="00BB5241" w:rsidRDefault="0047337E" w:rsidP="0047337E">
      <w:pPr>
        <w:spacing w:line="276" w:lineRule="auto"/>
        <w:jc w:val="both"/>
        <w:rPr>
          <w:rFonts w:ascii="Times New Roman" w:hAnsi="Times New Roman" w:cs="Times New Roman"/>
          <w:color w:val="000000" w:themeColor="text1"/>
          <w:lang w:val="en-US"/>
        </w:rPr>
      </w:pPr>
      <w:r w:rsidRPr="00BB5241">
        <w:rPr>
          <w:rFonts w:ascii="Times New Roman" w:hAnsi="Times New Roman" w:cs="Times New Roman"/>
          <w:color w:val="000000" w:themeColor="text1"/>
          <w:lang w:val="en-US"/>
        </w:rPr>
        <w:t>Additionally, Article 10, paragraph 6 of the Cartagena Protocol further articulates that "lack of scientific certainty due to insufficient relevant scientific information and knowledge regarding the extent of the potential adverse effects of a living modified organism on the conservation and sustainable use of biological diversity in the Party of import, taking also into account risks to human health, shall not prevent that Party from taking a decision, as appropriate, with regard to the import of the living modified organism in question as referred to in paragraph 3 above, in order to avoid or minimize such potential adverse effects.</w:t>
      </w:r>
      <w:r w:rsidR="00084F1E">
        <w:rPr>
          <w:rFonts w:ascii="Times New Roman" w:hAnsi="Times New Roman" w:cs="Times New Roman"/>
          <w:color w:val="000000" w:themeColor="text1"/>
          <w:lang w:val="en-US"/>
        </w:rPr>
        <w:t>”</w:t>
      </w:r>
    </w:p>
    <w:p w14:paraId="0A0326A2" w14:textId="6AF4E651" w:rsidR="00DC2E53" w:rsidRPr="00BB5241" w:rsidRDefault="00372773" w:rsidP="00212686">
      <w:pPr>
        <w:pStyle w:val="Heading2"/>
        <w:spacing w:line="276" w:lineRule="auto"/>
        <w:rPr>
          <w:rFonts w:ascii="Times New Roman" w:hAnsi="Times New Roman" w:cs="Times New Roman"/>
          <w:b/>
          <w:bCs/>
          <w:color w:val="auto"/>
          <w:sz w:val="24"/>
          <w:szCs w:val="24"/>
          <w:lang w:val="en-GB"/>
        </w:rPr>
      </w:pPr>
      <w:bookmarkStart w:id="11" w:name="_Toc3"/>
      <w:bookmarkStart w:id="12" w:name="_Toc161220478"/>
      <w:r w:rsidRPr="00BB5241">
        <w:rPr>
          <w:rFonts w:ascii="Times New Roman" w:hAnsi="Times New Roman" w:cs="Times New Roman"/>
          <w:b/>
          <w:bCs/>
          <w:color w:val="auto"/>
          <w:sz w:val="24"/>
          <w:szCs w:val="24"/>
          <w:lang w:val="en-GB"/>
        </w:rPr>
        <w:t>2.</w:t>
      </w:r>
      <w:r w:rsidR="0047337E">
        <w:rPr>
          <w:rFonts w:ascii="Times New Roman" w:hAnsi="Times New Roman" w:cs="Times New Roman"/>
          <w:b/>
          <w:bCs/>
          <w:color w:val="auto"/>
          <w:sz w:val="24"/>
          <w:szCs w:val="24"/>
          <w:lang w:val="en-GB"/>
        </w:rPr>
        <w:t>2</w:t>
      </w:r>
      <w:r w:rsidRPr="00BB5241">
        <w:rPr>
          <w:rFonts w:ascii="Times New Roman" w:hAnsi="Times New Roman" w:cs="Times New Roman"/>
          <w:b/>
          <w:bCs/>
          <w:color w:val="auto"/>
          <w:sz w:val="24"/>
          <w:szCs w:val="24"/>
          <w:lang w:val="en-GB"/>
        </w:rPr>
        <w:t>.</w:t>
      </w:r>
      <w:r w:rsidR="005430B6" w:rsidRPr="00BB5241">
        <w:rPr>
          <w:rFonts w:ascii="Times New Roman" w:hAnsi="Times New Roman" w:cs="Times New Roman"/>
          <w:b/>
          <w:bCs/>
          <w:color w:val="auto"/>
          <w:sz w:val="24"/>
          <w:szCs w:val="24"/>
          <w:lang w:val="en-GB"/>
        </w:rPr>
        <w:t xml:space="preserve"> Establishing the context</w:t>
      </w:r>
      <w:bookmarkEnd w:id="11"/>
      <w:bookmarkEnd w:id="12"/>
    </w:p>
    <w:p w14:paraId="6249EAFF" w14:textId="32E04D47" w:rsidR="00D81154" w:rsidRPr="00BB5241" w:rsidRDefault="005430B6" w:rsidP="007E005C">
      <w:pPr>
        <w:spacing w:line="276" w:lineRule="auto"/>
        <w:jc w:val="both"/>
        <w:rPr>
          <w:rFonts w:ascii="Times New Roman" w:hAnsi="Times New Roman" w:cs="Times New Roman"/>
        </w:rPr>
      </w:pPr>
      <w:r w:rsidRPr="00BB5241">
        <w:rPr>
          <w:rFonts w:ascii="Times New Roman" w:hAnsi="Times New Roman" w:cs="Times New Roman"/>
        </w:rPr>
        <w:t>In most jurisdictions worldwide,</w:t>
      </w:r>
      <w:r w:rsidR="00A02B7E" w:rsidRPr="00BB5241">
        <w:rPr>
          <w:rFonts w:ascii="Times New Roman" w:hAnsi="Times New Roman" w:cs="Times New Roman"/>
        </w:rPr>
        <w:t xml:space="preserve"> </w:t>
      </w:r>
      <w:r w:rsidRPr="00BB5241">
        <w:rPr>
          <w:rFonts w:ascii="Times New Roman" w:hAnsi="Times New Roman" w:cs="Times New Roman"/>
        </w:rPr>
        <w:t xml:space="preserve">the </w:t>
      </w:r>
      <w:r w:rsidR="00973888" w:rsidRPr="00BB5241">
        <w:rPr>
          <w:rFonts w:ascii="Times New Roman" w:hAnsi="Times New Roman" w:cs="Times New Roman"/>
        </w:rPr>
        <w:t xml:space="preserve">intentional </w:t>
      </w:r>
      <w:r w:rsidRPr="00BB5241">
        <w:rPr>
          <w:rFonts w:ascii="Times New Roman" w:hAnsi="Times New Roman" w:cs="Times New Roman"/>
        </w:rPr>
        <w:t xml:space="preserve">release </w:t>
      </w:r>
      <w:r w:rsidR="006230E3" w:rsidRPr="00BB5241">
        <w:rPr>
          <w:rFonts w:ascii="Times New Roman" w:hAnsi="Times New Roman" w:cs="Times New Roman"/>
        </w:rPr>
        <w:t xml:space="preserve">of LMOs </w:t>
      </w:r>
      <w:r w:rsidRPr="00BB5241">
        <w:rPr>
          <w:rFonts w:ascii="Times New Roman" w:hAnsi="Times New Roman" w:cs="Times New Roman"/>
        </w:rPr>
        <w:t xml:space="preserve">into the environment is subject to risk assessment and regulatory approval. In this process, the role of risk assessors is to assess and provide scientific advice to risk managers on </w:t>
      </w:r>
      <w:r w:rsidR="00EF6439" w:rsidRPr="002920EA">
        <w:rPr>
          <w:rFonts w:ascii="Times New Roman" w:hAnsi="Times New Roman" w:cs="Times New Roman"/>
          <w:color w:val="000000" w:themeColor="text1"/>
        </w:rPr>
        <w:t xml:space="preserve">potential </w:t>
      </w:r>
      <w:r w:rsidRPr="00BB5241">
        <w:rPr>
          <w:rFonts w:ascii="Times New Roman" w:hAnsi="Times New Roman" w:cs="Times New Roman"/>
        </w:rPr>
        <w:t>risk</w:t>
      </w:r>
      <w:r w:rsidR="00904240" w:rsidRPr="00BB5241">
        <w:rPr>
          <w:rFonts w:ascii="Times New Roman" w:hAnsi="Times New Roman" w:cs="Times New Roman"/>
        </w:rPr>
        <w:t>s</w:t>
      </w:r>
      <w:r w:rsidRPr="00BB5241">
        <w:rPr>
          <w:rFonts w:ascii="Times New Roman" w:hAnsi="Times New Roman" w:cs="Times New Roman"/>
        </w:rPr>
        <w:t xml:space="preserve"> that the</w:t>
      </w:r>
      <w:r w:rsidR="00A02B7E" w:rsidRPr="00BB5241">
        <w:rPr>
          <w:rFonts w:ascii="Times New Roman" w:hAnsi="Times New Roman" w:cs="Times New Roman"/>
        </w:rPr>
        <w:t xml:space="preserve"> </w:t>
      </w:r>
      <w:r w:rsidRPr="00BB5241">
        <w:rPr>
          <w:rFonts w:ascii="Times New Roman" w:hAnsi="Times New Roman" w:cs="Times New Roman"/>
        </w:rPr>
        <w:t xml:space="preserve">deployment of a LMO may pose to </w:t>
      </w:r>
      <w:r w:rsidR="00F82045" w:rsidRPr="00BB5241">
        <w:rPr>
          <w:rFonts w:ascii="Times New Roman" w:hAnsi="Times New Roman" w:cs="Times New Roman"/>
        </w:rPr>
        <w:t>biodiversity</w:t>
      </w:r>
      <w:r w:rsidR="00976ED6" w:rsidRPr="00BB5241">
        <w:rPr>
          <w:rFonts w:ascii="Times New Roman" w:hAnsi="Times New Roman" w:cs="Times New Roman"/>
        </w:rPr>
        <w:t xml:space="preserve">, </w:t>
      </w:r>
      <w:r w:rsidR="00D81154" w:rsidRPr="00BB5241">
        <w:rPr>
          <w:rFonts w:ascii="Times New Roman" w:hAnsi="Times New Roman" w:cs="Times New Roman"/>
        </w:rPr>
        <w:t xml:space="preserve">and </w:t>
      </w:r>
      <w:r w:rsidRPr="00BB5241">
        <w:rPr>
          <w:rFonts w:ascii="Times New Roman" w:hAnsi="Times New Roman" w:cs="Times New Roman"/>
        </w:rPr>
        <w:t xml:space="preserve">human </w:t>
      </w:r>
      <w:r w:rsidR="00976ED6" w:rsidRPr="00BB5241">
        <w:rPr>
          <w:rFonts w:ascii="Times New Roman" w:hAnsi="Times New Roman" w:cs="Times New Roman"/>
        </w:rPr>
        <w:t xml:space="preserve">and </w:t>
      </w:r>
      <w:r w:rsidRPr="00BB5241">
        <w:rPr>
          <w:rFonts w:ascii="Times New Roman" w:hAnsi="Times New Roman" w:cs="Times New Roman"/>
        </w:rPr>
        <w:t xml:space="preserve">animal health. Risk assessment </w:t>
      </w:r>
      <w:r w:rsidR="00616AF4" w:rsidRPr="00BB5241">
        <w:rPr>
          <w:rFonts w:ascii="Times New Roman" w:hAnsi="Times New Roman" w:cs="Times New Roman"/>
        </w:rPr>
        <w:t xml:space="preserve">evaluates </w:t>
      </w:r>
      <w:r w:rsidRPr="00BB5241">
        <w:rPr>
          <w:rFonts w:ascii="Times New Roman" w:hAnsi="Times New Roman" w:cs="Times New Roman"/>
        </w:rPr>
        <w:t xml:space="preserve">the various </w:t>
      </w:r>
      <w:r w:rsidR="0043379C" w:rsidRPr="00BB5241">
        <w:rPr>
          <w:rFonts w:ascii="Times New Roman" w:hAnsi="Times New Roman" w:cs="Times New Roman"/>
        </w:rPr>
        <w:t>potential adverse</w:t>
      </w:r>
      <w:r w:rsidR="0043379C">
        <w:rPr>
          <w:rFonts w:ascii="Times New Roman" w:hAnsi="Times New Roman" w:cs="Times New Roman"/>
        </w:rPr>
        <w:t xml:space="preserve"> effects</w:t>
      </w:r>
      <w:r w:rsidRPr="00BB5241">
        <w:rPr>
          <w:rFonts w:ascii="Times New Roman" w:hAnsi="Times New Roman" w:cs="Times New Roman"/>
        </w:rPr>
        <w:t xml:space="preserve"> and their associated</w:t>
      </w:r>
      <w:r w:rsidR="00E338B3" w:rsidRPr="00BB5241">
        <w:rPr>
          <w:rFonts w:ascii="Times New Roman" w:hAnsi="Times New Roman" w:cs="Times New Roman"/>
        </w:rPr>
        <w:t xml:space="preserve"> </w:t>
      </w:r>
      <w:r w:rsidR="00911651" w:rsidRPr="00BB5241">
        <w:rPr>
          <w:rFonts w:ascii="Times New Roman" w:hAnsi="Times New Roman" w:cs="Times New Roman"/>
        </w:rPr>
        <w:t>likelihood</w:t>
      </w:r>
      <w:r w:rsidR="00496AB7" w:rsidRPr="00BB5241">
        <w:rPr>
          <w:rFonts w:ascii="Times New Roman" w:hAnsi="Times New Roman" w:cs="Times New Roman"/>
        </w:rPr>
        <w:t xml:space="preserve">, </w:t>
      </w:r>
      <w:proofErr w:type="gramStart"/>
      <w:r w:rsidR="00496AB7" w:rsidRPr="00BB5241">
        <w:rPr>
          <w:rFonts w:ascii="Times New Roman" w:hAnsi="Times New Roman" w:cs="Times New Roman"/>
        </w:rPr>
        <w:t>taking into account</w:t>
      </w:r>
      <w:proofErr w:type="gramEnd"/>
      <w:r w:rsidR="00496AB7" w:rsidRPr="00BB5241">
        <w:rPr>
          <w:rFonts w:ascii="Times New Roman" w:hAnsi="Times New Roman" w:cs="Times New Roman"/>
        </w:rPr>
        <w:t xml:space="preserve"> the kinds</w:t>
      </w:r>
      <w:r w:rsidR="00E338B3" w:rsidRPr="00BB5241">
        <w:rPr>
          <w:rFonts w:ascii="Times New Roman" w:hAnsi="Times New Roman" w:cs="Times New Roman"/>
        </w:rPr>
        <w:t xml:space="preserve"> and</w:t>
      </w:r>
      <w:r w:rsidRPr="00BB5241">
        <w:rPr>
          <w:rFonts w:ascii="Times New Roman" w:hAnsi="Times New Roman" w:cs="Times New Roman"/>
          <w:b/>
        </w:rPr>
        <w:t xml:space="preserve"> </w:t>
      </w:r>
      <w:r w:rsidRPr="00BB5241">
        <w:rPr>
          <w:rFonts w:ascii="Times New Roman" w:hAnsi="Times New Roman" w:cs="Times New Roman"/>
        </w:rPr>
        <w:t>levels of exposure</w:t>
      </w:r>
      <w:r w:rsidR="00496AB7" w:rsidRPr="00BB5241">
        <w:rPr>
          <w:rFonts w:ascii="Times New Roman" w:hAnsi="Times New Roman" w:cs="Times New Roman"/>
        </w:rPr>
        <w:t>,</w:t>
      </w:r>
      <w:r w:rsidR="00E554CE" w:rsidRPr="00BB5241">
        <w:rPr>
          <w:rFonts w:ascii="Times New Roman" w:hAnsi="Times New Roman" w:cs="Times New Roman"/>
        </w:rPr>
        <w:t xml:space="preserve"> </w:t>
      </w:r>
      <w:r w:rsidRPr="00BB5241">
        <w:rPr>
          <w:rFonts w:ascii="Times New Roman" w:hAnsi="Times New Roman" w:cs="Times New Roman"/>
        </w:rPr>
        <w:t xml:space="preserve">to determine risks </w:t>
      </w:r>
      <w:r w:rsidR="0043379C">
        <w:rPr>
          <w:rFonts w:ascii="Times New Roman" w:hAnsi="Times New Roman" w:cs="Times New Roman"/>
        </w:rPr>
        <w:t xml:space="preserve">that </w:t>
      </w:r>
      <w:r w:rsidR="008A5467" w:rsidRPr="00BB5241">
        <w:rPr>
          <w:rFonts w:ascii="Times New Roman" w:hAnsi="Times New Roman" w:cs="Times New Roman"/>
        </w:rPr>
        <w:t xml:space="preserve">might be </w:t>
      </w:r>
      <w:r w:rsidRPr="00BB5241">
        <w:rPr>
          <w:rFonts w:ascii="Times New Roman" w:hAnsi="Times New Roman" w:cs="Times New Roman"/>
        </w:rPr>
        <w:t xml:space="preserve">associated with the use of a LMO for a particular purpose. </w:t>
      </w:r>
      <w:r w:rsidR="00AC1815" w:rsidRPr="00BB5241">
        <w:rPr>
          <w:rFonts w:ascii="Times New Roman" w:hAnsi="Times New Roman" w:cs="Times New Roman"/>
        </w:rPr>
        <w:t xml:space="preserve">The primary objective </w:t>
      </w:r>
      <w:r w:rsidR="00DC6784" w:rsidRPr="00BB5241">
        <w:rPr>
          <w:rFonts w:ascii="Times New Roman" w:hAnsi="Times New Roman" w:cs="Times New Roman"/>
        </w:rPr>
        <w:t xml:space="preserve">of a risk assessment </w:t>
      </w:r>
      <w:r w:rsidR="00AC1815" w:rsidRPr="00BB5241">
        <w:rPr>
          <w:rFonts w:ascii="Times New Roman" w:hAnsi="Times New Roman" w:cs="Times New Roman"/>
        </w:rPr>
        <w:t>is to identify</w:t>
      </w:r>
      <w:r w:rsidR="00594737" w:rsidRPr="00BB5241">
        <w:rPr>
          <w:rFonts w:ascii="Times New Roman" w:hAnsi="Times New Roman" w:cs="Times New Roman"/>
        </w:rPr>
        <w:t xml:space="preserve"> and</w:t>
      </w:r>
      <w:r w:rsidR="00AC1815" w:rsidRPr="00BB5241">
        <w:rPr>
          <w:rFonts w:ascii="Times New Roman" w:hAnsi="Times New Roman" w:cs="Times New Roman"/>
        </w:rPr>
        <w:t xml:space="preserve"> evaluate the potential risks of LMOs, while considering any </w:t>
      </w:r>
      <w:r w:rsidR="003155FC" w:rsidRPr="00BB5241">
        <w:rPr>
          <w:rFonts w:ascii="Times New Roman" w:hAnsi="Times New Roman" w:cs="Times New Roman"/>
        </w:rPr>
        <w:t xml:space="preserve">relevant </w:t>
      </w:r>
      <w:r w:rsidR="00AC1815" w:rsidRPr="00BB5241">
        <w:rPr>
          <w:rFonts w:ascii="Times New Roman" w:hAnsi="Times New Roman" w:cs="Times New Roman"/>
        </w:rPr>
        <w:t>uncertainties</w:t>
      </w:r>
      <w:r w:rsidR="00DC6784" w:rsidRPr="00BB5241">
        <w:rPr>
          <w:rFonts w:ascii="Times New Roman" w:hAnsi="Times New Roman" w:cs="Times New Roman"/>
        </w:rPr>
        <w:t xml:space="preserve"> and knowledge gaps</w:t>
      </w:r>
      <w:r w:rsidR="00AC1815" w:rsidRPr="00BB5241">
        <w:rPr>
          <w:rFonts w:ascii="Times New Roman" w:hAnsi="Times New Roman" w:cs="Times New Roman"/>
        </w:rPr>
        <w:t xml:space="preserve">. The outcome of the risk assessment serves as a foundation for informed decision-making regarding the use and </w:t>
      </w:r>
      <w:r w:rsidR="00DC6784" w:rsidRPr="00BB5241">
        <w:rPr>
          <w:rFonts w:ascii="Times New Roman" w:hAnsi="Times New Roman" w:cs="Times New Roman"/>
        </w:rPr>
        <w:t xml:space="preserve">the </w:t>
      </w:r>
      <w:r w:rsidR="00ED7280" w:rsidRPr="00BB5241">
        <w:rPr>
          <w:rFonts w:ascii="Times New Roman" w:hAnsi="Times New Roman" w:cs="Times New Roman"/>
        </w:rPr>
        <w:t xml:space="preserve">intended </w:t>
      </w:r>
      <w:r w:rsidR="00AC1815" w:rsidRPr="00BB5241">
        <w:rPr>
          <w:rFonts w:ascii="Times New Roman" w:hAnsi="Times New Roman" w:cs="Times New Roman"/>
        </w:rPr>
        <w:t>release of LMOs</w:t>
      </w:r>
      <w:r w:rsidR="00DC6784" w:rsidRPr="00BB5241">
        <w:rPr>
          <w:rFonts w:ascii="Times New Roman" w:hAnsi="Times New Roman" w:cs="Times New Roman"/>
        </w:rPr>
        <w:t xml:space="preserve"> into the environment. </w:t>
      </w:r>
    </w:p>
    <w:p w14:paraId="021C23DC" w14:textId="4390517E" w:rsidR="007E005C" w:rsidRPr="00BB5241" w:rsidRDefault="007E005C" w:rsidP="007E005C">
      <w:pPr>
        <w:spacing w:line="276" w:lineRule="auto"/>
        <w:jc w:val="both"/>
        <w:rPr>
          <w:rFonts w:ascii="Times New Roman" w:hAnsi="Times New Roman" w:cs="Times New Roman"/>
        </w:rPr>
      </w:pPr>
      <w:r w:rsidRPr="00BB5241">
        <w:rPr>
          <w:rFonts w:ascii="Times New Roman" w:hAnsi="Times New Roman" w:cs="Times New Roman"/>
        </w:rPr>
        <w:lastRenderedPageBreak/>
        <w:t>The risk assessment process</w:t>
      </w:r>
      <w:r w:rsidRPr="421B232A">
        <w:rPr>
          <w:rFonts w:ascii="Times New Roman" w:hAnsi="Times New Roman" w:cs="Times New Roman"/>
          <w:b/>
          <w:bCs/>
        </w:rPr>
        <w:t xml:space="preserve"> </w:t>
      </w:r>
      <w:r w:rsidRPr="00BB5241">
        <w:rPr>
          <w:rFonts w:ascii="Times New Roman" w:hAnsi="Times New Roman" w:cs="Times New Roman"/>
        </w:rPr>
        <w:t>starts by establishing the context and scope in a way that is consistent with the country’s protection goals</w:t>
      </w:r>
      <w:r w:rsidR="00BC5DCA" w:rsidRPr="00BB5241">
        <w:rPr>
          <w:rStyle w:val="FootnoteReference"/>
          <w:rFonts w:ascii="Times New Roman" w:hAnsi="Times New Roman" w:cs="Times New Roman"/>
        </w:rPr>
        <w:footnoteReference w:id="8"/>
      </w:r>
      <w:r w:rsidR="002B7DD2" w:rsidRPr="00BB5241">
        <w:rPr>
          <w:rFonts w:ascii="Times New Roman" w:hAnsi="Times New Roman" w:cs="Times New Roman"/>
        </w:rPr>
        <w:t xml:space="preserve"> (i.e., </w:t>
      </w:r>
      <w:r w:rsidR="001258F2">
        <w:rPr>
          <w:rFonts w:ascii="Times New Roman" w:hAnsi="Times New Roman" w:cs="Times New Roman"/>
        </w:rPr>
        <w:t>component</w:t>
      </w:r>
      <w:r w:rsidR="001258F2" w:rsidRPr="00BB5241">
        <w:rPr>
          <w:rFonts w:ascii="Times New Roman" w:hAnsi="Times New Roman" w:cs="Times New Roman"/>
        </w:rPr>
        <w:t xml:space="preserve"> </w:t>
      </w:r>
      <w:r w:rsidR="002B7DD2" w:rsidRPr="00BB5241">
        <w:rPr>
          <w:rFonts w:ascii="Times New Roman" w:hAnsi="Times New Roman" w:cs="Times New Roman"/>
        </w:rPr>
        <w:t>of value that must be protected)</w:t>
      </w:r>
      <w:r w:rsidRPr="00BB5241">
        <w:rPr>
          <w:rFonts w:ascii="Times New Roman" w:hAnsi="Times New Roman" w:cs="Times New Roman"/>
        </w:rPr>
        <w:t xml:space="preserve">, the specific level of protection to achieve and </w:t>
      </w:r>
      <w:r w:rsidR="00261A77" w:rsidRPr="00BB5241">
        <w:rPr>
          <w:rFonts w:ascii="Times New Roman" w:hAnsi="Times New Roman" w:cs="Times New Roman"/>
        </w:rPr>
        <w:t xml:space="preserve">relevant </w:t>
      </w:r>
      <w:r w:rsidRPr="00BB5241">
        <w:rPr>
          <w:rFonts w:ascii="Times New Roman" w:hAnsi="Times New Roman" w:cs="Times New Roman"/>
        </w:rPr>
        <w:t>policies. Establishing the context and scope for a risk assessment, in line with national policies and regulations,</w:t>
      </w:r>
      <w:r w:rsidR="00F45F61" w:rsidRPr="00BB5241">
        <w:rPr>
          <w:rFonts w:ascii="Times New Roman" w:hAnsi="Times New Roman" w:cs="Times New Roman"/>
        </w:rPr>
        <w:t xml:space="preserve"> as well as international obligations, </w:t>
      </w:r>
      <w:r w:rsidRPr="00BB5241">
        <w:rPr>
          <w:rFonts w:ascii="Times New Roman" w:hAnsi="Times New Roman" w:cs="Times New Roman"/>
        </w:rPr>
        <w:t>may involve an information-sharing and consultation process with risk assessors, risk managers, decision makers</w:t>
      </w:r>
      <w:r w:rsidR="00EE452B">
        <w:rPr>
          <w:rFonts w:ascii="Times New Roman" w:hAnsi="Times New Roman" w:cs="Times New Roman"/>
        </w:rPr>
        <w:t xml:space="preserve">, </w:t>
      </w:r>
      <w:r w:rsidR="004458BA">
        <w:rPr>
          <w:rFonts w:ascii="Times New Roman" w:eastAsia="Times New Roman" w:hAnsi="Times New Roman" w:cs="Times New Roman"/>
          <w:color w:val="000000" w:themeColor="text1"/>
        </w:rPr>
        <w:t>indigenous peoples and local communitie</w:t>
      </w:r>
      <w:r w:rsidR="004458BA" w:rsidRPr="0025725D">
        <w:rPr>
          <w:rFonts w:ascii="Times New Roman" w:hAnsi="Times New Roman" w:cs="Times New Roman"/>
          <w:color w:val="000000" w:themeColor="text1"/>
        </w:rPr>
        <w:t>s</w:t>
      </w:r>
      <w:r w:rsidR="00EE452B">
        <w:rPr>
          <w:rFonts w:ascii="Times New Roman" w:hAnsi="Times New Roman" w:cs="Times New Roman"/>
        </w:rPr>
        <w:t>,</w:t>
      </w:r>
      <w:r w:rsidRPr="00BB5241">
        <w:rPr>
          <w:rFonts w:ascii="Times New Roman" w:hAnsi="Times New Roman" w:cs="Times New Roman"/>
        </w:rPr>
        <w:t xml:space="preserve"> and various stakeholders prior to conducting the actual risk assessment. </w:t>
      </w:r>
    </w:p>
    <w:p w14:paraId="31B57726" w14:textId="67A80C30" w:rsidR="648E3C2B" w:rsidRPr="002920EA" w:rsidRDefault="648E3C2B" w:rsidP="421B232A">
      <w:pPr>
        <w:spacing w:line="276" w:lineRule="auto"/>
        <w:jc w:val="both"/>
        <w:rPr>
          <w:rFonts w:ascii="Times New Roman" w:hAnsi="Times New Roman" w:cs="Times New Roman"/>
          <w:color w:val="000000" w:themeColor="text1"/>
        </w:rPr>
      </w:pPr>
      <w:r w:rsidRPr="002920EA">
        <w:rPr>
          <w:rFonts w:ascii="Times New Roman" w:hAnsi="Times New Roman" w:cs="Times New Roman"/>
          <w:color w:val="000000" w:themeColor="text1"/>
        </w:rPr>
        <w:t xml:space="preserve">Several publications have elaborated on challenges related to the risk assessment of EGD-LMOs for intentional release into the environment (e.g., </w:t>
      </w:r>
      <w:r w:rsidRPr="007A10A0">
        <w:rPr>
          <w:rFonts w:ascii="Times New Roman" w:hAnsi="Times New Roman" w:cs="Times New Roman"/>
          <w:color w:val="000000" w:themeColor="text1"/>
        </w:rPr>
        <w:t xml:space="preserve">NASEM, 2016; CSS–ENSSER–VDW, 2019; </w:t>
      </w:r>
      <w:r w:rsidRPr="007A10A0">
        <w:rPr>
          <w:rFonts w:ascii="Times New Roman" w:hAnsi="Times New Roman" w:cs="Times New Roman"/>
        </w:rPr>
        <w:t>AHTEG, 2020</w:t>
      </w:r>
      <w:r w:rsidR="0036381A" w:rsidRPr="007A10A0">
        <w:rPr>
          <w:rStyle w:val="FootnoteReference"/>
          <w:rFonts w:ascii="Times New Roman" w:hAnsi="Times New Roman" w:cs="Times New Roman"/>
        </w:rPr>
        <w:footnoteReference w:id="9"/>
      </w:r>
      <w:r w:rsidRPr="007A10A0">
        <w:rPr>
          <w:rFonts w:ascii="Times New Roman" w:hAnsi="Times New Roman" w:cs="Times New Roman"/>
        </w:rPr>
        <w:t>;</w:t>
      </w:r>
      <w:r w:rsidRPr="007A10A0">
        <w:rPr>
          <w:rFonts w:ascii="Times New Roman" w:hAnsi="Times New Roman" w:cs="Times New Roman"/>
          <w:color w:val="000000" w:themeColor="text1"/>
        </w:rPr>
        <w:t xml:space="preserve"> Dolezel and </w:t>
      </w:r>
      <w:r w:rsidRPr="007A10A0">
        <w:rPr>
          <w:rFonts w:ascii="Times New Roman" w:hAnsi="Times New Roman" w:cs="Times New Roman"/>
        </w:rPr>
        <w:t>others, 2020</w:t>
      </w:r>
      <w:r w:rsidRPr="007A10A0">
        <w:rPr>
          <w:rFonts w:ascii="Times New Roman" w:hAnsi="Times New Roman" w:cs="Times New Roman"/>
          <w:color w:val="000000" w:themeColor="text1"/>
        </w:rPr>
        <w:t>; Then and others, 2020</w:t>
      </w:r>
      <w:proofErr w:type="gramStart"/>
      <w:r w:rsidRPr="007A10A0">
        <w:rPr>
          <w:rFonts w:ascii="Times New Roman" w:hAnsi="Times New Roman" w:cs="Times New Roman"/>
          <w:color w:val="000000" w:themeColor="text1"/>
        </w:rPr>
        <w:t>a,b</w:t>
      </w:r>
      <w:proofErr w:type="gramEnd"/>
      <w:r w:rsidRPr="007A10A0">
        <w:rPr>
          <w:rFonts w:ascii="Times New Roman" w:hAnsi="Times New Roman" w:cs="Times New Roman"/>
          <w:color w:val="000000" w:themeColor="text1"/>
        </w:rPr>
        <w:t xml:space="preserve">; EFSA, 2021; </w:t>
      </w:r>
      <w:r w:rsidRPr="007B5B0D">
        <w:rPr>
          <w:rFonts w:ascii="Times New Roman" w:hAnsi="Times New Roman" w:cs="Times New Roman"/>
          <w:color w:val="000000" w:themeColor="text1"/>
        </w:rPr>
        <w:t>WHO</w:t>
      </w:r>
      <w:r w:rsidR="00E26D12" w:rsidRPr="007B5B0D">
        <w:rPr>
          <w:rFonts w:ascii="Times New Roman" w:hAnsi="Times New Roman" w:cs="Times New Roman"/>
          <w:color w:val="000000" w:themeColor="text1"/>
        </w:rPr>
        <w:t>,</w:t>
      </w:r>
      <w:r w:rsidRPr="007B5B0D">
        <w:rPr>
          <w:rFonts w:ascii="Times New Roman" w:hAnsi="Times New Roman" w:cs="Times New Roman"/>
          <w:color w:val="000000" w:themeColor="text1"/>
        </w:rPr>
        <w:t xml:space="preserve"> 2021</w:t>
      </w:r>
      <w:r w:rsidR="00E25734">
        <w:rPr>
          <w:rFonts w:ascii="Times New Roman" w:hAnsi="Times New Roman" w:cs="Times New Roman"/>
          <w:color w:val="000000" w:themeColor="text1"/>
        </w:rPr>
        <w:t>b</w:t>
      </w:r>
      <w:r w:rsidRPr="002920EA">
        <w:rPr>
          <w:rFonts w:ascii="Times New Roman" w:hAnsi="Times New Roman" w:cs="Times New Roman"/>
          <w:color w:val="000000" w:themeColor="text1"/>
        </w:rPr>
        <w:t>)</w:t>
      </w:r>
      <w:r w:rsidR="007A10A0">
        <w:rPr>
          <w:rFonts w:ascii="Times New Roman" w:hAnsi="Times New Roman" w:cs="Times New Roman"/>
          <w:color w:val="000000" w:themeColor="text1"/>
        </w:rPr>
        <w:t>.</w:t>
      </w:r>
    </w:p>
    <w:p w14:paraId="43E3C012" w14:textId="2DAEFB36" w:rsidR="648E3C2B" w:rsidRPr="002920EA" w:rsidRDefault="648E3C2B" w:rsidP="0058703A">
      <w:pPr>
        <w:pStyle w:val="BodyText3"/>
      </w:pPr>
      <w:r w:rsidRPr="002920EA">
        <w:t>Challenges in the risk assessment of EGD-LMO</w:t>
      </w:r>
      <w:r w:rsidR="00D102CC" w:rsidRPr="002920EA">
        <w:t>s</w:t>
      </w:r>
      <w:r w:rsidR="004F5C37" w:rsidRPr="002920EA">
        <w:t xml:space="preserve"> may</w:t>
      </w:r>
      <w:r w:rsidRPr="002920EA">
        <w:t xml:space="preserve"> arise </w:t>
      </w:r>
      <w:r w:rsidR="00736D8C" w:rsidRPr="002920EA">
        <w:t>due to</w:t>
      </w:r>
      <w:r w:rsidR="005F011F" w:rsidRPr="002920EA">
        <w:t xml:space="preserve"> large</w:t>
      </w:r>
      <w:r w:rsidR="00F23ADA" w:rsidRPr="002920EA">
        <w:t xml:space="preserve"> </w:t>
      </w:r>
      <w:r w:rsidRPr="002920EA">
        <w:t xml:space="preserve">spatial and temporal </w:t>
      </w:r>
      <w:r w:rsidR="0010409E" w:rsidRPr="002920EA">
        <w:t>scale</w:t>
      </w:r>
      <w:r w:rsidRPr="002920EA">
        <w:t xml:space="preserve">, as well as the heterogeneity in key factors such as target population genotypes and </w:t>
      </w:r>
      <w:r w:rsidR="00051FDB">
        <w:t xml:space="preserve">likely </w:t>
      </w:r>
      <w:r w:rsidRPr="002920EA">
        <w:t xml:space="preserve">potential receiving environments, making it more difficult to characterize variability. Additionally, a limited </w:t>
      </w:r>
      <w:r w:rsidR="00EE3781" w:rsidRPr="002920EA">
        <w:t>availability</w:t>
      </w:r>
      <w:r w:rsidRPr="002920EA">
        <w:t xml:space="preserve"> of knowledge and understanding regarding the behaviour in the laboratory versus the behaviour in the field over a large space and time may challenge the assessment. </w:t>
      </w:r>
      <w:r w:rsidR="0094648F" w:rsidRPr="002920EA">
        <w:t xml:space="preserve">Genotype </w:t>
      </w:r>
      <w:r w:rsidRPr="002920EA">
        <w:t>by environment interactions as well as evolutionary effects may contribute to the challenges in the risk assessment of EGD-LMO.</w:t>
      </w:r>
    </w:p>
    <w:p w14:paraId="2DB20802" w14:textId="5DD09AE5" w:rsidR="00D81154" w:rsidRPr="00BB5241" w:rsidRDefault="00DC6784" w:rsidP="00212686">
      <w:pPr>
        <w:spacing w:line="276" w:lineRule="auto"/>
        <w:jc w:val="both"/>
        <w:rPr>
          <w:rFonts w:ascii="Times New Roman" w:eastAsia="Times New Roman" w:hAnsi="Times New Roman" w:cs="Times New Roman"/>
        </w:rPr>
      </w:pPr>
      <w:r w:rsidRPr="00BB5241">
        <w:rPr>
          <w:rFonts w:ascii="Times New Roman" w:hAnsi="Times New Roman" w:cs="Times New Roman"/>
        </w:rPr>
        <w:t xml:space="preserve">Agreed </w:t>
      </w:r>
      <w:r w:rsidR="0041540B" w:rsidRPr="002920EA">
        <w:rPr>
          <w:rFonts w:ascii="Times New Roman" w:hAnsi="Times New Roman" w:cs="Times New Roman"/>
          <w:color w:val="000000" w:themeColor="text1"/>
        </w:rPr>
        <w:t xml:space="preserve">general </w:t>
      </w:r>
      <w:r w:rsidRPr="002920EA">
        <w:rPr>
          <w:rFonts w:ascii="Times New Roman" w:hAnsi="Times New Roman" w:cs="Times New Roman"/>
          <w:color w:val="000000" w:themeColor="text1"/>
        </w:rPr>
        <w:t>principles of the risk assessment of LMO</w:t>
      </w:r>
      <w:r w:rsidR="001A5982" w:rsidRPr="002920EA">
        <w:rPr>
          <w:rFonts w:ascii="Times New Roman" w:hAnsi="Times New Roman" w:cs="Times New Roman"/>
          <w:color w:val="000000" w:themeColor="text1"/>
        </w:rPr>
        <w:t>s</w:t>
      </w:r>
      <w:r w:rsidRPr="002920EA">
        <w:rPr>
          <w:rFonts w:ascii="Times New Roman" w:hAnsi="Times New Roman" w:cs="Times New Roman"/>
          <w:color w:val="000000" w:themeColor="text1"/>
        </w:rPr>
        <w:t xml:space="preserve"> are laid down in annex III of the </w:t>
      </w:r>
      <w:r w:rsidR="003C59FF" w:rsidRPr="002920EA">
        <w:rPr>
          <w:rFonts w:ascii="Times New Roman" w:hAnsi="Times New Roman" w:cs="Times New Roman"/>
          <w:color w:val="000000" w:themeColor="text1"/>
        </w:rPr>
        <w:t>P</w:t>
      </w:r>
      <w:r w:rsidRPr="002920EA">
        <w:rPr>
          <w:rFonts w:ascii="Times New Roman" w:hAnsi="Times New Roman" w:cs="Times New Roman"/>
          <w:color w:val="000000" w:themeColor="text1"/>
        </w:rPr>
        <w:t>rotocol</w:t>
      </w:r>
      <w:r w:rsidR="0041540B" w:rsidRPr="002920EA">
        <w:rPr>
          <w:rFonts w:ascii="Times New Roman" w:hAnsi="Times New Roman" w:cs="Times New Roman"/>
          <w:color w:val="000000" w:themeColor="text1"/>
        </w:rPr>
        <w:t xml:space="preserve"> paragraphs 3 to </w:t>
      </w:r>
      <w:r w:rsidR="001A2D0C" w:rsidRPr="002920EA">
        <w:rPr>
          <w:rFonts w:ascii="Times New Roman" w:hAnsi="Times New Roman" w:cs="Times New Roman"/>
          <w:color w:val="000000" w:themeColor="text1"/>
        </w:rPr>
        <w:t>6</w:t>
      </w:r>
      <w:r w:rsidRPr="002920EA">
        <w:rPr>
          <w:rFonts w:ascii="Times New Roman" w:hAnsi="Times New Roman" w:cs="Times New Roman"/>
          <w:color w:val="000000" w:themeColor="text1"/>
        </w:rPr>
        <w:t>.</w:t>
      </w:r>
      <w:r w:rsidR="00414604" w:rsidRPr="002920EA">
        <w:rPr>
          <w:rFonts w:ascii="Times New Roman" w:hAnsi="Times New Roman" w:cs="Times New Roman"/>
          <w:color w:val="000000" w:themeColor="text1"/>
        </w:rPr>
        <w:t xml:space="preserve"> </w:t>
      </w:r>
      <w:r w:rsidR="007C1A9C" w:rsidRPr="002920EA">
        <w:rPr>
          <w:rFonts w:ascii="Times New Roman" w:eastAsia="Times New Roman" w:hAnsi="Times New Roman" w:cs="Times New Roman"/>
          <w:color w:val="000000" w:themeColor="text1"/>
        </w:rPr>
        <w:t xml:space="preserve"> </w:t>
      </w:r>
      <w:r w:rsidR="009A01E0">
        <w:rPr>
          <w:rFonts w:ascii="Times New Roman" w:eastAsia="Times New Roman" w:hAnsi="Times New Roman" w:cs="Times New Roman"/>
          <w:color w:val="000000" w:themeColor="text1"/>
        </w:rPr>
        <w:t>Risk assessment</w:t>
      </w:r>
      <w:r w:rsidR="00103D60">
        <w:rPr>
          <w:rFonts w:ascii="Times New Roman" w:eastAsia="Times New Roman" w:hAnsi="Times New Roman" w:cs="Times New Roman"/>
          <w:color w:val="000000" w:themeColor="text1"/>
        </w:rPr>
        <w:t>:</w:t>
      </w:r>
    </w:p>
    <w:p w14:paraId="074A6EEA" w14:textId="37AEECF5" w:rsidR="00E75433" w:rsidRPr="00BB5241" w:rsidRDefault="00103D60" w:rsidP="00E75433">
      <w:pPr>
        <w:pStyle w:val="ListParagraph"/>
        <w:numPr>
          <w:ilvl w:val="0"/>
          <w:numId w:val="40"/>
        </w:numPr>
        <w:spacing w:line="276" w:lineRule="auto"/>
        <w:ind w:left="706"/>
        <w:rPr>
          <w:rFonts w:ascii="Times New Roman" w:hAnsi="Times New Roman"/>
          <w:lang w:val="en-GB"/>
        </w:rPr>
      </w:pPr>
      <w:r>
        <w:rPr>
          <w:rFonts w:ascii="Times New Roman" w:eastAsia="Times New Roman" w:hAnsi="Times New Roman"/>
          <w:lang w:val="en-GB"/>
        </w:rPr>
        <w:t>Is</w:t>
      </w:r>
      <w:r w:rsidR="00E75433" w:rsidRPr="4644E7B5">
        <w:rPr>
          <w:rFonts w:ascii="Times New Roman" w:eastAsia="Times New Roman" w:hAnsi="Times New Roman"/>
          <w:lang w:val="en-GB"/>
        </w:rPr>
        <w:t xml:space="preserve"> </w:t>
      </w:r>
      <w:r w:rsidR="00E75433" w:rsidRPr="4644E7B5">
        <w:rPr>
          <w:rFonts w:ascii="Times New Roman" w:eastAsia="Times New Roman" w:hAnsi="Times New Roman"/>
          <w:b/>
          <w:bCs/>
          <w:i/>
          <w:iCs/>
          <w:lang w:val="en-GB"/>
        </w:rPr>
        <w:t>science</w:t>
      </w:r>
      <w:r w:rsidR="00E75433" w:rsidRPr="4644E7B5">
        <w:rPr>
          <w:rFonts w:ascii="Times New Roman" w:eastAsia="Times New Roman" w:hAnsi="Times New Roman"/>
          <w:lang w:val="en-GB"/>
        </w:rPr>
        <w:t xml:space="preserve">-based. </w:t>
      </w:r>
      <w:r w:rsidR="00E75433" w:rsidRPr="4644E7B5">
        <w:rPr>
          <w:rFonts w:ascii="Times New Roman" w:hAnsi="Times New Roman"/>
          <w:lang w:val="en-GB"/>
        </w:rPr>
        <w:t xml:space="preserve">According to the Protocol, the risk assessment of LMOs shall be carried out in a scientifically sound and transparent manner, in accordance with annex III and </w:t>
      </w:r>
      <w:proofErr w:type="gramStart"/>
      <w:r w:rsidR="00E75433" w:rsidRPr="4644E7B5">
        <w:rPr>
          <w:rFonts w:ascii="Times New Roman" w:hAnsi="Times New Roman"/>
          <w:lang w:val="en-GB"/>
        </w:rPr>
        <w:t>taking into account</w:t>
      </w:r>
      <w:proofErr w:type="gramEnd"/>
      <w:r w:rsidR="00E75433" w:rsidRPr="4644E7B5">
        <w:rPr>
          <w:rFonts w:ascii="Times New Roman" w:hAnsi="Times New Roman"/>
          <w:lang w:val="en-GB"/>
        </w:rPr>
        <w:t xml:space="preserve"> recognized risk assessment techniques. Such risk assessment shall be based, at a minimum, on information provided in accordance with annex III, paragraph 9 of the Protocol and other available scientific evidence </w:t>
      </w:r>
      <w:proofErr w:type="gramStart"/>
      <w:r w:rsidR="00E75433" w:rsidRPr="4644E7B5">
        <w:rPr>
          <w:rFonts w:ascii="Times New Roman" w:hAnsi="Times New Roman"/>
          <w:lang w:val="en-GB"/>
        </w:rPr>
        <w:t>in order to</w:t>
      </w:r>
      <w:proofErr w:type="gramEnd"/>
      <w:r w:rsidR="00E75433" w:rsidRPr="4644E7B5">
        <w:rPr>
          <w:rFonts w:ascii="Times New Roman" w:hAnsi="Times New Roman"/>
          <w:lang w:val="en-GB"/>
        </w:rPr>
        <w:t xml:space="preserve"> identify and evaluate the potential adverse effects of LMOs on the conservation and sustainable use of biological diversity, taking also into account risks to human health;</w:t>
      </w:r>
    </w:p>
    <w:p w14:paraId="4D8DB709" w14:textId="27E25DBC" w:rsidR="00E75433" w:rsidRPr="00BB5241" w:rsidRDefault="00103D60" w:rsidP="00E75433">
      <w:pPr>
        <w:pStyle w:val="ListParagraph"/>
        <w:numPr>
          <w:ilvl w:val="0"/>
          <w:numId w:val="40"/>
        </w:numPr>
        <w:spacing w:line="276" w:lineRule="auto"/>
        <w:ind w:left="706"/>
        <w:rPr>
          <w:rFonts w:ascii="Times New Roman" w:eastAsia="Times New Roman" w:hAnsi="Times New Roman"/>
          <w:lang w:val="en-GB"/>
        </w:rPr>
      </w:pPr>
      <w:r>
        <w:rPr>
          <w:rFonts w:ascii="Times New Roman" w:hAnsi="Times New Roman"/>
          <w:lang w:val="en-GB"/>
        </w:rPr>
        <w:t>Is</w:t>
      </w:r>
      <w:r w:rsidR="00E75433" w:rsidRPr="00BB5241">
        <w:rPr>
          <w:rFonts w:ascii="Times New Roman" w:hAnsi="Times New Roman"/>
          <w:lang w:val="en-GB"/>
        </w:rPr>
        <w:t xml:space="preserve"> carried out on a </w:t>
      </w:r>
      <w:r w:rsidR="00E75433" w:rsidRPr="4644E7B5">
        <w:rPr>
          <w:rFonts w:ascii="Times New Roman" w:hAnsi="Times New Roman"/>
          <w:b/>
          <w:bCs/>
          <w:i/>
          <w:iCs/>
          <w:lang w:val="en-GB"/>
        </w:rPr>
        <w:t>case-by-case</w:t>
      </w:r>
      <w:r w:rsidR="00E75433" w:rsidRPr="00BB5241">
        <w:rPr>
          <w:rFonts w:ascii="Times New Roman" w:hAnsi="Times New Roman"/>
          <w:sz w:val="17"/>
          <w:szCs w:val="17"/>
          <w:shd w:val="clear" w:color="auto" w:fill="FFFFFF"/>
          <w:lang w:val="en-GB"/>
        </w:rPr>
        <w:t xml:space="preserve"> </w:t>
      </w:r>
      <w:r w:rsidR="00E75433" w:rsidRPr="00BB5241">
        <w:rPr>
          <w:rFonts w:ascii="Times New Roman" w:hAnsi="Times New Roman"/>
          <w:lang w:val="en-GB"/>
        </w:rPr>
        <w:t>basis</w:t>
      </w:r>
      <w:r w:rsidR="00E75433" w:rsidRPr="00BB5241">
        <w:rPr>
          <w:rFonts w:ascii="Times New Roman" w:eastAsia="Times New Roman" w:hAnsi="Times New Roman"/>
          <w:lang w:val="en-GB"/>
        </w:rPr>
        <w:t xml:space="preserve">, meaning that they vary depending on </w:t>
      </w:r>
      <w:r w:rsidR="00E75433" w:rsidRPr="00BB5241">
        <w:rPr>
          <w:rFonts w:ascii="Times New Roman" w:hAnsi="Times New Roman"/>
          <w:lang w:val="en-GB"/>
        </w:rPr>
        <w:t>the biology and ecology of the species under consideration; the intr</w:t>
      </w:r>
      <w:r w:rsidR="00E75433" w:rsidRPr="007A10A0">
        <w:rPr>
          <w:rFonts w:ascii="Times New Roman" w:hAnsi="Times New Roman"/>
          <w:lang w:val="en-GB"/>
        </w:rPr>
        <w:t xml:space="preserve">oduced modifications and traits; the intended uses of the LMO (the scale and frequency of the intended release); the </w:t>
      </w:r>
      <w:r w:rsidR="00DE6468" w:rsidRPr="007A10A0">
        <w:rPr>
          <w:rFonts w:ascii="Times New Roman" w:hAnsi="Times New Roman"/>
          <w:lang w:val="en-GB"/>
        </w:rPr>
        <w:t xml:space="preserve">likely potential </w:t>
      </w:r>
      <w:r w:rsidR="00E75433" w:rsidRPr="007A10A0">
        <w:rPr>
          <w:rFonts w:ascii="Times New Roman" w:hAnsi="Times New Roman"/>
          <w:lang w:val="en-GB"/>
        </w:rPr>
        <w:t xml:space="preserve">receiving environments (covering the </w:t>
      </w:r>
      <w:r w:rsidR="00DE6468" w:rsidRPr="007A10A0">
        <w:rPr>
          <w:rFonts w:ascii="Times New Roman" w:hAnsi="Times New Roman"/>
          <w:lang w:val="en-GB"/>
        </w:rPr>
        <w:t>likely potential</w:t>
      </w:r>
      <w:r w:rsidR="00E75433" w:rsidRPr="007A10A0">
        <w:rPr>
          <w:rFonts w:ascii="Times New Roman" w:hAnsi="Times New Roman"/>
          <w:lang w:val="en-GB"/>
        </w:rPr>
        <w:t xml:space="preserve"> receiving</w:t>
      </w:r>
      <w:r w:rsidR="00E75433" w:rsidRPr="00BB5241">
        <w:rPr>
          <w:rFonts w:ascii="Times New Roman" w:hAnsi="Times New Roman"/>
          <w:lang w:val="en-GB"/>
        </w:rPr>
        <w:t xml:space="preserve"> environments where the LMO will be released and spread), and the interactions amongst these variables. Thus, the potential adverse effects caused by a LMO on protection goals </w:t>
      </w:r>
      <w:r w:rsidR="00E75433" w:rsidRPr="00BB5241">
        <w:rPr>
          <w:rFonts w:ascii="Times New Roman" w:hAnsi="Times New Roman"/>
        </w:rPr>
        <w:t xml:space="preserve">will vary depending on its characteristics, how it is used, and the environment in which it is present, and across time. </w:t>
      </w:r>
    </w:p>
    <w:p w14:paraId="48CD8C6D" w14:textId="501EA67A" w:rsidR="00BB43D9" w:rsidRPr="002920EA" w:rsidRDefault="00E75433" w:rsidP="00917E02">
      <w:pPr>
        <w:pStyle w:val="ListParagraph"/>
        <w:numPr>
          <w:ilvl w:val="0"/>
          <w:numId w:val="40"/>
        </w:numPr>
        <w:spacing w:line="276" w:lineRule="auto"/>
        <w:ind w:left="706"/>
        <w:rPr>
          <w:rFonts w:ascii="Times New Roman" w:hAnsi="Times New Roman"/>
          <w:color w:val="000000" w:themeColor="text1"/>
        </w:rPr>
      </w:pPr>
      <w:r w:rsidRPr="002920EA">
        <w:rPr>
          <w:rFonts w:ascii="Times New Roman" w:hAnsi="Times New Roman"/>
          <w:color w:val="000000" w:themeColor="text1"/>
          <w:lang w:val="en-GB"/>
        </w:rPr>
        <w:t>Use</w:t>
      </w:r>
      <w:r w:rsidR="00103D60">
        <w:rPr>
          <w:rFonts w:ascii="Times New Roman" w:hAnsi="Times New Roman"/>
          <w:color w:val="000000" w:themeColor="text1"/>
          <w:lang w:val="en-GB"/>
        </w:rPr>
        <w:t>s</w:t>
      </w:r>
      <w:r w:rsidRPr="002920EA">
        <w:rPr>
          <w:rFonts w:ascii="Times New Roman" w:eastAsia="Times New Roman" w:hAnsi="Times New Roman"/>
          <w:color w:val="000000" w:themeColor="text1"/>
          <w:lang w:val="en-GB"/>
        </w:rPr>
        <w:t xml:space="preserve"> a </w:t>
      </w:r>
      <w:r w:rsidRPr="002920EA">
        <w:rPr>
          <w:rFonts w:ascii="Times New Roman" w:eastAsia="Times New Roman" w:hAnsi="Times New Roman"/>
          <w:b/>
          <w:bCs/>
          <w:i/>
          <w:iCs/>
          <w:color w:val="000000" w:themeColor="text1"/>
          <w:lang w:val="en-GB"/>
        </w:rPr>
        <w:t>comparative</w:t>
      </w:r>
      <w:r w:rsidRPr="002920EA">
        <w:rPr>
          <w:rFonts w:ascii="Times New Roman" w:eastAsia="Times New Roman" w:hAnsi="Times New Roman"/>
          <w:i/>
          <w:iCs/>
          <w:color w:val="000000" w:themeColor="text1"/>
          <w:lang w:val="en-GB"/>
        </w:rPr>
        <w:t xml:space="preserve"> </w:t>
      </w:r>
      <w:r w:rsidRPr="002920EA">
        <w:rPr>
          <w:rFonts w:ascii="Times New Roman" w:eastAsia="Times New Roman" w:hAnsi="Times New Roman"/>
          <w:color w:val="000000" w:themeColor="text1"/>
          <w:lang w:val="en-GB"/>
        </w:rPr>
        <w:t xml:space="preserve">approach, whereby the level of risk is estimated through comparison with the non-modified recipient or parental organism in the likely </w:t>
      </w:r>
      <w:r w:rsidR="006F4F5B">
        <w:rPr>
          <w:rFonts w:ascii="Times New Roman" w:eastAsia="Times New Roman" w:hAnsi="Times New Roman"/>
          <w:color w:val="000000" w:themeColor="text1"/>
          <w:lang w:val="en-GB"/>
        </w:rPr>
        <w:t xml:space="preserve">potential </w:t>
      </w:r>
      <w:r w:rsidRPr="002920EA">
        <w:rPr>
          <w:rFonts w:ascii="Times New Roman" w:eastAsia="Times New Roman" w:hAnsi="Times New Roman"/>
          <w:color w:val="000000" w:themeColor="text1"/>
          <w:lang w:val="en-GB"/>
        </w:rPr>
        <w:t>receiving environment;</w:t>
      </w:r>
      <w:r w:rsidR="0047518C" w:rsidRPr="002920EA">
        <w:rPr>
          <w:rFonts w:ascii="Times New Roman" w:eastAsia="Times New Roman" w:hAnsi="Times New Roman"/>
          <w:color w:val="000000" w:themeColor="text1"/>
          <w:lang w:val="en-GB"/>
        </w:rPr>
        <w:t xml:space="preserve"> and</w:t>
      </w:r>
    </w:p>
    <w:p w14:paraId="6C4E007D" w14:textId="56A593EB" w:rsidR="00917E02" w:rsidRPr="004648FF" w:rsidRDefault="00103D60" w:rsidP="00917E02">
      <w:pPr>
        <w:pStyle w:val="ListParagraph"/>
        <w:numPr>
          <w:ilvl w:val="0"/>
          <w:numId w:val="40"/>
        </w:numPr>
        <w:spacing w:line="276" w:lineRule="auto"/>
        <w:ind w:left="706"/>
        <w:rPr>
          <w:rFonts w:ascii="Times New Roman" w:hAnsi="Times New Roman"/>
        </w:rPr>
      </w:pPr>
      <w:r>
        <w:rPr>
          <w:rFonts w:ascii="Times New Roman" w:eastAsia="Times New Roman" w:hAnsi="Times New Roman"/>
          <w:color w:val="000000" w:themeColor="text1"/>
          <w:lang w:val="en-GB"/>
        </w:rPr>
        <w:t>Is</w:t>
      </w:r>
      <w:r w:rsidR="00917E02" w:rsidRPr="002920EA">
        <w:rPr>
          <w:rFonts w:ascii="Times New Roman" w:eastAsia="Times New Roman" w:hAnsi="Times New Roman"/>
          <w:color w:val="000000" w:themeColor="text1"/>
          <w:lang w:val="en-GB"/>
        </w:rPr>
        <w:t xml:space="preserve"> </w:t>
      </w:r>
      <w:r w:rsidR="00917E02" w:rsidRPr="002920EA">
        <w:rPr>
          <w:rFonts w:ascii="Times New Roman" w:eastAsia="Times New Roman" w:hAnsi="Times New Roman"/>
          <w:b/>
          <w:bCs/>
          <w:i/>
          <w:iCs/>
          <w:color w:val="000000" w:themeColor="text1"/>
          <w:lang w:val="en-GB"/>
        </w:rPr>
        <w:t>transparent</w:t>
      </w:r>
      <w:r w:rsidR="00917E02" w:rsidRPr="002920EA">
        <w:rPr>
          <w:rFonts w:ascii="Times New Roman" w:eastAsia="Times New Roman" w:hAnsi="Times New Roman"/>
          <w:i/>
          <w:iCs/>
          <w:color w:val="000000" w:themeColor="text1"/>
          <w:lang w:val="en-GB"/>
        </w:rPr>
        <w:t xml:space="preserve"> and </w:t>
      </w:r>
      <w:r w:rsidR="00917E02" w:rsidRPr="002920EA">
        <w:rPr>
          <w:rFonts w:ascii="Times New Roman" w:eastAsia="Times New Roman" w:hAnsi="Times New Roman"/>
          <w:b/>
          <w:bCs/>
          <w:i/>
          <w:iCs/>
          <w:color w:val="000000" w:themeColor="text1"/>
          <w:lang w:val="en-GB"/>
        </w:rPr>
        <w:t xml:space="preserve">iterative </w:t>
      </w:r>
      <w:r w:rsidR="00917E02" w:rsidRPr="4644E7B5">
        <w:rPr>
          <w:rFonts w:ascii="Times New Roman" w:eastAsia="Times New Roman" w:hAnsi="Times New Roman"/>
          <w:lang w:val="en-GB"/>
        </w:rPr>
        <w:t xml:space="preserve">when, examining previous conclusions in the light of new information. </w:t>
      </w:r>
      <w:r w:rsidR="00917E02" w:rsidRPr="4644E7B5">
        <w:rPr>
          <w:rFonts w:ascii="Times New Roman" w:hAnsi="Times New Roman"/>
          <w:lang w:val="en-GB"/>
        </w:rPr>
        <w:t>Hence, a risk assessment may be revisited when new information arises or a change in circumstances has occurred that could change its conclusions.</w:t>
      </w:r>
    </w:p>
    <w:p w14:paraId="0DC444C2" w14:textId="0B616A9E" w:rsidR="00DC2E53" w:rsidRPr="00E80816" w:rsidRDefault="00E75433" w:rsidP="00BB43D9">
      <w:pPr>
        <w:spacing w:line="276" w:lineRule="auto"/>
        <w:jc w:val="both"/>
        <w:rPr>
          <w:rFonts w:ascii="Times New Roman" w:hAnsi="Times New Roman" w:cs="Times New Roman"/>
          <w:color w:val="000000" w:themeColor="text1"/>
        </w:rPr>
      </w:pPr>
      <w:r w:rsidRPr="00525833">
        <w:rPr>
          <w:rFonts w:ascii="Times New Roman" w:eastAsia="Times New Roman" w:hAnsi="Times New Roman" w:cs="Times New Roman"/>
          <w:color w:val="000000" w:themeColor="text1"/>
        </w:rPr>
        <w:t xml:space="preserve">There are some additional approaches that are also used in </w:t>
      </w:r>
      <w:r w:rsidR="00917E02" w:rsidRPr="00525833">
        <w:rPr>
          <w:rFonts w:ascii="Times New Roman" w:eastAsia="Times New Roman" w:hAnsi="Times New Roman" w:cs="Times New Roman"/>
          <w:color w:val="000000" w:themeColor="text1"/>
        </w:rPr>
        <w:t>p</w:t>
      </w:r>
      <w:r w:rsidRPr="00525833">
        <w:rPr>
          <w:rFonts w:ascii="Times New Roman" w:eastAsia="Times New Roman" w:hAnsi="Times New Roman" w:cs="Times New Roman"/>
          <w:color w:val="000000" w:themeColor="text1"/>
        </w:rPr>
        <w:t xml:space="preserve">ractice and </w:t>
      </w:r>
      <w:r w:rsidR="00917E02" w:rsidRPr="00525833">
        <w:rPr>
          <w:rFonts w:ascii="Times New Roman" w:eastAsia="Times New Roman" w:hAnsi="Times New Roman" w:cs="Times New Roman"/>
          <w:color w:val="000000" w:themeColor="text1"/>
        </w:rPr>
        <w:t>t</w:t>
      </w:r>
      <w:r w:rsidR="007C1A9C" w:rsidRPr="00525833">
        <w:rPr>
          <w:rFonts w:ascii="Times New Roman" w:eastAsia="Times New Roman" w:hAnsi="Times New Roman" w:cs="Times New Roman"/>
          <w:color w:val="000000" w:themeColor="text1"/>
        </w:rPr>
        <w:t>ypically</w:t>
      </w:r>
      <w:r w:rsidR="00BB43D9" w:rsidRPr="00525833">
        <w:rPr>
          <w:rFonts w:ascii="Times New Roman" w:eastAsia="Times New Roman" w:hAnsi="Times New Roman" w:cs="Times New Roman"/>
          <w:color w:val="000000" w:themeColor="text1"/>
        </w:rPr>
        <w:t xml:space="preserve"> </w:t>
      </w:r>
      <w:r w:rsidR="00917E02" w:rsidRPr="00525833">
        <w:rPr>
          <w:rFonts w:ascii="Times New Roman" w:eastAsia="Times New Roman" w:hAnsi="Times New Roman" w:cs="Times New Roman"/>
          <w:color w:val="000000" w:themeColor="text1"/>
        </w:rPr>
        <w:t>include</w:t>
      </w:r>
      <w:r w:rsidR="007C1A9C" w:rsidRPr="00525833">
        <w:rPr>
          <w:rFonts w:ascii="Times New Roman" w:eastAsia="Times New Roman" w:hAnsi="Times New Roman" w:cs="Times New Roman"/>
          <w:color w:val="000000" w:themeColor="text1"/>
        </w:rPr>
        <w:t>:</w:t>
      </w:r>
    </w:p>
    <w:p w14:paraId="1BCCEFA1" w14:textId="57E22602" w:rsidR="00DC2E53" w:rsidRPr="00720DC3" w:rsidRDefault="00A05578" w:rsidP="00510EBB">
      <w:pPr>
        <w:pStyle w:val="ListParagraph"/>
        <w:numPr>
          <w:ilvl w:val="0"/>
          <w:numId w:val="40"/>
        </w:numPr>
        <w:spacing w:line="276" w:lineRule="auto"/>
        <w:ind w:left="706"/>
        <w:rPr>
          <w:rFonts w:ascii="Times New Roman" w:eastAsia="Times New Roman" w:hAnsi="Times New Roman"/>
          <w:lang w:val="en-GB"/>
        </w:rPr>
      </w:pPr>
      <w:r w:rsidRPr="4644E7B5">
        <w:rPr>
          <w:rFonts w:ascii="Times New Roman" w:eastAsia="Times New Roman" w:hAnsi="Times New Roman"/>
          <w:lang w:val="en-GB"/>
        </w:rPr>
        <w:lastRenderedPageBreak/>
        <w:t>When appropriate</w:t>
      </w:r>
      <w:r w:rsidR="00B16F9E" w:rsidRPr="4644E7B5">
        <w:rPr>
          <w:rFonts w:ascii="Times New Roman" w:eastAsia="Times New Roman" w:hAnsi="Times New Roman"/>
          <w:lang w:val="en-GB"/>
        </w:rPr>
        <w:t>, f</w:t>
      </w:r>
      <w:r w:rsidR="005430B6" w:rsidRPr="4644E7B5">
        <w:rPr>
          <w:rFonts w:ascii="Times New Roman" w:eastAsia="Times New Roman" w:hAnsi="Times New Roman"/>
          <w:lang w:val="en-GB"/>
        </w:rPr>
        <w:t xml:space="preserve">ollow the </w:t>
      </w:r>
      <w:r w:rsidR="005430B6" w:rsidRPr="4644E7B5">
        <w:rPr>
          <w:rFonts w:ascii="Times New Roman" w:eastAsia="Times New Roman" w:hAnsi="Times New Roman"/>
          <w:b/>
          <w:bCs/>
          <w:i/>
          <w:iCs/>
          <w:lang w:val="en-GB"/>
        </w:rPr>
        <w:t xml:space="preserve">step-by-step </w:t>
      </w:r>
      <w:r w:rsidR="005430B6" w:rsidRPr="4644E7B5">
        <w:rPr>
          <w:rFonts w:ascii="Times New Roman" w:eastAsia="Times New Roman" w:hAnsi="Times New Roman"/>
          <w:lang w:val="en-GB"/>
        </w:rPr>
        <w:t>principle, in which the deployment of a LMO proceeds iteratively through multiple phases, with each phase involving a larger spatial and temporal scale and a higher degree of human, animal or environmental exposure and realism. Relevant information gathered under controlled, contained conditions would provide confidence that the LMO can safely progress to the next testing and release phase (</w:t>
      </w:r>
      <w:r w:rsidR="005430B6" w:rsidRPr="00252715">
        <w:rPr>
          <w:rFonts w:ascii="Times New Roman" w:eastAsia="Times New Roman" w:hAnsi="Times New Roman"/>
          <w:lang w:val="en-GB"/>
        </w:rPr>
        <w:t>NASEM, 2016; Hayes and others, 2018</w:t>
      </w:r>
      <w:r w:rsidR="00C24026" w:rsidRPr="00252715">
        <w:rPr>
          <w:rFonts w:ascii="Times New Roman" w:eastAsia="Times New Roman" w:hAnsi="Times New Roman"/>
          <w:lang w:val="en-GB"/>
        </w:rPr>
        <w:t>b</w:t>
      </w:r>
      <w:r w:rsidR="005430B6" w:rsidRPr="00252715">
        <w:rPr>
          <w:rFonts w:ascii="Times New Roman" w:eastAsia="Times New Roman" w:hAnsi="Times New Roman"/>
          <w:lang w:val="en-GB"/>
        </w:rPr>
        <w:t>; James and others, 2018;</w:t>
      </w:r>
      <w:r w:rsidR="005430B6" w:rsidRPr="002B4F7D">
        <w:rPr>
          <w:rFonts w:ascii="Times New Roman" w:eastAsia="Times New Roman" w:hAnsi="Times New Roman"/>
          <w:lang w:val="en-GB"/>
        </w:rPr>
        <w:t xml:space="preserve"> </w:t>
      </w:r>
      <w:r w:rsidR="005430B6" w:rsidRPr="4644E7B5">
        <w:rPr>
          <w:rFonts w:ascii="Times New Roman" w:eastAsia="Times New Roman" w:hAnsi="Times New Roman"/>
          <w:lang w:val="en-GB"/>
        </w:rPr>
        <w:t>WHO, 2021</w:t>
      </w:r>
      <w:r w:rsidR="00E25734">
        <w:rPr>
          <w:rFonts w:ascii="Times New Roman" w:eastAsia="Times New Roman" w:hAnsi="Times New Roman"/>
          <w:lang w:val="en-GB"/>
        </w:rPr>
        <w:t>b</w:t>
      </w:r>
      <w:r w:rsidR="005430B6" w:rsidRPr="4644E7B5">
        <w:rPr>
          <w:rFonts w:ascii="Times New Roman" w:eastAsia="Times New Roman" w:hAnsi="Times New Roman"/>
          <w:lang w:val="en-GB"/>
        </w:rPr>
        <w:t>)</w:t>
      </w:r>
      <w:r w:rsidR="00C87D5C" w:rsidRPr="00720DC3">
        <w:rPr>
          <w:rFonts w:ascii="Times New Roman" w:eastAsia="Times New Roman" w:hAnsi="Times New Roman"/>
          <w:lang w:val="en-GB"/>
        </w:rPr>
        <w:t>;</w:t>
      </w:r>
      <w:r w:rsidR="00E852E7" w:rsidRPr="00720DC3">
        <w:rPr>
          <w:rFonts w:ascii="Times New Roman" w:eastAsia="Times New Roman" w:hAnsi="Times New Roman"/>
          <w:lang w:val="en-GB"/>
        </w:rPr>
        <w:t xml:space="preserve"> </w:t>
      </w:r>
    </w:p>
    <w:p w14:paraId="6CF2F820" w14:textId="5D5C7BE3" w:rsidR="00614186" w:rsidRPr="00BB5241" w:rsidRDefault="00614186" w:rsidP="00510EBB">
      <w:pPr>
        <w:pStyle w:val="ListParagraph"/>
        <w:numPr>
          <w:ilvl w:val="0"/>
          <w:numId w:val="40"/>
        </w:numPr>
        <w:spacing w:line="276" w:lineRule="auto"/>
        <w:ind w:left="706"/>
        <w:rPr>
          <w:rFonts w:ascii="Times New Roman" w:eastAsia="Times New Roman" w:hAnsi="Times New Roman"/>
          <w:lang w:val="en-GB"/>
        </w:rPr>
      </w:pPr>
      <w:r w:rsidRPr="4644E7B5">
        <w:rPr>
          <w:rFonts w:ascii="Times New Roman" w:eastAsia="Times New Roman" w:hAnsi="Times New Roman"/>
          <w:lang w:val="en-GB"/>
        </w:rPr>
        <w:t xml:space="preserve">Consider </w:t>
      </w:r>
      <w:r w:rsidRPr="4644E7B5">
        <w:rPr>
          <w:rFonts w:ascii="Times New Roman" w:eastAsia="Times New Roman" w:hAnsi="Times New Roman"/>
          <w:b/>
          <w:bCs/>
          <w:i/>
          <w:iCs/>
          <w:lang w:val="en-GB"/>
        </w:rPr>
        <w:t>familiarity</w:t>
      </w:r>
      <w:r w:rsidRPr="4644E7B5">
        <w:rPr>
          <w:rFonts w:ascii="Times New Roman" w:eastAsia="Times New Roman" w:hAnsi="Times New Roman"/>
          <w:lang w:val="en-GB"/>
        </w:rPr>
        <w:t>, as it plays a key role in setting the context for the risk asses</w:t>
      </w:r>
      <w:r w:rsidRPr="00252715">
        <w:rPr>
          <w:rFonts w:ascii="Times New Roman" w:eastAsia="Times New Roman" w:hAnsi="Times New Roman"/>
          <w:lang w:val="en-GB"/>
        </w:rPr>
        <w:t>sment (OECD, 2023). Familiarity arises from knowledge of and experience with the biology of the non-LMO, the introduced trait, and the receiving environment (OECD</w:t>
      </w:r>
      <w:r w:rsidR="00FD2B55" w:rsidRPr="00252715">
        <w:rPr>
          <w:rFonts w:ascii="Times New Roman" w:eastAsia="Times New Roman" w:hAnsi="Times New Roman"/>
          <w:lang w:val="en-GB"/>
        </w:rPr>
        <w:t>,</w:t>
      </w:r>
      <w:r w:rsidRPr="00252715">
        <w:rPr>
          <w:rFonts w:ascii="Times New Roman" w:eastAsia="Times New Roman" w:hAnsi="Times New Roman"/>
          <w:lang w:val="en-GB"/>
        </w:rPr>
        <w:t xml:space="preserve"> 199</w:t>
      </w:r>
      <w:r w:rsidR="00D021CA" w:rsidRPr="00252715">
        <w:rPr>
          <w:rFonts w:ascii="Times New Roman" w:eastAsia="Times New Roman" w:hAnsi="Times New Roman"/>
          <w:lang w:val="en-GB"/>
        </w:rPr>
        <w:t>2</w:t>
      </w:r>
      <w:r w:rsidRPr="00252715">
        <w:rPr>
          <w:rFonts w:ascii="Times New Roman" w:eastAsia="Times New Roman" w:hAnsi="Times New Roman"/>
          <w:lang w:val="en-GB"/>
        </w:rPr>
        <w:t>);</w:t>
      </w:r>
    </w:p>
    <w:p w14:paraId="1017014B" w14:textId="0455BBF2" w:rsidR="000E7779" w:rsidRPr="00252715" w:rsidRDefault="5BFB2AD5" w:rsidP="00510EBB">
      <w:pPr>
        <w:pStyle w:val="ListParagraph"/>
        <w:numPr>
          <w:ilvl w:val="0"/>
          <w:numId w:val="40"/>
        </w:numPr>
        <w:spacing w:line="276" w:lineRule="auto"/>
        <w:ind w:left="706"/>
        <w:rPr>
          <w:rFonts w:ascii="Times New Roman" w:eastAsia="Times New Roman" w:hAnsi="Times New Roman"/>
          <w:color w:val="000000" w:themeColor="text1"/>
          <w:lang w:val="en-GB"/>
        </w:rPr>
      </w:pPr>
      <w:r w:rsidRPr="00E80816">
        <w:rPr>
          <w:rFonts w:ascii="Times New Roman" w:eastAsia="Times New Roman" w:hAnsi="Times New Roman"/>
          <w:color w:val="000000" w:themeColor="text1"/>
          <w:highlight w:val="white"/>
        </w:rPr>
        <w:t>E</w:t>
      </w:r>
      <w:r w:rsidR="22CFFFD4" w:rsidRPr="00E80816">
        <w:rPr>
          <w:rFonts w:ascii="Times New Roman" w:eastAsia="Times New Roman" w:hAnsi="Times New Roman"/>
          <w:color w:val="000000" w:themeColor="text1"/>
          <w:highlight w:val="white"/>
        </w:rPr>
        <w:t>valuate</w:t>
      </w:r>
      <w:r w:rsidR="770961CC" w:rsidRPr="00E80816">
        <w:rPr>
          <w:rFonts w:ascii="Times New Roman" w:eastAsia="Times New Roman" w:hAnsi="Times New Roman"/>
          <w:color w:val="000000" w:themeColor="text1"/>
          <w:highlight w:val="white"/>
        </w:rPr>
        <w:t xml:space="preserve"> risk hypotheses</w:t>
      </w:r>
      <w:r w:rsidR="22CFFFD4" w:rsidRPr="00E80816">
        <w:rPr>
          <w:rFonts w:ascii="Times New Roman" w:eastAsia="Times New Roman" w:hAnsi="Times New Roman"/>
          <w:color w:val="000000" w:themeColor="text1"/>
          <w:highlight w:val="white"/>
        </w:rPr>
        <w:t xml:space="preserve"> in </w:t>
      </w:r>
      <w:r w:rsidR="000E7779" w:rsidRPr="00E80816">
        <w:rPr>
          <w:rFonts w:ascii="Times New Roman" w:eastAsia="Times New Roman" w:hAnsi="Times New Roman"/>
          <w:color w:val="000000" w:themeColor="text1"/>
          <w:highlight w:val="white"/>
        </w:rPr>
        <w:t>a</w:t>
      </w:r>
      <w:r w:rsidR="000E7779" w:rsidRPr="00E80816">
        <w:rPr>
          <w:rFonts w:ascii="Times New Roman" w:eastAsia="Times New Roman" w:hAnsi="Times New Roman"/>
          <w:b/>
          <w:bCs/>
          <w:color w:val="000000" w:themeColor="text1"/>
          <w:highlight w:val="white"/>
        </w:rPr>
        <w:t xml:space="preserve"> </w:t>
      </w:r>
      <w:r w:rsidR="000E7779" w:rsidRPr="00E80816">
        <w:rPr>
          <w:rFonts w:ascii="Times New Roman" w:eastAsia="Times New Roman" w:hAnsi="Times New Roman"/>
          <w:b/>
          <w:bCs/>
          <w:i/>
          <w:iCs/>
          <w:color w:val="000000" w:themeColor="text1"/>
          <w:highlight w:val="white"/>
        </w:rPr>
        <w:t>tiered-based</w:t>
      </w:r>
      <w:r w:rsidR="000E7779" w:rsidRPr="00E80816">
        <w:rPr>
          <w:rFonts w:ascii="Times New Roman" w:eastAsia="Times New Roman" w:hAnsi="Times New Roman"/>
          <w:b/>
          <w:bCs/>
          <w:color w:val="000000" w:themeColor="text1"/>
          <w:highlight w:val="white"/>
        </w:rPr>
        <w:t xml:space="preserve"> </w:t>
      </w:r>
      <w:r w:rsidR="22CFFFD4" w:rsidRPr="00E80816">
        <w:rPr>
          <w:rFonts w:ascii="Times New Roman" w:eastAsia="Times New Roman" w:hAnsi="Times New Roman"/>
          <w:color w:val="000000" w:themeColor="text1"/>
          <w:highlight w:val="white"/>
        </w:rPr>
        <w:t>test system because the likelihood of</w:t>
      </w:r>
      <w:r w:rsidR="22CFFFD4" w:rsidRPr="00E80816">
        <w:rPr>
          <w:rFonts w:ascii="Times New Roman" w:hAnsi="Times New Roman"/>
          <w:color w:val="000000" w:themeColor="text1"/>
        </w:rPr>
        <w:t xml:space="preserve"> </w:t>
      </w:r>
      <w:r w:rsidR="22CFFFD4" w:rsidRPr="00E80816">
        <w:rPr>
          <w:rFonts w:ascii="Times New Roman" w:eastAsia="Times New Roman" w:hAnsi="Times New Roman"/>
          <w:color w:val="000000" w:themeColor="text1"/>
          <w:highlight w:val="white"/>
        </w:rPr>
        <w:t xml:space="preserve">detecting potential </w:t>
      </w:r>
      <w:r w:rsidR="22CFFFD4" w:rsidRPr="00252715">
        <w:rPr>
          <w:rFonts w:ascii="Times New Roman" w:eastAsia="Times New Roman" w:hAnsi="Times New Roman"/>
          <w:color w:val="000000" w:themeColor="text1"/>
        </w:rPr>
        <w:t>hazards is higher in well-controlled lower tier</w:t>
      </w:r>
      <w:r w:rsidR="22CFFFD4" w:rsidRPr="00252715">
        <w:rPr>
          <w:rFonts w:ascii="Times New Roman" w:hAnsi="Times New Roman"/>
          <w:color w:val="000000" w:themeColor="text1"/>
        </w:rPr>
        <w:t xml:space="preserve"> </w:t>
      </w:r>
      <w:r w:rsidR="22CFFFD4" w:rsidRPr="00252715">
        <w:rPr>
          <w:rFonts w:ascii="Times New Roman" w:eastAsia="Times New Roman" w:hAnsi="Times New Roman"/>
          <w:color w:val="000000" w:themeColor="text1"/>
        </w:rPr>
        <w:t xml:space="preserve">studies than in more complex field studies (see section </w:t>
      </w:r>
      <w:r w:rsidR="2269D734" w:rsidRPr="00252715">
        <w:rPr>
          <w:rFonts w:ascii="Times New Roman" w:eastAsia="Times New Roman" w:hAnsi="Times New Roman"/>
          <w:color w:val="000000" w:themeColor="text1"/>
        </w:rPr>
        <w:t>4.2.4</w:t>
      </w:r>
      <w:r w:rsidR="388AB83B" w:rsidRPr="00252715">
        <w:rPr>
          <w:rFonts w:ascii="Times New Roman" w:eastAsia="Times New Roman" w:hAnsi="Times New Roman"/>
          <w:color w:val="000000" w:themeColor="text1"/>
        </w:rPr>
        <w:t xml:space="preserve">; </w:t>
      </w:r>
      <w:proofErr w:type="spellStart"/>
      <w:r w:rsidR="388AB83B" w:rsidRPr="00252715">
        <w:rPr>
          <w:rFonts w:ascii="Times New Roman" w:eastAsia="Times New Roman" w:hAnsi="Times New Roman"/>
          <w:color w:val="000000" w:themeColor="text1"/>
        </w:rPr>
        <w:t>Sanvido</w:t>
      </w:r>
      <w:proofErr w:type="spellEnd"/>
      <w:r w:rsidR="388AB83B" w:rsidRPr="00252715">
        <w:rPr>
          <w:rFonts w:ascii="Times New Roman" w:eastAsia="Times New Roman" w:hAnsi="Times New Roman"/>
          <w:color w:val="000000" w:themeColor="text1"/>
        </w:rPr>
        <w:t xml:space="preserve"> and others, 2012</w:t>
      </w:r>
      <w:r w:rsidR="22CFFFD4" w:rsidRPr="00252715">
        <w:rPr>
          <w:rFonts w:ascii="Times New Roman" w:eastAsia="Times New Roman" w:hAnsi="Times New Roman"/>
          <w:color w:val="000000" w:themeColor="text1"/>
        </w:rPr>
        <w:t xml:space="preserve">). </w:t>
      </w:r>
      <w:r w:rsidR="4C400105" w:rsidRPr="00252715">
        <w:rPr>
          <w:rFonts w:ascii="Times New Roman" w:eastAsia="Times New Roman" w:hAnsi="Times New Roman"/>
          <w:color w:val="000000" w:themeColor="text1"/>
        </w:rPr>
        <w:t xml:space="preserve">By </w:t>
      </w:r>
      <w:r w:rsidR="00437BF7" w:rsidRPr="00252715">
        <w:rPr>
          <w:rFonts w:ascii="Times New Roman" w:eastAsia="Times New Roman" w:hAnsi="Times New Roman"/>
          <w:color w:val="000000" w:themeColor="text1"/>
          <w:lang w:val="en-GB"/>
        </w:rPr>
        <w:t>following</w:t>
      </w:r>
      <w:r w:rsidR="18973F64" w:rsidRPr="00252715">
        <w:rPr>
          <w:rFonts w:ascii="Times New Roman" w:eastAsia="Times New Roman" w:hAnsi="Times New Roman"/>
          <w:color w:val="000000" w:themeColor="text1"/>
          <w:lang w:val="en-GB"/>
        </w:rPr>
        <w:t xml:space="preserve"> </w:t>
      </w:r>
      <w:r w:rsidR="4976257D" w:rsidRPr="00252715">
        <w:rPr>
          <w:rFonts w:ascii="Times New Roman" w:eastAsia="Times New Roman" w:hAnsi="Times New Roman"/>
          <w:color w:val="000000" w:themeColor="text1"/>
          <w:lang w:val="en-GB"/>
        </w:rPr>
        <w:t>this</w:t>
      </w:r>
      <w:r w:rsidR="000E7779" w:rsidRPr="00252715">
        <w:rPr>
          <w:rFonts w:ascii="Times New Roman" w:eastAsia="Times New Roman" w:hAnsi="Times New Roman"/>
          <w:color w:val="000000" w:themeColor="text1"/>
          <w:lang w:val="en-GB"/>
        </w:rPr>
        <w:t xml:space="preserve"> </w:t>
      </w:r>
      <w:r w:rsidR="000E7779" w:rsidRPr="00252715">
        <w:rPr>
          <w:rFonts w:ascii="Times New Roman" w:eastAsia="Times New Roman" w:hAnsi="Times New Roman"/>
          <w:lang w:val="en-GB"/>
        </w:rPr>
        <w:t>approach, tests are initially conducted representing worst-case scenarios of exposure</w:t>
      </w:r>
      <w:r w:rsidR="001C6986" w:rsidRPr="00252715">
        <w:rPr>
          <w:rFonts w:ascii="Times New Roman" w:eastAsia="Times New Roman" w:hAnsi="Times New Roman"/>
          <w:lang w:val="en-GB"/>
        </w:rPr>
        <w:t xml:space="preserve"> and/or consequence</w:t>
      </w:r>
      <w:r w:rsidR="000E7779" w:rsidRPr="00252715">
        <w:rPr>
          <w:rFonts w:ascii="Times New Roman" w:eastAsia="Times New Roman" w:hAnsi="Times New Roman"/>
          <w:lang w:val="en-GB"/>
        </w:rPr>
        <w:t xml:space="preserve"> and are</w:t>
      </w:r>
      <w:r w:rsidR="00CC613D" w:rsidRPr="00252715">
        <w:rPr>
          <w:rFonts w:ascii="Times New Roman" w:eastAsia="Times New Roman" w:hAnsi="Times New Roman"/>
          <w:lang w:val="en-GB"/>
        </w:rPr>
        <w:t xml:space="preserve"> then</w:t>
      </w:r>
      <w:r w:rsidR="000E7779" w:rsidRPr="00252715">
        <w:rPr>
          <w:rFonts w:ascii="Times New Roman" w:eastAsia="Times New Roman" w:hAnsi="Times New Roman"/>
          <w:lang w:val="en-GB"/>
        </w:rPr>
        <w:t xml:space="preserve"> progressively made more realistic</w:t>
      </w:r>
      <w:r w:rsidR="007D377C" w:rsidRPr="00252715">
        <w:rPr>
          <w:rFonts w:ascii="Times New Roman" w:eastAsia="Times New Roman" w:hAnsi="Times New Roman"/>
          <w:lang w:val="en-GB"/>
        </w:rPr>
        <w:t xml:space="preserve">, as </w:t>
      </w:r>
      <w:r w:rsidR="00C825DD" w:rsidRPr="00252715">
        <w:rPr>
          <w:rFonts w:ascii="Times New Roman" w:eastAsia="Times New Roman" w:hAnsi="Times New Roman"/>
          <w:lang w:val="en-GB"/>
        </w:rPr>
        <w:t>appropriate</w:t>
      </w:r>
      <w:r w:rsidR="000E7779" w:rsidRPr="00252715">
        <w:rPr>
          <w:rFonts w:ascii="Times New Roman" w:eastAsia="Times New Roman" w:hAnsi="Times New Roman"/>
          <w:lang w:val="en-GB"/>
        </w:rPr>
        <w:t>. In so doing, hazards are</w:t>
      </w:r>
      <w:r w:rsidR="000E7779" w:rsidRPr="4644E7B5">
        <w:rPr>
          <w:rFonts w:ascii="Times New Roman" w:eastAsia="Times New Roman" w:hAnsi="Times New Roman"/>
          <w:lang w:val="en-GB"/>
        </w:rPr>
        <w:t xml:space="preserve"> evaluated within different tiers that progress from worst-case exposure</w:t>
      </w:r>
      <w:r w:rsidR="001849B2" w:rsidRPr="4644E7B5">
        <w:rPr>
          <w:rFonts w:ascii="Times New Roman" w:eastAsia="Times New Roman" w:hAnsi="Times New Roman"/>
          <w:lang w:val="en-GB"/>
        </w:rPr>
        <w:t xml:space="preserve"> and/or consequence</w:t>
      </w:r>
      <w:r w:rsidR="000E7779" w:rsidRPr="4644E7B5">
        <w:rPr>
          <w:rFonts w:ascii="Times New Roman" w:eastAsia="Times New Roman" w:hAnsi="Times New Roman"/>
          <w:lang w:val="en-GB"/>
        </w:rPr>
        <w:t xml:space="preserve"> scenario conditions</w:t>
      </w:r>
      <w:r w:rsidR="00A24A5D" w:rsidRPr="4644E7B5">
        <w:rPr>
          <w:rFonts w:ascii="Times New Roman" w:eastAsia="Times New Roman" w:hAnsi="Times New Roman"/>
          <w:lang w:val="en-GB"/>
        </w:rPr>
        <w:t xml:space="preserve"> (e.g.</w:t>
      </w:r>
      <w:r w:rsidR="007451AA" w:rsidRPr="4644E7B5">
        <w:rPr>
          <w:rFonts w:ascii="Times New Roman" w:eastAsia="Times New Roman" w:hAnsi="Times New Roman"/>
          <w:lang w:val="en-GB"/>
        </w:rPr>
        <w:t>,</w:t>
      </w:r>
      <w:r w:rsidR="00A24A5D" w:rsidRPr="4644E7B5">
        <w:rPr>
          <w:rFonts w:ascii="Times New Roman" w:eastAsia="Times New Roman" w:hAnsi="Times New Roman"/>
          <w:lang w:val="en-GB"/>
        </w:rPr>
        <w:t xml:space="preserve"> </w:t>
      </w:r>
      <w:r w:rsidR="000E7779" w:rsidRPr="4644E7B5">
        <w:rPr>
          <w:rFonts w:ascii="Times New Roman" w:eastAsia="Times New Roman" w:hAnsi="Times New Roman"/>
          <w:lang w:val="en-GB"/>
        </w:rPr>
        <w:t>framed in highly</w:t>
      </w:r>
      <w:r w:rsidR="001B35ED" w:rsidRPr="4644E7B5">
        <w:rPr>
          <w:rFonts w:ascii="Times New Roman" w:eastAsia="Times New Roman" w:hAnsi="Times New Roman"/>
          <w:lang w:val="en-GB"/>
        </w:rPr>
        <w:t xml:space="preserve"> </w:t>
      </w:r>
      <w:r w:rsidR="000E7779" w:rsidRPr="4644E7B5">
        <w:rPr>
          <w:rFonts w:ascii="Times New Roman" w:eastAsia="Times New Roman" w:hAnsi="Times New Roman"/>
          <w:lang w:val="en-GB"/>
        </w:rPr>
        <w:t>controlled laboratory environments</w:t>
      </w:r>
      <w:r w:rsidR="00857D57" w:rsidRPr="4644E7B5">
        <w:rPr>
          <w:rFonts w:ascii="Times New Roman" w:eastAsia="Times New Roman" w:hAnsi="Times New Roman"/>
          <w:lang w:val="en-GB"/>
        </w:rPr>
        <w:t>)</w:t>
      </w:r>
      <w:r w:rsidR="000E7779" w:rsidRPr="4644E7B5">
        <w:rPr>
          <w:rFonts w:ascii="Times New Roman" w:eastAsia="Times New Roman" w:hAnsi="Times New Roman"/>
          <w:lang w:val="en-GB"/>
        </w:rPr>
        <w:t xml:space="preserve">, to more </w:t>
      </w:r>
      <w:r w:rsidR="001849B2" w:rsidRPr="4644E7B5">
        <w:rPr>
          <w:rFonts w:ascii="Times New Roman" w:eastAsia="Times New Roman" w:hAnsi="Times New Roman"/>
          <w:lang w:val="en-GB"/>
        </w:rPr>
        <w:t xml:space="preserve">plausible </w:t>
      </w:r>
      <w:r w:rsidR="000E7779" w:rsidRPr="4644E7B5">
        <w:rPr>
          <w:rFonts w:ascii="Times New Roman" w:eastAsia="Times New Roman" w:hAnsi="Times New Roman"/>
          <w:lang w:val="en-GB"/>
        </w:rPr>
        <w:t>scenarios</w:t>
      </w:r>
      <w:r w:rsidR="00857D57" w:rsidRPr="4644E7B5">
        <w:rPr>
          <w:rFonts w:ascii="Times New Roman" w:eastAsia="Times New Roman" w:hAnsi="Times New Roman"/>
          <w:lang w:val="en-GB"/>
        </w:rPr>
        <w:t xml:space="preserve"> (e.g.</w:t>
      </w:r>
      <w:r w:rsidR="007451AA" w:rsidRPr="4644E7B5">
        <w:rPr>
          <w:rFonts w:ascii="Times New Roman" w:eastAsia="Times New Roman" w:hAnsi="Times New Roman"/>
          <w:lang w:val="en-GB"/>
        </w:rPr>
        <w:t>,</w:t>
      </w:r>
      <w:r w:rsidR="000E7779" w:rsidRPr="4644E7B5">
        <w:rPr>
          <w:rFonts w:ascii="Times New Roman" w:eastAsia="Times New Roman" w:hAnsi="Times New Roman"/>
          <w:lang w:val="en-GB"/>
        </w:rPr>
        <w:t xml:space="preserve"> under semi-field or field conditions</w:t>
      </w:r>
      <w:r w:rsidR="00857D57" w:rsidRPr="4644E7B5">
        <w:rPr>
          <w:rFonts w:ascii="Times New Roman" w:eastAsia="Times New Roman" w:hAnsi="Times New Roman"/>
          <w:lang w:val="en-GB"/>
        </w:rPr>
        <w:t xml:space="preserve">). The underlying rationale is that when risks are acceptable under high exposure conditions, they </w:t>
      </w:r>
      <w:r w:rsidR="00FA4C3D" w:rsidRPr="4644E7B5">
        <w:rPr>
          <w:rFonts w:ascii="Times New Roman" w:eastAsia="Times New Roman" w:hAnsi="Times New Roman"/>
          <w:lang w:val="en-GB"/>
        </w:rPr>
        <w:t>would</w:t>
      </w:r>
      <w:r w:rsidR="00857D57" w:rsidRPr="4644E7B5">
        <w:rPr>
          <w:rFonts w:ascii="Times New Roman" w:eastAsia="Times New Roman" w:hAnsi="Times New Roman"/>
          <w:lang w:val="en-GB"/>
        </w:rPr>
        <w:t xml:space="preserve"> </w:t>
      </w:r>
      <w:r w:rsidR="00FA4C3D" w:rsidRPr="4644E7B5">
        <w:rPr>
          <w:rFonts w:ascii="Times New Roman" w:eastAsia="Times New Roman" w:hAnsi="Times New Roman"/>
          <w:lang w:val="en-GB"/>
        </w:rPr>
        <w:t xml:space="preserve">be </w:t>
      </w:r>
      <w:r w:rsidR="00857D57" w:rsidRPr="4644E7B5">
        <w:rPr>
          <w:rFonts w:ascii="Times New Roman" w:eastAsia="Times New Roman" w:hAnsi="Times New Roman"/>
          <w:lang w:val="en-GB"/>
        </w:rPr>
        <w:t>also acceptable at more realistic levels of exposure</w:t>
      </w:r>
      <w:r w:rsidR="00584AFC" w:rsidRPr="4644E7B5">
        <w:rPr>
          <w:rFonts w:ascii="Times New Roman" w:eastAsia="Times New Roman" w:hAnsi="Times New Roman"/>
          <w:lang w:val="en-GB"/>
        </w:rPr>
        <w:t xml:space="preserve"> (e.g., if toxicity testing in a laboratory with high doses </w:t>
      </w:r>
      <w:r w:rsidR="00584AFC" w:rsidRPr="00252715">
        <w:rPr>
          <w:rFonts w:ascii="Times New Roman" w:eastAsia="Times New Roman" w:hAnsi="Times New Roman"/>
          <w:lang w:val="en-GB"/>
        </w:rPr>
        <w:t>indicates no toxicity, there is no need for further testing at larger scales where doses will be much lower</w:t>
      </w:r>
      <w:r w:rsidR="26631E07" w:rsidRPr="00252715">
        <w:rPr>
          <w:rFonts w:ascii="Times New Roman" w:eastAsia="Times New Roman" w:hAnsi="Times New Roman"/>
          <w:lang w:val="en-GB"/>
        </w:rPr>
        <w:t xml:space="preserve">; </w:t>
      </w:r>
      <w:r w:rsidR="26631E07" w:rsidRPr="00252715">
        <w:rPr>
          <w:rFonts w:ascii="Times New Roman" w:eastAsia="Times New Roman" w:hAnsi="Times New Roman"/>
          <w:color w:val="000000" w:themeColor="text1"/>
          <w:lang w:val="en-GB"/>
        </w:rPr>
        <w:t>EFSA, 2010</w:t>
      </w:r>
      <w:r w:rsidR="34DB853B" w:rsidRPr="00252715">
        <w:rPr>
          <w:rFonts w:ascii="Times New Roman" w:eastAsia="Times New Roman" w:hAnsi="Times New Roman"/>
          <w:color w:val="000000" w:themeColor="text1"/>
          <w:lang w:val="en-GB"/>
        </w:rPr>
        <w:t>)</w:t>
      </w:r>
      <w:r w:rsidR="18973F64" w:rsidRPr="00252715">
        <w:rPr>
          <w:rFonts w:ascii="Times New Roman" w:eastAsia="Times New Roman" w:hAnsi="Times New Roman"/>
          <w:color w:val="000000" w:themeColor="text1"/>
          <w:lang w:val="en-GB"/>
        </w:rPr>
        <w:t>;</w:t>
      </w:r>
    </w:p>
    <w:p w14:paraId="0B2AEAE5" w14:textId="7A188A36" w:rsidR="00AC5A70" w:rsidRPr="00252715" w:rsidRDefault="005D0EF4" w:rsidP="006D49D5">
      <w:pPr>
        <w:pStyle w:val="ListParagraph"/>
        <w:numPr>
          <w:ilvl w:val="0"/>
          <w:numId w:val="40"/>
        </w:numPr>
        <w:spacing w:line="276" w:lineRule="auto"/>
        <w:ind w:left="706"/>
        <w:rPr>
          <w:rFonts w:ascii="Times New Roman" w:hAnsi="Times New Roman"/>
          <w:color w:val="000000" w:themeColor="text1"/>
        </w:rPr>
      </w:pPr>
      <w:r w:rsidRPr="00252715">
        <w:rPr>
          <w:rFonts w:ascii="Times New Roman" w:eastAsia="Times New Roman" w:hAnsi="Times New Roman"/>
          <w:color w:val="000000" w:themeColor="text1"/>
          <w:lang w:val="en-GB"/>
        </w:rPr>
        <w:t>Use</w:t>
      </w:r>
      <w:r w:rsidRPr="00252715">
        <w:rPr>
          <w:rFonts w:ascii="Times New Roman" w:hAnsi="Times New Roman"/>
          <w:color w:val="000000" w:themeColor="text1"/>
        </w:rPr>
        <w:t xml:space="preserve"> </w:t>
      </w:r>
      <w:r w:rsidRPr="00252715">
        <w:rPr>
          <w:rFonts w:ascii="Times New Roman" w:hAnsi="Times New Roman"/>
          <w:b/>
          <w:bCs/>
          <w:i/>
          <w:iCs/>
          <w:color w:val="000000" w:themeColor="text1"/>
        </w:rPr>
        <w:t>p</w:t>
      </w:r>
      <w:r w:rsidR="002D3873" w:rsidRPr="00252715">
        <w:rPr>
          <w:rFonts w:ascii="Times New Roman" w:hAnsi="Times New Roman"/>
          <w:b/>
          <w:bCs/>
          <w:i/>
          <w:iCs/>
          <w:color w:val="000000" w:themeColor="text1"/>
        </w:rPr>
        <w:t>roblem formulation</w:t>
      </w:r>
      <w:r w:rsidR="002D3873" w:rsidRPr="00252715">
        <w:rPr>
          <w:rFonts w:ascii="Times New Roman" w:hAnsi="Times New Roman"/>
          <w:color w:val="000000" w:themeColor="text1"/>
        </w:rPr>
        <w:t xml:space="preserve"> </w:t>
      </w:r>
      <w:proofErr w:type="gramStart"/>
      <w:r w:rsidR="007934AB" w:rsidRPr="00252715">
        <w:rPr>
          <w:rFonts w:ascii="Times New Roman" w:hAnsi="Times New Roman"/>
          <w:color w:val="000000" w:themeColor="text1"/>
        </w:rPr>
        <w:t>a</w:t>
      </w:r>
      <w:r w:rsidR="002D3873" w:rsidRPr="00252715">
        <w:rPr>
          <w:rFonts w:ascii="Times New Roman" w:hAnsi="Times New Roman"/>
          <w:color w:val="000000" w:themeColor="text1"/>
        </w:rPr>
        <w:t>s a way to</w:t>
      </w:r>
      <w:proofErr w:type="gramEnd"/>
      <w:r w:rsidR="002D3873" w:rsidRPr="00252715">
        <w:rPr>
          <w:rFonts w:ascii="Times New Roman" w:hAnsi="Times New Roman"/>
          <w:color w:val="000000" w:themeColor="text1"/>
        </w:rPr>
        <w:t xml:space="preserve"> frame the risk assessment process and does so by clarifying policy goals and scientific criteria for assessing risks and devising risk hypotheses that meet those criteria. It enables risk assessors to identify a spectrum of potential adverse effects derived from the deployment of a</w:t>
      </w:r>
      <w:r w:rsidR="00A5699B" w:rsidRPr="00252715">
        <w:rPr>
          <w:rFonts w:ascii="Times New Roman" w:hAnsi="Times New Roman"/>
          <w:color w:val="000000" w:themeColor="text1"/>
        </w:rPr>
        <w:t>n</w:t>
      </w:r>
      <w:r w:rsidR="002D3873" w:rsidRPr="00252715">
        <w:rPr>
          <w:rFonts w:ascii="Times New Roman" w:hAnsi="Times New Roman"/>
          <w:color w:val="000000" w:themeColor="text1"/>
        </w:rPr>
        <w:t xml:space="preserve"> LMO and to devise (a) </w:t>
      </w:r>
      <w:r w:rsidR="00EB31A7" w:rsidRPr="00252715">
        <w:rPr>
          <w:rFonts w:ascii="Times New Roman" w:hAnsi="Times New Roman"/>
          <w:color w:val="000000" w:themeColor="text1"/>
        </w:rPr>
        <w:t>plausible</w:t>
      </w:r>
      <w:r w:rsidR="002D3873" w:rsidRPr="00252715">
        <w:rPr>
          <w:rFonts w:ascii="Times New Roman" w:hAnsi="Times New Roman"/>
          <w:color w:val="000000" w:themeColor="text1"/>
        </w:rPr>
        <w:t xml:space="preserve"> pathway(s) to such harm and define the actual information needed to assess the likelihood of these potential adverse effects to occur and their seriousness. </w:t>
      </w:r>
    </w:p>
    <w:p w14:paraId="267DAF14" w14:textId="35A953A3" w:rsidR="0041540B" w:rsidRPr="006B5B92" w:rsidRDefault="002D3873" w:rsidP="006B5B92">
      <w:pPr>
        <w:spacing w:line="276" w:lineRule="auto"/>
        <w:ind w:left="346"/>
        <w:rPr>
          <w:rFonts w:ascii="Times New Roman" w:hAnsi="Times New Roman"/>
        </w:rPr>
      </w:pPr>
      <w:r w:rsidRPr="4644E7B5">
        <w:rPr>
          <w:rFonts w:ascii="Times New Roman" w:hAnsi="Times New Roman"/>
        </w:rPr>
        <w:t>The additional voluntary guidance materials introduce problem formulation as the first step of risk assessment</w:t>
      </w:r>
      <w:r w:rsidR="006E2CC1" w:rsidRPr="4644E7B5">
        <w:rPr>
          <w:rFonts w:ascii="Times New Roman" w:hAnsi="Times New Roman"/>
        </w:rPr>
        <w:t xml:space="preserve">, which is being </w:t>
      </w:r>
      <w:r w:rsidR="006E2CC1" w:rsidRPr="00E80816">
        <w:rPr>
          <w:rFonts w:ascii="Times New Roman" w:hAnsi="Times New Roman"/>
          <w:color w:val="000000" w:themeColor="text1"/>
        </w:rPr>
        <w:t xml:space="preserve">widely applied by governments and relevant international organizations </w:t>
      </w:r>
      <w:r w:rsidR="006E2CC1" w:rsidRPr="4644E7B5">
        <w:rPr>
          <w:rFonts w:ascii="Times New Roman" w:hAnsi="Times New Roman"/>
        </w:rPr>
        <w:t>(e.g</w:t>
      </w:r>
      <w:r w:rsidR="006E2CC1" w:rsidRPr="00252715">
        <w:rPr>
          <w:rFonts w:ascii="Times New Roman" w:hAnsi="Times New Roman"/>
        </w:rPr>
        <w:t>., NASEM, 2016; European Union, 2018;</w:t>
      </w:r>
      <w:r w:rsidR="006E2CC1" w:rsidRPr="4644E7B5">
        <w:rPr>
          <w:rFonts w:ascii="Times New Roman" w:hAnsi="Times New Roman"/>
        </w:rPr>
        <w:t xml:space="preserve"> EFSA, 2020</w:t>
      </w:r>
      <w:r w:rsidR="004B3F27">
        <w:rPr>
          <w:rFonts w:ascii="Times New Roman" w:hAnsi="Times New Roman"/>
        </w:rPr>
        <w:t>b</w:t>
      </w:r>
      <w:r w:rsidR="006E2CC1" w:rsidRPr="4644E7B5">
        <w:rPr>
          <w:rFonts w:ascii="Times New Roman" w:hAnsi="Times New Roman"/>
        </w:rPr>
        <w:t>; WHO, 2021</w:t>
      </w:r>
      <w:r w:rsidR="00E25734">
        <w:rPr>
          <w:rFonts w:ascii="Times New Roman" w:hAnsi="Times New Roman"/>
        </w:rPr>
        <w:t>b</w:t>
      </w:r>
      <w:r w:rsidR="006E2CC1" w:rsidRPr="4644E7B5">
        <w:rPr>
          <w:rFonts w:ascii="Times New Roman" w:hAnsi="Times New Roman"/>
        </w:rPr>
        <w:t xml:space="preserve">; </w:t>
      </w:r>
      <w:r w:rsidR="006E2CC1" w:rsidRPr="00252715">
        <w:rPr>
          <w:rFonts w:ascii="Times New Roman" w:hAnsi="Times New Roman"/>
        </w:rPr>
        <w:t>CCA, 2023; OECD, 2023).</w:t>
      </w:r>
      <w:r w:rsidRPr="4644E7B5">
        <w:rPr>
          <w:rFonts w:ascii="Times New Roman" w:hAnsi="Times New Roman"/>
        </w:rPr>
        <w:t xml:space="preserve"> The testing of the risk hypotheses of </w:t>
      </w:r>
      <w:r w:rsidRPr="00D67B70">
        <w:rPr>
          <w:rFonts w:ascii="Times New Roman" w:hAnsi="Times New Roman"/>
        </w:rPr>
        <w:t>the</w:t>
      </w:r>
      <w:r w:rsidR="00C8758F" w:rsidRPr="00D67B70">
        <w:rPr>
          <w:rFonts w:ascii="Times New Roman" w:hAnsi="Times New Roman"/>
        </w:rPr>
        <w:t xml:space="preserve"> plausible</w:t>
      </w:r>
      <w:r w:rsidRPr="00D67B70">
        <w:rPr>
          <w:rFonts w:ascii="Times New Roman" w:hAnsi="Times New Roman"/>
        </w:rPr>
        <w:t xml:space="preserve"> pathways to harm would be performed in the subsequent risk assessment steps </w:t>
      </w:r>
      <w:r w:rsidR="00E246ED" w:rsidRPr="00D67B70">
        <w:rPr>
          <w:rFonts w:ascii="Times New Roman" w:hAnsi="Times New Roman"/>
        </w:rPr>
        <w:t>cons</w:t>
      </w:r>
      <w:r w:rsidR="00336A1D" w:rsidRPr="00D67B70">
        <w:rPr>
          <w:rFonts w:ascii="Times New Roman" w:hAnsi="Times New Roman"/>
        </w:rPr>
        <w:t>i</w:t>
      </w:r>
      <w:r w:rsidR="00E246ED" w:rsidRPr="00D67B70">
        <w:rPr>
          <w:rFonts w:ascii="Times New Roman" w:hAnsi="Times New Roman"/>
        </w:rPr>
        <w:t>stent</w:t>
      </w:r>
      <w:r w:rsidRPr="00D67B70">
        <w:rPr>
          <w:rFonts w:ascii="Times New Roman" w:hAnsi="Times New Roman"/>
        </w:rPr>
        <w:t xml:space="preserve"> </w:t>
      </w:r>
      <w:r w:rsidR="00336A1D" w:rsidRPr="00D67B70">
        <w:rPr>
          <w:rFonts w:ascii="Times New Roman" w:hAnsi="Times New Roman"/>
        </w:rPr>
        <w:t xml:space="preserve">with </w:t>
      </w:r>
      <w:r w:rsidRPr="00D67B70">
        <w:rPr>
          <w:rFonts w:ascii="Times New Roman" w:hAnsi="Times New Roman"/>
        </w:rPr>
        <w:t>paragraph 8 of annex III to the Protocol, as outlined in Figure 1. At each step of the</w:t>
      </w:r>
      <w:r w:rsidR="00B57A63" w:rsidRPr="00D67B70">
        <w:rPr>
          <w:rFonts w:ascii="Times New Roman" w:hAnsi="Times New Roman"/>
        </w:rPr>
        <w:t xml:space="preserve"> plausible</w:t>
      </w:r>
      <w:r w:rsidRPr="00D67B70">
        <w:rPr>
          <w:rFonts w:ascii="Times New Roman" w:hAnsi="Times New Roman"/>
        </w:rPr>
        <w:t xml:space="preserve"> pathway</w:t>
      </w:r>
      <w:r w:rsidRPr="4644E7B5">
        <w:rPr>
          <w:rFonts w:ascii="Times New Roman" w:hAnsi="Times New Roman"/>
        </w:rPr>
        <w:t xml:space="preserve"> to harm</w:t>
      </w:r>
      <w:r w:rsidR="00DB6B2A">
        <w:rPr>
          <w:rFonts w:ascii="Times New Roman" w:hAnsi="Times New Roman"/>
        </w:rPr>
        <w:t>,</w:t>
      </w:r>
      <w:r w:rsidRPr="4644E7B5">
        <w:rPr>
          <w:rFonts w:ascii="Times New Roman" w:hAnsi="Times New Roman"/>
        </w:rPr>
        <w:t xml:space="preserve"> more detailed information on probabilities and uncertainties are provided. In addition, </w:t>
      </w:r>
      <w:r w:rsidR="006A251E" w:rsidRPr="00E80816">
        <w:rPr>
          <w:rFonts w:ascii="Times New Roman" w:eastAsia="Times New Roman" w:hAnsi="Times New Roman"/>
          <w:color w:val="000000" w:themeColor="text1"/>
        </w:rPr>
        <w:t xml:space="preserve">participation and </w:t>
      </w:r>
      <w:r w:rsidRPr="00E80816">
        <w:rPr>
          <w:rFonts w:ascii="Times New Roman" w:hAnsi="Times New Roman"/>
          <w:color w:val="000000" w:themeColor="text1"/>
        </w:rPr>
        <w:t xml:space="preserve">engagement </w:t>
      </w:r>
      <w:r w:rsidR="006A251E" w:rsidRPr="00E80816">
        <w:rPr>
          <w:rFonts w:ascii="Times New Roman" w:hAnsi="Times New Roman"/>
          <w:color w:val="000000" w:themeColor="text1"/>
        </w:rPr>
        <w:t xml:space="preserve">of stakeholders </w:t>
      </w:r>
      <w:r w:rsidR="006A251E" w:rsidRPr="00E80816">
        <w:rPr>
          <w:rFonts w:ascii="Times New Roman" w:eastAsia="Times New Roman" w:hAnsi="Times New Roman"/>
          <w:color w:val="000000" w:themeColor="text1"/>
        </w:rPr>
        <w:t xml:space="preserve">and </w:t>
      </w:r>
      <w:r w:rsidR="00B614EB">
        <w:rPr>
          <w:rFonts w:ascii="Times New Roman" w:eastAsia="Times New Roman" w:hAnsi="Times New Roman" w:cs="Times New Roman"/>
          <w:color w:val="000000" w:themeColor="text1"/>
        </w:rPr>
        <w:t>indigenous peoples and local communitie</w:t>
      </w:r>
      <w:r w:rsidR="006A251E" w:rsidRPr="00E80816">
        <w:rPr>
          <w:rFonts w:ascii="Times New Roman" w:eastAsia="Times New Roman" w:hAnsi="Times New Roman"/>
          <w:color w:val="000000" w:themeColor="text1"/>
        </w:rPr>
        <w:t xml:space="preserve">s </w:t>
      </w:r>
      <w:r w:rsidRPr="00E80816">
        <w:rPr>
          <w:rFonts w:ascii="Times New Roman" w:hAnsi="Times New Roman"/>
          <w:color w:val="000000" w:themeColor="text1"/>
        </w:rPr>
        <w:t xml:space="preserve">can be included at </w:t>
      </w:r>
      <w:r w:rsidR="006A251E" w:rsidRPr="00E80816">
        <w:rPr>
          <w:rFonts w:ascii="Times New Roman" w:hAnsi="Times New Roman"/>
          <w:color w:val="000000" w:themeColor="text1"/>
        </w:rPr>
        <w:t xml:space="preserve">all </w:t>
      </w:r>
      <w:r w:rsidRPr="00E80816">
        <w:rPr>
          <w:rFonts w:ascii="Times New Roman" w:hAnsi="Times New Roman"/>
          <w:color w:val="000000" w:themeColor="text1"/>
        </w:rPr>
        <w:t>points in the process</w:t>
      </w:r>
      <w:r w:rsidR="006A251E" w:rsidRPr="00E80816">
        <w:rPr>
          <w:rFonts w:ascii="Times New Roman" w:hAnsi="Times New Roman"/>
          <w:color w:val="000000" w:themeColor="text1"/>
        </w:rPr>
        <w:t>, as appropriate</w:t>
      </w:r>
      <w:r w:rsidR="0041540B" w:rsidRPr="4644E7B5">
        <w:rPr>
          <w:rFonts w:ascii="Times New Roman" w:hAnsi="Times New Roman"/>
        </w:rPr>
        <w:t xml:space="preserve">. </w:t>
      </w:r>
    </w:p>
    <w:p w14:paraId="2D21A2D0" w14:textId="42384AF0" w:rsidR="00882A56" w:rsidRPr="00D412F2" w:rsidRDefault="00882A56" w:rsidP="00BB43D9">
      <w:pPr>
        <w:pStyle w:val="ListParagraph"/>
        <w:spacing w:line="276" w:lineRule="auto"/>
        <w:ind w:left="706"/>
        <w:rPr>
          <w:rFonts w:ascii="Times New Roman" w:hAnsi="Times New Roman"/>
        </w:rPr>
      </w:pPr>
    </w:p>
    <w:p w14:paraId="34BABCFF" w14:textId="77777777" w:rsidR="0010164B" w:rsidRPr="00BB5241" w:rsidRDefault="0010164B" w:rsidP="00212686">
      <w:pPr>
        <w:spacing w:line="276" w:lineRule="auto"/>
        <w:jc w:val="both"/>
        <w:rPr>
          <w:rFonts w:ascii="Times New Roman" w:hAnsi="Times New Roman" w:cs="Times New Roman"/>
        </w:rPr>
      </w:pPr>
    </w:p>
    <w:p w14:paraId="0A16A195" w14:textId="696E83B2" w:rsidR="00D30FAA" w:rsidRPr="00BB5241" w:rsidRDefault="00E85104" w:rsidP="00212686">
      <w:pPr>
        <w:spacing w:line="276" w:lineRule="auto"/>
        <w:jc w:val="both"/>
        <w:rPr>
          <w:rFonts w:ascii="Times New Roman" w:hAnsi="Times New Roman" w:cs="Times New Roman"/>
          <w:noProof/>
          <w:sz w:val="18"/>
          <w:szCs w:val="18"/>
          <w:lang w:val="de-DE" w:eastAsia="de-DE"/>
        </w:rPr>
      </w:pPr>
      <w:r>
        <w:rPr>
          <w:rFonts w:ascii="Times New Roman" w:hAnsi="Times New Roman" w:cs="Times New Roman"/>
          <w:noProof/>
          <w:sz w:val="18"/>
          <w:szCs w:val="18"/>
          <w:lang w:val="de-DE" w:eastAsia="de-DE"/>
        </w:rPr>
        <w:lastRenderedPageBreak/>
        <w:drawing>
          <wp:inline distT="0" distB="0" distL="0" distR="0" wp14:anchorId="2196DB3A" wp14:editId="4088B5EA">
            <wp:extent cx="5937885" cy="4860290"/>
            <wp:effectExtent l="0" t="0" r="5715" b="0"/>
            <wp:docPr id="501091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7885" cy="4860290"/>
                    </a:xfrm>
                    <a:prstGeom prst="rect">
                      <a:avLst/>
                    </a:prstGeom>
                    <a:noFill/>
                    <a:ln>
                      <a:noFill/>
                    </a:ln>
                  </pic:spPr>
                </pic:pic>
              </a:graphicData>
            </a:graphic>
          </wp:inline>
        </w:drawing>
      </w:r>
    </w:p>
    <w:p w14:paraId="3016CD7B" w14:textId="300563D6" w:rsidR="00DC2E53" w:rsidRPr="006E3E92" w:rsidRDefault="0040158C" w:rsidP="421B232A">
      <w:pPr>
        <w:pStyle w:val="Caption"/>
        <w:rPr>
          <w:rFonts w:ascii="Times New Roman" w:hAnsi="Times New Roman" w:cs="Times New Roman"/>
          <w:b w:val="0"/>
          <w:bCs w:val="0"/>
          <w:color w:val="000000" w:themeColor="text1"/>
          <w:sz w:val="22"/>
          <w:szCs w:val="22"/>
        </w:rPr>
      </w:pPr>
      <w:r w:rsidRPr="006E3E92">
        <w:rPr>
          <w:rFonts w:ascii="Times New Roman" w:hAnsi="Times New Roman" w:cs="Times New Roman"/>
          <w:color w:val="000000" w:themeColor="text1"/>
          <w:sz w:val="22"/>
          <w:szCs w:val="22"/>
        </w:rPr>
        <w:t>Figure 1</w:t>
      </w:r>
      <w:r w:rsidR="007618E3" w:rsidRPr="006E3E92">
        <w:rPr>
          <w:rFonts w:ascii="Times New Roman" w:hAnsi="Times New Roman" w:cs="Times New Roman"/>
          <w:color w:val="000000" w:themeColor="text1"/>
          <w:sz w:val="22"/>
          <w:szCs w:val="22"/>
        </w:rPr>
        <w:t>.</w:t>
      </w:r>
      <w:r w:rsidR="007618E3" w:rsidRPr="006E3E92">
        <w:rPr>
          <w:rFonts w:ascii="Times New Roman" w:hAnsi="Times New Roman" w:cs="Times New Roman"/>
          <w:b w:val="0"/>
          <w:bCs w:val="0"/>
          <w:color w:val="000000" w:themeColor="text1"/>
          <w:sz w:val="22"/>
          <w:szCs w:val="22"/>
        </w:rPr>
        <w:t xml:space="preserve"> R</w:t>
      </w:r>
      <w:r w:rsidR="00277D0A" w:rsidRPr="006E3E92">
        <w:rPr>
          <w:rFonts w:ascii="Times New Roman" w:hAnsi="Times New Roman" w:cs="Times New Roman"/>
          <w:b w:val="0"/>
          <w:bCs w:val="0"/>
          <w:color w:val="000000" w:themeColor="text1"/>
          <w:sz w:val="22"/>
          <w:szCs w:val="22"/>
        </w:rPr>
        <w:t>isk assessment</w:t>
      </w:r>
      <w:r w:rsidRPr="006E3E92">
        <w:rPr>
          <w:rFonts w:ascii="Times New Roman" w:hAnsi="Times New Roman" w:cs="Times New Roman"/>
          <w:b w:val="0"/>
          <w:bCs w:val="0"/>
          <w:color w:val="000000" w:themeColor="text1"/>
          <w:sz w:val="22"/>
          <w:szCs w:val="22"/>
        </w:rPr>
        <w:t xml:space="preserve"> </w:t>
      </w:r>
      <w:r w:rsidR="007618E3" w:rsidRPr="006E3E92">
        <w:rPr>
          <w:rFonts w:ascii="Times New Roman" w:hAnsi="Times New Roman" w:cs="Times New Roman"/>
          <w:b w:val="0"/>
          <w:bCs w:val="0"/>
          <w:color w:val="000000" w:themeColor="text1"/>
          <w:sz w:val="22"/>
          <w:szCs w:val="22"/>
        </w:rPr>
        <w:t xml:space="preserve">steps </w:t>
      </w:r>
      <w:r w:rsidR="00E96055" w:rsidRPr="006E3E92">
        <w:rPr>
          <w:rFonts w:ascii="Times New Roman" w:hAnsi="Times New Roman" w:cs="Times New Roman"/>
          <w:b w:val="0"/>
          <w:bCs w:val="0"/>
          <w:color w:val="000000" w:themeColor="text1"/>
          <w:sz w:val="22"/>
          <w:szCs w:val="22"/>
        </w:rPr>
        <w:t>presented</w:t>
      </w:r>
      <w:r w:rsidR="007618E3" w:rsidRPr="006E3E92">
        <w:rPr>
          <w:rFonts w:ascii="Times New Roman" w:hAnsi="Times New Roman" w:cs="Times New Roman"/>
          <w:b w:val="0"/>
          <w:bCs w:val="0"/>
          <w:color w:val="000000" w:themeColor="text1"/>
          <w:sz w:val="22"/>
          <w:szCs w:val="22"/>
        </w:rPr>
        <w:t xml:space="preserve"> </w:t>
      </w:r>
      <w:r w:rsidRPr="006E3E92">
        <w:rPr>
          <w:rFonts w:ascii="Times New Roman" w:hAnsi="Times New Roman" w:cs="Times New Roman"/>
          <w:b w:val="0"/>
          <w:bCs w:val="0"/>
          <w:color w:val="000000" w:themeColor="text1"/>
          <w:sz w:val="22"/>
          <w:szCs w:val="22"/>
        </w:rPr>
        <w:t xml:space="preserve">in this guidance and </w:t>
      </w:r>
      <w:r w:rsidR="00E96055" w:rsidRPr="006E3E92">
        <w:rPr>
          <w:rFonts w:ascii="Times New Roman" w:hAnsi="Times New Roman" w:cs="Times New Roman"/>
          <w:b w:val="0"/>
          <w:bCs w:val="0"/>
          <w:color w:val="000000" w:themeColor="text1"/>
          <w:sz w:val="22"/>
          <w:szCs w:val="22"/>
        </w:rPr>
        <w:t>their</w:t>
      </w:r>
      <w:r w:rsidRPr="006E3E92">
        <w:rPr>
          <w:rFonts w:ascii="Times New Roman" w:hAnsi="Times New Roman" w:cs="Times New Roman"/>
          <w:b w:val="0"/>
          <w:bCs w:val="0"/>
          <w:color w:val="000000" w:themeColor="text1"/>
          <w:sz w:val="22"/>
          <w:szCs w:val="22"/>
        </w:rPr>
        <w:t xml:space="preserve"> linkage to paragraphs</w:t>
      </w:r>
      <w:r w:rsidR="00E96055" w:rsidRPr="006E3E92">
        <w:rPr>
          <w:rFonts w:ascii="Times New Roman" w:hAnsi="Times New Roman" w:cs="Times New Roman"/>
          <w:b w:val="0"/>
          <w:bCs w:val="0"/>
          <w:color w:val="000000" w:themeColor="text1"/>
          <w:sz w:val="22"/>
          <w:szCs w:val="22"/>
        </w:rPr>
        <w:t xml:space="preserve"> 8(a) to 8(f)</w:t>
      </w:r>
      <w:r w:rsidRPr="006E3E92">
        <w:rPr>
          <w:rFonts w:ascii="Times New Roman" w:hAnsi="Times New Roman" w:cs="Times New Roman"/>
          <w:b w:val="0"/>
          <w:bCs w:val="0"/>
          <w:color w:val="000000" w:themeColor="text1"/>
          <w:sz w:val="22"/>
          <w:szCs w:val="22"/>
        </w:rPr>
        <w:t xml:space="preserve"> in Annex III of the Protocol (shown in grey). Iteration in the light of new information may be performed to support decision-making. Steps A to C depict a single pathway</w:t>
      </w:r>
      <w:r w:rsidR="002373BB" w:rsidRPr="006E3E92">
        <w:rPr>
          <w:rFonts w:ascii="Times New Roman" w:hAnsi="Times New Roman" w:cs="Times New Roman"/>
          <w:b w:val="0"/>
          <w:bCs w:val="0"/>
          <w:color w:val="000000" w:themeColor="text1"/>
          <w:sz w:val="22"/>
          <w:szCs w:val="22"/>
        </w:rPr>
        <w:t xml:space="preserve"> to</w:t>
      </w:r>
      <w:r w:rsidRPr="006E3E92">
        <w:rPr>
          <w:rFonts w:ascii="Times New Roman" w:hAnsi="Times New Roman" w:cs="Times New Roman"/>
          <w:b w:val="0"/>
          <w:bCs w:val="0"/>
          <w:color w:val="000000" w:themeColor="text1"/>
          <w:sz w:val="22"/>
          <w:szCs w:val="22"/>
        </w:rPr>
        <w:t xml:space="preserve"> harm. </w:t>
      </w:r>
    </w:p>
    <w:p w14:paraId="007FF104" w14:textId="07A32558" w:rsidR="00DC2E53" w:rsidRPr="00BB5241" w:rsidRDefault="00DD7AFB" w:rsidP="00EB306B">
      <w:pPr>
        <w:pStyle w:val="Caption"/>
        <w:pageBreakBefore/>
        <w:rPr>
          <w:rFonts w:ascii="Times New Roman" w:hAnsi="Times New Roman" w:cs="Times New Roman"/>
          <w:color w:val="auto"/>
          <w:sz w:val="28"/>
          <w:szCs w:val="28"/>
        </w:rPr>
      </w:pPr>
      <w:bookmarkStart w:id="13" w:name="_Toc5"/>
      <w:r w:rsidRPr="421B232A">
        <w:rPr>
          <w:rFonts w:ascii="Times New Roman" w:hAnsi="Times New Roman" w:cs="Times New Roman"/>
          <w:color w:val="auto"/>
          <w:sz w:val="28"/>
          <w:szCs w:val="28"/>
        </w:rPr>
        <w:lastRenderedPageBreak/>
        <w:t>3</w:t>
      </w:r>
      <w:r w:rsidR="005430B6" w:rsidRPr="421B232A">
        <w:rPr>
          <w:rFonts w:ascii="Times New Roman" w:hAnsi="Times New Roman" w:cs="Times New Roman"/>
          <w:color w:val="auto"/>
          <w:sz w:val="28"/>
          <w:szCs w:val="28"/>
        </w:rPr>
        <w:t xml:space="preserve">. </w:t>
      </w:r>
      <w:bookmarkEnd w:id="13"/>
      <w:r w:rsidR="000E1B5F" w:rsidRPr="006E3E92">
        <w:rPr>
          <w:rFonts w:ascii="Times New Roman" w:hAnsi="Times New Roman" w:cs="Times New Roman"/>
          <w:color w:val="000000" w:themeColor="text1"/>
          <w:sz w:val="28"/>
          <w:szCs w:val="28"/>
        </w:rPr>
        <w:t>E</w:t>
      </w:r>
      <w:r w:rsidR="008F75F0" w:rsidRPr="006E3E92">
        <w:rPr>
          <w:rFonts w:ascii="Times New Roman" w:hAnsi="Times New Roman" w:cs="Times New Roman"/>
          <w:color w:val="000000" w:themeColor="text1"/>
          <w:sz w:val="28"/>
          <w:szCs w:val="28"/>
        </w:rPr>
        <w:t xml:space="preserve">ngineered </w:t>
      </w:r>
      <w:r w:rsidR="008F75F0" w:rsidRPr="421B232A">
        <w:rPr>
          <w:rFonts w:ascii="Times New Roman" w:hAnsi="Times New Roman" w:cs="Times New Roman"/>
          <w:color w:val="auto"/>
          <w:sz w:val="28"/>
          <w:szCs w:val="28"/>
        </w:rPr>
        <w:t>gene drives</w:t>
      </w:r>
    </w:p>
    <w:tbl>
      <w:tblPr>
        <w:tblStyle w:val="TableGrid"/>
        <w:tblW w:w="0" w:type="auto"/>
        <w:tblLook w:val="04A0" w:firstRow="1" w:lastRow="0" w:firstColumn="1" w:lastColumn="0" w:noHBand="0" w:noVBand="1"/>
      </w:tblPr>
      <w:tblGrid>
        <w:gridCol w:w="4675"/>
        <w:gridCol w:w="4675"/>
      </w:tblGrid>
      <w:tr w:rsidR="00EB306B" w14:paraId="132B91AF" w14:textId="77777777" w:rsidTr="09AC75EE">
        <w:tc>
          <w:tcPr>
            <w:tcW w:w="4675" w:type="dxa"/>
            <w:tcBorders>
              <w:top w:val="nil"/>
              <w:left w:val="nil"/>
              <w:bottom w:val="nil"/>
            </w:tcBorders>
          </w:tcPr>
          <w:p w14:paraId="55C0C520" w14:textId="77777777" w:rsidR="00EB306B" w:rsidRPr="00D67B70" w:rsidRDefault="00EB306B" w:rsidP="00EB306B">
            <w:pPr>
              <w:spacing w:line="276" w:lineRule="auto"/>
              <w:jc w:val="both"/>
              <w:rPr>
                <w:sz w:val="22"/>
                <w:szCs w:val="22"/>
              </w:rPr>
            </w:pPr>
            <w:r w:rsidRPr="000B71E5">
              <w:rPr>
                <w:sz w:val="22"/>
                <w:szCs w:val="22"/>
              </w:rPr>
              <w:t>Recent advances in molecular and synthetic biology, including the discovery of clustered regularly interspaced short palindromic repeats (CRISPR) and CRISPR-associated proteins (Cas) systems (referred to hereafter as CRISPR-Cas with CRISPR-Cas9 being a specific example), have delivered molecular tools</w:t>
            </w:r>
            <w:r w:rsidRPr="000B71E5">
              <w:rPr>
                <w:color w:val="000000" w:themeColor="text1"/>
                <w:sz w:val="22"/>
                <w:szCs w:val="22"/>
              </w:rPr>
              <w:t>, in combination with computational tools, that enable the design and development of a wide range of EGD systems in diverse organisms</w:t>
            </w:r>
            <w:r w:rsidRPr="00D67B70">
              <w:rPr>
                <w:color w:val="000000" w:themeColor="text1"/>
                <w:sz w:val="22"/>
                <w:szCs w:val="22"/>
              </w:rPr>
              <w:t xml:space="preserve">, with most initial focus on insects and rodents (Sanz Juste and others, 2023). </w:t>
            </w:r>
          </w:p>
          <w:p w14:paraId="5F574227" w14:textId="77777777" w:rsidR="00EB306B" w:rsidRPr="000B71E5" w:rsidRDefault="00EB306B" w:rsidP="00EB306B">
            <w:pPr>
              <w:spacing w:line="276" w:lineRule="auto"/>
              <w:jc w:val="both"/>
              <w:rPr>
                <w:sz w:val="22"/>
                <w:szCs w:val="22"/>
              </w:rPr>
            </w:pPr>
            <w:r w:rsidRPr="00D67B70">
              <w:rPr>
                <w:sz w:val="22"/>
                <w:szCs w:val="22"/>
              </w:rPr>
              <w:t xml:space="preserve">Scientists are working to utilize gene drives, either by modifying, </w:t>
            </w:r>
            <w:proofErr w:type="gramStart"/>
            <w:r w:rsidRPr="00D67B70">
              <w:rPr>
                <w:sz w:val="22"/>
                <w:szCs w:val="22"/>
              </w:rPr>
              <w:t>redesigning</w:t>
            </w:r>
            <w:proofErr w:type="gramEnd"/>
            <w:r w:rsidRPr="00D67B70">
              <w:rPr>
                <w:sz w:val="22"/>
                <w:szCs w:val="22"/>
              </w:rPr>
              <w:t xml:space="preserve"> and re-purposing naturally occurring drive systems, or by designing and engineering novel systems, resulting in EGDs. The use of EGD-LMOs is proposed to address challenges related to disease vectors </w:t>
            </w:r>
            <w:r w:rsidRPr="00D67B70">
              <w:rPr>
                <w:color w:val="000000" w:themeColor="text1"/>
                <w:sz w:val="22"/>
                <w:szCs w:val="22"/>
              </w:rPr>
              <w:t>and improvement of human and animal health (e.g., mosquitoes and ticks), agricultural production and pests (e.g., various fruit flies, screwworm and beetles) and invasive species (e.g., rodents) and conservation of species</w:t>
            </w:r>
            <w:r w:rsidRPr="00D67B70">
              <w:rPr>
                <w:sz w:val="22"/>
                <w:szCs w:val="22"/>
              </w:rPr>
              <w:t>, as well as help to rescue endangered species (Raban and others, 2020; Devos and others, 2022; Wells and Steinbrecher 2023</w:t>
            </w:r>
            <w:proofErr w:type="gramStart"/>
            <w:r w:rsidRPr="00D67B70">
              <w:rPr>
                <w:sz w:val="22"/>
                <w:szCs w:val="22"/>
              </w:rPr>
              <w:t>a,b</w:t>
            </w:r>
            <w:proofErr w:type="gramEnd"/>
            <w:r w:rsidRPr="00D67B70">
              <w:rPr>
                <w:sz w:val="22"/>
                <w:szCs w:val="22"/>
              </w:rPr>
              <w:t>). EGD systems can be categorised into two main mechanisms</w:t>
            </w:r>
            <w:r w:rsidRPr="000B71E5">
              <w:rPr>
                <w:sz w:val="22"/>
                <w:szCs w:val="22"/>
              </w:rPr>
              <w:t>, namely: over-replication mechanisms or interference mechanisms</w:t>
            </w:r>
            <w:r w:rsidRPr="000B71E5">
              <w:rPr>
                <w:b/>
                <w:sz w:val="22"/>
                <w:szCs w:val="22"/>
              </w:rPr>
              <w:t>.</w:t>
            </w:r>
            <w:r w:rsidRPr="000B71E5">
              <w:rPr>
                <w:sz w:val="22"/>
                <w:szCs w:val="22"/>
              </w:rPr>
              <w:t xml:space="preserve"> </w:t>
            </w:r>
          </w:p>
          <w:p w14:paraId="64968754" w14:textId="77777777" w:rsidR="00EB306B" w:rsidRDefault="00EB306B" w:rsidP="00EB306B">
            <w:pPr>
              <w:spacing w:line="276" w:lineRule="auto"/>
              <w:jc w:val="both"/>
            </w:pPr>
          </w:p>
        </w:tc>
        <w:tc>
          <w:tcPr>
            <w:tcW w:w="4675" w:type="dxa"/>
            <w:tcBorders>
              <w:bottom w:val="single" w:sz="2" w:space="0" w:color="000000" w:themeColor="text1"/>
            </w:tcBorders>
          </w:tcPr>
          <w:p w14:paraId="14155A5D" w14:textId="24A47A3B" w:rsidR="001D14C3" w:rsidRPr="00091D71" w:rsidRDefault="001D14C3" w:rsidP="00EB306B">
            <w:pPr>
              <w:spacing w:line="276" w:lineRule="auto"/>
              <w:ind w:left="-20" w:right="-20"/>
              <w:jc w:val="both"/>
              <w:rPr>
                <w:rFonts w:asciiTheme="majorEastAsia" w:hAnsiTheme="majorEastAsia" w:cstheme="majorEastAsia"/>
                <w:b/>
                <w:color w:val="000000" w:themeColor="text1"/>
                <w:lang w:val="en-PH"/>
              </w:rPr>
            </w:pPr>
            <w:r w:rsidRPr="00091D71">
              <w:rPr>
                <w:rFonts w:asciiTheme="majorEastAsia" w:hAnsiTheme="majorEastAsia" w:cstheme="majorEastAsia"/>
                <w:b/>
                <w:color w:val="000000" w:themeColor="text1"/>
                <w:lang w:val="en-PH"/>
              </w:rPr>
              <w:t>Mosquitoes</w:t>
            </w:r>
            <w:r w:rsidR="00A36198" w:rsidRPr="00091D71">
              <w:rPr>
                <w:rFonts w:asciiTheme="majorEastAsia" w:hAnsiTheme="majorEastAsia" w:cstheme="majorEastAsia"/>
                <w:b/>
                <w:color w:val="000000" w:themeColor="text1"/>
                <w:lang w:val="en-PH"/>
              </w:rPr>
              <w:t>:</w:t>
            </w:r>
          </w:p>
          <w:p w14:paraId="05CE2D71" w14:textId="77777777" w:rsidR="00EB306B" w:rsidRPr="00D67B70" w:rsidRDefault="00EB306B" w:rsidP="00EB306B">
            <w:pPr>
              <w:spacing w:line="276" w:lineRule="auto"/>
              <w:ind w:left="-20" w:right="-20"/>
              <w:jc w:val="both"/>
              <w:rPr>
                <w:rFonts w:asciiTheme="majorEastAsia" w:hAnsiTheme="majorEastAsia" w:cstheme="majorEastAsia"/>
                <w:color w:val="000000" w:themeColor="text1"/>
                <w:sz w:val="18"/>
                <w:szCs w:val="18"/>
                <w:lang w:val="en-PH"/>
              </w:rPr>
            </w:pPr>
            <w:r w:rsidRPr="000B71E5">
              <w:rPr>
                <w:rFonts w:asciiTheme="majorEastAsia" w:hAnsiTheme="majorEastAsia" w:cstheme="majorEastAsia"/>
                <w:color w:val="000000" w:themeColor="text1"/>
                <w:sz w:val="18"/>
                <w:szCs w:val="18"/>
                <w:lang w:val="en-PH"/>
              </w:rPr>
              <w:t xml:space="preserve">Mosquitoes belong to the family of Culicidae in the Order </w:t>
            </w:r>
            <w:r w:rsidRPr="00D67B70">
              <w:rPr>
                <w:rFonts w:asciiTheme="majorEastAsia" w:hAnsiTheme="majorEastAsia" w:cstheme="majorEastAsia"/>
                <w:color w:val="000000" w:themeColor="text1"/>
                <w:sz w:val="18"/>
                <w:szCs w:val="18"/>
                <w:lang w:val="en-PH"/>
              </w:rPr>
              <w:t xml:space="preserve">Diptera. Culicidae is composed of at least 3,722 species (Harbach, 2023) under the 41 recognized genera (Foster and Walker, 2019). Currently, it is comprised of two subfamilies (annex IV namely, </w:t>
            </w:r>
            <w:proofErr w:type="spellStart"/>
            <w:r w:rsidRPr="00D67B70">
              <w:rPr>
                <w:rFonts w:asciiTheme="majorEastAsia" w:hAnsiTheme="majorEastAsia" w:cstheme="majorEastAsia"/>
                <w:color w:val="000000" w:themeColor="text1"/>
                <w:sz w:val="18"/>
                <w:szCs w:val="18"/>
                <w:lang w:val="en-PH"/>
              </w:rPr>
              <w:t>Anophilinae</w:t>
            </w:r>
            <w:proofErr w:type="spellEnd"/>
            <w:r w:rsidRPr="00D67B70">
              <w:rPr>
                <w:rFonts w:asciiTheme="majorEastAsia" w:hAnsiTheme="majorEastAsia" w:cstheme="majorEastAsia"/>
                <w:color w:val="000000" w:themeColor="text1"/>
                <w:sz w:val="18"/>
                <w:szCs w:val="18"/>
                <w:lang w:val="en-PH"/>
              </w:rPr>
              <w:t xml:space="preserve"> (3 genera) and </w:t>
            </w:r>
            <w:proofErr w:type="spellStart"/>
            <w:r w:rsidRPr="00D67B70">
              <w:rPr>
                <w:rFonts w:asciiTheme="majorEastAsia" w:hAnsiTheme="majorEastAsia" w:cstheme="majorEastAsia"/>
                <w:color w:val="000000" w:themeColor="text1"/>
                <w:sz w:val="18"/>
                <w:szCs w:val="18"/>
                <w:lang w:val="en-PH"/>
              </w:rPr>
              <w:t>Culicinae</w:t>
            </w:r>
            <w:proofErr w:type="spellEnd"/>
            <w:r w:rsidRPr="00D67B70">
              <w:rPr>
                <w:rFonts w:asciiTheme="majorEastAsia" w:hAnsiTheme="majorEastAsia" w:cstheme="majorEastAsia"/>
                <w:color w:val="000000" w:themeColor="text1"/>
                <w:sz w:val="18"/>
                <w:szCs w:val="18"/>
                <w:lang w:val="en-PH"/>
              </w:rPr>
              <w:t xml:space="preserve"> (38 genera). Mosquitoes exhibit four life stages, namely, the egg, larva, </w:t>
            </w:r>
            <w:proofErr w:type="gramStart"/>
            <w:r w:rsidRPr="00D67B70">
              <w:rPr>
                <w:rFonts w:asciiTheme="majorEastAsia" w:hAnsiTheme="majorEastAsia" w:cstheme="majorEastAsia"/>
                <w:color w:val="000000" w:themeColor="text1"/>
                <w:sz w:val="18"/>
                <w:szCs w:val="18"/>
                <w:lang w:val="en-PH"/>
              </w:rPr>
              <w:t>pupa</w:t>
            </w:r>
            <w:proofErr w:type="gramEnd"/>
            <w:r w:rsidRPr="00D67B70">
              <w:rPr>
                <w:rFonts w:asciiTheme="majorEastAsia" w:hAnsiTheme="majorEastAsia" w:cstheme="majorEastAsia"/>
                <w:color w:val="000000" w:themeColor="text1"/>
                <w:sz w:val="18"/>
                <w:szCs w:val="18"/>
                <w:lang w:val="en-PH"/>
              </w:rPr>
              <w:t xml:space="preserve"> and adult. Their life cycle is completed in aquatic (egg, larvae, and pupae) and terrestrial (adult) environments. </w:t>
            </w:r>
          </w:p>
          <w:p w14:paraId="51B20484" w14:textId="789915AA" w:rsidR="00EB306B" w:rsidRPr="00D67B70" w:rsidRDefault="00EB306B" w:rsidP="00EB306B">
            <w:pPr>
              <w:spacing w:line="276" w:lineRule="auto"/>
              <w:ind w:left="-20" w:right="-20"/>
              <w:jc w:val="both"/>
              <w:rPr>
                <w:rFonts w:asciiTheme="majorEastAsia" w:hAnsiTheme="majorEastAsia" w:cstheme="majorEastAsia"/>
                <w:color w:val="000000" w:themeColor="text1"/>
                <w:sz w:val="18"/>
                <w:szCs w:val="18"/>
                <w:lang w:val="en-PH"/>
              </w:rPr>
            </w:pPr>
            <w:r w:rsidRPr="00D67B70">
              <w:rPr>
                <w:rFonts w:asciiTheme="majorEastAsia" w:hAnsiTheme="majorEastAsia" w:cstheme="majorEastAsia"/>
                <w:color w:val="000000" w:themeColor="text1"/>
                <w:sz w:val="18"/>
                <w:szCs w:val="18"/>
                <w:lang w:val="en-PH"/>
              </w:rPr>
              <w:t xml:space="preserve">For </w:t>
            </w:r>
            <w:proofErr w:type="gramStart"/>
            <w:r w:rsidRPr="00D67B70">
              <w:rPr>
                <w:rFonts w:asciiTheme="majorEastAsia" w:hAnsiTheme="majorEastAsia" w:cstheme="majorEastAsia"/>
                <w:color w:val="000000" w:themeColor="text1"/>
                <w:sz w:val="18"/>
                <w:szCs w:val="18"/>
                <w:lang w:val="en-PH"/>
              </w:rPr>
              <w:t>a number of</w:t>
            </w:r>
            <w:proofErr w:type="gramEnd"/>
            <w:r w:rsidRPr="00D67B70">
              <w:rPr>
                <w:rFonts w:asciiTheme="majorEastAsia" w:hAnsiTheme="majorEastAsia" w:cstheme="majorEastAsia"/>
                <w:color w:val="000000" w:themeColor="text1"/>
                <w:sz w:val="18"/>
                <w:szCs w:val="18"/>
                <w:lang w:val="en-PH"/>
              </w:rPr>
              <w:t xml:space="preserve"> species, adult female mosquitoes require a blood meal (male mosquitoes do not bite) to provide the necessary nutrients for the successful development of viable eggs. Depending on the species, they blood feed on vertebrates such as amphibians, birds, mammals including humans, and reptiles (Clements, 1992). This </w:t>
            </w:r>
            <w:proofErr w:type="spellStart"/>
            <w:r w:rsidRPr="00D67B70">
              <w:rPr>
                <w:rFonts w:asciiTheme="majorEastAsia" w:hAnsiTheme="majorEastAsia" w:cstheme="majorEastAsia"/>
                <w:color w:val="000000" w:themeColor="text1"/>
                <w:sz w:val="18"/>
                <w:szCs w:val="18"/>
                <w:lang w:val="en-PH"/>
              </w:rPr>
              <w:t>behaviour</w:t>
            </w:r>
            <w:proofErr w:type="spellEnd"/>
            <w:r w:rsidRPr="00D67B70">
              <w:rPr>
                <w:rFonts w:asciiTheme="majorEastAsia" w:hAnsiTheme="majorEastAsia" w:cstheme="majorEastAsia"/>
                <w:color w:val="000000" w:themeColor="text1"/>
                <w:sz w:val="18"/>
                <w:szCs w:val="18"/>
                <w:lang w:val="en-PH"/>
              </w:rPr>
              <w:t xml:space="preserve"> presents major health risks to humans, livestock, and wild animals, as it can contribute to the transmission of pathogens from infected hosts (Foster and Walker, 2019). A non-exhaustive list of mosquitoes reported to transmit pathogens is presented in annex V.</w:t>
            </w:r>
          </w:p>
          <w:p w14:paraId="35642C32" w14:textId="0F596FA0" w:rsidR="00EB306B" w:rsidRPr="000B71E5" w:rsidRDefault="00EB306B" w:rsidP="00EB306B">
            <w:pPr>
              <w:spacing w:line="276" w:lineRule="auto"/>
              <w:ind w:left="-20" w:right="-20"/>
              <w:jc w:val="both"/>
              <w:rPr>
                <w:rFonts w:asciiTheme="majorEastAsia" w:hAnsiTheme="majorEastAsia" w:cstheme="majorEastAsia"/>
                <w:color w:val="000000" w:themeColor="text1"/>
                <w:sz w:val="18"/>
                <w:szCs w:val="18"/>
                <w:lang w:val="en-PH"/>
              </w:rPr>
            </w:pPr>
            <w:r w:rsidRPr="00D67B70">
              <w:rPr>
                <w:rFonts w:asciiTheme="majorEastAsia" w:hAnsiTheme="majorEastAsia" w:cstheme="majorEastAsia"/>
                <w:color w:val="000000" w:themeColor="text1"/>
                <w:sz w:val="18"/>
                <w:szCs w:val="18"/>
                <w:lang w:val="en-PH"/>
              </w:rPr>
              <w:t>Once the adults emerge, they shelter in vegetation, cavities and resting sites or forages a few dozen meters away from their larval habitats (Foster and Walker, 2019). Several factors influence adult dispersal such as larval predation risk (Alcalay and others, 20</w:t>
            </w:r>
            <w:r w:rsidR="00D021CA" w:rsidRPr="00D67B70">
              <w:rPr>
                <w:rFonts w:asciiTheme="majorEastAsia" w:hAnsiTheme="majorEastAsia" w:cstheme="majorEastAsia"/>
                <w:color w:val="000000" w:themeColor="text1"/>
                <w:sz w:val="18"/>
                <w:szCs w:val="18"/>
                <w:lang w:val="en-PH"/>
              </w:rPr>
              <w:t>21</w:t>
            </w:r>
            <w:r w:rsidRPr="00D67B70">
              <w:rPr>
                <w:rFonts w:asciiTheme="majorEastAsia" w:hAnsiTheme="majorEastAsia" w:cstheme="majorEastAsia"/>
                <w:color w:val="000000" w:themeColor="text1"/>
                <w:sz w:val="18"/>
                <w:szCs w:val="18"/>
                <w:lang w:val="en-PH"/>
              </w:rPr>
              <w:t>), light (Wellington, 1974; Bailey and others, 1965), temperature (Reinhold and others, 2018; Marinho and others, 2016), and vegetation (</w:t>
            </w:r>
            <w:proofErr w:type="spellStart"/>
            <w:r w:rsidRPr="00D67B70">
              <w:rPr>
                <w:rFonts w:asciiTheme="majorEastAsia" w:hAnsiTheme="majorEastAsia" w:cstheme="majorEastAsia"/>
                <w:color w:val="000000" w:themeColor="text1"/>
                <w:sz w:val="18"/>
                <w:szCs w:val="18"/>
                <w:lang w:val="en-PH"/>
              </w:rPr>
              <w:t>Dufourd</w:t>
            </w:r>
            <w:proofErr w:type="spellEnd"/>
            <w:r w:rsidRPr="00D67B70">
              <w:rPr>
                <w:rFonts w:asciiTheme="majorEastAsia" w:hAnsiTheme="majorEastAsia" w:cstheme="majorEastAsia"/>
                <w:color w:val="000000" w:themeColor="text1"/>
                <w:sz w:val="18"/>
                <w:szCs w:val="18"/>
                <w:lang w:val="en-PH"/>
              </w:rPr>
              <w:t xml:space="preserve"> and Dumont, 2013). Depending on the species, mosquitoes may travel hundreds of kilometers via wind dispersal (Yaro and others, 2022), human transport (</w:t>
            </w:r>
            <w:proofErr w:type="spellStart"/>
            <w:r w:rsidRPr="00D67B70">
              <w:rPr>
                <w:rFonts w:asciiTheme="majorEastAsia" w:hAnsiTheme="majorEastAsia" w:cstheme="majorEastAsia"/>
                <w:color w:val="000000" w:themeColor="text1"/>
                <w:sz w:val="18"/>
                <w:szCs w:val="18"/>
                <w:lang w:val="en-PH"/>
              </w:rPr>
              <w:t>Eritja</w:t>
            </w:r>
            <w:proofErr w:type="spellEnd"/>
            <w:r w:rsidRPr="00D67B70">
              <w:rPr>
                <w:rFonts w:asciiTheme="majorEastAsia" w:hAnsiTheme="majorEastAsia" w:cstheme="majorEastAsia"/>
                <w:color w:val="000000" w:themeColor="text1"/>
                <w:sz w:val="18"/>
                <w:szCs w:val="18"/>
                <w:lang w:val="en-PH"/>
              </w:rPr>
              <w:t xml:space="preserve"> and others, 2017), or mass migration (Hume and others, 2003; </w:t>
            </w:r>
            <w:proofErr w:type="spellStart"/>
            <w:r w:rsidRPr="00D67B70">
              <w:rPr>
                <w:rFonts w:asciiTheme="majorEastAsia" w:hAnsiTheme="majorEastAsia" w:cstheme="majorEastAsia"/>
                <w:color w:val="000000" w:themeColor="text1"/>
                <w:sz w:val="18"/>
                <w:szCs w:val="18"/>
                <w:lang w:val="en-PH"/>
              </w:rPr>
              <w:t>Talapko</w:t>
            </w:r>
            <w:proofErr w:type="spellEnd"/>
            <w:r w:rsidRPr="00D67B70">
              <w:rPr>
                <w:rFonts w:asciiTheme="majorEastAsia" w:hAnsiTheme="majorEastAsia" w:cstheme="majorEastAsia"/>
                <w:color w:val="000000" w:themeColor="text1"/>
                <w:sz w:val="18"/>
                <w:szCs w:val="18"/>
                <w:lang w:val="en-PH"/>
              </w:rPr>
              <w:t xml:space="preserve"> and others, 2019) and international trade (Swan and others, 202</w:t>
            </w:r>
            <w:r w:rsidR="000313B6" w:rsidRPr="00D67B70">
              <w:rPr>
                <w:rFonts w:asciiTheme="majorEastAsia" w:hAnsiTheme="majorEastAsia" w:cstheme="majorEastAsia"/>
                <w:color w:val="000000" w:themeColor="text1"/>
                <w:sz w:val="18"/>
                <w:szCs w:val="18"/>
                <w:lang w:val="en-PH"/>
              </w:rPr>
              <w:t>2</w:t>
            </w:r>
            <w:r w:rsidRPr="00D67B70">
              <w:rPr>
                <w:rFonts w:asciiTheme="majorEastAsia" w:hAnsiTheme="majorEastAsia" w:cstheme="majorEastAsia"/>
                <w:color w:val="000000" w:themeColor="text1"/>
                <w:sz w:val="18"/>
                <w:szCs w:val="18"/>
                <w:lang w:val="en-PH"/>
              </w:rPr>
              <w:t>).</w:t>
            </w:r>
            <w:r w:rsidRPr="000B71E5">
              <w:rPr>
                <w:rFonts w:asciiTheme="majorEastAsia" w:hAnsiTheme="majorEastAsia" w:cstheme="majorEastAsia"/>
                <w:color w:val="000000" w:themeColor="text1"/>
                <w:sz w:val="18"/>
                <w:szCs w:val="18"/>
                <w:lang w:val="en-PH"/>
              </w:rPr>
              <w:t xml:space="preserve"> </w:t>
            </w:r>
          </w:p>
          <w:p w14:paraId="5F0057BF" w14:textId="2BA17C84" w:rsidR="00EB306B" w:rsidRPr="000B71E5" w:rsidRDefault="00EB306B" w:rsidP="00EB306B">
            <w:pPr>
              <w:spacing w:line="276" w:lineRule="auto"/>
              <w:ind w:left="-20" w:right="-20"/>
              <w:jc w:val="both"/>
              <w:rPr>
                <w:rFonts w:asciiTheme="majorEastAsia" w:hAnsiTheme="majorEastAsia" w:cstheme="majorEastAsia"/>
                <w:color w:val="000000" w:themeColor="text1"/>
                <w:sz w:val="18"/>
                <w:szCs w:val="18"/>
                <w:highlight w:val="green"/>
              </w:rPr>
            </w:pPr>
            <w:r w:rsidRPr="000B71E5">
              <w:rPr>
                <w:rFonts w:asciiTheme="majorEastAsia" w:hAnsiTheme="majorEastAsia" w:cstheme="majorEastAsia"/>
                <w:color w:val="000000" w:themeColor="text1"/>
                <w:sz w:val="18"/>
                <w:szCs w:val="18"/>
                <w:lang w:val="en-PH"/>
              </w:rPr>
              <w:t xml:space="preserve">While </w:t>
            </w:r>
            <w:proofErr w:type="gramStart"/>
            <w:r w:rsidRPr="000B71E5">
              <w:rPr>
                <w:rFonts w:asciiTheme="majorEastAsia" w:hAnsiTheme="majorEastAsia" w:cstheme="majorEastAsia"/>
                <w:color w:val="000000" w:themeColor="text1"/>
                <w:sz w:val="18"/>
                <w:szCs w:val="18"/>
                <w:lang w:val="en-PH"/>
              </w:rPr>
              <w:t>the majority of</w:t>
            </w:r>
            <w:proofErr w:type="gramEnd"/>
            <w:r w:rsidRPr="000B71E5">
              <w:rPr>
                <w:rFonts w:asciiTheme="majorEastAsia" w:hAnsiTheme="majorEastAsia" w:cstheme="majorEastAsia"/>
                <w:color w:val="000000" w:themeColor="text1"/>
                <w:sz w:val="18"/>
                <w:szCs w:val="18"/>
                <w:lang w:val="en-PH"/>
              </w:rPr>
              <w:t xml:space="preserve"> research has focused on the role of mosquitoes as vectors of diseases, more recent studies have been investigating their roles in the ecosystem (</w:t>
            </w:r>
            <w:r w:rsidRPr="00D67B70">
              <w:rPr>
                <w:rFonts w:asciiTheme="majorEastAsia" w:hAnsiTheme="majorEastAsia" w:cstheme="majorEastAsia"/>
                <w:color w:val="000000" w:themeColor="text1"/>
                <w:sz w:val="18"/>
                <w:szCs w:val="18"/>
                <w:lang w:val="en-PH"/>
              </w:rPr>
              <w:t>Collins and others, 2019).</w:t>
            </w:r>
          </w:p>
          <w:p w14:paraId="7DD29859" w14:textId="77777777" w:rsidR="00EB306B" w:rsidRPr="000B71E5" w:rsidRDefault="00EB306B" w:rsidP="00EB306B">
            <w:pPr>
              <w:spacing w:line="276" w:lineRule="auto"/>
              <w:jc w:val="both"/>
              <w:rPr>
                <w:rFonts w:asciiTheme="majorEastAsia" w:hAnsiTheme="majorEastAsia" w:cstheme="majorEastAsia"/>
                <w:sz w:val="18"/>
                <w:szCs w:val="18"/>
              </w:rPr>
            </w:pPr>
          </w:p>
        </w:tc>
      </w:tr>
    </w:tbl>
    <w:p w14:paraId="68F84E62" w14:textId="5B547312" w:rsidR="4644E7B5" w:rsidRDefault="4644E7B5" w:rsidP="4644E7B5">
      <w:pPr>
        <w:spacing w:line="276" w:lineRule="auto"/>
        <w:jc w:val="both"/>
        <w:rPr>
          <w:rFonts w:ascii="Times New Roman" w:hAnsi="Times New Roman" w:cs="Times New Roman"/>
          <w:b/>
          <w:bCs/>
          <w:color w:val="000000" w:themeColor="text1"/>
          <w:highlight w:val="yellow"/>
        </w:rPr>
      </w:pPr>
    </w:p>
    <w:tbl>
      <w:tblPr>
        <w:tblStyle w:val="TableGrid"/>
        <w:tblW w:w="0" w:type="auto"/>
        <w:tblLook w:val="04A0" w:firstRow="1" w:lastRow="0" w:firstColumn="1" w:lastColumn="0" w:noHBand="0" w:noVBand="1"/>
      </w:tblPr>
      <w:tblGrid>
        <w:gridCol w:w="9350"/>
      </w:tblGrid>
      <w:tr w:rsidR="00BA4366" w:rsidRPr="000B71E5" w14:paraId="6EB7426E" w14:textId="77777777" w:rsidTr="000B71E5">
        <w:trPr>
          <w:trHeight w:val="5210"/>
        </w:trPr>
        <w:tc>
          <w:tcPr>
            <w:tcW w:w="9350" w:type="dxa"/>
          </w:tcPr>
          <w:p w14:paraId="16A12AE6" w14:textId="2748885F" w:rsidR="00A36198" w:rsidRPr="00091D71" w:rsidRDefault="00A36198" w:rsidP="001D14C3">
            <w:pPr>
              <w:spacing w:line="276" w:lineRule="auto"/>
              <w:ind w:left="-20" w:right="-20"/>
              <w:jc w:val="both"/>
              <w:rPr>
                <w:rStyle w:val="eop"/>
                <w:rFonts w:asciiTheme="majorEastAsia" w:eastAsia="Arial" w:hAnsiTheme="majorEastAsia" w:cstheme="majorEastAsia"/>
                <w:b/>
                <w:color w:val="000000"/>
                <w:shd w:val="clear" w:color="auto" w:fill="FFFFFF"/>
              </w:rPr>
            </w:pPr>
            <w:r w:rsidRPr="00091D71">
              <w:rPr>
                <w:rStyle w:val="eop"/>
                <w:rFonts w:asciiTheme="majorEastAsia" w:eastAsia="Arial" w:hAnsiTheme="majorEastAsia" w:cstheme="majorEastAsia"/>
                <w:b/>
                <w:color w:val="000000"/>
                <w:shd w:val="clear" w:color="auto" w:fill="FFFFFF"/>
              </w:rPr>
              <w:lastRenderedPageBreak/>
              <w:t>Mosquitoes:</w:t>
            </w:r>
          </w:p>
          <w:p w14:paraId="198BDE88" w14:textId="14A62723" w:rsidR="001D14C3" w:rsidRPr="00091D71" w:rsidRDefault="001D14C3" w:rsidP="001D14C3">
            <w:pPr>
              <w:spacing w:line="276" w:lineRule="auto"/>
              <w:ind w:left="-20" w:right="-20"/>
              <w:jc w:val="both"/>
              <w:rPr>
                <w:rStyle w:val="eop"/>
                <w:rFonts w:asciiTheme="majorEastAsia" w:eastAsia="Arial" w:hAnsiTheme="majorEastAsia" w:cstheme="majorEastAsia"/>
                <w:b/>
                <w:color w:val="000000"/>
                <w:shd w:val="clear" w:color="auto" w:fill="FFFFFF"/>
              </w:rPr>
            </w:pPr>
            <w:r w:rsidRPr="00091D71">
              <w:rPr>
                <w:rStyle w:val="eop"/>
                <w:rFonts w:asciiTheme="majorEastAsia" w:eastAsia="Arial" w:hAnsiTheme="majorEastAsia" w:cstheme="majorEastAsia"/>
                <w:b/>
                <w:color w:val="000000"/>
                <w:shd w:val="clear" w:color="auto" w:fill="FFFFFF"/>
              </w:rPr>
              <w:t>Mosquito-borne diseases</w:t>
            </w:r>
          </w:p>
          <w:p w14:paraId="24AF105B" w14:textId="3AA390E6" w:rsidR="00BA4366" w:rsidRPr="000B71E5" w:rsidRDefault="00BA4366" w:rsidP="00BA4366">
            <w:pPr>
              <w:spacing w:line="276" w:lineRule="auto"/>
              <w:ind w:left="-20" w:right="-20"/>
              <w:jc w:val="both"/>
              <w:rPr>
                <w:rFonts w:asciiTheme="majorEastAsia" w:hAnsiTheme="majorEastAsia" w:cstheme="majorEastAsia"/>
                <w:color w:val="000000" w:themeColor="text1"/>
                <w:sz w:val="18"/>
                <w:szCs w:val="18"/>
                <w:u w:val="single"/>
                <w:lang w:val="en-PH"/>
              </w:rPr>
            </w:pPr>
            <w:r w:rsidRPr="000B71E5">
              <w:rPr>
                <w:rFonts w:asciiTheme="majorEastAsia" w:hAnsiTheme="majorEastAsia" w:cstheme="majorEastAsia"/>
                <w:color w:val="000000" w:themeColor="text1"/>
                <w:sz w:val="18"/>
                <w:szCs w:val="18"/>
                <w:lang w:val="en-PH"/>
              </w:rPr>
              <w:t xml:space="preserve">Malaria and dengue are amongst the most significant mosquito-borne diseases </w:t>
            </w:r>
            <w:r w:rsidRPr="00D67B70">
              <w:rPr>
                <w:rFonts w:asciiTheme="majorEastAsia" w:hAnsiTheme="majorEastAsia" w:cstheme="majorEastAsia"/>
                <w:color w:val="000000" w:themeColor="text1"/>
                <w:sz w:val="18"/>
                <w:szCs w:val="18"/>
                <w:lang w:val="en-PH"/>
              </w:rPr>
              <w:t>(University of Washington,</w:t>
            </w:r>
            <w:r w:rsidRPr="00D67B70">
              <w:rPr>
                <w:rFonts w:asciiTheme="majorEastAsia" w:hAnsiTheme="majorEastAsia" w:cstheme="majorEastAsia"/>
                <w:color w:val="000000" w:themeColor="text1"/>
                <w:sz w:val="18"/>
                <w:szCs w:val="18"/>
              </w:rPr>
              <w:t xml:space="preserve"> 2024</w:t>
            </w:r>
            <w:r w:rsidRPr="00D67B70">
              <w:rPr>
                <w:rFonts w:asciiTheme="majorEastAsia" w:hAnsiTheme="majorEastAsia" w:cstheme="majorEastAsia"/>
                <w:color w:val="000000" w:themeColor="text1"/>
                <w:sz w:val="18"/>
                <w:szCs w:val="18"/>
                <w:lang w:val="en-PH"/>
              </w:rPr>
              <w:t>).</w:t>
            </w:r>
            <w:r w:rsidRPr="000B71E5">
              <w:rPr>
                <w:rFonts w:asciiTheme="majorEastAsia" w:hAnsiTheme="majorEastAsia" w:cstheme="majorEastAsia"/>
                <w:color w:val="000000" w:themeColor="text1"/>
                <w:sz w:val="18"/>
                <w:szCs w:val="18"/>
                <w:lang w:val="en-PH"/>
              </w:rPr>
              <w:t xml:space="preserve"> The dynamics of these diseases are the result of a complex interplay between </w:t>
            </w:r>
            <w:proofErr w:type="gramStart"/>
            <w:r w:rsidRPr="000B71E5">
              <w:rPr>
                <w:rFonts w:asciiTheme="majorEastAsia" w:hAnsiTheme="majorEastAsia" w:cstheme="majorEastAsia"/>
                <w:color w:val="000000" w:themeColor="text1"/>
                <w:sz w:val="18"/>
                <w:szCs w:val="18"/>
                <w:lang w:val="en-PH"/>
              </w:rPr>
              <w:t>a number of</w:t>
            </w:r>
            <w:proofErr w:type="gramEnd"/>
            <w:r w:rsidRPr="000B71E5">
              <w:rPr>
                <w:rFonts w:asciiTheme="majorEastAsia" w:hAnsiTheme="majorEastAsia" w:cstheme="majorEastAsia"/>
                <w:color w:val="000000" w:themeColor="text1"/>
                <w:sz w:val="18"/>
                <w:szCs w:val="18"/>
                <w:lang w:val="en-PH"/>
              </w:rPr>
              <w:t xml:space="preserve"> biological, demographic, environmental, cultural and socio-economic factors such as, insecticide resistance, land use, urbanization, globalization, climate change and limited access to health care. </w:t>
            </w:r>
          </w:p>
          <w:p w14:paraId="40A06524" w14:textId="77777777" w:rsidR="00B536A1" w:rsidRDefault="00B536A1" w:rsidP="00BA4366">
            <w:pPr>
              <w:spacing w:line="360" w:lineRule="auto"/>
              <w:ind w:left="-20" w:right="-20"/>
              <w:jc w:val="both"/>
              <w:rPr>
                <w:rFonts w:asciiTheme="majorEastAsia" w:hAnsiTheme="majorEastAsia" w:cstheme="majorEastAsia"/>
                <w:i/>
                <w:sz w:val="18"/>
                <w:szCs w:val="18"/>
                <w:lang w:val="en-PH"/>
              </w:rPr>
            </w:pPr>
          </w:p>
          <w:p w14:paraId="6B1330B9" w14:textId="698223B2" w:rsidR="00BA4366" w:rsidRPr="000B71E5" w:rsidRDefault="00BA4366" w:rsidP="00BA4366">
            <w:pPr>
              <w:spacing w:line="360" w:lineRule="auto"/>
              <w:ind w:left="-20" w:right="-20"/>
              <w:jc w:val="both"/>
              <w:rPr>
                <w:rFonts w:asciiTheme="majorEastAsia" w:hAnsiTheme="majorEastAsia" w:cstheme="majorEastAsia"/>
                <w:sz w:val="18"/>
                <w:szCs w:val="18"/>
              </w:rPr>
            </w:pPr>
            <w:r w:rsidRPr="000B71E5">
              <w:rPr>
                <w:rFonts w:asciiTheme="majorEastAsia" w:hAnsiTheme="majorEastAsia" w:cstheme="majorEastAsia"/>
                <w:i/>
                <w:sz w:val="18"/>
                <w:szCs w:val="18"/>
                <w:lang w:val="en-PH"/>
              </w:rPr>
              <w:t>Malaria</w:t>
            </w:r>
          </w:p>
          <w:p w14:paraId="5A4115DA" w14:textId="278C42EF" w:rsidR="00BA4366" w:rsidRPr="00D67B70" w:rsidRDefault="00BA4366" w:rsidP="00BA4366">
            <w:pPr>
              <w:spacing w:line="276" w:lineRule="auto"/>
              <w:ind w:left="-20" w:right="-20"/>
              <w:jc w:val="both"/>
              <w:rPr>
                <w:rFonts w:asciiTheme="majorEastAsia" w:hAnsiTheme="majorEastAsia" w:cstheme="majorEastAsia"/>
                <w:color w:val="000000" w:themeColor="text1"/>
                <w:sz w:val="18"/>
                <w:szCs w:val="18"/>
              </w:rPr>
            </w:pPr>
            <w:r w:rsidRPr="000B71E5">
              <w:rPr>
                <w:rFonts w:asciiTheme="majorEastAsia" w:hAnsiTheme="majorEastAsia" w:cstheme="majorEastAsia"/>
                <w:sz w:val="18"/>
                <w:szCs w:val="18"/>
                <w:lang w:val="en-PH"/>
              </w:rPr>
              <w:t xml:space="preserve">Almost half of the world’s population is at risk of malaria. In 2022, WHO report states that of the global 247 million new cases and 619, 000 deaths in 2021, Africa shares the highest burden. Out of the recorded deaths, 77% are children where daily average deaths are about 1000 children under </w:t>
            </w:r>
            <w:r w:rsidR="00CF4789">
              <w:rPr>
                <w:rFonts w:asciiTheme="majorEastAsia" w:hAnsiTheme="majorEastAsia" w:cstheme="majorEastAsia"/>
                <w:sz w:val="18"/>
                <w:szCs w:val="18"/>
                <w:lang w:val="en-PH"/>
              </w:rPr>
              <w:t xml:space="preserve">the </w:t>
            </w:r>
            <w:r w:rsidRPr="000B71E5">
              <w:rPr>
                <w:rFonts w:asciiTheme="majorEastAsia" w:hAnsiTheme="majorEastAsia" w:cstheme="majorEastAsia"/>
                <w:sz w:val="18"/>
                <w:szCs w:val="18"/>
                <w:lang w:val="en-PH"/>
              </w:rPr>
              <w:t xml:space="preserve">age of </w:t>
            </w:r>
            <w:r w:rsidR="00AB0583">
              <w:rPr>
                <w:rFonts w:asciiTheme="majorEastAsia" w:hAnsiTheme="majorEastAsia" w:cstheme="majorEastAsia"/>
                <w:sz w:val="18"/>
                <w:szCs w:val="18"/>
                <w:lang w:val="en-PH"/>
              </w:rPr>
              <w:t>five</w:t>
            </w:r>
            <w:r w:rsidRPr="000B71E5">
              <w:rPr>
                <w:rFonts w:asciiTheme="majorEastAsia" w:hAnsiTheme="majorEastAsia" w:cstheme="majorEastAsia" w:hint="eastAsia"/>
                <w:sz w:val="18"/>
                <w:szCs w:val="18"/>
                <w:lang w:val="en-PH"/>
              </w:rPr>
              <w:t>.</w:t>
            </w:r>
            <w:r w:rsidRPr="000B71E5">
              <w:rPr>
                <w:rFonts w:asciiTheme="majorEastAsia" w:hAnsiTheme="majorEastAsia" w:cstheme="majorEastAsia"/>
                <w:sz w:val="18"/>
                <w:szCs w:val="18"/>
                <w:lang w:val="en-PH"/>
              </w:rPr>
              <w:t xml:space="preserve"> In 2022, four countries in the African region, Nigeria (26.8%), Democratic Republic of Congo (12.3%), Uganda (5.1%) and Mozambique (4.2%) accounted for nearly </w:t>
            </w:r>
            <w:r w:rsidRPr="00D67B70">
              <w:rPr>
                <w:rFonts w:asciiTheme="majorEastAsia" w:hAnsiTheme="majorEastAsia" w:cstheme="majorEastAsia"/>
                <w:color w:val="000000" w:themeColor="text1"/>
                <w:sz w:val="18"/>
                <w:szCs w:val="18"/>
                <w:lang w:val="en-PH"/>
              </w:rPr>
              <w:t>half of all malaria cases globally (</w:t>
            </w:r>
            <w:r w:rsidRPr="00FF1684">
              <w:rPr>
                <w:rFonts w:asciiTheme="majorEastAsia" w:hAnsiTheme="majorEastAsia" w:cstheme="majorEastAsia"/>
                <w:color w:val="000000" w:themeColor="text1"/>
                <w:sz w:val="18"/>
                <w:szCs w:val="18"/>
                <w:lang w:val="en-PH"/>
              </w:rPr>
              <w:t>WHO, 202</w:t>
            </w:r>
            <w:r w:rsidR="009654D8" w:rsidRPr="00FF1684">
              <w:rPr>
                <w:rFonts w:asciiTheme="majorEastAsia" w:hAnsiTheme="majorEastAsia" w:cstheme="majorEastAsia"/>
                <w:color w:val="000000" w:themeColor="text1"/>
                <w:sz w:val="18"/>
                <w:szCs w:val="18"/>
                <w:lang w:val="en-PH"/>
              </w:rPr>
              <w:t>3</w:t>
            </w:r>
            <w:r w:rsidR="00FF1684" w:rsidRPr="00FF1684">
              <w:rPr>
                <w:rFonts w:asciiTheme="majorEastAsia" w:hAnsiTheme="majorEastAsia" w:cstheme="majorEastAsia"/>
                <w:color w:val="000000" w:themeColor="text1"/>
                <w:sz w:val="18"/>
                <w:szCs w:val="18"/>
                <w:lang w:val="en-PH"/>
              </w:rPr>
              <w:t>a</w:t>
            </w:r>
            <w:r w:rsidRPr="00D67B70">
              <w:rPr>
                <w:rFonts w:asciiTheme="majorEastAsia" w:hAnsiTheme="majorEastAsia" w:cstheme="majorEastAsia"/>
                <w:color w:val="000000" w:themeColor="text1"/>
                <w:sz w:val="18"/>
                <w:szCs w:val="18"/>
                <w:lang w:val="en-PH"/>
              </w:rPr>
              <w:t>).</w:t>
            </w:r>
          </w:p>
          <w:p w14:paraId="0DF034B9" w14:textId="63945113" w:rsidR="00BA4366" w:rsidRPr="000B71E5" w:rsidRDefault="00BA4366" w:rsidP="00BA4366">
            <w:pPr>
              <w:spacing w:line="276" w:lineRule="auto"/>
              <w:ind w:left="-20" w:right="-20"/>
              <w:jc w:val="both"/>
              <w:rPr>
                <w:rFonts w:asciiTheme="majorEastAsia" w:hAnsiTheme="majorEastAsia" w:cstheme="majorEastAsia"/>
                <w:sz w:val="18"/>
                <w:szCs w:val="18"/>
              </w:rPr>
            </w:pPr>
            <w:r w:rsidRPr="00D67B70">
              <w:rPr>
                <w:rFonts w:asciiTheme="majorEastAsia" w:hAnsiTheme="majorEastAsia" w:cstheme="majorEastAsia"/>
                <w:color w:val="000000" w:themeColor="text1"/>
                <w:sz w:val="18"/>
                <w:szCs w:val="18"/>
                <w:lang w:val="en-PH"/>
              </w:rPr>
              <w:t xml:space="preserve">Out of the 500 </w:t>
            </w:r>
            <w:r w:rsidRPr="00D67B70">
              <w:rPr>
                <w:rFonts w:asciiTheme="majorEastAsia" w:hAnsiTheme="majorEastAsia" w:cstheme="majorEastAsia"/>
                <w:i/>
                <w:color w:val="000000" w:themeColor="text1"/>
                <w:sz w:val="18"/>
                <w:szCs w:val="18"/>
                <w:lang w:val="en-PH"/>
              </w:rPr>
              <w:t>Anopheles</w:t>
            </w:r>
            <w:r w:rsidRPr="00D67B70">
              <w:rPr>
                <w:rFonts w:asciiTheme="majorEastAsia" w:hAnsiTheme="majorEastAsia" w:cstheme="majorEastAsia"/>
                <w:color w:val="000000" w:themeColor="text1"/>
                <w:sz w:val="18"/>
                <w:szCs w:val="18"/>
                <w:lang w:val="en-PH"/>
              </w:rPr>
              <w:t xml:space="preserve"> species described in the world, more than 30 species are </w:t>
            </w:r>
            <w:r w:rsidRPr="00FF1684">
              <w:rPr>
                <w:rFonts w:asciiTheme="majorEastAsia" w:hAnsiTheme="majorEastAsia" w:cstheme="majorEastAsia"/>
                <w:color w:val="000000" w:themeColor="text1"/>
                <w:sz w:val="18"/>
                <w:szCs w:val="18"/>
                <w:lang w:val="en-PH"/>
              </w:rPr>
              <w:t>recorded as vectors of the five human malaria pathogen species (</w:t>
            </w:r>
            <w:r w:rsidRPr="00FF1684">
              <w:rPr>
                <w:rFonts w:asciiTheme="majorEastAsia" w:hAnsiTheme="majorEastAsia" w:cstheme="majorEastAsia"/>
                <w:i/>
                <w:color w:val="000000" w:themeColor="text1"/>
                <w:sz w:val="18"/>
                <w:szCs w:val="18"/>
                <w:lang w:val="en-PH"/>
              </w:rPr>
              <w:t xml:space="preserve">Plasmodium falciparum, P. vivax, P. </w:t>
            </w:r>
            <w:proofErr w:type="spellStart"/>
            <w:r w:rsidRPr="00FF1684">
              <w:rPr>
                <w:rFonts w:asciiTheme="majorEastAsia" w:hAnsiTheme="majorEastAsia" w:cstheme="majorEastAsia"/>
                <w:i/>
                <w:color w:val="000000" w:themeColor="text1"/>
                <w:sz w:val="18"/>
                <w:szCs w:val="18"/>
                <w:lang w:val="en-PH"/>
              </w:rPr>
              <w:t>ovale</w:t>
            </w:r>
            <w:proofErr w:type="spellEnd"/>
            <w:r w:rsidRPr="00FF1684">
              <w:rPr>
                <w:rFonts w:asciiTheme="majorEastAsia" w:hAnsiTheme="majorEastAsia" w:cstheme="majorEastAsia"/>
                <w:color w:val="000000" w:themeColor="text1"/>
                <w:sz w:val="18"/>
                <w:szCs w:val="18"/>
                <w:lang w:val="en-PH"/>
              </w:rPr>
              <w:t xml:space="preserve">, </w:t>
            </w:r>
            <w:r w:rsidRPr="00FF1684">
              <w:rPr>
                <w:rFonts w:asciiTheme="majorEastAsia" w:hAnsiTheme="majorEastAsia" w:cstheme="majorEastAsia"/>
                <w:i/>
                <w:color w:val="000000" w:themeColor="text1"/>
                <w:sz w:val="18"/>
                <w:szCs w:val="18"/>
                <w:lang w:val="en-PH"/>
              </w:rPr>
              <w:t xml:space="preserve">P. </w:t>
            </w:r>
            <w:proofErr w:type="spellStart"/>
            <w:r w:rsidRPr="00FF1684">
              <w:rPr>
                <w:rFonts w:asciiTheme="majorEastAsia" w:hAnsiTheme="majorEastAsia" w:cstheme="majorEastAsia"/>
                <w:i/>
                <w:color w:val="000000" w:themeColor="text1"/>
                <w:sz w:val="18"/>
                <w:szCs w:val="18"/>
                <w:lang w:val="en-PH"/>
              </w:rPr>
              <w:t>malariae</w:t>
            </w:r>
            <w:proofErr w:type="spellEnd"/>
            <w:r w:rsidRPr="00FF1684">
              <w:rPr>
                <w:rFonts w:asciiTheme="majorEastAsia" w:hAnsiTheme="majorEastAsia" w:cstheme="majorEastAsia"/>
                <w:color w:val="000000" w:themeColor="text1"/>
                <w:sz w:val="18"/>
                <w:szCs w:val="18"/>
                <w:lang w:val="en-PH"/>
              </w:rPr>
              <w:t xml:space="preserve"> and </w:t>
            </w:r>
            <w:r w:rsidRPr="00FF1684">
              <w:rPr>
                <w:rFonts w:asciiTheme="majorEastAsia" w:hAnsiTheme="majorEastAsia" w:cstheme="majorEastAsia"/>
                <w:i/>
                <w:color w:val="000000" w:themeColor="text1"/>
                <w:sz w:val="18"/>
                <w:szCs w:val="18"/>
                <w:lang w:val="en-PH"/>
              </w:rPr>
              <w:t xml:space="preserve">P. </w:t>
            </w:r>
            <w:proofErr w:type="spellStart"/>
            <w:r w:rsidRPr="00FF1684">
              <w:rPr>
                <w:rFonts w:asciiTheme="majorEastAsia" w:hAnsiTheme="majorEastAsia" w:cstheme="majorEastAsia"/>
                <w:i/>
                <w:color w:val="000000" w:themeColor="text1"/>
                <w:sz w:val="18"/>
                <w:szCs w:val="18"/>
                <w:lang w:val="en-PH"/>
              </w:rPr>
              <w:t>knowlesi</w:t>
            </w:r>
            <w:proofErr w:type="spellEnd"/>
            <w:r w:rsidRPr="00FF1684">
              <w:rPr>
                <w:rFonts w:asciiTheme="majorEastAsia" w:hAnsiTheme="majorEastAsia" w:cstheme="majorEastAsia"/>
                <w:color w:val="000000" w:themeColor="text1"/>
                <w:sz w:val="18"/>
                <w:szCs w:val="18"/>
                <w:lang w:val="en-PH"/>
              </w:rPr>
              <w:t>) (WHO, 202</w:t>
            </w:r>
            <w:r w:rsidR="009654D8" w:rsidRPr="00FF1684">
              <w:rPr>
                <w:rFonts w:asciiTheme="majorEastAsia" w:hAnsiTheme="majorEastAsia" w:cstheme="majorEastAsia"/>
                <w:color w:val="000000" w:themeColor="text1"/>
                <w:sz w:val="18"/>
                <w:szCs w:val="18"/>
                <w:lang w:val="en-PH"/>
              </w:rPr>
              <w:t>3</w:t>
            </w:r>
            <w:r w:rsidR="00FF1684" w:rsidRPr="00FF1684">
              <w:rPr>
                <w:rFonts w:asciiTheme="majorEastAsia" w:hAnsiTheme="majorEastAsia" w:cstheme="majorEastAsia"/>
                <w:color w:val="000000" w:themeColor="text1"/>
                <w:sz w:val="18"/>
                <w:szCs w:val="18"/>
                <w:lang w:val="en-PH"/>
              </w:rPr>
              <w:t>a</w:t>
            </w:r>
            <w:r w:rsidRPr="00D67B70">
              <w:rPr>
                <w:rFonts w:asciiTheme="majorEastAsia" w:hAnsiTheme="majorEastAsia" w:cstheme="majorEastAsia"/>
                <w:color w:val="000000" w:themeColor="text1"/>
                <w:sz w:val="18"/>
                <w:szCs w:val="18"/>
                <w:lang w:val="en-PH"/>
              </w:rPr>
              <w:t xml:space="preserve">). </w:t>
            </w:r>
            <w:r w:rsidRPr="000B71E5">
              <w:rPr>
                <w:rFonts w:asciiTheme="majorEastAsia" w:hAnsiTheme="majorEastAsia" w:cstheme="majorEastAsia"/>
                <w:sz w:val="18"/>
                <w:szCs w:val="18"/>
                <w:lang w:val="en-PH"/>
              </w:rPr>
              <w:t xml:space="preserve">These </w:t>
            </w:r>
            <w:r w:rsidRPr="000B71E5">
              <w:rPr>
                <w:rFonts w:asciiTheme="majorEastAsia" w:hAnsiTheme="majorEastAsia" w:cstheme="majorEastAsia"/>
                <w:i/>
                <w:sz w:val="18"/>
                <w:szCs w:val="18"/>
                <w:lang w:val="en-PH"/>
              </w:rPr>
              <w:t>Anopheles</w:t>
            </w:r>
            <w:r w:rsidRPr="000B71E5">
              <w:rPr>
                <w:rFonts w:asciiTheme="majorEastAsia" w:hAnsiTheme="majorEastAsia" w:cstheme="majorEastAsia"/>
                <w:sz w:val="18"/>
                <w:szCs w:val="18"/>
                <w:lang w:val="en-PH"/>
              </w:rPr>
              <w:t xml:space="preserve"> vectors tend to prefer to feed on humans </w:t>
            </w:r>
            <w:r w:rsidRPr="00D67B70">
              <w:rPr>
                <w:rFonts w:asciiTheme="majorEastAsia" w:hAnsiTheme="majorEastAsia" w:cstheme="majorEastAsia"/>
                <w:sz w:val="18"/>
                <w:szCs w:val="18"/>
                <w:lang w:val="en-PH"/>
              </w:rPr>
              <w:t>(</w:t>
            </w:r>
            <w:proofErr w:type="spellStart"/>
            <w:r w:rsidRPr="00D67B70">
              <w:rPr>
                <w:rFonts w:asciiTheme="majorEastAsia" w:hAnsiTheme="majorEastAsia" w:cstheme="majorEastAsia"/>
                <w:sz w:val="18"/>
                <w:szCs w:val="18"/>
                <w:lang w:val="en-PH"/>
              </w:rPr>
              <w:t>Jeyaprakasam</w:t>
            </w:r>
            <w:proofErr w:type="spellEnd"/>
            <w:r w:rsidRPr="00D67B70">
              <w:rPr>
                <w:rFonts w:asciiTheme="majorEastAsia" w:hAnsiTheme="majorEastAsia" w:cstheme="majorEastAsia"/>
                <w:sz w:val="18"/>
                <w:szCs w:val="18"/>
                <w:lang w:val="en-PH"/>
              </w:rPr>
              <w:t xml:space="preserve"> and others, 2022, Piedrahita and others, 2022, Massey and others, 2016).</w:t>
            </w:r>
          </w:p>
          <w:p w14:paraId="2FA73FBB" w14:textId="77777777" w:rsidR="001D14C3" w:rsidRPr="000B71E5" w:rsidRDefault="001D14C3" w:rsidP="001D14C3">
            <w:pPr>
              <w:spacing w:line="360" w:lineRule="auto"/>
              <w:ind w:left="-20" w:right="-20"/>
              <w:jc w:val="both"/>
              <w:rPr>
                <w:rFonts w:asciiTheme="majorEastAsia" w:hAnsiTheme="majorEastAsia" w:cstheme="majorEastAsia"/>
                <w:i/>
                <w:sz w:val="18"/>
                <w:szCs w:val="18"/>
                <w:lang w:val="en-PH"/>
              </w:rPr>
            </w:pPr>
          </w:p>
          <w:p w14:paraId="53235F98" w14:textId="77777777" w:rsidR="00BA4366" w:rsidRPr="000B71E5" w:rsidRDefault="00BA4366" w:rsidP="001D14C3">
            <w:pPr>
              <w:spacing w:line="360" w:lineRule="auto"/>
              <w:ind w:left="-20" w:right="-20"/>
              <w:jc w:val="both"/>
              <w:rPr>
                <w:rFonts w:asciiTheme="majorEastAsia" w:hAnsiTheme="majorEastAsia" w:cstheme="majorEastAsia"/>
                <w:sz w:val="18"/>
                <w:szCs w:val="18"/>
              </w:rPr>
            </w:pPr>
            <w:r w:rsidRPr="000B71E5">
              <w:rPr>
                <w:rFonts w:asciiTheme="majorEastAsia" w:hAnsiTheme="majorEastAsia" w:cstheme="majorEastAsia"/>
                <w:i/>
                <w:sz w:val="18"/>
                <w:szCs w:val="18"/>
                <w:lang w:val="en-PH"/>
              </w:rPr>
              <w:t>Dengue</w:t>
            </w:r>
          </w:p>
          <w:p w14:paraId="0F172183" w14:textId="673557E5" w:rsidR="00BA4366" w:rsidRPr="000B71E5" w:rsidRDefault="00BA4366" w:rsidP="00BA4366">
            <w:pPr>
              <w:spacing w:line="276" w:lineRule="auto"/>
              <w:ind w:left="-20" w:right="-20"/>
              <w:jc w:val="both"/>
              <w:rPr>
                <w:rFonts w:asciiTheme="majorEastAsia" w:hAnsiTheme="majorEastAsia" w:cstheme="majorEastAsia"/>
                <w:sz w:val="18"/>
                <w:szCs w:val="18"/>
              </w:rPr>
            </w:pPr>
            <w:r w:rsidRPr="00FF1684">
              <w:rPr>
                <w:rFonts w:asciiTheme="majorEastAsia" w:hAnsiTheme="majorEastAsia" w:cstheme="majorEastAsia"/>
                <w:color w:val="000000" w:themeColor="text1"/>
                <w:sz w:val="18"/>
                <w:szCs w:val="18"/>
                <w:lang w:val="en-PH"/>
              </w:rPr>
              <w:t>WHO (2022</w:t>
            </w:r>
            <w:r w:rsidR="00FF1684" w:rsidRPr="00FF1684">
              <w:rPr>
                <w:rFonts w:asciiTheme="majorEastAsia" w:hAnsiTheme="majorEastAsia" w:cstheme="majorEastAsia"/>
                <w:color w:val="000000" w:themeColor="text1"/>
                <w:sz w:val="18"/>
                <w:szCs w:val="18"/>
                <w:lang w:val="en-PH"/>
              </w:rPr>
              <w:t>b</w:t>
            </w:r>
            <w:r w:rsidRPr="00FF1684">
              <w:rPr>
                <w:rFonts w:asciiTheme="majorEastAsia" w:hAnsiTheme="majorEastAsia" w:cstheme="majorEastAsia"/>
                <w:color w:val="000000" w:themeColor="text1"/>
                <w:sz w:val="18"/>
                <w:szCs w:val="18"/>
                <w:lang w:val="en-PH"/>
              </w:rPr>
              <w:t xml:space="preserve">) </w:t>
            </w:r>
            <w:r w:rsidRPr="00FF1684">
              <w:rPr>
                <w:rFonts w:asciiTheme="majorEastAsia" w:hAnsiTheme="majorEastAsia" w:cstheme="majorEastAsia"/>
                <w:sz w:val="18"/>
                <w:szCs w:val="18"/>
                <w:lang w:val="en-PH"/>
              </w:rPr>
              <w:t>reported</w:t>
            </w:r>
            <w:r w:rsidRPr="000B71E5">
              <w:rPr>
                <w:rFonts w:asciiTheme="majorEastAsia" w:hAnsiTheme="majorEastAsia" w:cstheme="majorEastAsia"/>
                <w:sz w:val="18"/>
                <w:szCs w:val="18"/>
                <w:lang w:val="en-PH"/>
              </w:rPr>
              <w:t xml:space="preserve"> that 3.</w:t>
            </w:r>
            <w:r w:rsidR="00BE72ED">
              <w:rPr>
                <w:rFonts w:asciiTheme="majorEastAsia" w:hAnsiTheme="majorEastAsia" w:cstheme="majorEastAsia"/>
                <w:sz w:val="18"/>
                <w:szCs w:val="18"/>
                <w:lang w:val="en-PH"/>
              </w:rPr>
              <w:t>9</w:t>
            </w:r>
            <w:r w:rsidRPr="000B71E5">
              <w:rPr>
                <w:rFonts w:asciiTheme="majorEastAsia" w:hAnsiTheme="majorEastAsia" w:cstheme="majorEastAsia"/>
                <w:sz w:val="18"/>
                <w:szCs w:val="18"/>
                <w:lang w:val="en-PH"/>
              </w:rPr>
              <w:t xml:space="preserve"> billion people are at risk of getting dengue fever. From January to November 2023, more than 4.5 million dengue cases with more than 4,000 dengue-related deaths had been reported in 80 countries/territories by the European Centre for Disease Prevention and Control (2023). At least eleven </w:t>
            </w:r>
            <w:r w:rsidRPr="000B71E5">
              <w:rPr>
                <w:rFonts w:asciiTheme="majorEastAsia" w:hAnsiTheme="majorEastAsia" w:cstheme="majorEastAsia"/>
                <w:i/>
                <w:sz w:val="18"/>
                <w:szCs w:val="18"/>
                <w:lang w:val="en-PH"/>
              </w:rPr>
              <w:t xml:space="preserve">Aedes </w:t>
            </w:r>
            <w:r w:rsidRPr="000B71E5">
              <w:rPr>
                <w:rFonts w:asciiTheme="majorEastAsia" w:hAnsiTheme="majorEastAsia" w:cstheme="majorEastAsia"/>
                <w:sz w:val="18"/>
                <w:szCs w:val="18"/>
                <w:lang w:val="en-PH"/>
              </w:rPr>
              <w:t>species are recorded to vector the dengue virus (annex V).</w:t>
            </w:r>
          </w:p>
          <w:p w14:paraId="056D6986" w14:textId="655C0455" w:rsidR="00BA4366" w:rsidRPr="000B71E5" w:rsidRDefault="00BA4366" w:rsidP="00BA4366">
            <w:pPr>
              <w:spacing w:line="276" w:lineRule="auto"/>
              <w:ind w:left="-20" w:right="-20"/>
              <w:jc w:val="both"/>
              <w:rPr>
                <w:rFonts w:asciiTheme="majorEastAsia" w:hAnsiTheme="majorEastAsia" w:cstheme="majorEastAsia"/>
                <w:sz w:val="18"/>
                <w:szCs w:val="18"/>
              </w:rPr>
            </w:pPr>
            <w:r w:rsidRPr="000B71E5">
              <w:rPr>
                <w:rFonts w:asciiTheme="majorEastAsia" w:hAnsiTheme="majorEastAsia" w:cstheme="majorEastAsia"/>
                <w:i/>
                <w:sz w:val="18"/>
                <w:szCs w:val="18"/>
                <w:lang w:val="en-PH"/>
              </w:rPr>
              <w:t>Aedes aegypti</w:t>
            </w:r>
            <w:r w:rsidRPr="000B71E5">
              <w:rPr>
                <w:rFonts w:asciiTheme="majorEastAsia" w:hAnsiTheme="majorEastAsia" w:cstheme="majorEastAsia"/>
                <w:sz w:val="18"/>
                <w:szCs w:val="18"/>
                <w:lang w:val="en-PH"/>
              </w:rPr>
              <w:t xml:space="preserve"> is the primary vector of the dengue virus (annex V). Its current distribution includes the tropics and </w:t>
            </w:r>
            <w:proofErr w:type="gramStart"/>
            <w:r w:rsidRPr="000B71E5">
              <w:rPr>
                <w:rFonts w:asciiTheme="majorEastAsia" w:hAnsiTheme="majorEastAsia" w:cstheme="majorEastAsia"/>
                <w:sz w:val="18"/>
                <w:szCs w:val="18"/>
                <w:lang w:val="en-PH"/>
              </w:rPr>
              <w:t>a number of</w:t>
            </w:r>
            <w:proofErr w:type="gramEnd"/>
            <w:r w:rsidRPr="000B71E5">
              <w:rPr>
                <w:rFonts w:asciiTheme="majorEastAsia" w:hAnsiTheme="majorEastAsia" w:cstheme="majorEastAsia"/>
                <w:sz w:val="18"/>
                <w:szCs w:val="18"/>
                <w:lang w:val="en-PH"/>
              </w:rPr>
              <w:t xml:space="preserve"> sub-tropical regions, </w:t>
            </w:r>
            <w:r w:rsidR="00EA41FB" w:rsidRPr="00D67B70">
              <w:rPr>
                <w:rFonts w:asciiTheme="majorEastAsia" w:hAnsiTheme="majorEastAsia" w:cstheme="majorEastAsia"/>
                <w:color w:val="000000" w:themeColor="text1"/>
                <w:sz w:val="18"/>
                <w:szCs w:val="18"/>
                <w:lang w:val="en-PH"/>
              </w:rPr>
              <w:t>S</w:t>
            </w:r>
            <w:r w:rsidRPr="00D67B70">
              <w:rPr>
                <w:rFonts w:asciiTheme="majorEastAsia" w:hAnsiTheme="majorEastAsia" w:cstheme="majorEastAsia" w:hint="eastAsia"/>
                <w:color w:val="000000" w:themeColor="text1"/>
                <w:sz w:val="18"/>
                <w:szCs w:val="18"/>
                <w:lang w:val="en-PH"/>
              </w:rPr>
              <w:t>outh-</w:t>
            </w:r>
            <w:r w:rsidR="00EA41FB" w:rsidRPr="00D67B70">
              <w:rPr>
                <w:rFonts w:asciiTheme="majorEastAsia" w:hAnsiTheme="majorEastAsia" w:cstheme="majorEastAsia"/>
                <w:color w:val="000000" w:themeColor="text1"/>
                <w:sz w:val="18"/>
                <w:szCs w:val="18"/>
                <w:lang w:val="en-PH"/>
              </w:rPr>
              <w:t>E</w:t>
            </w:r>
            <w:r w:rsidRPr="00D67B70">
              <w:rPr>
                <w:rFonts w:asciiTheme="majorEastAsia" w:hAnsiTheme="majorEastAsia" w:cstheme="majorEastAsia" w:hint="eastAsia"/>
                <w:color w:val="000000" w:themeColor="text1"/>
                <w:sz w:val="18"/>
                <w:szCs w:val="18"/>
                <w:lang w:val="en-PH"/>
              </w:rPr>
              <w:t>astern</w:t>
            </w:r>
            <w:r w:rsidRPr="00D67B70">
              <w:rPr>
                <w:rFonts w:asciiTheme="majorEastAsia" w:hAnsiTheme="majorEastAsia" w:cstheme="majorEastAsia"/>
                <w:color w:val="000000" w:themeColor="text1"/>
                <w:sz w:val="18"/>
                <w:szCs w:val="18"/>
                <w:lang w:val="en-PH"/>
              </w:rPr>
              <w:t xml:space="preserve"> United States, the Middle East, </w:t>
            </w:r>
            <w:r w:rsidR="00EA41FB" w:rsidRPr="00D67B70">
              <w:rPr>
                <w:rFonts w:asciiTheme="majorEastAsia" w:hAnsiTheme="majorEastAsia" w:cstheme="majorEastAsia"/>
                <w:color w:val="000000" w:themeColor="text1"/>
                <w:sz w:val="18"/>
                <w:szCs w:val="18"/>
                <w:lang w:val="en-PH"/>
              </w:rPr>
              <w:t>S</w:t>
            </w:r>
            <w:r w:rsidRPr="00D67B70">
              <w:rPr>
                <w:rFonts w:asciiTheme="majorEastAsia" w:hAnsiTheme="majorEastAsia" w:cstheme="majorEastAsia" w:hint="eastAsia"/>
                <w:color w:val="000000" w:themeColor="text1"/>
                <w:sz w:val="18"/>
                <w:szCs w:val="18"/>
                <w:lang w:val="en-PH"/>
              </w:rPr>
              <w:t>outheast</w:t>
            </w:r>
            <w:r w:rsidRPr="00D67B70">
              <w:rPr>
                <w:rFonts w:asciiTheme="majorEastAsia" w:hAnsiTheme="majorEastAsia" w:cstheme="majorEastAsia"/>
                <w:color w:val="000000" w:themeColor="text1"/>
                <w:sz w:val="18"/>
                <w:szCs w:val="18"/>
                <w:lang w:val="en-PH"/>
              </w:rPr>
              <w:t xml:space="preserve"> Asia, the </w:t>
            </w:r>
            <w:r w:rsidR="00EA41FB" w:rsidRPr="00D67B70">
              <w:rPr>
                <w:rFonts w:asciiTheme="majorEastAsia" w:hAnsiTheme="majorEastAsia" w:cstheme="majorEastAsia"/>
                <w:color w:val="000000" w:themeColor="text1"/>
                <w:sz w:val="18"/>
                <w:szCs w:val="18"/>
                <w:lang w:val="en-PH"/>
              </w:rPr>
              <w:t>P</w:t>
            </w:r>
            <w:r w:rsidRPr="00D67B70">
              <w:rPr>
                <w:rFonts w:asciiTheme="majorEastAsia" w:hAnsiTheme="majorEastAsia" w:cstheme="majorEastAsia" w:hint="eastAsia"/>
                <w:color w:val="000000" w:themeColor="text1"/>
                <w:sz w:val="18"/>
                <w:szCs w:val="18"/>
                <w:lang w:val="en-PH"/>
              </w:rPr>
              <w:t>acific</w:t>
            </w:r>
            <w:r w:rsidRPr="00D67B70">
              <w:rPr>
                <w:rFonts w:asciiTheme="majorEastAsia" w:hAnsiTheme="majorEastAsia" w:cstheme="majorEastAsia"/>
                <w:color w:val="000000" w:themeColor="text1"/>
                <w:sz w:val="18"/>
                <w:szCs w:val="18"/>
                <w:lang w:val="en-PH"/>
              </w:rPr>
              <w:t xml:space="preserve"> and Indian islands and </w:t>
            </w:r>
            <w:r w:rsidR="00EA41FB" w:rsidRPr="00D67B70">
              <w:rPr>
                <w:rFonts w:asciiTheme="majorEastAsia" w:hAnsiTheme="majorEastAsia" w:cstheme="majorEastAsia"/>
                <w:color w:val="000000" w:themeColor="text1"/>
                <w:sz w:val="18"/>
                <w:szCs w:val="18"/>
                <w:lang w:val="en-PH"/>
              </w:rPr>
              <w:t>N</w:t>
            </w:r>
            <w:r w:rsidRPr="00D67B70">
              <w:rPr>
                <w:rFonts w:asciiTheme="majorEastAsia" w:hAnsiTheme="majorEastAsia" w:cstheme="majorEastAsia" w:hint="eastAsia"/>
                <w:color w:val="000000" w:themeColor="text1"/>
                <w:sz w:val="18"/>
                <w:szCs w:val="18"/>
                <w:lang w:val="en-PH"/>
              </w:rPr>
              <w:t>orthern</w:t>
            </w:r>
            <w:r w:rsidRPr="00D67B70">
              <w:rPr>
                <w:rFonts w:asciiTheme="majorEastAsia" w:hAnsiTheme="majorEastAsia" w:cstheme="majorEastAsia"/>
                <w:color w:val="000000" w:themeColor="text1"/>
                <w:sz w:val="18"/>
                <w:szCs w:val="18"/>
                <w:lang w:val="en-PH"/>
              </w:rPr>
              <w:t xml:space="preserve"> Australia (European Centre for Disease Prevention and Control, 2023). </w:t>
            </w:r>
            <w:r w:rsidRPr="00D67B70">
              <w:rPr>
                <w:rFonts w:asciiTheme="majorEastAsia" w:hAnsiTheme="majorEastAsia" w:cstheme="majorEastAsia"/>
                <w:i/>
                <w:color w:val="000000" w:themeColor="text1"/>
                <w:sz w:val="18"/>
                <w:szCs w:val="18"/>
                <w:lang w:val="en-PH"/>
              </w:rPr>
              <w:t>Aedes albopictus</w:t>
            </w:r>
            <w:r w:rsidRPr="00D67B70">
              <w:rPr>
                <w:rFonts w:asciiTheme="majorEastAsia" w:hAnsiTheme="majorEastAsia" w:cstheme="majorEastAsia"/>
                <w:color w:val="000000" w:themeColor="text1"/>
                <w:sz w:val="18"/>
                <w:szCs w:val="18"/>
                <w:lang w:val="en-PH"/>
              </w:rPr>
              <w:t xml:space="preserve"> is considered the secondary vector of dengue viruses and has been included recently in the top 100 invasive species list of the Invasive Species Specialist Group (IUCN, 2024). Both are opportunistic feeders, but prefer human blood meals (</w:t>
            </w:r>
            <w:proofErr w:type="spellStart"/>
            <w:r w:rsidRPr="00D67B70">
              <w:rPr>
                <w:rFonts w:asciiTheme="majorEastAsia" w:hAnsiTheme="majorEastAsia" w:cstheme="majorEastAsia"/>
                <w:color w:val="000000" w:themeColor="text1"/>
                <w:sz w:val="18"/>
                <w:szCs w:val="18"/>
                <w:lang w:val="en-PH"/>
              </w:rPr>
              <w:t>Takken</w:t>
            </w:r>
            <w:proofErr w:type="spellEnd"/>
            <w:r w:rsidRPr="00D67B70">
              <w:rPr>
                <w:rFonts w:asciiTheme="majorEastAsia" w:hAnsiTheme="majorEastAsia" w:cstheme="majorEastAsia"/>
                <w:color w:val="000000" w:themeColor="text1"/>
                <w:sz w:val="18"/>
                <w:szCs w:val="18"/>
                <w:lang w:val="en-PH"/>
              </w:rPr>
              <w:t xml:space="preserve"> and Verhulst, 2013). </w:t>
            </w:r>
          </w:p>
          <w:p w14:paraId="39D9AC64" w14:textId="7E14ADD0" w:rsidR="00BA4366" w:rsidRPr="000B71E5" w:rsidRDefault="00BA4366" w:rsidP="000B71E5">
            <w:pPr>
              <w:spacing w:line="276" w:lineRule="auto"/>
              <w:ind w:left="-20" w:right="-20"/>
              <w:jc w:val="both"/>
              <w:rPr>
                <w:rFonts w:asciiTheme="majorEastAsia" w:hAnsiTheme="majorEastAsia" w:cstheme="majorEastAsia"/>
                <w:sz w:val="18"/>
                <w:szCs w:val="18"/>
              </w:rPr>
            </w:pPr>
            <w:r w:rsidRPr="000B71E5">
              <w:rPr>
                <w:rFonts w:asciiTheme="majorEastAsia" w:hAnsiTheme="majorEastAsia" w:cstheme="majorEastAsia"/>
                <w:sz w:val="18"/>
                <w:szCs w:val="18"/>
              </w:rPr>
              <w:t xml:space="preserve">The control and reduction of mosquito-borne diseases is a recognized public health goal, and a range of novel strategies are currently being developed. Included in these are the development of </w:t>
            </w:r>
            <w:r w:rsidRPr="000B71E5">
              <w:rPr>
                <w:rFonts w:asciiTheme="majorEastAsia" w:hAnsiTheme="majorEastAsia" w:cstheme="majorEastAsia"/>
                <w:i/>
                <w:color w:val="000000" w:themeColor="text1"/>
                <w:sz w:val="18"/>
                <w:szCs w:val="18"/>
              </w:rPr>
              <w:t>Anopheles</w:t>
            </w:r>
            <w:r w:rsidRPr="000B71E5">
              <w:rPr>
                <w:rFonts w:asciiTheme="majorEastAsia" w:hAnsiTheme="majorEastAsia" w:cstheme="majorEastAsia"/>
                <w:color w:val="000000" w:themeColor="text1"/>
                <w:sz w:val="18"/>
                <w:szCs w:val="18"/>
              </w:rPr>
              <w:t xml:space="preserve"> and </w:t>
            </w:r>
            <w:r w:rsidRPr="000B71E5">
              <w:rPr>
                <w:rFonts w:asciiTheme="majorEastAsia" w:hAnsiTheme="majorEastAsia" w:cstheme="majorEastAsia"/>
                <w:i/>
                <w:color w:val="000000" w:themeColor="text1"/>
                <w:sz w:val="18"/>
                <w:szCs w:val="18"/>
              </w:rPr>
              <w:t xml:space="preserve">Aedes </w:t>
            </w:r>
            <w:r w:rsidRPr="000B71E5">
              <w:rPr>
                <w:rFonts w:asciiTheme="majorEastAsia" w:hAnsiTheme="majorEastAsia" w:cstheme="majorEastAsia"/>
                <w:color w:val="000000" w:themeColor="text1"/>
                <w:sz w:val="18"/>
                <w:szCs w:val="18"/>
              </w:rPr>
              <w:t>mosquitoes bearing EGDs designed to reduce the transmission of diseases</w:t>
            </w:r>
            <w:r w:rsidRPr="000B71E5">
              <w:rPr>
                <w:rFonts w:asciiTheme="majorEastAsia" w:hAnsiTheme="majorEastAsia" w:cstheme="majorEastAsia"/>
                <w:sz w:val="18"/>
                <w:szCs w:val="18"/>
              </w:rPr>
              <w:t xml:space="preserve">. </w:t>
            </w:r>
          </w:p>
        </w:tc>
      </w:tr>
    </w:tbl>
    <w:p w14:paraId="1233927B" w14:textId="77777777" w:rsidR="00BA4366" w:rsidRPr="00787674" w:rsidRDefault="00BA4366" w:rsidP="4644E7B5">
      <w:pPr>
        <w:spacing w:line="276" w:lineRule="auto"/>
        <w:jc w:val="both"/>
        <w:rPr>
          <w:rFonts w:ascii="Times New Roman" w:hAnsi="Times New Roman" w:cs="Times New Roman"/>
          <w:b/>
          <w:bCs/>
          <w:color w:val="000000" w:themeColor="text1"/>
          <w:highlight w:val="yellow"/>
        </w:rPr>
      </w:pPr>
    </w:p>
    <w:p w14:paraId="74E85BD7" w14:textId="2DF8D1DB" w:rsidR="00DC2E53" w:rsidRPr="00BB5241" w:rsidRDefault="001451BA" w:rsidP="00C17AC5">
      <w:pPr>
        <w:pStyle w:val="Heading2"/>
        <w:pageBreakBefore/>
        <w:spacing w:line="276" w:lineRule="auto"/>
        <w:rPr>
          <w:rFonts w:ascii="Times New Roman" w:hAnsi="Times New Roman" w:cs="Times New Roman"/>
          <w:b/>
          <w:bCs/>
          <w:color w:val="auto"/>
          <w:sz w:val="24"/>
          <w:szCs w:val="24"/>
          <w:lang w:val="en-GB"/>
        </w:rPr>
      </w:pPr>
      <w:bookmarkStart w:id="14" w:name="_Toc6"/>
      <w:bookmarkStart w:id="15" w:name="_Toc161220479"/>
      <w:r w:rsidRPr="00BB5241">
        <w:rPr>
          <w:rFonts w:ascii="Times New Roman" w:hAnsi="Times New Roman" w:cs="Times New Roman"/>
          <w:b/>
          <w:bCs/>
          <w:color w:val="auto"/>
          <w:sz w:val="24"/>
          <w:szCs w:val="24"/>
          <w:lang w:val="en-GB"/>
        </w:rPr>
        <w:lastRenderedPageBreak/>
        <w:t>3.</w:t>
      </w:r>
      <w:r w:rsidR="005430B6" w:rsidRPr="00BB5241">
        <w:rPr>
          <w:rFonts w:ascii="Times New Roman" w:hAnsi="Times New Roman" w:cs="Times New Roman"/>
          <w:b/>
          <w:bCs/>
          <w:color w:val="auto"/>
          <w:sz w:val="24"/>
          <w:szCs w:val="24"/>
          <w:lang w:val="en-GB"/>
        </w:rPr>
        <w:t>1</w:t>
      </w:r>
      <w:r w:rsidR="00DA1916" w:rsidRPr="00BB5241">
        <w:rPr>
          <w:rFonts w:ascii="Times New Roman" w:hAnsi="Times New Roman" w:cs="Times New Roman"/>
          <w:b/>
          <w:bCs/>
          <w:color w:val="auto"/>
          <w:sz w:val="24"/>
          <w:szCs w:val="24"/>
          <w:lang w:val="en-GB"/>
        </w:rPr>
        <w:t>.</w:t>
      </w:r>
      <w:r w:rsidR="005430B6" w:rsidRPr="00BB5241">
        <w:rPr>
          <w:rFonts w:ascii="Times New Roman" w:hAnsi="Times New Roman" w:cs="Times New Roman"/>
          <w:b/>
          <w:bCs/>
          <w:color w:val="auto"/>
          <w:sz w:val="24"/>
          <w:szCs w:val="24"/>
          <w:lang w:val="en-GB"/>
        </w:rPr>
        <w:t xml:space="preserve"> E</w:t>
      </w:r>
      <w:r w:rsidR="002F6904">
        <w:rPr>
          <w:rFonts w:ascii="Times New Roman" w:hAnsi="Times New Roman" w:cs="Times New Roman"/>
          <w:b/>
          <w:bCs/>
          <w:color w:val="auto"/>
          <w:sz w:val="24"/>
          <w:szCs w:val="24"/>
          <w:lang w:val="en-GB"/>
        </w:rPr>
        <w:t>ngineered gene drive</w:t>
      </w:r>
      <w:r w:rsidR="005430B6" w:rsidRPr="00BB5241">
        <w:rPr>
          <w:rFonts w:ascii="Times New Roman" w:hAnsi="Times New Roman" w:cs="Times New Roman"/>
          <w:b/>
          <w:bCs/>
          <w:color w:val="auto"/>
          <w:sz w:val="24"/>
          <w:szCs w:val="24"/>
          <w:lang w:val="en-GB"/>
        </w:rPr>
        <w:t xml:space="preserve"> </w:t>
      </w:r>
      <w:proofErr w:type="gramStart"/>
      <w:r w:rsidR="005430B6" w:rsidRPr="00BB5241">
        <w:rPr>
          <w:rFonts w:ascii="Times New Roman" w:hAnsi="Times New Roman" w:cs="Times New Roman"/>
          <w:b/>
          <w:bCs/>
          <w:color w:val="auto"/>
          <w:sz w:val="24"/>
          <w:szCs w:val="24"/>
          <w:lang w:val="en-GB"/>
        </w:rPr>
        <w:t>strategies</w:t>
      </w:r>
      <w:bookmarkEnd w:id="14"/>
      <w:bookmarkEnd w:id="15"/>
      <w:proofErr w:type="gramEnd"/>
    </w:p>
    <w:p w14:paraId="2DE081D1" w14:textId="77777777" w:rsidR="00E47107" w:rsidRPr="00E47107" w:rsidRDefault="00E47107" w:rsidP="00E47107">
      <w:pPr>
        <w:rPr>
          <w:rFonts w:ascii="Times New Roman" w:hAnsi="Times New Roman" w:cs="Times New Roman"/>
        </w:rPr>
      </w:pPr>
      <w:r w:rsidRPr="00E47107">
        <w:rPr>
          <w:rFonts w:ascii="Times New Roman" w:hAnsi="Times New Roman" w:cs="Times New Roman"/>
        </w:rPr>
        <w:t xml:space="preserve">Strategies for EGD-LMOs can be differentiated based on: (1) the intended outcome; and (2) the potential for the genetic modification to spread in target populations by mating and persistence in the environment after release (table 1). Strategies aiming for population modification require the genetic modification of interest to persist in the population over an extended period (James and others, 2018). </w:t>
      </w:r>
    </w:p>
    <w:p w14:paraId="18E0F18A" w14:textId="122BD773" w:rsidR="00E47107" w:rsidRPr="00E47107" w:rsidRDefault="00F37686" w:rsidP="00E47107">
      <w:pPr>
        <w:rPr>
          <w:rFonts w:ascii="Times New Roman" w:hAnsi="Times New Roman" w:cs="Times New Roman"/>
        </w:rPr>
      </w:pPr>
      <w:r>
        <w:rPr>
          <w:rFonts w:ascii="Times New Roman" w:hAnsi="Times New Roman" w:cs="Times New Roman"/>
        </w:rPr>
        <w:t>D</w:t>
      </w:r>
      <w:r w:rsidR="00E47107" w:rsidRPr="00E47107">
        <w:rPr>
          <w:rFonts w:ascii="Times New Roman" w:hAnsi="Times New Roman" w:cs="Times New Roman"/>
        </w:rPr>
        <w:t>epending on the design of the EGD system (whose composition and mode of action are diverse), the genetic modification of interest could spread through interbreeding target populations (non-localised) and persist indefinitely (self-sustaining</w:t>
      </w:r>
      <w:proofErr w:type="gramStart"/>
      <w:r w:rsidR="00E47107" w:rsidRPr="00E47107">
        <w:rPr>
          <w:rFonts w:ascii="Times New Roman" w:hAnsi="Times New Roman" w:cs="Times New Roman"/>
        </w:rPr>
        <w:t>), or</w:t>
      </w:r>
      <w:proofErr w:type="gramEnd"/>
      <w:r w:rsidR="00E47107" w:rsidRPr="00E47107">
        <w:rPr>
          <w:rFonts w:ascii="Times New Roman" w:hAnsi="Times New Roman" w:cs="Times New Roman"/>
        </w:rPr>
        <w:t xml:space="preserve"> be restricted in its spread (localised) or persistence (self-limiting) </w:t>
      </w:r>
      <w:r w:rsidR="00E47107" w:rsidRPr="00583B04">
        <w:rPr>
          <w:rFonts w:ascii="Times New Roman" w:hAnsi="Times New Roman" w:cs="Times New Roman"/>
        </w:rPr>
        <w:t>(EFSA, 2022; WHO, 20</w:t>
      </w:r>
      <w:r w:rsidR="00607ABA" w:rsidRPr="00583B04">
        <w:rPr>
          <w:rFonts w:ascii="Times New Roman" w:hAnsi="Times New Roman" w:cs="Times New Roman"/>
        </w:rPr>
        <w:t>2</w:t>
      </w:r>
      <w:r w:rsidR="008E4275" w:rsidRPr="00583B04">
        <w:rPr>
          <w:rFonts w:ascii="Times New Roman" w:hAnsi="Times New Roman" w:cs="Times New Roman"/>
        </w:rPr>
        <w:t>1</w:t>
      </w:r>
      <w:r w:rsidR="00E25734">
        <w:rPr>
          <w:rFonts w:ascii="Times New Roman" w:hAnsi="Times New Roman" w:cs="Times New Roman"/>
        </w:rPr>
        <w:t>b</w:t>
      </w:r>
      <w:r w:rsidR="008E4275" w:rsidRPr="00583B04">
        <w:rPr>
          <w:rFonts w:ascii="Times New Roman" w:hAnsi="Times New Roman" w:cs="Times New Roman"/>
        </w:rPr>
        <w:t>;</w:t>
      </w:r>
      <w:r w:rsidR="00E47107" w:rsidRPr="00583B04">
        <w:rPr>
          <w:rFonts w:ascii="Times New Roman" w:hAnsi="Times New Roman" w:cs="Times New Roman"/>
        </w:rPr>
        <w:t xml:space="preserve"> CCA, 2023) (table 1). While the binary divides between localised/non-localised and self-sustaining/self-limiting systems are informative, it is important to consider that there is a spectrum of spreading and persistence within and between each category (</w:t>
      </w:r>
      <w:proofErr w:type="spellStart"/>
      <w:r w:rsidR="00E47107" w:rsidRPr="00583B04">
        <w:rPr>
          <w:rFonts w:ascii="Times New Roman" w:hAnsi="Times New Roman" w:cs="Times New Roman"/>
        </w:rPr>
        <w:t>Alphey</w:t>
      </w:r>
      <w:proofErr w:type="spellEnd"/>
      <w:r w:rsidR="00E47107" w:rsidRPr="00583B04">
        <w:rPr>
          <w:rFonts w:ascii="Times New Roman" w:hAnsi="Times New Roman" w:cs="Times New Roman"/>
        </w:rPr>
        <w:t xml:space="preserve">, 2014), which can be affected by ecological factors (Dhole and others, 2018, 2020; Backus and </w:t>
      </w:r>
      <w:proofErr w:type="spellStart"/>
      <w:r w:rsidR="00E47107" w:rsidRPr="00583B04">
        <w:rPr>
          <w:rFonts w:ascii="Times New Roman" w:hAnsi="Times New Roman" w:cs="Times New Roman"/>
        </w:rPr>
        <w:t>Delbourne</w:t>
      </w:r>
      <w:proofErr w:type="spellEnd"/>
      <w:r w:rsidR="00E47107" w:rsidRPr="00583B04">
        <w:rPr>
          <w:rFonts w:ascii="Times New Roman" w:hAnsi="Times New Roman" w:cs="Times New Roman"/>
        </w:rPr>
        <w:t xml:space="preserve">, 2019). Moreover, some types of EGDs are not clearly distinct, and they can be used alone or in combination with other types of EGDs. EGD-LMO approaches and applications will likely continue to expand as gene editing tools become more refined (NASEM, 2016; Guichard and others, 2019; Holman, 2019). Consequently, the initial “prototype” EGDs reported in the scientific literature may not necessarily be representative of the EGD systems that are currently under development or progress to field testing, which aim to be more specific, </w:t>
      </w:r>
      <w:proofErr w:type="gramStart"/>
      <w:r w:rsidR="00E47107" w:rsidRPr="00583B04">
        <w:rPr>
          <w:rFonts w:ascii="Times New Roman" w:hAnsi="Times New Roman" w:cs="Times New Roman"/>
        </w:rPr>
        <w:t>stable</w:t>
      </w:r>
      <w:proofErr w:type="gramEnd"/>
      <w:r w:rsidR="00E47107" w:rsidRPr="00583B04">
        <w:rPr>
          <w:rFonts w:ascii="Times New Roman" w:hAnsi="Times New Roman" w:cs="Times New Roman"/>
        </w:rPr>
        <w:t xml:space="preserve"> and controllable systems (NASEM, 2016; Friedman and others, 2020; Raban and others, 2020).</w:t>
      </w:r>
      <w:r w:rsidR="004F6F99">
        <w:rPr>
          <w:rFonts w:ascii="Times New Roman" w:hAnsi="Times New Roman" w:cs="Times New Roman"/>
        </w:rPr>
        <w:t xml:space="preserve"> </w:t>
      </w:r>
    </w:p>
    <w:p w14:paraId="7DC82813" w14:textId="64BBE2DB" w:rsidR="00693C38" w:rsidRDefault="00E47107" w:rsidP="00E47107">
      <w:pPr>
        <w:rPr>
          <w:rFonts w:ascii="Times New Roman" w:hAnsi="Times New Roman" w:cs="Times New Roman"/>
        </w:rPr>
      </w:pPr>
      <w:r w:rsidRPr="00E47107">
        <w:rPr>
          <w:rFonts w:ascii="Times New Roman" w:hAnsi="Times New Roman" w:cs="Times New Roman"/>
        </w:rPr>
        <w:t>Current research efforts also focus on the development of EGDs that would be confinable (i.e., limited in spread and/or persistence) and reversible (i.e., recallable from the environment</w:t>
      </w:r>
      <w:r w:rsidRPr="00583B04">
        <w:rPr>
          <w:rFonts w:ascii="Times New Roman" w:hAnsi="Times New Roman" w:cs="Times New Roman"/>
        </w:rPr>
        <w:t xml:space="preserve">) (e.g., Backus and </w:t>
      </w:r>
      <w:proofErr w:type="spellStart"/>
      <w:r w:rsidRPr="00583B04">
        <w:rPr>
          <w:rFonts w:ascii="Times New Roman" w:hAnsi="Times New Roman" w:cs="Times New Roman"/>
        </w:rPr>
        <w:t>Delborne</w:t>
      </w:r>
      <w:proofErr w:type="spellEnd"/>
      <w:r w:rsidRPr="00583B04">
        <w:rPr>
          <w:rFonts w:ascii="Times New Roman" w:hAnsi="Times New Roman" w:cs="Times New Roman"/>
        </w:rPr>
        <w:t xml:space="preserve">, 2019; Li and others, 2020; </w:t>
      </w:r>
      <w:proofErr w:type="spellStart"/>
      <w:r w:rsidRPr="00583B04">
        <w:rPr>
          <w:rFonts w:ascii="Times New Roman" w:hAnsi="Times New Roman" w:cs="Times New Roman"/>
        </w:rPr>
        <w:t>Maselko</w:t>
      </w:r>
      <w:proofErr w:type="spellEnd"/>
      <w:r w:rsidRPr="00583B04">
        <w:rPr>
          <w:rFonts w:ascii="Times New Roman" w:hAnsi="Times New Roman" w:cs="Times New Roman"/>
        </w:rPr>
        <w:t xml:space="preserve"> and others, 2020; Sánchez and others, 2020b; Webster and others, 2020; Buchman and others, 2021; Hay and others, 2021; </w:t>
      </w:r>
      <w:proofErr w:type="spellStart"/>
      <w:r w:rsidRPr="00583B04">
        <w:rPr>
          <w:rFonts w:ascii="Times New Roman" w:hAnsi="Times New Roman" w:cs="Times New Roman"/>
        </w:rPr>
        <w:t>Kandul</w:t>
      </w:r>
      <w:proofErr w:type="spellEnd"/>
      <w:r w:rsidRPr="00583B04">
        <w:rPr>
          <w:rFonts w:ascii="Times New Roman" w:hAnsi="Times New Roman" w:cs="Times New Roman"/>
        </w:rPr>
        <w:t xml:space="preserve"> and others, 2021; Oberhofer and others, 2021; </w:t>
      </w:r>
      <w:proofErr w:type="spellStart"/>
      <w:r w:rsidRPr="00583B04">
        <w:rPr>
          <w:rFonts w:ascii="Times New Roman" w:hAnsi="Times New Roman" w:cs="Times New Roman"/>
        </w:rPr>
        <w:t>Terradas</w:t>
      </w:r>
      <w:proofErr w:type="spellEnd"/>
      <w:r w:rsidRPr="00583B04">
        <w:rPr>
          <w:rFonts w:ascii="Times New Roman" w:hAnsi="Times New Roman" w:cs="Times New Roman"/>
        </w:rPr>
        <w:t xml:space="preserve"> and others, 2021; Willis and Burt, 2021). </w:t>
      </w:r>
      <w:r w:rsidR="00190D1B" w:rsidRPr="00583B04">
        <w:rPr>
          <w:rFonts w:ascii="Times New Roman" w:hAnsi="Times New Roman" w:cs="Times New Roman"/>
        </w:rPr>
        <w:t>Several approaches</w:t>
      </w:r>
      <w:r w:rsidRPr="00583B04">
        <w:rPr>
          <w:rFonts w:ascii="Times New Roman" w:hAnsi="Times New Roman" w:cs="Times New Roman"/>
        </w:rPr>
        <w:t xml:space="preserve"> – some of which have already been tested experimentally under laboratory settings – have been proposed to restrict either spread of EGDs within a specified target population or geographic region, or their persistence (Raban and others, 2020). Examples include high threshold EGD systems such as underdominance (heterozygote inferiority) EGDs, tethered </w:t>
      </w:r>
      <w:proofErr w:type="gramStart"/>
      <w:r w:rsidRPr="00583B04">
        <w:rPr>
          <w:rFonts w:ascii="Times New Roman" w:hAnsi="Times New Roman" w:cs="Times New Roman"/>
        </w:rPr>
        <w:t>homing-based</w:t>
      </w:r>
      <w:proofErr w:type="gramEnd"/>
      <w:r w:rsidRPr="00583B04">
        <w:rPr>
          <w:rFonts w:ascii="Times New Roman" w:hAnsi="Times New Roman" w:cs="Times New Roman"/>
        </w:rPr>
        <w:t xml:space="preserve"> EGDs, and split rescue EGDs (Hay and others, 2021).</w:t>
      </w:r>
      <w:r w:rsidRPr="00E47107">
        <w:rPr>
          <w:rFonts w:ascii="Times New Roman" w:hAnsi="Times New Roman" w:cs="Times New Roman"/>
        </w:rPr>
        <w:t xml:space="preserve"> </w:t>
      </w:r>
    </w:p>
    <w:p w14:paraId="089F00F8" w14:textId="5DA6414C" w:rsidR="00E47107" w:rsidRPr="00E47107" w:rsidRDefault="00E47107" w:rsidP="00E47107">
      <w:pPr>
        <w:rPr>
          <w:rFonts w:ascii="Times New Roman" w:hAnsi="Times New Roman" w:cs="Times New Roman"/>
        </w:rPr>
      </w:pPr>
      <w:r w:rsidRPr="00E47107">
        <w:rPr>
          <w:rFonts w:ascii="Times New Roman" w:hAnsi="Times New Roman" w:cs="Times New Roman"/>
        </w:rPr>
        <w:t xml:space="preserve">Other localisation approaches under development and/or investigation are EGD systems that target alleles that are only present in a </w:t>
      </w:r>
      <w:r w:rsidRPr="00590EFA">
        <w:rPr>
          <w:rFonts w:ascii="Times New Roman" w:hAnsi="Times New Roman" w:cs="Times New Roman"/>
        </w:rPr>
        <w:t xml:space="preserve">genetically isolated (local) subpopulation of </w:t>
      </w:r>
      <w:r w:rsidRPr="003065B6">
        <w:rPr>
          <w:rFonts w:ascii="Times New Roman" w:hAnsi="Times New Roman" w:cs="Times New Roman"/>
        </w:rPr>
        <w:t xml:space="preserve">the target species or fixed in such isolated subpopulations (Sudweeks and others, 2019; Willis and Burt, 2021), and split homing-based EGDs, in which the Cas9 nuclease is separated from the guide RNA at different loci on chromosomes or lines of insects that would need to be crossed (Li and others, 2020; </w:t>
      </w:r>
      <w:proofErr w:type="spellStart"/>
      <w:r w:rsidRPr="003065B6">
        <w:rPr>
          <w:rFonts w:ascii="Times New Roman" w:hAnsi="Times New Roman" w:cs="Times New Roman"/>
        </w:rPr>
        <w:t>Kandul</w:t>
      </w:r>
      <w:proofErr w:type="spellEnd"/>
      <w:r w:rsidRPr="003065B6">
        <w:rPr>
          <w:rFonts w:ascii="Times New Roman" w:hAnsi="Times New Roman" w:cs="Times New Roman"/>
        </w:rPr>
        <w:t xml:space="preserve"> and others, 2021; </w:t>
      </w:r>
      <w:proofErr w:type="spellStart"/>
      <w:r w:rsidRPr="003065B6">
        <w:rPr>
          <w:rFonts w:ascii="Times New Roman" w:hAnsi="Times New Roman" w:cs="Times New Roman"/>
        </w:rPr>
        <w:t>Terradas</w:t>
      </w:r>
      <w:proofErr w:type="spellEnd"/>
      <w:r w:rsidRPr="003065B6">
        <w:rPr>
          <w:rFonts w:ascii="Times New Roman" w:hAnsi="Times New Roman" w:cs="Times New Roman"/>
        </w:rPr>
        <w:t xml:space="preserve"> and others, 2021). Nash and others (2019) evaluated the concept of integral EGDs that are based on multiple</w:t>
      </w:r>
      <w:r w:rsidRPr="00590EFA">
        <w:rPr>
          <w:rFonts w:ascii="Times New Roman" w:hAnsi="Times New Roman" w:cs="Times New Roman"/>
        </w:rPr>
        <w:t xml:space="preserve"> interacting components, each one of which could be tested separately or in combination. The modularity and interdependence of integral gene drive components may enable testing from self-limited to self-sustaining components in the field by modulating the propensity to spread in target populations (Nash and others, 2019).</w:t>
      </w:r>
    </w:p>
    <w:p w14:paraId="4964DC1C" w14:textId="77777777" w:rsidR="00CD09BE" w:rsidRDefault="00CD09BE" w:rsidP="00E47107">
      <w:pPr>
        <w:rPr>
          <w:rFonts w:ascii="Times New Roman" w:hAnsi="Times New Roman" w:cs="Times New Roman"/>
        </w:rPr>
      </w:pPr>
    </w:p>
    <w:p w14:paraId="33B4707A" w14:textId="77777777" w:rsidR="00CD09BE" w:rsidRDefault="00CD09BE" w:rsidP="00E47107">
      <w:pPr>
        <w:rPr>
          <w:rFonts w:ascii="Times New Roman" w:hAnsi="Times New Roman" w:cs="Times New Roman"/>
        </w:rPr>
      </w:pPr>
    </w:p>
    <w:p w14:paraId="728B2EEB" w14:textId="77777777" w:rsidR="00CD09BE" w:rsidRDefault="00CD09BE" w:rsidP="00E47107">
      <w:pPr>
        <w:rPr>
          <w:rFonts w:ascii="Times New Roman" w:hAnsi="Times New Roman" w:cs="Times New Roman"/>
        </w:rPr>
      </w:pPr>
    </w:p>
    <w:p w14:paraId="258C980C" w14:textId="77777777" w:rsidR="00CD09BE" w:rsidRDefault="00CD09BE" w:rsidP="00E47107">
      <w:pPr>
        <w:rPr>
          <w:rFonts w:ascii="Times New Roman" w:hAnsi="Times New Roman" w:cs="Times New Roman"/>
        </w:rPr>
      </w:pPr>
    </w:p>
    <w:p w14:paraId="56F4E8A8" w14:textId="6093EA33" w:rsidR="00E47107" w:rsidRPr="00CD09BE" w:rsidRDefault="00E47107" w:rsidP="00E47107">
      <w:pPr>
        <w:rPr>
          <w:rFonts w:ascii="Times New Roman" w:hAnsi="Times New Roman" w:cs="Times New Roman"/>
          <w:b/>
        </w:rPr>
      </w:pPr>
      <w:r w:rsidRPr="00CD09BE">
        <w:rPr>
          <w:rFonts w:ascii="Times New Roman" w:hAnsi="Times New Roman" w:cs="Times New Roman"/>
          <w:b/>
        </w:rPr>
        <w:lastRenderedPageBreak/>
        <w:t>Table 1</w:t>
      </w:r>
    </w:p>
    <w:p w14:paraId="0C8E6893" w14:textId="77777777" w:rsidR="00E47107" w:rsidRPr="00E47107" w:rsidRDefault="00E47107" w:rsidP="003A2EEC">
      <w:pPr>
        <w:spacing w:after="0"/>
        <w:rPr>
          <w:rFonts w:ascii="Times New Roman" w:hAnsi="Times New Roman" w:cs="Times New Roman"/>
        </w:rPr>
      </w:pPr>
      <w:r w:rsidRPr="00E47107">
        <w:rPr>
          <w:rFonts w:ascii="Times New Roman" w:hAnsi="Times New Roman" w:cs="Times New Roman"/>
        </w:rPr>
        <w:t xml:space="preserve">Possible elements to categorize engineered gene drive </w:t>
      </w:r>
      <w:proofErr w:type="gramStart"/>
      <w:r w:rsidRPr="00E47107">
        <w:rPr>
          <w:rFonts w:ascii="Times New Roman" w:hAnsi="Times New Roman" w:cs="Times New Roman"/>
        </w:rPr>
        <w:t>strategies</w:t>
      </w:r>
      <w:proofErr w:type="gramEnd"/>
      <w:r w:rsidRPr="00E47107">
        <w:rPr>
          <w:rFonts w:ascii="Times New Roman" w:hAnsi="Times New Roman" w:cs="Times New Roman"/>
        </w:rPr>
        <w:t xml:space="preserve"> </w:t>
      </w:r>
    </w:p>
    <w:p w14:paraId="737D6F6C" w14:textId="6829E57C" w:rsidR="00E47107" w:rsidRPr="00CD09BE" w:rsidRDefault="0094019A" w:rsidP="00CD09BE">
      <w:pPr>
        <w:spacing w:before="100" w:beforeAutospacing="1" w:after="100" w:afterAutospacing="1" w:line="240" w:lineRule="auto"/>
        <w:rPr>
          <w:rFonts w:ascii="Times New Roman" w:eastAsia="Times New Roman" w:hAnsi="Times New Roman" w:cs="Times New Roman"/>
          <w:sz w:val="24"/>
          <w:szCs w:val="24"/>
          <w:lang w:val="en-US" w:eastAsia="zh-CN"/>
          <w14:ligatures w14:val="none"/>
        </w:rPr>
      </w:pPr>
      <w:r>
        <w:rPr>
          <w:rFonts w:ascii="Times New Roman" w:eastAsia="Times New Roman" w:hAnsi="Times New Roman" w:cs="Times New Roman"/>
          <w:noProof/>
          <w:sz w:val="24"/>
          <w:szCs w:val="24"/>
          <w:lang w:val="en-US" w:eastAsia="zh-CN"/>
          <w14:ligatures w14:val="none"/>
        </w:rPr>
        <w:t xml:space="preserve"> </w:t>
      </w:r>
      <w:r w:rsidR="00876953">
        <w:rPr>
          <w:rFonts w:ascii="Times New Roman" w:eastAsia="Times New Roman" w:hAnsi="Times New Roman" w:cs="Times New Roman"/>
          <w:noProof/>
          <w:sz w:val="24"/>
          <w:szCs w:val="24"/>
          <w:lang w:val="en-US" w:eastAsia="zh-CN"/>
          <w14:ligatures w14:val="none"/>
        </w:rPr>
        <w:t xml:space="preserve"> </w:t>
      </w:r>
      <w:r w:rsidR="00CD09BE" w:rsidRPr="00CD09BE">
        <w:rPr>
          <w:rFonts w:ascii="Times New Roman" w:eastAsia="Times New Roman" w:hAnsi="Times New Roman" w:cs="Times New Roman"/>
          <w:noProof/>
          <w:sz w:val="24"/>
          <w:szCs w:val="24"/>
          <w:lang w:val="en-US" w:eastAsia="zh-CN"/>
          <w14:ligatures w14:val="none"/>
        </w:rPr>
        <w:drawing>
          <wp:inline distT="0" distB="0" distL="0" distR="0" wp14:anchorId="619D8829" wp14:editId="0BE632AD">
            <wp:extent cx="5943600" cy="2162810"/>
            <wp:effectExtent l="0" t="0" r="0" b="8890"/>
            <wp:docPr id="1669108226" name="Picture 1" descr="A diagram of a sca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108226" name="Picture 1" descr="A diagram of a scale&#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16281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9350"/>
      </w:tblGrid>
      <w:tr w:rsidR="00CD09BE" w14:paraId="10492A25" w14:textId="77777777" w:rsidTr="00CD09BE">
        <w:tc>
          <w:tcPr>
            <w:tcW w:w="9350" w:type="dxa"/>
          </w:tcPr>
          <w:p w14:paraId="510B42EF" w14:textId="77777777" w:rsidR="00A36198" w:rsidRPr="00091D71" w:rsidRDefault="00A36198" w:rsidP="00A36198">
            <w:pPr>
              <w:spacing w:before="120" w:line="276" w:lineRule="auto"/>
              <w:ind w:left="-20" w:right="-20"/>
              <w:jc w:val="both"/>
              <w:rPr>
                <w:rFonts w:asciiTheme="majorEastAsia" w:hAnsiTheme="majorEastAsia" w:cstheme="majorEastAsia"/>
                <w:b/>
                <w:color w:val="000000" w:themeColor="text1"/>
              </w:rPr>
            </w:pPr>
            <w:r w:rsidRPr="00091D71">
              <w:rPr>
                <w:rFonts w:asciiTheme="majorEastAsia" w:hAnsiTheme="majorEastAsia" w:cstheme="majorEastAsia"/>
                <w:b/>
                <w:color w:val="000000" w:themeColor="text1"/>
              </w:rPr>
              <w:t>Mosquitoes:</w:t>
            </w:r>
          </w:p>
          <w:p w14:paraId="2190325C" w14:textId="3E766408" w:rsidR="00CD09BE" w:rsidRPr="00091D71" w:rsidRDefault="00CD09BE" w:rsidP="00CD09BE">
            <w:pPr>
              <w:spacing w:before="120" w:after="240" w:line="276" w:lineRule="auto"/>
              <w:ind w:left="-20" w:right="-20"/>
              <w:jc w:val="both"/>
              <w:rPr>
                <w:rFonts w:asciiTheme="majorEastAsia" w:hAnsiTheme="majorEastAsia" w:cstheme="majorEastAsia"/>
                <w:b/>
                <w:color w:val="000000" w:themeColor="text1"/>
              </w:rPr>
            </w:pPr>
            <w:r w:rsidRPr="00091D71">
              <w:rPr>
                <w:rFonts w:asciiTheme="majorEastAsia" w:hAnsiTheme="majorEastAsia" w:cstheme="majorEastAsia"/>
                <w:b/>
                <w:color w:val="000000" w:themeColor="text1"/>
              </w:rPr>
              <w:t xml:space="preserve">Engineered gene drive systems for living modified </w:t>
            </w:r>
            <w:proofErr w:type="gramStart"/>
            <w:r w:rsidRPr="00091D71">
              <w:rPr>
                <w:rFonts w:asciiTheme="majorEastAsia" w:hAnsiTheme="majorEastAsia" w:cstheme="majorEastAsia"/>
                <w:b/>
                <w:color w:val="000000" w:themeColor="text1"/>
              </w:rPr>
              <w:t>mosquitoes</w:t>
            </w:r>
            <w:proofErr w:type="gramEnd"/>
          </w:p>
          <w:p w14:paraId="72D168E1" w14:textId="6C76B87B" w:rsidR="00CD09BE" w:rsidRPr="003A2EEC" w:rsidRDefault="00CD09BE" w:rsidP="00CD09BE">
            <w:pPr>
              <w:spacing w:before="120" w:after="240" w:line="276" w:lineRule="auto"/>
              <w:ind w:left="-20" w:right="-20"/>
              <w:jc w:val="both"/>
              <w:rPr>
                <w:rFonts w:asciiTheme="majorEastAsia" w:hAnsiTheme="majorEastAsia" w:cstheme="majorEastAsia"/>
                <w:color w:val="000000" w:themeColor="text1"/>
                <w:sz w:val="18"/>
                <w:szCs w:val="18"/>
              </w:rPr>
            </w:pPr>
            <w:r w:rsidRPr="003A2EEC">
              <w:rPr>
                <w:rFonts w:asciiTheme="majorEastAsia" w:hAnsiTheme="majorEastAsia" w:cstheme="majorEastAsia"/>
                <w:color w:val="000000" w:themeColor="text1"/>
                <w:sz w:val="18"/>
                <w:szCs w:val="18"/>
              </w:rPr>
              <w:t xml:space="preserve">Currently, two distinct intended uses are being explored to control mosquito vector-borne diseases. EGDs for use in disease-transmitting mosquitoes are designed either to suppress target populations and potentially species, or to modify them with a new genotype (see table 2). </w:t>
            </w:r>
          </w:p>
          <w:p w14:paraId="66B17BE4" w14:textId="02F70B36" w:rsidR="00CD09BE" w:rsidRPr="00590EFA" w:rsidRDefault="00CD09BE" w:rsidP="00CD09BE">
            <w:pPr>
              <w:pStyle w:val="ListParagraph"/>
              <w:numPr>
                <w:ilvl w:val="0"/>
                <w:numId w:val="100"/>
              </w:numPr>
              <w:spacing w:line="276" w:lineRule="auto"/>
              <w:ind w:left="340" w:right="-20"/>
              <w:rPr>
                <w:rFonts w:asciiTheme="majorEastAsia" w:hAnsiTheme="majorEastAsia" w:cstheme="majorEastAsia"/>
                <w:color w:val="000000" w:themeColor="text1"/>
                <w:sz w:val="18"/>
                <w:szCs w:val="18"/>
                <w:lang w:val="en-GB"/>
              </w:rPr>
            </w:pPr>
            <w:r w:rsidRPr="003A2EEC">
              <w:rPr>
                <w:rFonts w:asciiTheme="majorEastAsia" w:hAnsiTheme="majorEastAsia" w:cstheme="majorEastAsia"/>
                <w:color w:val="000000" w:themeColor="text1"/>
                <w:sz w:val="18"/>
                <w:szCs w:val="18"/>
                <w:lang w:val="en-GB"/>
              </w:rPr>
              <w:t>Population suppression strategies aim to reduce a target population by imposing a substantial fitness cost via the inactivation of important genes involved in the survival (non-developing offspring) or reproduction of the target population (e.g., reducing fertility of offspring, bias of the sex ratio toward males), or through the introduction of a new gene or genes that reduce(s) lifespan or bias(es) s</w:t>
            </w:r>
            <w:r w:rsidRPr="00590EFA">
              <w:rPr>
                <w:rFonts w:asciiTheme="majorEastAsia" w:hAnsiTheme="majorEastAsia" w:cstheme="majorEastAsia"/>
                <w:color w:val="000000" w:themeColor="text1"/>
                <w:sz w:val="18"/>
                <w:szCs w:val="18"/>
                <w:lang w:val="en-GB"/>
              </w:rPr>
              <w:t>ex ratios (</w:t>
            </w:r>
            <w:proofErr w:type="spellStart"/>
            <w:r w:rsidRPr="00590EFA">
              <w:rPr>
                <w:rFonts w:asciiTheme="majorEastAsia" w:hAnsiTheme="majorEastAsia" w:cstheme="majorEastAsia"/>
                <w:color w:val="000000" w:themeColor="text1"/>
                <w:sz w:val="18"/>
                <w:szCs w:val="18"/>
                <w:lang w:val="en-GB"/>
              </w:rPr>
              <w:t>Galizi</w:t>
            </w:r>
            <w:proofErr w:type="spellEnd"/>
            <w:r w:rsidRPr="00590EFA">
              <w:rPr>
                <w:rFonts w:asciiTheme="majorEastAsia" w:hAnsiTheme="majorEastAsia" w:cstheme="majorEastAsia"/>
                <w:color w:val="000000" w:themeColor="text1"/>
                <w:sz w:val="18"/>
                <w:szCs w:val="18"/>
                <w:lang w:val="en-GB"/>
              </w:rPr>
              <w:t xml:space="preserve"> and others, 2014, 2016; Buchman and others, 2018b; </w:t>
            </w:r>
            <w:r w:rsidR="00DC6510" w:rsidRPr="00590EFA">
              <w:rPr>
                <w:rFonts w:asciiTheme="majorEastAsia" w:hAnsiTheme="majorEastAsia" w:cstheme="majorEastAsia"/>
                <w:color w:val="000000" w:themeColor="text1"/>
                <w:sz w:val="18"/>
                <w:szCs w:val="18"/>
                <w:lang w:val="en-GB"/>
              </w:rPr>
              <w:t>Simoni</w:t>
            </w:r>
            <w:r w:rsidRPr="00590EFA">
              <w:rPr>
                <w:rFonts w:asciiTheme="majorEastAsia" w:hAnsiTheme="majorEastAsia" w:cstheme="majorEastAsia"/>
                <w:color w:val="000000" w:themeColor="text1"/>
                <w:sz w:val="18"/>
                <w:szCs w:val="18"/>
                <w:lang w:val="en-GB"/>
              </w:rPr>
              <w:t xml:space="preserve"> and others, </w:t>
            </w:r>
            <w:r w:rsidR="00DC6510" w:rsidRPr="00590EFA">
              <w:rPr>
                <w:rFonts w:asciiTheme="majorEastAsia" w:hAnsiTheme="majorEastAsia" w:cstheme="majorEastAsia"/>
                <w:color w:val="000000" w:themeColor="text1"/>
                <w:sz w:val="18"/>
                <w:szCs w:val="18"/>
                <w:lang w:val="en-GB"/>
              </w:rPr>
              <w:t>202</w:t>
            </w:r>
            <w:r w:rsidR="00C8746A" w:rsidRPr="00590EFA">
              <w:rPr>
                <w:rFonts w:asciiTheme="majorEastAsia" w:hAnsiTheme="majorEastAsia" w:cstheme="majorEastAsia"/>
                <w:color w:val="000000" w:themeColor="text1"/>
                <w:sz w:val="18"/>
                <w:szCs w:val="18"/>
                <w:lang w:val="en-GB"/>
              </w:rPr>
              <w:t>0</w:t>
            </w:r>
            <w:r w:rsidRPr="00590EFA">
              <w:rPr>
                <w:rFonts w:asciiTheme="majorEastAsia" w:hAnsiTheme="majorEastAsia" w:cstheme="majorEastAsia"/>
                <w:color w:val="000000" w:themeColor="text1"/>
                <w:sz w:val="18"/>
                <w:szCs w:val="18"/>
                <w:lang w:val="en-GB"/>
              </w:rPr>
              <w:t>; James and others, 2018; Kyrou and others, 2018; Leitschuh and others, 2018). These suppression strategies are expected to result in population decline/reduction or even collapse (local elimination) over the period of a few generations and may in some cases aim for (global) eradication of a disease vector species (</w:t>
            </w:r>
            <w:proofErr w:type="spellStart"/>
            <w:r w:rsidR="00EB06B7" w:rsidRPr="00590EFA">
              <w:rPr>
                <w:rFonts w:asciiTheme="majorEastAsia" w:hAnsiTheme="majorEastAsia" w:cstheme="majorEastAsia"/>
                <w:color w:val="000000" w:themeColor="text1"/>
                <w:sz w:val="18"/>
                <w:szCs w:val="18"/>
                <w:lang w:val="en-GB"/>
              </w:rPr>
              <w:t>Comité</w:t>
            </w:r>
            <w:proofErr w:type="spellEnd"/>
            <w:r w:rsidR="00EB06B7" w:rsidRPr="00590EFA">
              <w:rPr>
                <w:rFonts w:asciiTheme="majorEastAsia" w:hAnsiTheme="majorEastAsia" w:cstheme="majorEastAsia"/>
                <w:color w:val="000000" w:themeColor="text1"/>
                <w:sz w:val="18"/>
                <w:szCs w:val="18"/>
                <w:lang w:val="en-GB"/>
              </w:rPr>
              <w:t xml:space="preserve"> </w:t>
            </w:r>
            <w:proofErr w:type="spellStart"/>
            <w:r w:rsidR="00EB06B7" w:rsidRPr="00590EFA">
              <w:rPr>
                <w:rFonts w:asciiTheme="majorEastAsia" w:hAnsiTheme="majorEastAsia" w:cstheme="majorEastAsia"/>
                <w:color w:val="000000" w:themeColor="text1"/>
                <w:sz w:val="18"/>
                <w:szCs w:val="18"/>
                <w:lang w:val="en-GB"/>
              </w:rPr>
              <w:t>scientifique</w:t>
            </w:r>
            <w:proofErr w:type="spellEnd"/>
            <w:r w:rsidR="00EB06B7" w:rsidRPr="00590EFA">
              <w:rPr>
                <w:rFonts w:asciiTheme="majorEastAsia" w:hAnsiTheme="majorEastAsia" w:cstheme="majorEastAsia"/>
                <w:color w:val="000000" w:themeColor="text1"/>
                <w:sz w:val="18"/>
                <w:szCs w:val="18"/>
                <w:lang w:val="en-GB"/>
              </w:rPr>
              <w:t xml:space="preserve"> du Haut Conseil </w:t>
            </w:r>
            <w:r w:rsidR="00C61AA8">
              <w:rPr>
                <w:rFonts w:asciiTheme="majorEastAsia" w:hAnsiTheme="majorEastAsia" w:cstheme="majorEastAsia"/>
                <w:color w:val="000000" w:themeColor="text1"/>
                <w:sz w:val="18"/>
                <w:szCs w:val="18"/>
                <w:lang w:val="en-GB"/>
              </w:rPr>
              <w:t>d</w:t>
            </w:r>
            <w:r w:rsidR="00EB06B7" w:rsidRPr="00590EFA">
              <w:rPr>
                <w:rFonts w:asciiTheme="majorEastAsia" w:hAnsiTheme="majorEastAsia" w:cstheme="majorEastAsia"/>
                <w:color w:val="000000" w:themeColor="text1"/>
                <w:sz w:val="18"/>
                <w:szCs w:val="18"/>
                <w:lang w:val="en-GB"/>
              </w:rPr>
              <w:t xml:space="preserve">es </w:t>
            </w:r>
            <w:r w:rsidR="00C61AA8">
              <w:rPr>
                <w:rFonts w:asciiTheme="majorEastAsia" w:hAnsiTheme="majorEastAsia" w:cstheme="majorEastAsia"/>
                <w:color w:val="000000" w:themeColor="text1"/>
                <w:sz w:val="18"/>
                <w:szCs w:val="18"/>
                <w:lang w:val="en-GB"/>
              </w:rPr>
              <w:t>B</w:t>
            </w:r>
            <w:r w:rsidR="00EB06B7" w:rsidRPr="00590EFA">
              <w:rPr>
                <w:rFonts w:asciiTheme="majorEastAsia" w:hAnsiTheme="majorEastAsia" w:cstheme="majorEastAsia"/>
                <w:color w:val="000000" w:themeColor="text1"/>
                <w:sz w:val="18"/>
                <w:szCs w:val="18"/>
                <w:lang w:val="en-GB"/>
              </w:rPr>
              <w:t>iotechnologies</w:t>
            </w:r>
            <w:r w:rsidRPr="00590EFA">
              <w:rPr>
                <w:rFonts w:asciiTheme="majorEastAsia" w:hAnsiTheme="majorEastAsia" w:cstheme="majorEastAsia"/>
                <w:color w:val="000000" w:themeColor="text1"/>
                <w:sz w:val="18"/>
                <w:szCs w:val="18"/>
                <w:lang w:val="en-GB"/>
              </w:rPr>
              <w:t xml:space="preserve">, 2017). In the case of disease-transmitting mosquitoes, model predictions suggest that it is unlikely that population suppression strategies would </w:t>
            </w:r>
            <w:proofErr w:type="gramStart"/>
            <w:r w:rsidRPr="00590EFA">
              <w:rPr>
                <w:rFonts w:asciiTheme="majorEastAsia" w:hAnsiTheme="majorEastAsia" w:cstheme="majorEastAsia"/>
                <w:color w:val="000000" w:themeColor="text1"/>
                <w:sz w:val="18"/>
                <w:szCs w:val="18"/>
                <w:lang w:val="en-GB"/>
              </w:rPr>
              <w:t>completely eliminate</w:t>
            </w:r>
            <w:proofErr w:type="gramEnd"/>
            <w:r w:rsidRPr="00590EFA">
              <w:rPr>
                <w:rFonts w:asciiTheme="majorEastAsia" w:hAnsiTheme="majorEastAsia" w:cstheme="majorEastAsia"/>
                <w:color w:val="000000" w:themeColor="text1"/>
                <w:sz w:val="18"/>
                <w:szCs w:val="18"/>
                <w:lang w:val="en-GB"/>
              </w:rPr>
              <w:t xml:space="preserve"> a species in the field (North and others, 2019). Strategies aiming for population suppression from a single release would require the genetic modification of interest to persist, </w:t>
            </w:r>
            <w:proofErr w:type="gramStart"/>
            <w:r w:rsidRPr="00590EFA">
              <w:rPr>
                <w:rFonts w:asciiTheme="majorEastAsia" w:hAnsiTheme="majorEastAsia" w:cstheme="majorEastAsia"/>
                <w:color w:val="000000" w:themeColor="text1"/>
                <w:sz w:val="18"/>
                <w:szCs w:val="18"/>
                <w:lang w:val="en-GB"/>
              </w:rPr>
              <w:t>despite the fact that</w:t>
            </w:r>
            <w:proofErr w:type="gramEnd"/>
            <w:r w:rsidRPr="00590EFA">
              <w:rPr>
                <w:rFonts w:asciiTheme="majorEastAsia" w:hAnsiTheme="majorEastAsia" w:cstheme="majorEastAsia"/>
                <w:color w:val="000000" w:themeColor="text1"/>
                <w:sz w:val="18"/>
                <w:szCs w:val="18"/>
                <w:lang w:val="en-GB"/>
              </w:rPr>
              <w:t xml:space="preserve"> EGD-LMMs are expected to decrease to low numbers as the overall target population is reduced. Alternatively, repeated releases over time would be required to reach and maintain suppression.</w:t>
            </w:r>
          </w:p>
          <w:p w14:paraId="41EAD948" w14:textId="66993A16" w:rsidR="00CD09BE" w:rsidRPr="003A2EEC" w:rsidRDefault="00CD09BE" w:rsidP="00CD09BE">
            <w:pPr>
              <w:pStyle w:val="ListParagraph"/>
              <w:numPr>
                <w:ilvl w:val="0"/>
                <w:numId w:val="100"/>
              </w:numPr>
              <w:spacing w:line="276" w:lineRule="auto"/>
              <w:ind w:left="340" w:right="-20"/>
              <w:rPr>
                <w:rFonts w:asciiTheme="majorEastAsia" w:hAnsiTheme="majorEastAsia" w:cstheme="majorEastAsia"/>
                <w:color w:val="000000" w:themeColor="text1"/>
                <w:sz w:val="18"/>
                <w:szCs w:val="18"/>
                <w:lang w:val="en-GB"/>
              </w:rPr>
            </w:pPr>
            <w:r w:rsidRPr="00590EFA">
              <w:rPr>
                <w:rFonts w:asciiTheme="majorEastAsia" w:hAnsiTheme="majorEastAsia" w:cstheme="majorEastAsia"/>
                <w:color w:val="000000" w:themeColor="text1"/>
                <w:sz w:val="18"/>
                <w:szCs w:val="18"/>
                <w:lang w:val="en-GB"/>
              </w:rPr>
              <w:t xml:space="preserve">Population modification strategies are used to modify a current genotype with one that is designed to be less able to transmit disease (impaired vector competence), or that is more resistant to pathogen infection (disease refractory) (Franz and others, 2006; Mathur and others, 2010; Hedge and Hughes, 2017; </w:t>
            </w:r>
            <w:proofErr w:type="spellStart"/>
            <w:r w:rsidRPr="00590EFA">
              <w:rPr>
                <w:rFonts w:asciiTheme="majorEastAsia" w:hAnsiTheme="majorEastAsia" w:cstheme="majorEastAsia"/>
                <w:color w:val="000000" w:themeColor="text1"/>
                <w:sz w:val="18"/>
                <w:szCs w:val="18"/>
                <w:lang w:val="en-GB"/>
              </w:rPr>
              <w:t>Jupatanakul</w:t>
            </w:r>
            <w:proofErr w:type="spellEnd"/>
            <w:r w:rsidRPr="00590EFA">
              <w:rPr>
                <w:rFonts w:asciiTheme="majorEastAsia" w:hAnsiTheme="majorEastAsia" w:cstheme="majorEastAsia"/>
                <w:color w:val="000000" w:themeColor="text1"/>
                <w:sz w:val="18"/>
                <w:szCs w:val="18"/>
                <w:lang w:val="en-GB"/>
              </w:rPr>
              <w:t xml:space="preserve"> and others, 2017; </w:t>
            </w:r>
            <w:proofErr w:type="spellStart"/>
            <w:r w:rsidRPr="00590EFA">
              <w:rPr>
                <w:rFonts w:asciiTheme="majorEastAsia" w:hAnsiTheme="majorEastAsia" w:cstheme="majorEastAsia"/>
                <w:color w:val="000000" w:themeColor="text1"/>
                <w:sz w:val="18"/>
                <w:szCs w:val="18"/>
                <w:lang w:val="en-GB"/>
              </w:rPr>
              <w:t>Carballar-Lejarazú</w:t>
            </w:r>
            <w:proofErr w:type="spellEnd"/>
            <w:r w:rsidRPr="00590EFA">
              <w:rPr>
                <w:rFonts w:asciiTheme="majorEastAsia" w:hAnsiTheme="majorEastAsia" w:cstheme="majorEastAsia"/>
                <w:color w:val="000000" w:themeColor="text1"/>
                <w:sz w:val="18"/>
                <w:szCs w:val="18"/>
                <w:lang w:val="en-GB"/>
              </w:rPr>
              <w:t xml:space="preserve"> and James, </w:t>
            </w:r>
            <w:r w:rsidR="005503DF">
              <w:rPr>
                <w:rFonts w:asciiTheme="majorEastAsia" w:hAnsiTheme="majorEastAsia" w:cstheme="majorEastAsia"/>
                <w:color w:val="000000" w:themeColor="text1"/>
                <w:sz w:val="18"/>
                <w:szCs w:val="18"/>
                <w:lang w:val="en-GB"/>
              </w:rPr>
              <w:t xml:space="preserve">2017; </w:t>
            </w:r>
            <w:proofErr w:type="spellStart"/>
            <w:r w:rsidR="005503DF" w:rsidRPr="00590EFA">
              <w:rPr>
                <w:rFonts w:asciiTheme="majorEastAsia" w:hAnsiTheme="majorEastAsia" w:cstheme="majorEastAsia"/>
                <w:color w:val="000000" w:themeColor="text1"/>
                <w:sz w:val="18"/>
                <w:szCs w:val="18"/>
                <w:lang w:val="en-GB"/>
              </w:rPr>
              <w:t>Carballar-Lejarazú</w:t>
            </w:r>
            <w:proofErr w:type="spellEnd"/>
            <w:r w:rsidR="005503DF">
              <w:rPr>
                <w:rFonts w:asciiTheme="majorEastAsia" w:hAnsiTheme="majorEastAsia" w:cstheme="majorEastAsia"/>
                <w:color w:val="000000" w:themeColor="text1"/>
                <w:sz w:val="18"/>
                <w:szCs w:val="18"/>
                <w:lang w:val="en-GB"/>
              </w:rPr>
              <w:t xml:space="preserve"> and </w:t>
            </w:r>
            <w:r w:rsidRPr="00590EFA">
              <w:rPr>
                <w:rFonts w:asciiTheme="majorEastAsia" w:hAnsiTheme="majorEastAsia" w:cstheme="majorEastAsia"/>
                <w:color w:val="000000" w:themeColor="text1"/>
                <w:sz w:val="18"/>
                <w:szCs w:val="18"/>
                <w:lang w:val="en-GB"/>
              </w:rPr>
              <w:t>others 2020; Buchman and others, 2019, 202</w:t>
            </w:r>
            <w:r w:rsidR="003A1244">
              <w:rPr>
                <w:rFonts w:asciiTheme="majorEastAsia" w:hAnsiTheme="majorEastAsia" w:cstheme="majorEastAsia"/>
                <w:color w:val="000000" w:themeColor="text1"/>
                <w:sz w:val="18"/>
                <w:szCs w:val="18"/>
                <w:lang w:val="en-GB"/>
              </w:rPr>
              <w:t>1</w:t>
            </w:r>
            <w:r w:rsidRPr="00590EFA">
              <w:rPr>
                <w:rFonts w:asciiTheme="majorEastAsia" w:hAnsiTheme="majorEastAsia" w:cstheme="majorEastAsia"/>
                <w:color w:val="000000" w:themeColor="text1"/>
                <w:sz w:val="18"/>
                <w:szCs w:val="18"/>
                <w:lang w:val="en-GB"/>
              </w:rPr>
              <w:t xml:space="preserve">; Pham and others, 2019). These strategies can be based on the inactivation of a gene or genes that are required for the target organism to transmit the pathogen (e.g., a tendency to feed on humans in the case of mosquitoes), or that are involved in pathogen survival in the mosquito. They can also involve the introduction of a new gene or genes, such as those that produce molecules that block pathogen development, or that kill the pathogen in the mosquito (Gantz and others, 2015; </w:t>
            </w:r>
            <w:proofErr w:type="spellStart"/>
            <w:r w:rsidRPr="00590EFA">
              <w:rPr>
                <w:rFonts w:asciiTheme="majorEastAsia" w:hAnsiTheme="majorEastAsia" w:cstheme="majorEastAsia"/>
                <w:color w:val="000000" w:themeColor="text1"/>
                <w:sz w:val="18"/>
                <w:szCs w:val="18"/>
                <w:lang w:val="en-GB"/>
              </w:rPr>
              <w:t>Lejarazú</w:t>
            </w:r>
            <w:proofErr w:type="spellEnd"/>
            <w:r w:rsidRPr="00590EFA">
              <w:rPr>
                <w:rFonts w:asciiTheme="majorEastAsia" w:hAnsiTheme="majorEastAsia" w:cstheme="majorEastAsia"/>
                <w:color w:val="000000" w:themeColor="text1"/>
                <w:sz w:val="18"/>
                <w:szCs w:val="18"/>
                <w:lang w:val="en-GB"/>
              </w:rPr>
              <w:t xml:space="preserve"> and James, 2017; James and others, 2018; Hoermann and others, 202</w:t>
            </w:r>
            <w:r w:rsidR="00550821" w:rsidRPr="00590EFA">
              <w:rPr>
                <w:rFonts w:asciiTheme="majorEastAsia" w:hAnsiTheme="majorEastAsia" w:cstheme="majorEastAsia"/>
                <w:color w:val="000000" w:themeColor="text1"/>
                <w:sz w:val="18"/>
                <w:szCs w:val="18"/>
                <w:lang w:val="en-GB"/>
              </w:rPr>
              <w:t>1</w:t>
            </w:r>
            <w:r w:rsidRPr="00590EFA">
              <w:rPr>
                <w:rFonts w:asciiTheme="majorEastAsia" w:hAnsiTheme="majorEastAsia" w:cstheme="majorEastAsia"/>
                <w:color w:val="000000" w:themeColor="text1"/>
                <w:sz w:val="18"/>
                <w:szCs w:val="18"/>
                <w:lang w:val="en-GB"/>
              </w:rPr>
              <w:t>).</w:t>
            </w:r>
            <w:r w:rsidRPr="003A2EEC">
              <w:rPr>
                <w:rFonts w:asciiTheme="majorEastAsia" w:hAnsiTheme="majorEastAsia" w:cstheme="majorEastAsia"/>
                <w:color w:val="000000" w:themeColor="text1"/>
                <w:sz w:val="18"/>
                <w:szCs w:val="18"/>
                <w:lang w:val="en-GB"/>
              </w:rPr>
              <w:t xml:space="preserve"> </w:t>
            </w:r>
            <w:proofErr w:type="gramStart"/>
            <w:r w:rsidRPr="003A2EEC">
              <w:rPr>
                <w:rFonts w:asciiTheme="majorEastAsia" w:hAnsiTheme="majorEastAsia" w:cstheme="majorEastAsia"/>
                <w:color w:val="000000" w:themeColor="text1"/>
                <w:sz w:val="18"/>
                <w:szCs w:val="18"/>
                <w:lang w:val="en-GB"/>
              </w:rPr>
              <w:t>In order to</w:t>
            </w:r>
            <w:proofErr w:type="gramEnd"/>
            <w:r w:rsidRPr="003A2EEC">
              <w:rPr>
                <w:rFonts w:asciiTheme="majorEastAsia" w:hAnsiTheme="majorEastAsia" w:cstheme="majorEastAsia"/>
                <w:color w:val="000000" w:themeColor="text1"/>
                <w:sz w:val="18"/>
                <w:szCs w:val="18"/>
                <w:lang w:val="en-GB"/>
              </w:rPr>
              <w:t xml:space="preserve"> be spread by an EGD, cargo/payload genes must be co-inherited with </w:t>
            </w:r>
            <w:r w:rsidRPr="003A2EEC">
              <w:rPr>
                <w:rFonts w:asciiTheme="majorEastAsia" w:hAnsiTheme="majorEastAsia" w:cstheme="majorEastAsia"/>
                <w:color w:val="000000" w:themeColor="text1"/>
                <w:sz w:val="18"/>
                <w:szCs w:val="18"/>
                <w:lang w:val="en-GB"/>
              </w:rPr>
              <w:lastRenderedPageBreak/>
              <w:t>the EGD (i.e., be genetically linked to it). Strategies aiming for population modification require the genetic modification of interest to persist (</w:t>
            </w:r>
            <w:r w:rsidRPr="003A1244">
              <w:rPr>
                <w:rFonts w:asciiTheme="majorEastAsia" w:hAnsiTheme="majorEastAsia" w:cstheme="majorEastAsia"/>
                <w:color w:val="000000" w:themeColor="text1"/>
                <w:sz w:val="18"/>
                <w:szCs w:val="18"/>
                <w:lang w:val="en-GB"/>
              </w:rPr>
              <w:t>James and others, 2018</w:t>
            </w:r>
            <w:r w:rsidRPr="003A2EEC">
              <w:rPr>
                <w:rFonts w:asciiTheme="majorEastAsia" w:hAnsiTheme="majorEastAsia" w:cstheme="majorEastAsia"/>
                <w:color w:val="000000" w:themeColor="text1"/>
                <w:sz w:val="18"/>
                <w:szCs w:val="18"/>
                <w:lang w:val="en-GB"/>
              </w:rPr>
              <w:t>).</w:t>
            </w:r>
          </w:p>
          <w:p w14:paraId="699E77DE" w14:textId="1C96E2DD" w:rsidR="00CD09BE" w:rsidRPr="003A2EEC" w:rsidRDefault="00CD09BE" w:rsidP="00CD09BE">
            <w:pPr>
              <w:spacing w:line="276" w:lineRule="auto"/>
              <w:ind w:left="-20" w:right="-20"/>
              <w:jc w:val="both"/>
              <w:rPr>
                <w:rFonts w:asciiTheme="majorEastAsia" w:hAnsiTheme="majorEastAsia" w:cstheme="majorEastAsia"/>
                <w:color w:val="000000" w:themeColor="text1"/>
                <w:sz w:val="18"/>
                <w:szCs w:val="18"/>
              </w:rPr>
            </w:pPr>
            <w:r w:rsidRPr="003A2EEC">
              <w:rPr>
                <w:rFonts w:asciiTheme="majorEastAsia" w:hAnsiTheme="majorEastAsia" w:cstheme="majorEastAsia"/>
                <w:color w:val="000000" w:themeColor="text1"/>
                <w:sz w:val="18"/>
                <w:szCs w:val="18"/>
              </w:rPr>
              <w:t xml:space="preserve">Depending on the design of the EGD system (whose composition and mode of action are diverse), the genetic modification of interest could spread through interbreeding target populations (non-localised) and persist indefinitely (self-sustaining) or be restricted in its spread (localised) or persistence (self-limiting). </w:t>
            </w:r>
          </w:p>
          <w:p w14:paraId="7F69823F" w14:textId="615C1C9D" w:rsidR="00CD09BE" w:rsidRPr="003A2EEC" w:rsidRDefault="00CD09BE" w:rsidP="00CD09BE">
            <w:pPr>
              <w:pStyle w:val="ListParagraph"/>
              <w:numPr>
                <w:ilvl w:val="0"/>
                <w:numId w:val="100"/>
              </w:numPr>
              <w:spacing w:line="276" w:lineRule="auto"/>
              <w:ind w:left="340" w:right="-20"/>
              <w:rPr>
                <w:rFonts w:asciiTheme="majorEastAsia" w:hAnsiTheme="majorEastAsia" w:cstheme="majorEastAsia"/>
                <w:color w:val="000000" w:themeColor="text1"/>
                <w:sz w:val="18"/>
                <w:szCs w:val="18"/>
                <w:lang w:val="en-GB"/>
              </w:rPr>
            </w:pPr>
            <w:r w:rsidRPr="003A2EEC">
              <w:rPr>
                <w:rFonts w:asciiTheme="majorEastAsia" w:hAnsiTheme="majorEastAsia" w:cstheme="majorEastAsia"/>
                <w:color w:val="000000" w:themeColor="text1"/>
                <w:sz w:val="18"/>
                <w:szCs w:val="18"/>
                <w:lang w:val="en-GB"/>
              </w:rPr>
              <w:t>Self-sustaining engineered gene drive systems can be described as those in which the genetic modification is intended to become stably established in target populations. They can be designed to spread a genetic modification of interest in target populations rapidly, widely and for an indeterminate time or until the target population is eliminated (</w:t>
            </w:r>
            <w:proofErr w:type="spellStart"/>
            <w:r w:rsidRPr="003A1244">
              <w:rPr>
                <w:rFonts w:asciiTheme="majorEastAsia" w:hAnsiTheme="majorEastAsia" w:cstheme="majorEastAsia"/>
                <w:color w:val="000000" w:themeColor="text1"/>
                <w:sz w:val="18"/>
                <w:szCs w:val="18"/>
                <w:lang w:val="en-GB"/>
              </w:rPr>
              <w:t>Alphey</w:t>
            </w:r>
            <w:proofErr w:type="spellEnd"/>
            <w:r w:rsidRPr="003A1244">
              <w:rPr>
                <w:rFonts w:asciiTheme="majorEastAsia" w:hAnsiTheme="majorEastAsia" w:cstheme="majorEastAsia"/>
                <w:color w:val="000000" w:themeColor="text1"/>
                <w:sz w:val="18"/>
                <w:szCs w:val="18"/>
                <w:lang w:val="en-GB"/>
              </w:rPr>
              <w:t>, 2014</w:t>
            </w:r>
            <w:r w:rsidRPr="003A2EEC">
              <w:rPr>
                <w:rFonts w:asciiTheme="majorEastAsia" w:hAnsiTheme="majorEastAsia" w:cstheme="majorEastAsia"/>
                <w:color w:val="000000" w:themeColor="text1"/>
                <w:sz w:val="18"/>
                <w:szCs w:val="18"/>
                <w:lang w:val="en-GB"/>
              </w:rPr>
              <w:t>). Since self-sustaining EGDs can be engineered to be spatially and temporally unrestricted (non-localised and persistent, respectively), they could move to any interbreeding target population that has vertical gene flow with the target population where the EGD-LMMs are released, within a relevant timeframe (</w:t>
            </w:r>
            <w:r w:rsidRPr="003A1244">
              <w:rPr>
                <w:rFonts w:asciiTheme="majorEastAsia" w:hAnsiTheme="majorEastAsia" w:cstheme="majorEastAsia"/>
                <w:color w:val="000000" w:themeColor="text1"/>
                <w:sz w:val="18"/>
                <w:szCs w:val="18"/>
                <w:lang w:val="en-GB"/>
              </w:rPr>
              <w:t>Noble and others, 2018</w:t>
            </w:r>
            <w:r w:rsidRPr="003A2EEC">
              <w:rPr>
                <w:rFonts w:asciiTheme="majorEastAsia" w:hAnsiTheme="majorEastAsia" w:cstheme="majorEastAsia"/>
                <w:color w:val="000000" w:themeColor="text1"/>
                <w:sz w:val="18"/>
                <w:szCs w:val="18"/>
                <w:lang w:val="en-GB"/>
              </w:rPr>
              <w:t>). Once established, such self</w:t>
            </w:r>
            <w:r w:rsidRPr="003A2EEC">
              <w:rPr>
                <w:rFonts w:ascii="Cambria Math" w:hAnsi="Cambria Math" w:cs="Cambria Math"/>
                <w:color w:val="000000" w:themeColor="text1"/>
                <w:sz w:val="18"/>
                <w:szCs w:val="18"/>
                <w:lang w:val="en-GB"/>
              </w:rPr>
              <w:t>‐</w:t>
            </w:r>
            <w:r w:rsidRPr="003A2EEC">
              <w:rPr>
                <w:rFonts w:asciiTheme="majorEastAsia" w:hAnsiTheme="majorEastAsia" w:cstheme="majorEastAsia"/>
                <w:color w:val="000000" w:themeColor="text1"/>
                <w:sz w:val="18"/>
                <w:szCs w:val="18"/>
                <w:lang w:val="en-GB"/>
              </w:rPr>
              <w:t xml:space="preserve">sustaining approaches are intended to be relatively stable and require only smaller and infrequent secondary releases. </w:t>
            </w:r>
          </w:p>
          <w:p w14:paraId="0DB69BBB" w14:textId="77777777" w:rsidR="00CD09BE" w:rsidRPr="003A2EEC" w:rsidRDefault="00CD09BE" w:rsidP="00CD09BE">
            <w:pPr>
              <w:pStyle w:val="ListParagraph"/>
              <w:numPr>
                <w:ilvl w:val="0"/>
                <w:numId w:val="100"/>
              </w:numPr>
              <w:spacing w:line="276" w:lineRule="auto"/>
              <w:ind w:left="340" w:right="-20"/>
              <w:rPr>
                <w:rFonts w:asciiTheme="majorEastAsia" w:hAnsiTheme="majorEastAsia" w:cstheme="majorEastAsia"/>
                <w:color w:val="000000" w:themeColor="text1"/>
                <w:sz w:val="18"/>
                <w:szCs w:val="18"/>
                <w:lang w:val="en-GB"/>
              </w:rPr>
            </w:pPr>
            <w:r w:rsidRPr="003A2EEC">
              <w:rPr>
                <w:rFonts w:asciiTheme="majorEastAsia" w:hAnsiTheme="majorEastAsia" w:cstheme="majorEastAsia"/>
                <w:color w:val="000000" w:themeColor="text1"/>
                <w:sz w:val="18"/>
                <w:szCs w:val="18"/>
                <w:lang w:val="en-GB"/>
              </w:rPr>
              <w:t>Self-limiting engineered gene drive systems can be described as those in which the genetic modification of interest is expected to be temporally limited (transient) and disappears from the target population in the absence of additional periodic releases. The number of generations over which the genetic modification of interest will remain apparent will vary according to the genetic control system employed. Conceptually, EGDs could be engineered to increase the frequency of the genetic modification of interest in a population for a limited number of generations, after which the frequency of the genetic modification of interest in the population decreases and is then lost from the target population. Genetic modifications of interest could either be those that change harmful population characteristics or suppress population density (</w:t>
            </w:r>
            <w:r w:rsidRPr="003A1244">
              <w:rPr>
                <w:rFonts w:asciiTheme="majorEastAsia" w:hAnsiTheme="majorEastAsia" w:cstheme="majorEastAsia"/>
                <w:color w:val="000000" w:themeColor="text1"/>
                <w:sz w:val="18"/>
                <w:szCs w:val="18"/>
                <w:lang w:val="en-GB"/>
              </w:rPr>
              <w:t>Gould and others, 2008</w:t>
            </w:r>
            <w:r w:rsidRPr="003A2EEC">
              <w:rPr>
                <w:rFonts w:asciiTheme="majorEastAsia" w:hAnsiTheme="majorEastAsia" w:cstheme="majorEastAsia"/>
                <w:color w:val="000000" w:themeColor="text1"/>
                <w:sz w:val="18"/>
                <w:szCs w:val="18"/>
                <w:lang w:val="en-GB"/>
              </w:rPr>
              <w:t xml:space="preserve">; </w:t>
            </w:r>
            <w:r w:rsidRPr="003A1244">
              <w:rPr>
                <w:rFonts w:asciiTheme="majorEastAsia" w:hAnsiTheme="majorEastAsia" w:cstheme="majorEastAsia"/>
                <w:color w:val="000000" w:themeColor="text1"/>
                <w:sz w:val="18"/>
                <w:szCs w:val="18"/>
                <w:lang w:val="en-GB"/>
              </w:rPr>
              <w:t>Noble and others, 2019</w:t>
            </w:r>
            <w:r w:rsidRPr="003A2EEC">
              <w:rPr>
                <w:rFonts w:asciiTheme="majorEastAsia" w:hAnsiTheme="majorEastAsia" w:cstheme="majorEastAsia"/>
                <w:color w:val="000000" w:themeColor="text1"/>
                <w:sz w:val="18"/>
                <w:szCs w:val="18"/>
                <w:lang w:val="en-GB"/>
              </w:rPr>
              <w:t>).</w:t>
            </w:r>
          </w:p>
          <w:p w14:paraId="31811DB1" w14:textId="14845CEC" w:rsidR="00CD09BE" w:rsidRPr="003A2EEC" w:rsidRDefault="00CD09BE" w:rsidP="00CD09BE">
            <w:pPr>
              <w:spacing w:line="276" w:lineRule="auto"/>
              <w:ind w:left="-20" w:right="-20"/>
              <w:jc w:val="both"/>
              <w:rPr>
                <w:rFonts w:asciiTheme="majorEastAsia" w:hAnsiTheme="majorEastAsia" w:cstheme="majorEastAsia"/>
                <w:color w:val="000000" w:themeColor="text1"/>
                <w:sz w:val="18"/>
                <w:szCs w:val="18"/>
              </w:rPr>
            </w:pPr>
            <w:r w:rsidRPr="003A2EEC">
              <w:rPr>
                <w:rFonts w:asciiTheme="majorEastAsia" w:hAnsiTheme="majorEastAsia" w:cstheme="majorEastAsia"/>
                <w:color w:val="000000" w:themeColor="text1"/>
                <w:sz w:val="18"/>
                <w:szCs w:val="18"/>
              </w:rPr>
              <w:t xml:space="preserve">Inherent in many EGD systems is the requirement for individuals to be released above a certain threshold frequency before they will drive the genetic modification of interest through the target population </w:t>
            </w:r>
            <w:r w:rsidRPr="003A1244">
              <w:rPr>
                <w:rFonts w:asciiTheme="majorEastAsia" w:hAnsiTheme="majorEastAsia" w:cstheme="majorEastAsia"/>
                <w:color w:val="000000" w:themeColor="text1"/>
                <w:sz w:val="18"/>
                <w:szCs w:val="18"/>
              </w:rPr>
              <w:t>(</w:t>
            </w:r>
            <w:proofErr w:type="spellStart"/>
            <w:r w:rsidRPr="003A1244">
              <w:rPr>
                <w:rFonts w:asciiTheme="majorEastAsia" w:hAnsiTheme="majorEastAsia" w:cstheme="majorEastAsia"/>
                <w:color w:val="000000" w:themeColor="text1"/>
                <w:sz w:val="18"/>
                <w:szCs w:val="18"/>
              </w:rPr>
              <w:t>Alphey</w:t>
            </w:r>
            <w:proofErr w:type="spellEnd"/>
            <w:r w:rsidRPr="003A1244">
              <w:rPr>
                <w:rFonts w:asciiTheme="majorEastAsia" w:hAnsiTheme="majorEastAsia" w:cstheme="majorEastAsia"/>
                <w:color w:val="000000" w:themeColor="text1"/>
                <w:sz w:val="18"/>
                <w:szCs w:val="18"/>
              </w:rPr>
              <w:t>, 2014; Leftwich and others, 2018;</w:t>
            </w:r>
            <w:r w:rsidRPr="003A2EEC">
              <w:rPr>
                <w:rFonts w:asciiTheme="majorEastAsia" w:hAnsiTheme="majorEastAsia" w:cstheme="majorEastAsia"/>
                <w:color w:val="000000" w:themeColor="text1"/>
                <w:sz w:val="18"/>
                <w:szCs w:val="18"/>
              </w:rPr>
              <w:t xml:space="preserve"> </w:t>
            </w:r>
            <w:r w:rsidRPr="003A1244">
              <w:rPr>
                <w:rFonts w:asciiTheme="majorEastAsia" w:hAnsiTheme="majorEastAsia" w:cstheme="majorEastAsia"/>
                <w:color w:val="000000" w:themeColor="text1"/>
                <w:sz w:val="18"/>
                <w:szCs w:val="18"/>
              </w:rPr>
              <w:t xml:space="preserve">Backus and </w:t>
            </w:r>
            <w:proofErr w:type="spellStart"/>
            <w:r w:rsidRPr="003A1244">
              <w:rPr>
                <w:rFonts w:asciiTheme="majorEastAsia" w:hAnsiTheme="majorEastAsia" w:cstheme="majorEastAsia"/>
                <w:color w:val="000000" w:themeColor="text1"/>
                <w:sz w:val="18"/>
                <w:szCs w:val="18"/>
              </w:rPr>
              <w:t>Delborne</w:t>
            </w:r>
            <w:proofErr w:type="spellEnd"/>
            <w:r w:rsidRPr="003A1244">
              <w:rPr>
                <w:rFonts w:asciiTheme="majorEastAsia" w:hAnsiTheme="majorEastAsia" w:cstheme="majorEastAsia"/>
                <w:color w:val="000000" w:themeColor="text1"/>
                <w:sz w:val="18"/>
                <w:szCs w:val="18"/>
              </w:rPr>
              <w:t>, 2019</w:t>
            </w:r>
            <w:r w:rsidRPr="003A2EEC">
              <w:rPr>
                <w:rFonts w:asciiTheme="majorEastAsia" w:hAnsiTheme="majorEastAsia" w:cstheme="majorEastAsia"/>
                <w:color w:val="000000" w:themeColor="text1"/>
                <w:sz w:val="18"/>
                <w:szCs w:val="18"/>
              </w:rPr>
              <w:t xml:space="preserve">; </w:t>
            </w:r>
            <w:r w:rsidRPr="003A1244">
              <w:rPr>
                <w:rFonts w:asciiTheme="majorEastAsia" w:hAnsiTheme="majorEastAsia" w:cstheme="majorEastAsia"/>
                <w:color w:val="000000" w:themeColor="text1"/>
                <w:sz w:val="18"/>
                <w:szCs w:val="18"/>
              </w:rPr>
              <w:t>Dhole and others, 2020</w:t>
            </w:r>
            <w:r w:rsidRPr="003A2EEC">
              <w:rPr>
                <w:rFonts w:asciiTheme="majorEastAsia" w:hAnsiTheme="majorEastAsia" w:cstheme="majorEastAsia"/>
                <w:color w:val="000000" w:themeColor="text1"/>
                <w:sz w:val="18"/>
                <w:szCs w:val="18"/>
              </w:rPr>
              <w:t xml:space="preserve">). This threshold refers to the proportion of EGD-LMM individuals with respect to the total target population that will reliably initiate spread of the genetic modification of interest. This threshold is determined as a combination of the action of the EGD system and its fitness load </w:t>
            </w:r>
            <w:r w:rsidRPr="003A1244">
              <w:rPr>
                <w:rFonts w:asciiTheme="majorEastAsia" w:hAnsiTheme="majorEastAsia" w:cstheme="majorEastAsia"/>
                <w:color w:val="000000" w:themeColor="text1"/>
                <w:sz w:val="18"/>
                <w:szCs w:val="18"/>
              </w:rPr>
              <w:t>(</w:t>
            </w:r>
            <w:proofErr w:type="spellStart"/>
            <w:r w:rsidRPr="003A1244">
              <w:rPr>
                <w:rFonts w:asciiTheme="majorEastAsia" w:hAnsiTheme="majorEastAsia" w:cstheme="majorEastAsia"/>
                <w:color w:val="000000" w:themeColor="text1"/>
                <w:sz w:val="18"/>
                <w:szCs w:val="18"/>
              </w:rPr>
              <w:t>Alphey</w:t>
            </w:r>
            <w:proofErr w:type="spellEnd"/>
            <w:r w:rsidRPr="003A1244">
              <w:rPr>
                <w:rFonts w:asciiTheme="majorEastAsia" w:hAnsiTheme="majorEastAsia" w:cstheme="majorEastAsia"/>
                <w:color w:val="000000" w:themeColor="text1"/>
                <w:sz w:val="18"/>
                <w:szCs w:val="18"/>
              </w:rPr>
              <w:t>, 2014; Leftwich and others, 2018</w:t>
            </w:r>
            <w:r w:rsidRPr="003A2EEC">
              <w:rPr>
                <w:rFonts w:asciiTheme="majorEastAsia" w:hAnsiTheme="majorEastAsia" w:cstheme="majorEastAsia"/>
                <w:color w:val="000000" w:themeColor="text1"/>
                <w:sz w:val="18"/>
                <w:szCs w:val="18"/>
              </w:rPr>
              <w:t xml:space="preserve">). </w:t>
            </w:r>
          </w:p>
          <w:p w14:paraId="415CD117" w14:textId="77777777" w:rsidR="00CD09BE" w:rsidRPr="003A2EEC" w:rsidRDefault="00CD09BE" w:rsidP="00CD09BE">
            <w:pPr>
              <w:pStyle w:val="ListParagraph"/>
              <w:numPr>
                <w:ilvl w:val="0"/>
                <w:numId w:val="100"/>
              </w:numPr>
              <w:spacing w:line="276" w:lineRule="auto"/>
              <w:ind w:left="340" w:right="-20"/>
              <w:rPr>
                <w:rFonts w:asciiTheme="majorEastAsia" w:hAnsiTheme="majorEastAsia" w:cstheme="majorEastAsia"/>
                <w:color w:val="000000" w:themeColor="text1"/>
                <w:sz w:val="18"/>
                <w:szCs w:val="18"/>
                <w:lang w:val="en-GB"/>
              </w:rPr>
            </w:pPr>
            <w:r w:rsidRPr="003A2EEC">
              <w:rPr>
                <w:rFonts w:asciiTheme="majorEastAsia" w:hAnsiTheme="majorEastAsia" w:cstheme="majorEastAsia"/>
                <w:color w:val="000000" w:themeColor="text1"/>
                <w:sz w:val="18"/>
                <w:szCs w:val="18"/>
                <w:lang w:val="en-GB"/>
              </w:rPr>
              <w:t>Low threshold (non-localised) EGDs may spread from very low initial population frequencies, requiring only a small number of EGD-LMM individuals to be released to spread (</w:t>
            </w:r>
            <w:r w:rsidRPr="003A1244">
              <w:rPr>
                <w:rFonts w:asciiTheme="majorEastAsia" w:hAnsiTheme="majorEastAsia" w:cstheme="majorEastAsia"/>
                <w:color w:val="000000" w:themeColor="text1"/>
                <w:sz w:val="18"/>
                <w:szCs w:val="18"/>
                <w:lang w:val="en-GB"/>
              </w:rPr>
              <w:t>Noble and others, 2018</w:t>
            </w:r>
            <w:r w:rsidRPr="003A2EEC">
              <w:rPr>
                <w:rFonts w:asciiTheme="majorEastAsia" w:hAnsiTheme="majorEastAsia" w:cstheme="majorEastAsia"/>
                <w:color w:val="000000" w:themeColor="text1"/>
                <w:sz w:val="18"/>
                <w:szCs w:val="18"/>
                <w:lang w:val="en-GB"/>
              </w:rPr>
              <w:t>). Such types of EGDs have a higher potential to spread into neighbouring populations for an indeterminate time (</w:t>
            </w:r>
            <w:proofErr w:type="spellStart"/>
            <w:r w:rsidRPr="003A1244">
              <w:rPr>
                <w:rFonts w:asciiTheme="majorEastAsia" w:hAnsiTheme="majorEastAsia" w:cstheme="majorEastAsia"/>
                <w:color w:val="000000" w:themeColor="text1"/>
                <w:sz w:val="18"/>
                <w:szCs w:val="18"/>
                <w:lang w:val="en-GB"/>
              </w:rPr>
              <w:t>Alphey</w:t>
            </w:r>
            <w:proofErr w:type="spellEnd"/>
            <w:r w:rsidRPr="003A1244">
              <w:rPr>
                <w:rFonts w:asciiTheme="majorEastAsia" w:hAnsiTheme="majorEastAsia" w:cstheme="majorEastAsia"/>
                <w:color w:val="000000" w:themeColor="text1"/>
                <w:sz w:val="18"/>
                <w:szCs w:val="18"/>
                <w:lang w:val="en-GB"/>
              </w:rPr>
              <w:t>, 2014</w:t>
            </w:r>
            <w:r w:rsidRPr="003A2EEC">
              <w:rPr>
                <w:rFonts w:asciiTheme="majorEastAsia" w:hAnsiTheme="majorEastAsia" w:cstheme="majorEastAsia"/>
                <w:color w:val="000000" w:themeColor="text1"/>
                <w:sz w:val="18"/>
                <w:szCs w:val="18"/>
                <w:lang w:val="en-GB"/>
              </w:rPr>
              <w:t xml:space="preserve">; </w:t>
            </w:r>
            <w:r w:rsidRPr="003A1244">
              <w:rPr>
                <w:rFonts w:asciiTheme="majorEastAsia" w:hAnsiTheme="majorEastAsia" w:cstheme="majorEastAsia"/>
                <w:color w:val="000000" w:themeColor="text1"/>
                <w:sz w:val="18"/>
                <w:szCs w:val="18"/>
                <w:lang w:val="en-GB"/>
              </w:rPr>
              <w:t>Champer and others, 2016</w:t>
            </w:r>
            <w:r w:rsidRPr="003A2EEC">
              <w:rPr>
                <w:rFonts w:asciiTheme="majorEastAsia" w:hAnsiTheme="majorEastAsia" w:cstheme="majorEastAsia"/>
                <w:color w:val="000000" w:themeColor="text1"/>
                <w:sz w:val="18"/>
                <w:szCs w:val="18"/>
                <w:lang w:val="en-GB"/>
              </w:rPr>
              <w:t xml:space="preserve">). The lower the threshold, the more likely that dispersal of low numbers of EGD-LMM individuals could be sufficient to initiate spread of the genetic modification of interest in neighbouring target populations. </w:t>
            </w:r>
          </w:p>
          <w:p w14:paraId="20CE2544" w14:textId="7E022ED9" w:rsidR="00CD09BE" w:rsidRPr="003A2EEC" w:rsidRDefault="00CD09BE" w:rsidP="00CD09BE">
            <w:pPr>
              <w:pStyle w:val="ListParagraph"/>
              <w:numPr>
                <w:ilvl w:val="0"/>
                <w:numId w:val="100"/>
              </w:numPr>
              <w:spacing w:line="276" w:lineRule="auto"/>
              <w:ind w:left="340" w:right="-20"/>
              <w:rPr>
                <w:rFonts w:asciiTheme="majorEastAsia" w:hAnsiTheme="majorEastAsia" w:cstheme="majorEastAsia"/>
                <w:color w:val="000000" w:themeColor="text1"/>
                <w:sz w:val="18"/>
                <w:szCs w:val="18"/>
                <w:lang w:val="en-GB"/>
              </w:rPr>
            </w:pPr>
            <w:r w:rsidRPr="003A2EEC">
              <w:rPr>
                <w:rFonts w:asciiTheme="majorEastAsia" w:hAnsiTheme="majorEastAsia" w:cstheme="majorEastAsia"/>
                <w:color w:val="000000" w:themeColor="text1"/>
                <w:sz w:val="18"/>
                <w:szCs w:val="18"/>
                <w:lang w:val="en-GB"/>
              </w:rPr>
              <w:t>High threshold (localized) engineered gene drives only spread if the number of EGD-LMM individuals reaches a high proportion in the target population, requiring a larger introduction (or proportion) of EGD-LMM individuals to be successful, compared to threshold independent EGDs. These types of EGDs may enable local confinement. Simple population models predict spread to a high frequency in areas connected to the target area (in which the EGD-LMM individuals would be released broadly) but low levels of dispersal would be inhibited, as the genetic modification of interest fails to reach the threshold frequency needed for drive (</w:t>
            </w:r>
            <w:r w:rsidRPr="003A1244">
              <w:rPr>
                <w:rFonts w:asciiTheme="majorEastAsia" w:hAnsiTheme="majorEastAsia" w:cstheme="majorEastAsia"/>
                <w:color w:val="000000" w:themeColor="text1"/>
                <w:sz w:val="18"/>
                <w:szCs w:val="18"/>
                <w:lang w:val="en-GB"/>
              </w:rPr>
              <w:t>Marshall and Hay, 2012</w:t>
            </w:r>
            <w:r w:rsidRPr="003A2EEC">
              <w:rPr>
                <w:rFonts w:asciiTheme="majorEastAsia" w:hAnsiTheme="majorEastAsia" w:cstheme="majorEastAsia"/>
                <w:color w:val="000000" w:themeColor="text1"/>
                <w:sz w:val="18"/>
                <w:szCs w:val="18"/>
                <w:lang w:val="en-GB"/>
              </w:rPr>
              <w:t xml:space="preserve">). However, as dispersal to neighbouring populations increases, spatial restriction to the targeted population may not be assured (e.g., </w:t>
            </w:r>
            <w:r w:rsidRPr="003A1244">
              <w:rPr>
                <w:rFonts w:asciiTheme="majorEastAsia" w:hAnsiTheme="majorEastAsia" w:cstheme="majorEastAsia"/>
                <w:color w:val="000000" w:themeColor="text1"/>
                <w:sz w:val="18"/>
                <w:szCs w:val="18"/>
                <w:lang w:val="en-GB"/>
              </w:rPr>
              <w:t>Marshall and Hay, 2012; Dhole and others, 2018, 2020</w:t>
            </w:r>
            <w:r w:rsidRPr="003A2EEC">
              <w:rPr>
                <w:rFonts w:asciiTheme="majorEastAsia" w:hAnsiTheme="majorEastAsia" w:cstheme="majorEastAsia"/>
                <w:color w:val="000000" w:themeColor="text1"/>
                <w:sz w:val="18"/>
                <w:szCs w:val="18"/>
                <w:lang w:val="en-GB"/>
              </w:rPr>
              <w:t xml:space="preserve">; </w:t>
            </w:r>
            <w:r w:rsidRPr="003A1244">
              <w:rPr>
                <w:rFonts w:asciiTheme="majorEastAsia" w:hAnsiTheme="majorEastAsia" w:cstheme="majorEastAsia"/>
                <w:color w:val="000000" w:themeColor="text1"/>
                <w:sz w:val="18"/>
                <w:szCs w:val="18"/>
                <w:lang w:val="en-GB"/>
              </w:rPr>
              <w:t>Champer and others, 2020c</w:t>
            </w:r>
            <w:r w:rsidRPr="003A2EEC">
              <w:rPr>
                <w:rFonts w:asciiTheme="majorEastAsia" w:hAnsiTheme="majorEastAsia" w:cstheme="majorEastAsia"/>
                <w:color w:val="000000" w:themeColor="text1"/>
                <w:sz w:val="18"/>
                <w:szCs w:val="18"/>
                <w:lang w:val="en-GB"/>
              </w:rPr>
              <w:t xml:space="preserve">). </w:t>
            </w:r>
          </w:p>
          <w:p w14:paraId="1F78673D" w14:textId="4CC9A8C2" w:rsidR="00CD09BE" w:rsidRPr="003A2EEC" w:rsidRDefault="00CD09BE" w:rsidP="00CD09BE">
            <w:pPr>
              <w:spacing w:before="120" w:after="240" w:line="276" w:lineRule="auto"/>
              <w:ind w:left="-20" w:right="-20"/>
              <w:jc w:val="both"/>
              <w:rPr>
                <w:rFonts w:asciiTheme="majorEastAsia" w:hAnsiTheme="majorEastAsia" w:cstheme="majorEastAsia"/>
                <w:color w:val="000000" w:themeColor="text1"/>
                <w:sz w:val="18"/>
                <w:szCs w:val="18"/>
              </w:rPr>
            </w:pPr>
            <w:r w:rsidRPr="003A2EEC">
              <w:rPr>
                <w:rFonts w:asciiTheme="majorEastAsia" w:hAnsiTheme="majorEastAsia" w:cstheme="majorEastAsia"/>
                <w:color w:val="000000" w:themeColor="text1"/>
                <w:sz w:val="18"/>
                <w:szCs w:val="18"/>
              </w:rPr>
              <w:t>The degree of persistence and</w:t>
            </w:r>
            <w:proofErr w:type="gramStart"/>
            <w:r w:rsidRPr="003A2EEC">
              <w:rPr>
                <w:rFonts w:asciiTheme="majorEastAsia" w:hAnsiTheme="majorEastAsia" w:cstheme="majorEastAsia"/>
                <w:color w:val="000000" w:themeColor="text1"/>
                <w:sz w:val="18"/>
                <w:szCs w:val="18"/>
              </w:rPr>
              <w:t>, in particular, the</w:t>
            </w:r>
            <w:proofErr w:type="gramEnd"/>
            <w:r w:rsidRPr="003A2EEC">
              <w:rPr>
                <w:rFonts w:asciiTheme="majorEastAsia" w:hAnsiTheme="majorEastAsia" w:cstheme="majorEastAsia"/>
                <w:color w:val="000000" w:themeColor="text1"/>
                <w:sz w:val="18"/>
                <w:szCs w:val="18"/>
              </w:rPr>
              <w:t xml:space="preserve"> spread of a specific EGD in target mosquito populations represent key considerations in </w:t>
            </w:r>
            <w:r w:rsidR="00A07355">
              <w:rPr>
                <w:rFonts w:asciiTheme="majorEastAsia" w:hAnsiTheme="majorEastAsia" w:cstheme="majorEastAsia"/>
                <w:color w:val="000000" w:themeColor="text1"/>
                <w:sz w:val="18"/>
                <w:szCs w:val="18"/>
              </w:rPr>
              <w:t xml:space="preserve">the </w:t>
            </w:r>
            <w:r w:rsidRPr="003A2EEC">
              <w:rPr>
                <w:rFonts w:asciiTheme="majorEastAsia" w:hAnsiTheme="majorEastAsia" w:cstheme="majorEastAsia"/>
                <w:color w:val="000000" w:themeColor="text1"/>
                <w:sz w:val="18"/>
                <w:szCs w:val="18"/>
              </w:rPr>
              <w:t xml:space="preserve">case-by-case risk </w:t>
            </w:r>
            <w:r w:rsidRPr="003A2EEC">
              <w:rPr>
                <w:rFonts w:asciiTheme="majorEastAsia" w:hAnsiTheme="majorEastAsia" w:cstheme="majorEastAsia" w:hint="eastAsia"/>
                <w:color w:val="000000" w:themeColor="text1"/>
                <w:sz w:val="18"/>
                <w:szCs w:val="18"/>
              </w:rPr>
              <w:t>assessment</w:t>
            </w:r>
            <w:r w:rsidRPr="003A2EEC">
              <w:rPr>
                <w:rFonts w:asciiTheme="majorEastAsia" w:hAnsiTheme="majorEastAsia" w:cstheme="majorEastAsia"/>
                <w:color w:val="000000" w:themeColor="text1"/>
                <w:sz w:val="18"/>
                <w:szCs w:val="18"/>
              </w:rPr>
              <w:t xml:space="preserve"> of EGD-LMMs, given their inherent implications for exposure and hazard characterizations. For current examples of EGD-LMMs including their intended effect in terms of spread and persistence see annex VII.</w:t>
            </w:r>
          </w:p>
          <w:p w14:paraId="691D5837" w14:textId="77777777" w:rsidR="00CD09BE" w:rsidRPr="003A2EEC" w:rsidRDefault="00CD09BE" w:rsidP="00CD09BE">
            <w:pPr>
              <w:pStyle w:val="Heading3"/>
              <w:spacing w:line="276" w:lineRule="auto"/>
              <w:jc w:val="left"/>
              <w:rPr>
                <w:rFonts w:asciiTheme="majorEastAsia" w:eastAsia="Times New Roman" w:hAnsiTheme="majorEastAsia" w:cstheme="majorEastAsia"/>
                <w:b/>
                <w:color w:val="000000" w:themeColor="text1"/>
                <w:sz w:val="18"/>
                <w:szCs w:val="18"/>
                <w:lang w:val="en-GB"/>
              </w:rPr>
            </w:pPr>
            <w:bookmarkStart w:id="16" w:name="_Toc160721298"/>
            <w:bookmarkStart w:id="17" w:name="_Toc160721398"/>
            <w:bookmarkStart w:id="18" w:name="_Toc160798864"/>
            <w:bookmarkStart w:id="19" w:name="_Toc161220480"/>
            <w:r w:rsidRPr="003A2EEC">
              <w:rPr>
                <w:rFonts w:asciiTheme="majorEastAsia" w:hAnsiTheme="majorEastAsia" w:cstheme="majorEastAsia"/>
                <w:b/>
                <w:color w:val="000000" w:themeColor="text1"/>
                <w:sz w:val="18"/>
                <w:szCs w:val="18"/>
              </w:rPr>
              <w:lastRenderedPageBreak/>
              <w:t>T</w:t>
            </w:r>
            <w:r w:rsidRPr="003A2EEC">
              <w:rPr>
                <w:rFonts w:asciiTheme="majorEastAsia" w:eastAsia="Times New Roman" w:hAnsiTheme="majorEastAsia" w:cstheme="majorEastAsia"/>
                <w:b/>
                <w:color w:val="000000" w:themeColor="text1"/>
                <w:sz w:val="18"/>
                <w:szCs w:val="18"/>
                <w:lang w:val="en-GB"/>
              </w:rPr>
              <w:t>able 2.</w:t>
            </w:r>
            <w:bookmarkEnd w:id="16"/>
            <w:bookmarkEnd w:id="17"/>
            <w:bookmarkEnd w:id="18"/>
            <w:bookmarkEnd w:id="19"/>
          </w:p>
          <w:p w14:paraId="25CE13A5" w14:textId="0C0A319F" w:rsidR="00CD09BE" w:rsidRPr="003A2EEC" w:rsidRDefault="00CD09BE" w:rsidP="00CD09BE">
            <w:pPr>
              <w:pStyle w:val="Heading3"/>
              <w:spacing w:line="276" w:lineRule="auto"/>
              <w:jc w:val="left"/>
              <w:rPr>
                <w:rFonts w:asciiTheme="majorEastAsia" w:eastAsia="Times New Roman" w:hAnsiTheme="majorEastAsia" w:cstheme="majorEastAsia"/>
                <w:color w:val="000000" w:themeColor="text1"/>
                <w:sz w:val="18"/>
                <w:szCs w:val="18"/>
              </w:rPr>
            </w:pPr>
            <w:bookmarkStart w:id="20" w:name="_Toc160721299"/>
            <w:bookmarkStart w:id="21" w:name="_Toc160721399"/>
            <w:bookmarkStart w:id="22" w:name="_Toc160798865"/>
            <w:bookmarkStart w:id="23" w:name="_Toc161220481"/>
            <w:r w:rsidRPr="003A2EEC">
              <w:rPr>
                <w:rFonts w:asciiTheme="majorEastAsia" w:eastAsia="Times New Roman" w:hAnsiTheme="majorEastAsia" w:cstheme="majorEastAsia"/>
                <w:color w:val="000000" w:themeColor="text1"/>
                <w:sz w:val="18"/>
                <w:szCs w:val="18"/>
                <w:lang w:val="en-GB"/>
              </w:rPr>
              <w:t xml:space="preserve">Selected examples of </w:t>
            </w:r>
            <w:r w:rsidR="003102B0">
              <w:rPr>
                <w:rFonts w:asciiTheme="majorEastAsia" w:eastAsia="Times New Roman" w:hAnsiTheme="majorEastAsia" w:cstheme="majorEastAsia"/>
                <w:color w:val="000000" w:themeColor="text1"/>
                <w:sz w:val="18"/>
                <w:szCs w:val="18"/>
                <w:lang w:val="en-GB"/>
              </w:rPr>
              <w:t>engineered gene drive</w:t>
            </w:r>
            <w:r w:rsidRPr="003A2EEC">
              <w:rPr>
                <w:rFonts w:asciiTheme="majorEastAsia" w:eastAsia="Times New Roman" w:hAnsiTheme="majorEastAsia" w:cstheme="majorEastAsia"/>
                <w:color w:val="000000" w:themeColor="text1"/>
                <w:sz w:val="18"/>
                <w:szCs w:val="18"/>
                <w:lang w:val="en-GB"/>
              </w:rPr>
              <w:t xml:space="preserve"> approaches in mosquitoes</w:t>
            </w:r>
            <w:bookmarkEnd w:id="20"/>
            <w:bookmarkEnd w:id="21"/>
            <w:bookmarkEnd w:id="22"/>
            <w:bookmarkEnd w:id="23"/>
          </w:p>
          <w:p w14:paraId="6F14E95B" w14:textId="79D0E5D1" w:rsidR="00CD09BE" w:rsidRPr="003A2EEC" w:rsidRDefault="003A2EEC" w:rsidP="003A2EEC">
            <w:pPr>
              <w:spacing w:before="100" w:beforeAutospacing="1" w:after="100" w:afterAutospacing="1"/>
              <w:rPr>
                <w:rFonts w:asciiTheme="majorEastAsia" w:hAnsiTheme="majorEastAsia" w:cstheme="majorEastAsia"/>
                <w:sz w:val="18"/>
                <w:szCs w:val="18"/>
                <w:lang w:val="en-US" w:eastAsia="zh-CN"/>
              </w:rPr>
            </w:pPr>
            <w:r w:rsidRPr="003A2EEC">
              <w:rPr>
                <w:rFonts w:asciiTheme="majorEastAsia" w:hAnsiTheme="majorEastAsia" w:cstheme="majorEastAsia" w:hint="eastAsia"/>
                <w:noProof/>
                <w:sz w:val="18"/>
                <w:szCs w:val="18"/>
                <w:lang w:val="en-US" w:eastAsia="zh-CN"/>
              </w:rPr>
              <w:drawing>
                <wp:inline distT="0" distB="0" distL="0" distR="0" wp14:anchorId="5EBB60B1" wp14:editId="4EF1A556">
                  <wp:extent cx="5723255" cy="2124790"/>
                  <wp:effectExtent l="0" t="0" r="0" b="8890"/>
                  <wp:docPr id="4269018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t="8530" b="25518"/>
                          <a:stretch/>
                        </pic:blipFill>
                        <pic:spPr bwMode="auto">
                          <a:xfrm>
                            <a:off x="0" y="0"/>
                            <a:ext cx="5726402" cy="212595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479167C" w14:textId="1BF6C598" w:rsidR="00C17AC5" w:rsidRDefault="00C17AC5" w:rsidP="00085DC8">
      <w:pPr>
        <w:spacing w:line="276" w:lineRule="auto"/>
        <w:jc w:val="both"/>
        <w:rPr>
          <w:rFonts w:ascii="Times New Roman" w:hAnsi="Times New Roman" w:cs="Times New Roman"/>
        </w:rPr>
      </w:pPr>
    </w:p>
    <w:p w14:paraId="3A5667BC" w14:textId="2F6F4CB3" w:rsidR="00DC2E53" w:rsidRPr="00BB5241" w:rsidRDefault="00DD7AFB" w:rsidP="00212686">
      <w:pPr>
        <w:pStyle w:val="Heading2"/>
        <w:spacing w:line="276" w:lineRule="auto"/>
        <w:rPr>
          <w:rFonts w:ascii="Times New Roman" w:hAnsi="Times New Roman" w:cs="Times New Roman"/>
          <w:b/>
          <w:bCs/>
          <w:color w:val="auto"/>
          <w:sz w:val="24"/>
          <w:szCs w:val="24"/>
          <w:lang w:val="en-GB"/>
        </w:rPr>
      </w:pPr>
      <w:bookmarkStart w:id="24" w:name="_Toc7"/>
      <w:bookmarkStart w:id="25" w:name="_Toc161220482"/>
      <w:r w:rsidRPr="00BB5241">
        <w:rPr>
          <w:rFonts w:ascii="Times New Roman" w:hAnsi="Times New Roman" w:cs="Times New Roman"/>
          <w:b/>
          <w:bCs/>
          <w:color w:val="auto"/>
          <w:sz w:val="24"/>
          <w:szCs w:val="24"/>
          <w:lang w:val="en-GB"/>
        </w:rPr>
        <w:t>3</w:t>
      </w:r>
      <w:r w:rsidR="005430B6" w:rsidRPr="00BB5241">
        <w:rPr>
          <w:rFonts w:ascii="Times New Roman" w:hAnsi="Times New Roman" w:cs="Times New Roman"/>
          <w:b/>
          <w:bCs/>
          <w:color w:val="auto"/>
          <w:sz w:val="24"/>
          <w:szCs w:val="24"/>
          <w:lang w:val="en-GB"/>
        </w:rPr>
        <w:t>.2</w:t>
      </w:r>
      <w:r w:rsidR="00DA1916" w:rsidRPr="004E644D">
        <w:rPr>
          <w:rFonts w:ascii="Times New Roman" w:hAnsi="Times New Roman" w:cs="Times New Roman"/>
          <w:b/>
          <w:bCs/>
          <w:color w:val="000000" w:themeColor="text1"/>
          <w:sz w:val="24"/>
          <w:szCs w:val="24"/>
          <w:lang w:val="en-GB"/>
        </w:rPr>
        <w:t>.</w:t>
      </w:r>
      <w:r w:rsidR="005430B6" w:rsidRPr="004E644D">
        <w:rPr>
          <w:rFonts w:ascii="Times New Roman" w:hAnsi="Times New Roman" w:cs="Times New Roman"/>
          <w:b/>
          <w:bCs/>
          <w:color w:val="000000" w:themeColor="text1"/>
          <w:sz w:val="24"/>
          <w:szCs w:val="24"/>
          <w:lang w:val="en-GB"/>
        </w:rPr>
        <w:t xml:space="preserve"> </w:t>
      </w:r>
      <w:bookmarkEnd w:id="24"/>
      <w:r w:rsidR="00E07F45">
        <w:rPr>
          <w:rFonts w:ascii="Times New Roman" w:hAnsi="Times New Roman" w:cs="Times New Roman"/>
          <w:b/>
          <w:bCs/>
          <w:color w:val="auto"/>
          <w:sz w:val="24"/>
          <w:szCs w:val="24"/>
          <w:lang w:val="en-GB"/>
        </w:rPr>
        <w:t>O</w:t>
      </w:r>
      <w:r w:rsidR="007D1B37" w:rsidRPr="00BB5241">
        <w:rPr>
          <w:rFonts w:ascii="Times New Roman" w:hAnsi="Times New Roman" w:cs="Times New Roman"/>
          <w:b/>
          <w:bCs/>
          <w:color w:val="auto"/>
          <w:sz w:val="24"/>
          <w:szCs w:val="24"/>
          <w:lang w:val="en-GB"/>
        </w:rPr>
        <w:t>pportunities</w:t>
      </w:r>
      <w:r w:rsidR="00325CC2">
        <w:rPr>
          <w:rFonts w:ascii="Times New Roman" w:hAnsi="Times New Roman" w:cs="Times New Roman"/>
          <w:b/>
          <w:bCs/>
          <w:color w:val="auto"/>
          <w:sz w:val="24"/>
          <w:szCs w:val="24"/>
          <w:lang w:val="en-GB"/>
        </w:rPr>
        <w:t xml:space="preserve"> and </w:t>
      </w:r>
      <w:r w:rsidR="00E07F45">
        <w:rPr>
          <w:rFonts w:ascii="Times New Roman" w:hAnsi="Times New Roman" w:cs="Times New Roman"/>
          <w:b/>
          <w:bCs/>
          <w:color w:val="auto"/>
          <w:sz w:val="24"/>
          <w:szCs w:val="24"/>
          <w:lang w:val="en-GB"/>
        </w:rPr>
        <w:t xml:space="preserve">risk </w:t>
      </w:r>
      <w:r w:rsidR="00325CC2">
        <w:rPr>
          <w:rFonts w:ascii="Times New Roman" w:hAnsi="Times New Roman" w:cs="Times New Roman"/>
          <w:b/>
          <w:bCs/>
          <w:color w:val="auto"/>
          <w:sz w:val="24"/>
          <w:szCs w:val="24"/>
          <w:lang w:val="en-GB"/>
        </w:rPr>
        <w:t>concerns</w:t>
      </w:r>
      <w:bookmarkEnd w:id="25"/>
    </w:p>
    <w:p w14:paraId="59F7CC71" w14:textId="700D16E0" w:rsidR="007D1B37" w:rsidRPr="004E644D" w:rsidRDefault="005430B6" w:rsidP="007D0088">
      <w:pPr>
        <w:tabs>
          <w:tab w:val="left" w:pos="720"/>
        </w:tabs>
        <w:spacing w:line="276" w:lineRule="auto"/>
        <w:ind w:left="-20" w:right="-20"/>
        <w:jc w:val="both"/>
        <w:rPr>
          <w:color w:val="000000" w:themeColor="text1"/>
        </w:rPr>
      </w:pPr>
      <w:r w:rsidRPr="004E644D">
        <w:rPr>
          <w:rFonts w:ascii="Times New Roman" w:eastAsia="Times New Roman" w:hAnsi="Times New Roman" w:cs="Times New Roman"/>
          <w:color w:val="000000" w:themeColor="text1"/>
        </w:rPr>
        <w:t>The ability to engineer gene drives has sparked both enthusiasm and concerns (</w:t>
      </w:r>
      <w:proofErr w:type="spellStart"/>
      <w:r w:rsidR="00251A95" w:rsidRPr="003A1244">
        <w:rPr>
          <w:rFonts w:ascii="Times New Roman" w:eastAsia="Times New Roman" w:hAnsi="Times New Roman" w:cs="Times New Roman"/>
          <w:color w:val="000000" w:themeColor="text1"/>
        </w:rPr>
        <w:t>Esvelt</w:t>
      </w:r>
      <w:proofErr w:type="spellEnd"/>
      <w:r w:rsidR="00251A95" w:rsidRPr="003A1244">
        <w:rPr>
          <w:rFonts w:ascii="Times New Roman" w:eastAsia="Times New Roman" w:hAnsi="Times New Roman" w:cs="Times New Roman"/>
          <w:color w:val="000000" w:themeColor="text1"/>
        </w:rPr>
        <w:t xml:space="preserve"> </w:t>
      </w:r>
      <w:r w:rsidR="000D6DEF" w:rsidRPr="003A1244">
        <w:rPr>
          <w:rFonts w:ascii="Times New Roman" w:eastAsia="Times New Roman" w:hAnsi="Times New Roman" w:cs="Times New Roman"/>
          <w:color w:val="000000" w:themeColor="text1"/>
        </w:rPr>
        <w:t>and others,</w:t>
      </w:r>
      <w:r w:rsidR="0012186E" w:rsidRPr="003A1244">
        <w:rPr>
          <w:rFonts w:ascii="Times New Roman" w:eastAsia="Times New Roman" w:hAnsi="Times New Roman" w:cs="Times New Roman"/>
          <w:color w:val="000000" w:themeColor="text1"/>
        </w:rPr>
        <w:t xml:space="preserve"> </w:t>
      </w:r>
      <w:r w:rsidR="00251A95" w:rsidRPr="003A1244">
        <w:rPr>
          <w:rFonts w:ascii="Times New Roman" w:eastAsia="Times New Roman" w:hAnsi="Times New Roman" w:cs="Times New Roman"/>
          <w:color w:val="000000" w:themeColor="text1"/>
        </w:rPr>
        <w:t>2014</w:t>
      </w:r>
      <w:r w:rsidR="00251A95" w:rsidRPr="004E644D">
        <w:rPr>
          <w:rFonts w:ascii="Times New Roman" w:eastAsia="Times New Roman" w:hAnsi="Times New Roman" w:cs="Times New Roman"/>
          <w:color w:val="000000" w:themeColor="text1"/>
        </w:rPr>
        <w:t xml:space="preserve">; </w:t>
      </w:r>
      <w:r w:rsidRPr="003A1244">
        <w:rPr>
          <w:rFonts w:ascii="Times New Roman" w:eastAsia="Times New Roman" w:hAnsi="Times New Roman" w:cs="Times New Roman"/>
          <w:color w:val="000000" w:themeColor="text1"/>
        </w:rPr>
        <w:t>Brossard and others 2019; Deplazes-Zemp and others, 2020).</w:t>
      </w:r>
      <w:r w:rsidRPr="004E644D">
        <w:rPr>
          <w:rFonts w:ascii="Times New Roman" w:eastAsia="Times New Roman" w:hAnsi="Times New Roman" w:cs="Times New Roman"/>
          <w:color w:val="000000" w:themeColor="text1"/>
        </w:rPr>
        <w:t xml:space="preserve"> </w:t>
      </w:r>
      <w:r w:rsidR="49A44987" w:rsidRPr="004E644D">
        <w:rPr>
          <w:rFonts w:ascii="Times New Roman" w:eastAsia="Times New Roman" w:hAnsi="Times New Roman" w:cs="Times New Roman"/>
          <w:color w:val="000000" w:themeColor="text1"/>
        </w:rPr>
        <w:t>Some examples of opportunities and risk concerns are given below.</w:t>
      </w:r>
    </w:p>
    <w:p w14:paraId="58D8CFA1" w14:textId="2DB601D9" w:rsidR="007D1B37" w:rsidRPr="004E644D" w:rsidRDefault="49A44987" w:rsidP="007D0088">
      <w:pPr>
        <w:pStyle w:val="Heading2"/>
        <w:spacing w:before="160" w:after="80" w:line="276" w:lineRule="auto"/>
        <w:ind w:left="-20" w:right="-20"/>
        <w:rPr>
          <w:rFonts w:ascii="Times New Roman" w:eastAsia="Times New Roman" w:hAnsi="Times New Roman" w:cs="Times New Roman"/>
          <w:b/>
          <w:bCs/>
          <w:color w:val="000000" w:themeColor="text1"/>
          <w:sz w:val="22"/>
          <w:szCs w:val="22"/>
          <w:lang w:val="en-GB"/>
        </w:rPr>
      </w:pPr>
      <w:bookmarkStart w:id="26" w:name="_Toc161220483"/>
      <w:r w:rsidRPr="004E644D">
        <w:rPr>
          <w:rFonts w:ascii="Times New Roman" w:eastAsia="Times New Roman" w:hAnsi="Times New Roman" w:cs="Times New Roman"/>
          <w:b/>
          <w:bCs/>
          <w:color w:val="000000" w:themeColor="text1"/>
          <w:sz w:val="22"/>
          <w:szCs w:val="22"/>
          <w:lang w:val="en-GB"/>
        </w:rPr>
        <w:t>3.2.1.  Opportunities</w:t>
      </w:r>
      <w:bookmarkEnd w:id="26"/>
    </w:p>
    <w:p w14:paraId="488ED6C5" w14:textId="179D0819" w:rsidR="007D1B37" w:rsidRPr="004E644D" w:rsidRDefault="007D1B37" w:rsidP="007D0088">
      <w:pPr>
        <w:spacing w:line="276" w:lineRule="auto"/>
        <w:ind w:left="-20" w:right="-20"/>
        <w:rPr>
          <w:rFonts w:ascii="Times New Roman" w:eastAsia="Times New Roman" w:hAnsi="Times New Roman" w:cs="Times New Roman"/>
          <w:color w:val="000000" w:themeColor="text1"/>
        </w:rPr>
      </w:pPr>
      <w:r w:rsidRPr="004E644D">
        <w:rPr>
          <w:rFonts w:ascii="Times New Roman" w:eastAsia="Times New Roman" w:hAnsi="Times New Roman" w:cs="Times New Roman"/>
          <w:color w:val="000000" w:themeColor="text1"/>
        </w:rPr>
        <w:t>The use of EGDs could</w:t>
      </w:r>
      <w:r w:rsidR="00225443" w:rsidRPr="004E644D">
        <w:rPr>
          <w:rFonts w:ascii="Times New Roman" w:eastAsia="Times New Roman" w:hAnsi="Times New Roman" w:cs="Times New Roman"/>
          <w:color w:val="000000" w:themeColor="text1"/>
        </w:rPr>
        <w:t xml:space="preserve"> </w:t>
      </w:r>
      <w:r w:rsidRPr="004E644D">
        <w:rPr>
          <w:rFonts w:ascii="Times New Roman" w:eastAsia="Times New Roman" w:hAnsi="Times New Roman" w:cs="Times New Roman"/>
          <w:color w:val="000000" w:themeColor="text1"/>
        </w:rPr>
        <w:t xml:space="preserve">achieve goals that are otherwise </w:t>
      </w:r>
      <w:r w:rsidR="001D7BF1" w:rsidRPr="004E644D">
        <w:rPr>
          <w:rFonts w:ascii="Times New Roman" w:eastAsia="Times New Roman" w:hAnsi="Times New Roman" w:cs="Times New Roman"/>
          <w:color w:val="000000" w:themeColor="text1"/>
        </w:rPr>
        <w:t xml:space="preserve">challenging </w:t>
      </w:r>
      <w:r w:rsidRPr="004E644D">
        <w:rPr>
          <w:rFonts w:ascii="Times New Roman" w:eastAsia="Times New Roman" w:hAnsi="Times New Roman" w:cs="Times New Roman"/>
          <w:color w:val="000000" w:themeColor="text1"/>
        </w:rPr>
        <w:t xml:space="preserve">to </w:t>
      </w:r>
      <w:r w:rsidR="00BB5984" w:rsidRPr="004E644D">
        <w:rPr>
          <w:rFonts w:ascii="Times New Roman" w:eastAsia="Times New Roman" w:hAnsi="Times New Roman" w:cs="Times New Roman"/>
          <w:color w:val="000000" w:themeColor="text1"/>
        </w:rPr>
        <w:t>attain</w:t>
      </w:r>
      <w:r w:rsidR="004C642F" w:rsidRPr="004E644D">
        <w:rPr>
          <w:rFonts w:ascii="Times New Roman" w:eastAsia="Times New Roman" w:hAnsi="Times New Roman" w:cs="Times New Roman"/>
          <w:color w:val="000000" w:themeColor="text1"/>
        </w:rPr>
        <w:t>, such as reach</w:t>
      </w:r>
      <w:r w:rsidR="00E569C0" w:rsidRPr="004E644D">
        <w:rPr>
          <w:rFonts w:ascii="Times New Roman" w:eastAsia="Times New Roman" w:hAnsi="Times New Roman" w:cs="Times New Roman"/>
          <w:color w:val="000000" w:themeColor="text1"/>
        </w:rPr>
        <w:t>ing</w:t>
      </w:r>
      <w:r w:rsidR="004C642F" w:rsidRPr="004E644D">
        <w:rPr>
          <w:rFonts w:ascii="Times New Roman" w:eastAsia="Times New Roman" w:hAnsi="Times New Roman" w:cs="Times New Roman"/>
          <w:color w:val="000000" w:themeColor="text1"/>
        </w:rPr>
        <w:t xml:space="preserve"> parts of target populations that are missed by conventional methods, ensure high target specificity compared to most conventional methods</w:t>
      </w:r>
      <w:r w:rsidR="49A44987" w:rsidRPr="004E644D">
        <w:rPr>
          <w:rFonts w:ascii="Times New Roman" w:eastAsia="Times New Roman" w:hAnsi="Times New Roman" w:cs="Times New Roman"/>
          <w:color w:val="000000" w:themeColor="text1"/>
        </w:rPr>
        <w:t>,</w:t>
      </w:r>
      <w:r w:rsidR="004C642F" w:rsidRPr="004E644D">
        <w:rPr>
          <w:rFonts w:ascii="Times New Roman" w:eastAsia="Times New Roman" w:hAnsi="Times New Roman" w:cs="Times New Roman"/>
          <w:color w:val="000000" w:themeColor="text1"/>
        </w:rPr>
        <w:t xml:space="preserve"> and provide ongoing effects with relatively little or no further input</w:t>
      </w:r>
      <w:r w:rsidRPr="004E644D">
        <w:rPr>
          <w:rFonts w:ascii="Times New Roman" w:eastAsia="Times New Roman" w:hAnsi="Times New Roman" w:cs="Times New Roman"/>
          <w:color w:val="000000" w:themeColor="text1"/>
        </w:rPr>
        <w:t>.</w:t>
      </w:r>
    </w:p>
    <w:p w14:paraId="4267F017" w14:textId="72302EE0" w:rsidR="007D1B37" w:rsidRPr="004E644D" w:rsidRDefault="49A44987" w:rsidP="007D0088">
      <w:pPr>
        <w:spacing w:line="276" w:lineRule="auto"/>
        <w:ind w:left="-20" w:right="-20"/>
        <w:rPr>
          <w:rFonts w:ascii="Times New Roman" w:eastAsia="Times New Roman" w:hAnsi="Times New Roman" w:cs="Times New Roman"/>
          <w:color w:val="000000" w:themeColor="text1"/>
        </w:rPr>
      </w:pPr>
      <w:r w:rsidRPr="004E644D">
        <w:rPr>
          <w:rFonts w:ascii="Times New Roman" w:eastAsia="Times New Roman" w:hAnsi="Times New Roman" w:cs="Times New Roman"/>
          <w:color w:val="000000" w:themeColor="text1"/>
        </w:rPr>
        <w:t xml:space="preserve">There is </w:t>
      </w:r>
      <w:r w:rsidR="00E37675" w:rsidRPr="004E644D">
        <w:rPr>
          <w:rFonts w:ascii="Times New Roman" w:eastAsia="Times New Roman" w:hAnsi="Times New Roman" w:cs="Times New Roman"/>
          <w:color w:val="000000" w:themeColor="text1"/>
        </w:rPr>
        <w:t xml:space="preserve">potential </w:t>
      </w:r>
      <w:r w:rsidRPr="004E644D">
        <w:rPr>
          <w:rFonts w:ascii="Times New Roman" w:eastAsia="Times New Roman" w:hAnsi="Times New Roman" w:cs="Times New Roman"/>
          <w:color w:val="000000" w:themeColor="text1"/>
        </w:rPr>
        <w:t>for the use of EGDs in achieving biodiversity protection and conservation goals, agricultural management, and/or positively impacting human and animal health (</w:t>
      </w:r>
      <w:r w:rsidRPr="003A1244">
        <w:rPr>
          <w:rFonts w:ascii="Times New Roman" w:eastAsia="Times New Roman" w:hAnsi="Times New Roman" w:cs="Times New Roman"/>
          <w:color w:val="000000" w:themeColor="text1"/>
        </w:rPr>
        <w:t>Neve</w:t>
      </w:r>
      <w:r w:rsidR="004E644D" w:rsidRPr="003A1244">
        <w:rPr>
          <w:rFonts w:ascii="Times New Roman" w:eastAsia="Times New Roman" w:hAnsi="Times New Roman" w:cs="Times New Roman"/>
          <w:color w:val="000000" w:themeColor="text1"/>
        </w:rPr>
        <w:t>,</w:t>
      </w:r>
      <w:r w:rsidRPr="003A1244">
        <w:rPr>
          <w:rFonts w:ascii="Times New Roman" w:eastAsia="Times New Roman" w:hAnsi="Times New Roman" w:cs="Times New Roman"/>
          <w:color w:val="000000" w:themeColor="text1"/>
        </w:rPr>
        <w:t xml:space="preserve"> 2018; Leitschuh </w:t>
      </w:r>
      <w:r w:rsidR="004E644D" w:rsidRPr="003A1244">
        <w:rPr>
          <w:rFonts w:ascii="Times New Roman" w:eastAsia="Times New Roman" w:hAnsi="Times New Roman" w:cs="Times New Roman"/>
          <w:color w:val="000000" w:themeColor="text1"/>
        </w:rPr>
        <w:t>and others,</w:t>
      </w:r>
      <w:r w:rsidRPr="003A1244">
        <w:rPr>
          <w:rFonts w:ascii="Times New Roman" w:eastAsia="Times New Roman" w:hAnsi="Times New Roman" w:cs="Times New Roman"/>
          <w:color w:val="000000" w:themeColor="text1"/>
        </w:rPr>
        <w:t xml:space="preserve"> 2018; Kelsey </w:t>
      </w:r>
      <w:r w:rsidR="004E644D" w:rsidRPr="003A1244">
        <w:rPr>
          <w:rFonts w:ascii="Times New Roman" w:eastAsia="Times New Roman" w:hAnsi="Times New Roman" w:cs="Times New Roman"/>
          <w:color w:val="000000" w:themeColor="text1"/>
        </w:rPr>
        <w:t>and others</w:t>
      </w:r>
      <w:r w:rsidRPr="003A1244">
        <w:rPr>
          <w:rFonts w:ascii="Times New Roman" w:eastAsia="Times New Roman" w:hAnsi="Times New Roman" w:cs="Times New Roman"/>
          <w:color w:val="000000" w:themeColor="text1"/>
        </w:rPr>
        <w:t xml:space="preserve">, 2020; </w:t>
      </w:r>
      <w:r w:rsidR="00CC6912" w:rsidRPr="003A1244">
        <w:rPr>
          <w:rFonts w:ascii="Times New Roman" w:eastAsia="Times New Roman" w:hAnsi="Times New Roman" w:cs="Times New Roman"/>
          <w:color w:val="000000" w:themeColor="text1"/>
        </w:rPr>
        <w:t>Preston</w:t>
      </w:r>
      <w:r w:rsidRPr="003A1244">
        <w:rPr>
          <w:rFonts w:ascii="Times New Roman" w:eastAsia="Times New Roman" w:hAnsi="Times New Roman" w:cs="Times New Roman"/>
          <w:color w:val="000000" w:themeColor="text1"/>
        </w:rPr>
        <w:t xml:space="preserve"> </w:t>
      </w:r>
      <w:r w:rsidR="004E644D" w:rsidRPr="003A1244">
        <w:rPr>
          <w:rFonts w:ascii="Times New Roman" w:eastAsia="Times New Roman" w:hAnsi="Times New Roman" w:cs="Times New Roman"/>
          <w:color w:val="000000" w:themeColor="text1"/>
        </w:rPr>
        <w:t>and others,</w:t>
      </w:r>
      <w:r w:rsidRPr="003A1244">
        <w:rPr>
          <w:rFonts w:ascii="Times New Roman" w:eastAsia="Times New Roman" w:hAnsi="Times New Roman" w:cs="Times New Roman"/>
          <w:color w:val="000000" w:themeColor="text1"/>
        </w:rPr>
        <w:t xml:space="preserve"> 2019</w:t>
      </w:r>
      <w:r w:rsidRPr="004E644D">
        <w:rPr>
          <w:rFonts w:ascii="Times New Roman" w:eastAsia="Times New Roman" w:hAnsi="Times New Roman" w:cs="Times New Roman"/>
          <w:color w:val="000000" w:themeColor="text1"/>
        </w:rPr>
        <w:t>). E</w:t>
      </w:r>
      <w:r w:rsidR="004E644D">
        <w:rPr>
          <w:rFonts w:ascii="Times New Roman" w:eastAsia="Times New Roman" w:hAnsi="Times New Roman" w:cs="Times New Roman"/>
          <w:color w:val="000000" w:themeColor="text1"/>
        </w:rPr>
        <w:t>ngineered gene drive</w:t>
      </w:r>
      <w:r w:rsidRPr="004E644D">
        <w:rPr>
          <w:rFonts w:ascii="Times New Roman" w:eastAsia="Times New Roman" w:hAnsi="Times New Roman" w:cs="Times New Roman"/>
          <w:color w:val="000000" w:themeColor="text1"/>
        </w:rPr>
        <w:t>s may be one of the most promising tools to control invasive species, which are a significant driver of species extinctions (</w:t>
      </w:r>
      <w:r w:rsidRPr="003A1244">
        <w:rPr>
          <w:rFonts w:ascii="Times New Roman" w:eastAsia="Times New Roman" w:hAnsi="Times New Roman" w:cs="Times New Roman"/>
          <w:color w:val="000000" w:themeColor="text1"/>
        </w:rPr>
        <w:t xml:space="preserve">Bellard </w:t>
      </w:r>
      <w:r w:rsidR="004E644D" w:rsidRPr="003A1244">
        <w:rPr>
          <w:rFonts w:ascii="Times New Roman" w:eastAsia="Times New Roman" w:hAnsi="Times New Roman" w:cs="Times New Roman"/>
          <w:color w:val="000000" w:themeColor="text1"/>
        </w:rPr>
        <w:t>and</w:t>
      </w:r>
      <w:r w:rsidR="00AC1D87" w:rsidRPr="003A1244">
        <w:rPr>
          <w:rFonts w:ascii="Times New Roman" w:eastAsia="Times New Roman" w:hAnsi="Times New Roman" w:cs="Times New Roman"/>
          <w:color w:val="000000" w:themeColor="text1"/>
        </w:rPr>
        <w:t xml:space="preserve"> others</w:t>
      </w:r>
      <w:r w:rsidRPr="003A1244">
        <w:rPr>
          <w:rFonts w:ascii="Times New Roman" w:eastAsia="Times New Roman" w:hAnsi="Times New Roman" w:cs="Times New Roman"/>
          <w:color w:val="000000" w:themeColor="text1"/>
        </w:rPr>
        <w:t>, 2016; Clavero and Garcia-Berthou</w:t>
      </w:r>
      <w:r w:rsidR="00AC1D87" w:rsidRPr="003A1244">
        <w:rPr>
          <w:rFonts w:ascii="Times New Roman" w:eastAsia="Times New Roman" w:hAnsi="Times New Roman" w:cs="Times New Roman"/>
          <w:color w:val="000000" w:themeColor="text1"/>
        </w:rPr>
        <w:t>,</w:t>
      </w:r>
      <w:r w:rsidRPr="003A1244">
        <w:rPr>
          <w:rFonts w:ascii="Times New Roman" w:eastAsia="Times New Roman" w:hAnsi="Times New Roman" w:cs="Times New Roman"/>
          <w:color w:val="000000" w:themeColor="text1"/>
        </w:rPr>
        <w:t xml:space="preserve"> 2005</w:t>
      </w:r>
      <w:r w:rsidRPr="004E644D">
        <w:rPr>
          <w:rFonts w:ascii="Times New Roman" w:eastAsia="Times New Roman" w:hAnsi="Times New Roman" w:cs="Times New Roman"/>
          <w:color w:val="000000" w:themeColor="text1"/>
        </w:rPr>
        <w:t xml:space="preserve">). For example, EGDs could be used to limit the reproductive capabilities of invasive species that have adverse impacts on an ecosystem, where they may provide a more sustainable and/or targeted solution compared to traditional methods like chemical or physical </w:t>
      </w:r>
      <w:r w:rsidR="009C2FBB" w:rsidRPr="004E644D">
        <w:rPr>
          <w:rFonts w:ascii="Times New Roman" w:eastAsia="Times New Roman" w:hAnsi="Times New Roman" w:cs="Times New Roman"/>
          <w:color w:val="000000" w:themeColor="text1"/>
        </w:rPr>
        <w:t>control</w:t>
      </w:r>
      <w:r w:rsidRPr="004E644D">
        <w:rPr>
          <w:rFonts w:ascii="Times New Roman" w:eastAsia="Times New Roman" w:hAnsi="Times New Roman" w:cs="Times New Roman"/>
          <w:color w:val="000000" w:themeColor="text1"/>
        </w:rPr>
        <w:t xml:space="preserve">. </w:t>
      </w:r>
    </w:p>
    <w:p w14:paraId="76563962" w14:textId="4AE07B1D" w:rsidR="007D1B37" w:rsidRPr="00AC1D87" w:rsidRDefault="49A44987" w:rsidP="007D0088">
      <w:pPr>
        <w:spacing w:line="276" w:lineRule="auto"/>
        <w:ind w:left="-20" w:right="-20"/>
        <w:rPr>
          <w:rFonts w:ascii="Times New Roman" w:eastAsia="Times New Roman" w:hAnsi="Times New Roman" w:cs="Times New Roman"/>
          <w:color w:val="000000" w:themeColor="text1"/>
        </w:rPr>
      </w:pPr>
      <w:r w:rsidRPr="00AC1D87">
        <w:rPr>
          <w:rFonts w:ascii="Times New Roman" w:eastAsia="Times New Roman" w:hAnsi="Times New Roman" w:cs="Times New Roman"/>
          <w:color w:val="000000" w:themeColor="text1"/>
        </w:rPr>
        <w:t>Engineered gene drives may also be leveraged for disease vector control, including for non-native diseases with significant adverse impacts, including extinction, on native species (e.g., avian malaria in Hawai’i). Specifically with regards to insect</w:t>
      </w:r>
      <w:r w:rsidR="00B31393" w:rsidRPr="00AC1D87">
        <w:rPr>
          <w:rFonts w:ascii="Times New Roman" w:eastAsia="Times New Roman" w:hAnsi="Times New Roman" w:cs="Times New Roman"/>
          <w:color w:val="000000" w:themeColor="text1"/>
        </w:rPr>
        <w:t xml:space="preserve"> pests</w:t>
      </w:r>
      <w:r w:rsidR="00764569">
        <w:rPr>
          <w:rFonts w:ascii="Times New Roman" w:eastAsia="Times New Roman" w:hAnsi="Times New Roman" w:cs="Times New Roman"/>
          <w:color w:val="000000" w:themeColor="text1"/>
        </w:rPr>
        <w:t>,</w:t>
      </w:r>
      <w:r w:rsidRPr="00AC1D87">
        <w:rPr>
          <w:rFonts w:ascii="Times New Roman" w:eastAsia="Times New Roman" w:hAnsi="Times New Roman" w:cs="Times New Roman"/>
          <w:color w:val="000000" w:themeColor="text1"/>
        </w:rPr>
        <w:t xml:space="preserve"> </w:t>
      </w:r>
      <w:r w:rsidR="00B31393" w:rsidRPr="00AC1D87">
        <w:rPr>
          <w:rFonts w:ascii="Times New Roman" w:eastAsia="Times New Roman" w:hAnsi="Times New Roman" w:cs="Times New Roman"/>
          <w:color w:val="000000" w:themeColor="text1"/>
        </w:rPr>
        <w:t>s</w:t>
      </w:r>
      <w:r w:rsidR="001B315C" w:rsidRPr="00AC1D87">
        <w:rPr>
          <w:rFonts w:ascii="Times New Roman" w:eastAsia="Times New Roman" w:hAnsi="Times New Roman" w:cs="Times New Roman"/>
          <w:color w:val="000000" w:themeColor="text1"/>
        </w:rPr>
        <w:t xml:space="preserve">ome </w:t>
      </w:r>
      <w:r w:rsidRPr="00AC1D87">
        <w:rPr>
          <w:rFonts w:ascii="Times New Roman" w:eastAsia="Times New Roman" w:hAnsi="Times New Roman" w:cs="Times New Roman"/>
          <w:color w:val="000000" w:themeColor="text1"/>
        </w:rPr>
        <w:t xml:space="preserve">other </w:t>
      </w:r>
      <w:r w:rsidR="00B31393" w:rsidRPr="00AC1D87">
        <w:rPr>
          <w:rFonts w:ascii="Times New Roman" w:eastAsia="Times New Roman" w:hAnsi="Times New Roman" w:cs="Times New Roman"/>
          <w:color w:val="000000" w:themeColor="text1"/>
        </w:rPr>
        <w:t xml:space="preserve">control strategies, </w:t>
      </w:r>
      <w:r w:rsidRPr="00AC1D87">
        <w:rPr>
          <w:rFonts w:ascii="Times New Roman" w:eastAsia="Times New Roman" w:hAnsi="Times New Roman" w:cs="Times New Roman"/>
          <w:color w:val="000000" w:themeColor="text1"/>
        </w:rPr>
        <w:t xml:space="preserve">such as </w:t>
      </w:r>
      <w:r w:rsidR="00B31393" w:rsidRPr="00AC1D87">
        <w:rPr>
          <w:rFonts w:ascii="Times New Roman" w:eastAsia="Times New Roman" w:hAnsi="Times New Roman" w:cs="Times New Roman"/>
          <w:color w:val="000000" w:themeColor="text1"/>
        </w:rPr>
        <w:t>s</w:t>
      </w:r>
      <w:r w:rsidRPr="00AC1D87">
        <w:rPr>
          <w:rFonts w:ascii="Times New Roman" w:eastAsia="Times New Roman" w:hAnsi="Times New Roman" w:cs="Times New Roman"/>
          <w:color w:val="000000" w:themeColor="text1"/>
        </w:rPr>
        <w:t xml:space="preserve">terile </w:t>
      </w:r>
      <w:r w:rsidR="00B31393" w:rsidRPr="00AC1D87">
        <w:rPr>
          <w:rFonts w:ascii="Times New Roman" w:eastAsia="Times New Roman" w:hAnsi="Times New Roman" w:cs="Times New Roman"/>
          <w:color w:val="000000" w:themeColor="text1"/>
        </w:rPr>
        <w:t>i</w:t>
      </w:r>
      <w:r w:rsidRPr="00AC1D87">
        <w:rPr>
          <w:rFonts w:ascii="Times New Roman" w:eastAsia="Times New Roman" w:hAnsi="Times New Roman" w:cs="Times New Roman"/>
          <w:color w:val="000000" w:themeColor="text1"/>
        </w:rPr>
        <w:t xml:space="preserve">nsect </w:t>
      </w:r>
      <w:r w:rsidR="00B31393" w:rsidRPr="00AC1D87">
        <w:rPr>
          <w:rFonts w:ascii="Times New Roman" w:eastAsia="Times New Roman" w:hAnsi="Times New Roman" w:cs="Times New Roman"/>
          <w:color w:val="000000" w:themeColor="text1"/>
        </w:rPr>
        <w:t>t</w:t>
      </w:r>
      <w:r w:rsidRPr="00AC1D87">
        <w:rPr>
          <w:rFonts w:ascii="Times New Roman" w:eastAsia="Times New Roman" w:hAnsi="Times New Roman" w:cs="Times New Roman"/>
          <w:color w:val="000000" w:themeColor="text1"/>
        </w:rPr>
        <w:t>echnique</w:t>
      </w:r>
      <w:r w:rsidR="00764569">
        <w:rPr>
          <w:rFonts w:ascii="Times New Roman" w:eastAsia="Times New Roman" w:hAnsi="Times New Roman" w:cs="Times New Roman"/>
          <w:color w:val="000000" w:themeColor="text1"/>
        </w:rPr>
        <w:t>,</w:t>
      </w:r>
      <w:r w:rsidRPr="00AC1D87">
        <w:rPr>
          <w:rFonts w:ascii="Times New Roman" w:eastAsia="Times New Roman" w:hAnsi="Times New Roman" w:cs="Times New Roman"/>
          <w:color w:val="000000" w:themeColor="text1"/>
        </w:rPr>
        <w:t xml:space="preserve"> </w:t>
      </w:r>
      <w:r w:rsidR="00B31393" w:rsidRPr="00AC1D87">
        <w:rPr>
          <w:rFonts w:ascii="Times New Roman" w:eastAsia="Times New Roman" w:hAnsi="Times New Roman" w:cs="Times New Roman"/>
          <w:color w:val="000000" w:themeColor="text1"/>
        </w:rPr>
        <w:t xml:space="preserve">often </w:t>
      </w:r>
      <w:r w:rsidRPr="00AC1D87">
        <w:rPr>
          <w:rFonts w:ascii="Times New Roman" w:eastAsia="Times New Roman" w:hAnsi="Times New Roman" w:cs="Times New Roman"/>
          <w:color w:val="000000" w:themeColor="text1"/>
        </w:rPr>
        <w:t xml:space="preserve">require multiple releases of large number of organisms to </w:t>
      </w:r>
      <w:r w:rsidRPr="00B3114D">
        <w:rPr>
          <w:rFonts w:ascii="Times New Roman" w:eastAsia="Times New Roman" w:hAnsi="Times New Roman" w:cs="Times New Roman"/>
          <w:color w:val="000000" w:themeColor="text1"/>
        </w:rPr>
        <w:t>overwhelm the target pest and</w:t>
      </w:r>
      <w:r w:rsidRPr="00AC1D87">
        <w:rPr>
          <w:rFonts w:ascii="Times New Roman" w:eastAsia="Times New Roman" w:hAnsi="Times New Roman" w:cs="Times New Roman"/>
          <w:color w:val="000000" w:themeColor="text1"/>
        </w:rPr>
        <w:t xml:space="preserve"> achieve efficacy, which may not be feasible. In contrast, self-sustaining gene drives aim to allow for a small number of individuals to be released into the population. Thus, the use of EGDs aim to reduce disease-transmitting insect populations, which could benefit ecological and human health outcomes.</w:t>
      </w:r>
    </w:p>
    <w:p w14:paraId="3D181E17" w14:textId="7B0B8877" w:rsidR="007D1B37" w:rsidRPr="00AC1D87" w:rsidRDefault="49A44987" w:rsidP="007D0088">
      <w:pPr>
        <w:spacing w:line="276" w:lineRule="auto"/>
        <w:ind w:left="-20" w:right="-20"/>
        <w:rPr>
          <w:rFonts w:ascii="Times New Roman" w:eastAsia="Times New Roman" w:hAnsi="Times New Roman" w:cs="Times New Roman"/>
          <w:color w:val="000000" w:themeColor="text1"/>
        </w:rPr>
      </w:pPr>
      <w:r w:rsidRPr="00AC1D87">
        <w:rPr>
          <w:rFonts w:ascii="Times New Roman" w:eastAsia="Times New Roman" w:hAnsi="Times New Roman" w:cs="Times New Roman"/>
          <w:color w:val="000000" w:themeColor="text1"/>
        </w:rPr>
        <w:t>Gene drives may also be beneficial for the management of agricultural pests. Pests destroy more than 40% of the worldwide food supply (</w:t>
      </w:r>
      <w:proofErr w:type="spellStart"/>
      <w:r w:rsidRPr="003A1244">
        <w:rPr>
          <w:rFonts w:ascii="Times New Roman" w:eastAsia="Times New Roman" w:hAnsi="Times New Roman" w:cs="Times New Roman"/>
          <w:color w:val="000000" w:themeColor="text1"/>
        </w:rPr>
        <w:t>Oerke</w:t>
      </w:r>
      <w:proofErr w:type="spellEnd"/>
      <w:r w:rsidRPr="003A1244">
        <w:rPr>
          <w:rFonts w:ascii="Times New Roman" w:eastAsia="Times New Roman" w:hAnsi="Times New Roman" w:cs="Times New Roman"/>
          <w:color w:val="000000" w:themeColor="text1"/>
        </w:rPr>
        <w:t xml:space="preserve"> </w:t>
      </w:r>
      <w:r w:rsidR="00AC1D87" w:rsidRPr="003A1244">
        <w:rPr>
          <w:rFonts w:ascii="Times New Roman" w:eastAsia="Times New Roman" w:hAnsi="Times New Roman" w:cs="Times New Roman"/>
          <w:color w:val="000000" w:themeColor="text1"/>
        </w:rPr>
        <w:t>and others,</w:t>
      </w:r>
      <w:r w:rsidRPr="003A1244">
        <w:rPr>
          <w:rFonts w:ascii="Times New Roman" w:eastAsia="Times New Roman" w:hAnsi="Times New Roman" w:cs="Times New Roman"/>
          <w:color w:val="000000" w:themeColor="text1"/>
        </w:rPr>
        <w:t xml:space="preserve"> 1994</w:t>
      </w:r>
      <w:r w:rsidRPr="00AC1D87">
        <w:rPr>
          <w:rFonts w:ascii="Times New Roman" w:eastAsia="Times New Roman" w:hAnsi="Times New Roman" w:cs="Times New Roman"/>
          <w:color w:val="000000" w:themeColor="text1"/>
        </w:rPr>
        <w:t xml:space="preserve">; </w:t>
      </w:r>
      <w:r w:rsidRPr="003A1244">
        <w:rPr>
          <w:rFonts w:ascii="Times New Roman" w:eastAsia="Times New Roman" w:hAnsi="Times New Roman" w:cs="Times New Roman"/>
          <w:color w:val="000000" w:themeColor="text1"/>
        </w:rPr>
        <w:t>Pimentel</w:t>
      </w:r>
      <w:r w:rsidR="00AC1D87" w:rsidRPr="003A1244">
        <w:rPr>
          <w:rFonts w:ascii="Times New Roman" w:eastAsia="Times New Roman" w:hAnsi="Times New Roman" w:cs="Times New Roman"/>
          <w:color w:val="000000" w:themeColor="text1"/>
        </w:rPr>
        <w:t>,</w:t>
      </w:r>
      <w:r w:rsidRPr="003A1244">
        <w:rPr>
          <w:rFonts w:ascii="Times New Roman" w:eastAsia="Times New Roman" w:hAnsi="Times New Roman" w:cs="Times New Roman"/>
          <w:color w:val="000000" w:themeColor="text1"/>
        </w:rPr>
        <w:t xml:space="preserve"> 1997).</w:t>
      </w:r>
      <w:r w:rsidRPr="00AC1D87">
        <w:rPr>
          <w:rFonts w:ascii="Times New Roman" w:eastAsia="Times New Roman" w:hAnsi="Times New Roman" w:cs="Times New Roman"/>
          <w:color w:val="000000" w:themeColor="text1"/>
        </w:rPr>
        <w:t xml:space="preserve"> The common methods to control </w:t>
      </w:r>
      <w:r w:rsidRPr="00AC1D87">
        <w:rPr>
          <w:rFonts w:ascii="Times New Roman" w:eastAsia="Times New Roman" w:hAnsi="Times New Roman" w:cs="Times New Roman"/>
          <w:color w:val="000000" w:themeColor="text1"/>
        </w:rPr>
        <w:lastRenderedPageBreak/>
        <w:t>these pests are via chemical pesticides, which can be toxic to wildlife and humans. E</w:t>
      </w:r>
      <w:r w:rsidR="00AC1D87">
        <w:rPr>
          <w:rFonts w:ascii="Times New Roman" w:eastAsia="Times New Roman" w:hAnsi="Times New Roman" w:cs="Times New Roman"/>
          <w:color w:val="000000" w:themeColor="text1"/>
        </w:rPr>
        <w:t>ngineered gene drive</w:t>
      </w:r>
      <w:r w:rsidRPr="00AC1D87">
        <w:rPr>
          <w:rFonts w:ascii="Times New Roman" w:eastAsia="Times New Roman" w:hAnsi="Times New Roman" w:cs="Times New Roman"/>
          <w:color w:val="000000" w:themeColor="text1"/>
        </w:rPr>
        <w:t xml:space="preserve">s may offer a unique opportunity to alter pests to reduce their fitness or their pest potential, while requiring a limited release of individuals (dependent on the type of EGD) and with low levels of off-target toxicity compared to chemical approaches </w:t>
      </w:r>
      <w:r w:rsidRPr="006501D0">
        <w:rPr>
          <w:rFonts w:ascii="Times New Roman" w:eastAsia="Times New Roman" w:hAnsi="Times New Roman" w:cs="Times New Roman"/>
          <w:color w:val="000000" w:themeColor="text1"/>
        </w:rPr>
        <w:t>(</w:t>
      </w:r>
      <w:proofErr w:type="spellStart"/>
      <w:r w:rsidRPr="006501D0">
        <w:rPr>
          <w:rFonts w:ascii="Times New Roman" w:eastAsia="Times New Roman" w:hAnsi="Times New Roman" w:cs="Times New Roman"/>
          <w:color w:val="000000" w:themeColor="text1"/>
        </w:rPr>
        <w:t>Legros</w:t>
      </w:r>
      <w:proofErr w:type="spellEnd"/>
      <w:r w:rsidRPr="006501D0">
        <w:rPr>
          <w:rFonts w:ascii="Times New Roman" w:eastAsia="Times New Roman" w:hAnsi="Times New Roman" w:cs="Times New Roman"/>
          <w:color w:val="000000" w:themeColor="text1"/>
        </w:rPr>
        <w:t xml:space="preserve"> and others 2021</w:t>
      </w:r>
      <w:r w:rsidRPr="00AC1D87">
        <w:rPr>
          <w:rFonts w:ascii="Times New Roman" w:eastAsia="Times New Roman" w:hAnsi="Times New Roman" w:cs="Times New Roman"/>
          <w:color w:val="000000" w:themeColor="text1"/>
        </w:rPr>
        <w:t>). Given that rodent pests have proliferated further with recent shifts to conservation agriculture, rodents are organisms where gene drives could be useful and they are currently in research and development (</w:t>
      </w:r>
      <w:r w:rsidRPr="006501D0">
        <w:rPr>
          <w:rFonts w:ascii="Times New Roman" w:eastAsia="Times New Roman" w:hAnsi="Times New Roman" w:cs="Times New Roman"/>
          <w:color w:val="000000" w:themeColor="text1"/>
        </w:rPr>
        <w:t xml:space="preserve">Ruscoe </w:t>
      </w:r>
      <w:r w:rsidR="00AC1D87" w:rsidRPr="006501D0">
        <w:rPr>
          <w:rFonts w:ascii="Times New Roman" w:eastAsia="Times New Roman" w:hAnsi="Times New Roman" w:cs="Times New Roman"/>
          <w:color w:val="000000" w:themeColor="text1"/>
        </w:rPr>
        <w:t>and others,</w:t>
      </w:r>
      <w:r w:rsidRPr="006501D0">
        <w:rPr>
          <w:rFonts w:ascii="Times New Roman" w:eastAsia="Times New Roman" w:hAnsi="Times New Roman" w:cs="Times New Roman"/>
          <w:color w:val="000000" w:themeColor="text1"/>
        </w:rPr>
        <w:t xml:space="preserve"> 2023, 2022</w:t>
      </w:r>
      <w:r w:rsidRPr="00AC1D87">
        <w:rPr>
          <w:rFonts w:ascii="Times New Roman" w:eastAsia="Times New Roman" w:hAnsi="Times New Roman" w:cs="Times New Roman"/>
          <w:color w:val="000000" w:themeColor="text1"/>
        </w:rPr>
        <w:t>). Gene drive development also shows promise for invasive weed and insect control and may contribute to reducing food supply breakdown. For example, the use of EGDs could also enable effective control of aphids, which are pests</w:t>
      </w:r>
      <w:r w:rsidR="002938E9" w:rsidRPr="00AC1D87">
        <w:rPr>
          <w:rFonts w:ascii="Times New Roman" w:eastAsia="Times New Roman" w:hAnsi="Times New Roman" w:cs="Times New Roman"/>
          <w:color w:val="000000" w:themeColor="text1"/>
        </w:rPr>
        <w:t>, as well as vectors for plant viruses,</w:t>
      </w:r>
      <w:r w:rsidRPr="00AC1D87">
        <w:rPr>
          <w:rFonts w:ascii="Times New Roman" w:eastAsia="Times New Roman" w:hAnsi="Times New Roman" w:cs="Times New Roman"/>
          <w:color w:val="000000" w:themeColor="text1"/>
        </w:rPr>
        <w:t xml:space="preserve"> of agricultural plants in many countries (</w:t>
      </w:r>
      <w:proofErr w:type="spellStart"/>
      <w:r w:rsidRPr="006501D0">
        <w:rPr>
          <w:rFonts w:ascii="Times New Roman" w:eastAsia="Times New Roman" w:hAnsi="Times New Roman" w:cs="Times New Roman"/>
          <w:color w:val="000000" w:themeColor="text1"/>
        </w:rPr>
        <w:t>Legros</w:t>
      </w:r>
      <w:proofErr w:type="spellEnd"/>
      <w:r w:rsidRPr="006501D0">
        <w:rPr>
          <w:rFonts w:ascii="Times New Roman" w:eastAsia="Times New Roman" w:hAnsi="Times New Roman" w:cs="Times New Roman"/>
          <w:color w:val="000000" w:themeColor="text1"/>
        </w:rPr>
        <w:t xml:space="preserve"> and others, 2021</w:t>
      </w:r>
      <w:r w:rsidR="00371C97" w:rsidRPr="006501D0">
        <w:rPr>
          <w:rFonts w:ascii="Times New Roman" w:eastAsia="Times New Roman" w:hAnsi="Times New Roman" w:cs="Times New Roman"/>
          <w:color w:val="000000" w:themeColor="text1"/>
        </w:rPr>
        <w:t>; Guo and others, 2022</w:t>
      </w:r>
      <w:r w:rsidRPr="00AC1D87">
        <w:rPr>
          <w:rFonts w:ascii="Times New Roman" w:eastAsia="Times New Roman" w:hAnsi="Times New Roman" w:cs="Times New Roman"/>
          <w:color w:val="000000" w:themeColor="text1"/>
        </w:rPr>
        <w:t>).</w:t>
      </w:r>
    </w:p>
    <w:p w14:paraId="5A87E670" w14:textId="730CE078" w:rsidR="007D1B37" w:rsidRPr="00D35F03" w:rsidRDefault="49A44987" w:rsidP="007D0088">
      <w:pPr>
        <w:spacing w:line="276" w:lineRule="auto"/>
        <w:ind w:left="-20" w:right="-20"/>
        <w:rPr>
          <w:rFonts w:ascii="Times New Roman" w:eastAsia="Times New Roman" w:hAnsi="Times New Roman" w:cs="Times New Roman"/>
          <w:color w:val="000000" w:themeColor="text1"/>
        </w:rPr>
      </w:pPr>
      <w:r w:rsidRPr="00D35F03">
        <w:rPr>
          <w:rFonts w:ascii="Times New Roman" w:eastAsia="Times New Roman" w:hAnsi="Times New Roman" w:cs="Times New Roman"/>
          <w:color w:val="000000" w:themeColor="text1"/>
        </w:rPr>
        <w:t xml:space="preserve">Finally, a key opportunity for the use of EGDs is in the fight against malaria and other vector-borne diseases. This opportunity may help to improve human health in many developing countries and economies, particularly among children under the age of 5 years. Based on challenges experienced with vector control interventions to reduce mortality linked to the spread of diseases such as malaria and dengue, the need for additional methods to combat mosquito-borne diseases is widely recognized. Currently available methods to control mosquito vectors are based on the use of insecticides, bed </w:t>
      </w:r>
      <w:r w:rsidR="17B29CDB" w:rsidRPr="00D35F03">
        <w:rPr>
          <w:rFonts w:ascii="Times New Roman" w:eastAsia="Times New Roman" w:hAnsi="Times New Roman" w:cs="Times New Roman"/>
          <w:color w:val="000000" w:themeColor="text1"/>
        </w:rPr>
        <w:t>nets, mass</w:t>
      </w:r>
      <w:r w:rsidR="1D96694C" w:rsidRPr="00D35F03">
        <w:rPr>
          <w:rFonts w:ascii="Times New Roman" w:eastAsia="Times New Roman" w:hAnsi="Times New Roman" w:cs="Times New Roman"/>
          <w:color w:val="000000" w:themeColor="text1"/>
        </w:rPr>
        <w:t xml:space="preserve"> release of sterile males,</w:t>
      </w:r>
      <w:r w:rsidRPr="00D35F03">
        <w:rPr>
          <w:rFonts w:ascii="Times New Roman" w:eastAsia="Times New Roman" w:hAnsi="Times New Roman" w:cs="Times New Roman"/>
          <w:color w:val="000000" w:themeColor="text1"/>
        </w:rPr>
        <w:t xml:space="preserve"> housing improvements, addressing social determinants of health and elimination of mosquito larval breeding sites. Therefore, for both operational and economic reasons, there is a recognized need to add new, </w:t>
      </w:r>
      <w:proofErr w:type="gramStart"/>
      <w:r w:rsidRPr="00D35F03">
        <w:rPr>
          <w:rFonts w:ascii="Times New Roman" w:eastAsia="Times New Roman" w:hAnsi="Times New Roman" w:cs="Times New Roman"/>
          <w:color w:val="000000" w:themeColor="text1"/>
        </w:rPr>
        <w:t>sustainable</w:t>
      </w:r>
      <w:proofErr w:type="gramEnd"/>
      <w:r w:rsidRPr="00D35F03">
        <w:rPr>
          <w:rFonts w:ascii="Times New Roman" w:eastAsia="Times New Roman" w:hAnsi="Times New Roman" w:cs="Times New Roman"/>
          <w:color w:val="000000" w:themeColor="text1"/>
        </w:rPr>
        <w:t xml:space="preserve"> and cost-effective vector control tools. Recent research offers the possibility that </w:t>
      </w:r>
      <w:r w:rsidR="000E674F" w:rsidRPr="00D35F03">
        <w:rPr>
          <w:rFonts w:ascii="Times New Roman" w:eastAsia="Times New Roman" w:hAnsi="Times New Roman" w:cs="Times New Roman"/>
          <w:color w:val="000000" w:themeColor="text1"/>
        </w:rPr>
        <w:t>LMMs, including EGD-LMM</w:t>
      </w:r>
      <w:r w:rsidRPr="00D35F03">
        <w:rPr>
          <w:rFonts w:ascii="Times New Roman" w:eastAsia="Times New Roman" w:hAnsi="Times New Roman" w:cs="Times New Roman"/>
          <w:color w:val="000000" w:themeColor="text1"/>
        </w:rPr>
        <w:t xml:space="preserve"> could be used as complementary tool to prevent pathogen transmission </w:t>
      </w:r>
      <w:r w:rsidRPr="006A2B6A">
        <w:rPr>
          <w:rFonts w:ascii="Times New Roman" w:eastAsia="Times New Roman" w:hAnsi="Times New Roman" w:cs="Times New Roman"/>
          <w:color w:val="000000" w:themeColor="text1"/>
        </w:rPr>
        <w:t>(WHO</w:t>
      </w:r>
      <w:r w:rsidR="007F46DE" w:rsidRPr="006A2B6A">
        <w:rPr>
          <w:rFonts w:ascii="Times New Roman" w:eastAsia="Times New Roman" w:hAnsi="Times New Roman" w:cs="Times New Roman"/>
          <w:color w:val="000000" w:themeColor="text1"/>
        </w:rPr>
        <w:t>, 2021</w:t>
      </w:r>
      <w:r w:rsidR="00E25734">
        <w:rPr>
          <w:rFonts w:ascii="Times New Roman" w:eastAsia="Times New Roman" w:hAnsi="Times New Roman" w:cs="Times New Roman"/>
          <w:color w:val="000000" w:themeColor="text1"/>
        </w:rPr>
        <w:t>b</w:t>
      </w:r>
      <w:r w:rsidR="23A822FC" w:rsidRPr="006A2B6A">
        <w:rPr>
          <w:rFonts w:ascii="Times New Roman" w:eastAsia="Times New Roman" w:hAnsi="Times New Roman" w:cs="Times New Roman"/>
          <w:color w:val="000000" w:themeColor="text1"/>
        </w:rPr>
        <w:t>; Fouet</w:t>
      </w:r>
      <w:r w:rsidR="23A822FC" w:rsidRPr="00D35F03">
        <w:rPr>
          <w:rFonts w:ascii="Times New Roman" w:eastAsia="Times New Roman" w:hAnsi="Times New Roman" w:cs="Times New Roman"/>
          <w:color w:val="000000" w:themeColor="text1"/>
        </w:rPr>
        <w:t xml:space="preserve"> and others, 2020</w:t>
      </w:r>
      <w:r w:rsidRPr="00D35F03">
        <w:rPr>
          <w:rFonts w:ascii="Times New Roman" w:eastAsia="Times New Roman" w:hAnsi="Times New Roman" w:cs="Times New Roman"/>
          <w:color w:val="000000" w:themeColor="text1"/>
        </w:rPr>
        <w:t>).</w:t>
      </w:r>
    </w:p>
    <w:p w14:paraId="5EBAFAEC" w14:textId="000133A5" w:rsidR="007D1B37" w:rsidRPr="004E644D" w:rsidRDefault="49A44987" w:rsidP="00087421">
      <w:pPr>
        <w:pStyle w:val="Heading2"/>
        <w:spacing w:before="160" w:after="80" w:line="276" w:lineRule="auto"/>
        <w:ind w:left="-20" w:right="-20"/>
        <w:rPr>
          <w:rFonts w:ascii="Times New Roman" w:eastAsia="Times New Roman" w:hAnsi="Times New Roman" w:cs="Times New Roman"/>
          <w:b/>
          <w:bCs/>
          <w:color w:val="000000" w:themeColor="text1"/>
          <w:sz w:val="22"/>
          <w:szCs w:val="22"/>
        </w:rPr>
      </w:pPr>
      <w:bookmarkStart w:id="27" w:name="_Toc161220484"/>
      <w:r w:rsidRPr="004E644D">
        <w:rPr>
          <w:rFonts w:ascii="Times New Roman" w:eastAsia="Times New Roman" w:hAnsi="Times New Roman" w:cs="Times New Roman"/>
          <w:b/>
          <w:bCs/>
          <w:color w:val="000000" w:themeColor="text1"/>
          <w:sz w:val="22"/>
          <w:szCs w:val="22"/>
        </w:rPr>
        <w:t xml:space="preserve">3.2.2 </w:t>
      </w:r>
      <w:r w:rsidR="3A4AA484" w:rsidRPr="004E644D">
        <w:rPr>
          <w:rFonts w:ascii="Times New Roman" w:eastAsia="Times New Roman" w:hAnsi="Times New Roman" w:cs="Times New Roman"/>
          <w:b/>
          <w:bCs/>
          <w:color w:val="000000" w:themeColor="text1"/>
          <w:sz w:val="22"/>
          <w:szCs w:val="22"/>
        </w:rPr>
        <w:t xml:space="preserve">Risk </w:t>
      </w:r>
      <w:r w:rsidRPr="004E644D">
        <w:rPr>
          <w:rFonts w:ascii="Times New Roman" w:eastAsia="Times New Roman" w:hAnsi="Times New Roman" w:cs="Times New Roman"/>
          <w:b/>
          <w:bCs/>
          <w:color w:val="000000" w:themeColor="text1"/>
          <w:sz w:val="22"/>
          <w:szCs w:val="22"/>
        </w:rPr>
        <w:t>Concerns</w:t>
      </w:r>
      <w:bookmarkEnd w:id="27"/>
    </w:p>
    <w:p w14:paraId="253BCA8C" w14:textId="197100BB" w:rsidR="007D1B37" w:rsidRPr="007317D1" w:rsidRDefault="58B59B7E" w:rsidP="00510EBB">
      <w:pPr>
        <w:pStyle w:val="Para1"/>
        <w:numPr>
          <w:ilvl w:val="0"/>
          <w:numId w:val="0"/>
        </w:numPr>
        <w:spacing w:before="0" w:after="160" w:line="276" w:lineRule="auto"/>
        <w:rPr>
          <w:rFonts w:eastAsiaTheme="minorEastAsia"/>
        </w:rPr>
      </w:pPr>
      <w:r w:rsidRPr="12D14FCC">
        <w:rPr>
          <w:rFonts w:eastAsiaTheme="minorEastAsia"/>
          <w14:ligatures w14:val="standardContextual"/>
        </w:rPr>
        <w:t xml:space="preserve">Unlike other LMOs, EGD-LMOs </w:t>
      </w:r>
      <w:r w:rsidR="47A3E770" w:rsidRPr="12D14FCC">
        <w:rPr>
          <w:rFonts w:eastAsiaTheme="minorEastAsia"/>
          <w14:ligatures w14:val="standardContextual"/>
        </w:rPr>
        <w:t>are</w:t>
      </w:r>
      <w:r w:rsidRPr="12D14FCC">
        <w:rPr>
          <w:rFonts w:eastAsiaTheme="minorEastAsia"/>
          <w14:ligatures w14:val="standardContextual"/>
        </w:rPr>
        <w:t xml:space="preserve"> specifically designed to disperse beyond their initial release locations and persist in target populations over extended periods and generations </w:t>
      </w:r>
      <w:proofErr w:type="gramStart"/>
      <w:r w:rsidRPr="12D14FCC">
        <w:rPr>
          <w:rFonts w:eastAsiaTheme="minorEastAsia"/>
          <w14:ligatures w14:val="standardContextual"/>
        </w:rPr>
        <w:t>in order to</w:t>
      </w:r>
      <w:proofErr w:type="gramEnd"/>
      <w:r w:rsidRPr="12D14FCC">
        <w:rPr>
          <w:rFonts w:eastAsiaTheme="minorEastAsia"/>
          <w14:ligatures w14:val="standardContextual"/>
        </w:rPr>
        <w:t xml:space="preserve"> control disease vectors, agricultural pests and invasive species, or rescue endangered species.</w:t>
      </w:r>
    </w:p>
    <w:p w14:paraId="3E724272" w14:textId="5311F31F" w:rsidR="00251A95" w:rsidRPr="00BB5241" w:rsidRDefault="008C090A" w:rsidP="00212686">
      <w:pPr>
        <w:spacing w:line="276" w:lineRule="auto"/>
        <w:jc w:val="both"/>
        <w:rPr>
          <w:rFonts w:ascii="Times New Roman" w:hAnsi="Times New Roman" w:cs="Times New Roman"/>
        </w:rPr>
      </w:pPr>
      <w:r>
        <w:rPr>
          <w:rFonts w:ascii="Times New Roman" w:hAnsi="Times New Roman" w:cs="Times New Roman"/>
          <w:bCs/>
        </w:rPr>
        <w:t>C</w:t>
      </w:r>
      <w:r w:rsidR="00C64C08" w:rsidRPr="00BB5241">
        <w:rPr>
          <w:rFonts w:ascii="Times New Roman" w:hAnsi="Times New Roman" w:cs="Times New Roman"/>
          <w:bCs/>
        </w:rPr>
        <w:t>oncerns</w:t>
      </w:r>
      <w:r w:rsidR="00C64C08" w:rsidRPr="00BB5241">
        <w:rPr>
          <w:rFonts w:ascii="Times New Roman" w:hAnsi="Times New Roman" w:cs="Times New Roman"/>
        </w:rPr>
        <w:t xml:space="preserve"> have been raised </w:t>
      </w:r>
      <w:r w:rsidR="005430B6" w:rsidRPr="00BB5241">
        <w:rPr>
          <w:rFonts w:ascii="Times New Roman" w:hAnsi="Times New Roman" w:cs="Times New Roman"/>
        </w:rPr>
        <w:t xml:space="preserve">that EGDs may adversely impact biodiversity and </w:t>
      </w:r>
      <w:r w:rsidR="00C64C08" w:rsidRPr="00BB5241">
        <w:rPr>
          <w:rFonts w:ascii="Times New Roman" w:hAnsi="Times New Roman" w:cs="Times New Roman"/>
        </w:rPr>
        <w:t xml:space="preserve">human and animal </w:t>
      </w:r>
      <w:r w:rsidR="005430B6" w:rsidRPr="00BB5241">
        <w:rPr>
          <w:rFonts w:ascii="Times New Roman" w:hAnsi="Times New Roman" w:cs="Times New Roman"/>
        </w:rPr>
        <w:t>health, lead to undesired side effects and uncontrolled spread, and alter organisms, populations</w:t>
      </w:r>
      <w:r w:rsidR="00530962" w:rsidRPr="00BB5241">
        <w:rPr>
          <w:rFonts w:ascii="Times New Roman" w:hAnsi="Times New Roman" w:cs="Times New Roman"/>
        </w:rPr>
        <w:t xml:space="preserve"> or species</w:t>
      </w:r>
      <w:r w:rsidR="005430B6" w:rsidRPr="00BB5241">
        <w:rPr>
          <w:rFonts w:ascii="Times New Roman" w:hAnsi="Times New Roman" w:cs="Times New Roman"/>
        </w:rPr>
        <w:t xml:space="preserve"> and ecosystems in unwanted, unanticipated and irreversible ways with no current ability for recall (e.g.</w:t>
      </w:r>
      <w:r w:rsidR="007451AA">
        <w:rPr>
          <w:rFonts w:ascii="Times New Roman" w:hAnsi="Times New Roman" w:cs="Times New Roman"/>
        </w:rPr>
        <w:t>,</w:t>
      </w:r>
      <w:r w:rsidR="005430B6" w:rsidRPr="00BB5241">
        <w:rPr>
          <w:rFonts w:ascii="Times New Roman" w:hAnsi="Times New Roman" w:cs="Times New Roman"/>
        </w:rPr>
        <w:t xml:space="preserve"> </w:t>
      </w:r>
      <w:proofErr w:type="spellStart"/>
      <w:r w:rsidR="00C64C08" w:rsidRPr="003C1BD9">
        <w:rPr>
          <w:rFonts w:ascii="Times New Roman" w:hAnsi="Times New Roman" w:cs="Times New Roman"/>
        </w:rPr>
        <w:t>Esvelt</w:t>
      </w:r>
      <w:proofErr w:type="spellEnd"/>
      <w:r w:rsidR="008F143C" w:rsidRPr="003C1BD9">
        <w:rPr>
          <w:rFonts w:ascii="Times New Roman" w:hAnsi="Times New Roman" w:cs="Times New Roman"/>
        </w:rPr>
        <w:t>,</w:t>
      </w:r>
      <w:r w:rsidR="00C64C08" w:rsidRPr="003C1BD9">
        <w:rPr>
          <w:rFonts w:ascii="Times New Roman" w:hAnsi="Times New Roman" w:cs="Times New Roman"/>
        </w:rPr>
        <w:t xml:space="preserve"> 2014</w:t>
      </w:r>
      <w:r w:rsidRPr="003C1BD9">
        <w:rPr>
          <w:rFonts w:ascii="Times New Roman" w:hAnsi="Times New Roman" w:cs="Times New Roman"/>
        </w:rPr>
        <w:t>;</w:t>
      </w:r>
      <w:r w:rsidRPr="00BB5241">
        <w:rPr>
          <w:rFonts w:ascii="Times New Roman" w:hAnsi="Times New Roman" w:cs="Times New Roman"/>
          <w:b/>
        </w:rPr>
        <w:t xml:space="preserve"> </w:t>
      </w:r>
      <w:r w:rsidR="005430B6" w:rsidRPr="003C1BD9">
        <w:rPr>
          <w:rFonts w:ascii="Times New Roman" w:hAnsi="Times New Roman" w:cs="Times New Roman"/>
        </w:rPr>
        <w:t>Simon and others, 2018</w:t>
      </w:r>
      <w:r w:rsidR="005430B6" w:rsidRPr="00BB5241">
        <w:rPr>
          <w:rFonts w:ascii="Times New Roman" w:hAnsi="Times New Roman" w:cs="Times New Roman"/>
        </w:rPr>
        <w:t xml:space="preserve">; </w:t>
      </w:r>
      <w:r w:rsidR="005430B6" w:rsidRPr="003C1BD9">
        <w:rPr>
          <w:rFonts w:ascii="Times New Roman" w:hAnsi="Times New Roman" w:cs="Times New Roman"/>
        </w:rPr>
        <w:t>CSS–ENSSER–VDW, 2019;</w:t>
      </w:r>
      <w:r w:rsidR="005430B6" w:rsidRPr="00BB5241">
        <w:rPr>
          <w:rFonts w:ascii="Times New Roman" w:hAnsi="Times New Roman" w:cs="Times New Roman"/>
        </w:rPr>
        <w:t xml:space="preserve"> </w:t>
      </w:r>
      <w:r w:rsidR="005430B6" w:rsidRPr="003C1BD9">
        <w:rPr>
          <w:rFonts w:ascii="Times New Roman" w:hAnsi="Times New Roman" w:cs="Times New Roman"/>
        </w:rPr>
        <w:t>Cotter and others, 2020</w:t>
      </w:r>
      <w:r w:rsidR="005430B6" w:rsidRPr="00BB5241">
        <w:rPr>
          <w:rFonts w:ascii="Times New Roman" w:hAnsi="Times New Roman" w:cs="Times New Roman"/>
        </w:rPr>
        <w:t xml:space="preserve">; </w:t>
      </w:r>
      <w:r w:rsidR="005430B6" w:rsidRPr="003C1BD9">
        <w:rPr>
          <w:rFonts w:ascii="Times New Roman" w:hAnsi="Times New Roman" w:cs="Times New Roman"/>
        </w:rPr>
        <w:t>Dolezel and others, 2020;</w:t>
      </w:r>
      <w:r w:rsidR="005430B6" w:rsidRPr="00BB5241">
        <w:rPr>
          <w:rFonts w:ascii="Times New Roman" w:hAnsi="Times New Roman" w:cs="Times New Roman"/>
        </w:rPr>
        <w:t xml:space="preserve"> </w:t>
      </w:r>
      <w:r w:rsidR="005430B6" w:rsidRPr="003C1BD9">
        <w:rPr>
          <w:rFonts w:ascii="Times New Roman" w:hAnsi="Times New Roman" w:cs="Times New Roman"/>
        </w:rPr>
        <w:t>Then and others, 2020a,b</w:t>
      </w:r>
      <w:r w:rsidR="005430B6" w:rsidRPr="00BB5241">
        <w:rPr>
          <w:rFonts w:ascii="Times New Roman" w:hAnsi="Times New Roman" w:cs="Times New Roman"/>
        </w:rPr>
        <w:t xml:space="preserve">). </w:t>
      </w:r>
      <w:r w:rsidR="00F25EF7" w:rsidRPr="00BB5241">
        <w:rPr>
          <w:rFonts w:ascii="Times New Roman" w:hAnsi="Times New Roman" w:cs="Times New Roman"/>
        </w:rPr>
        <w:t>Those</w:t>
      </w:r>
      <w:r w:rsidR="00F25EF7" w:rsidRPr="00BB5241">
        <w:rPr>
          <w:rFonts w:ascii="Times New Roman" w:hAnsi="Times New Roman" w:cs="Times New Roman"/>
          <w:b/>
        </w:rPr>
        <w:t xml:space="preserve"> </w:t>
      </w:r>
      <w:r w:rsidR="005430B6" w:rsidRPr="00BB5241">
        <w:rPr>
          <w:rFonts w:ascii="Times New Roman" w:hAnsi="Times New Roman" w:cs="Times New Roman"/>
        </w:rPr>
        <w:t>unique characteristics necessitate a comprehensive assessment of ecological risks with a broader</w:t>
      </w:r>
      <w:r w:rsidR="00A87644" w:rsidRPr="00BB5241">
        <w:rPr>
          <w:rFonts w:ascii="Times New Roman" w:hAnsi="Times New Roman" w:cs="Times New Roman"/>
        </w:rPr>
        <w:t xml:space="preserve"> </w:t>
      </w:r>
      <w:proofErr w:type="spellStart"/>
      <w:r w:rsidR="00A87644" w:rsidRPr="00BB5241">
        <w:rPr>
          <w:rFonts w:ascii="Times New Roman" w:hAnsi="Times New Roman" w:cs="Times New Roman"/>
        </w:rPr>
        <w:t>spatio</w:t>
      </w:r>
      <w:proofErr w:type="spellEnd"/>
      <w:r w:rsidR="00A87644" w:rsidRPr="00BB5241">
        <w:rPr>
          <w:rFonts w:ascii="Times New Roman" w:hAnsi="Times New Roman" w:cs="Times New Roman"/>
        </w:rPr>
        <w:t>-temporal</w:t>
      </w:r>
      <w:r w:rsidR="005430B6" w:rsidRPr="00BB5241">
        <w:rPr>
          <w:rFonts w:ascii="Times New Roman" w:hAnsi="Times New Roman" w:cs="Times New Roman"/>
        </w:rPr>
        <w:t xml:space="preserve"> </w:t>
      </w:r>
      <w:r w:rsidR="00D32BF8" w:rsidRPr="00BB5241">
        <w:rPr>
          <w:rFonts w:ascii="Times New Roman" w:hAnsi="Times New Roman" w:cs="Times New Roman"/>
        </w:rPr>
        <w:t>sc</w:t>
      </w:r>
      <w:r w:rsidR="00D32BF8">
        <w:rPr>
          <w:rFonts w:ascii="Times New Roman" w:hAnsi="Times New Roman" w:cs="Times New Roman"/>
        </w:rPr>
        <w:t>ale</w:t>
      </w:r>
      <w:r w:rsidR="00D32BF8" w:rsidRPr="00BB5241">
        <w:rPr>
          <w:rFonts w:ascii="Times New Roman" w:hAnsi="Times New Roman" w:cs="Times New Roman"/>
          <w:b/>
        </w:rPr>
        <w:t xml:space="preserve"> </w:t>
      </w:r>
      <w:r w:rsidR="005430B6" w:rsidRPr="00BB5241">
        <w:rPr>
          <w:rFonts w:ascii="Times New Roman" w:hAnsi="Times New Roman" w:cs="Times New Roman"/>
        </w:rPr>
        <w:t>(</w:t>
      </w:r>
      <w:r w:rsidRPr="003C1BD9">
        <w:rPr>
          <w:rFonts w:ascii="Times New Roman" w:hAnsi="Times New Roman" w:cs="Times New Roman"/>
        </w:rPr>
        <w:t>AHTEG, 2020</w:t>
      </w:r>
      <w:r w:rsidR="0052464F" w:rsidRPr="003C1BD9">
        <w:rPr>
          <w:rStyle w:val="FootnoteReference"/>
          <w:rFonts w:ascii="Times New Roman" w:hAnsi="Times New Roman" w:cs="Times New Roman"/>
        </w:rPr>
        <w:footnoteReference w:id="10"/>
      </w:r>
      <w:r w:rsidRPr="003C1BD9">
        <w:rPr>
          <w:rFonts w:ascii="Times New Roman" w:hAnsi="Times New Roman" w:cs="Times New Roman"/>
        </w:rPr>
        <w:t>;</w:t>
      </w:r>
      <w:r>
        <w:rPr>
          <w:rFonts w:ascii="Times New Roman" w:hAnsi="Times New Roman" w:cs="Times New Roman"/>
        </w:rPr>
        <w:t xml:space="preserve"> </w:t>
      </w:r>
      <w:r w:rsidR="005430B6" w:rsidRPr="003C1BD9">
        <w:rPr>
          <w:rFonts w:ascii="Times New Roman" w:hAnsi="Times New Roman" w:cs="Times New Roman"/>
        </w:rPr>
        <w:t>Connolly and others, 2022</w:t>
      </w:r>
      <w:r w:rsidR="005430B6" w:rsidRPr="00BB5241">
        <w:rPr>
          <w:rFonts w:ascii="Times New Roman" w:hAnsi="Times New Roman" w:cs="Times New Roman"/>
        </w:rPr>
        <w:t>).</w:t>
      </w:r>
    </w:p>
    <w:p w14:paraId="1FD6703D" w14:textId="62666B7E" w:rsidR="00DC2E53" w:rsidRPr="00BB5241" w:rsidRDefault="00B5108D" w:rsidP="4644E7B5">
      <w:pPr>
        <w:pStyle w:val="Para1"/>
        <w:numPr>
          <w:ilvl w:val="0"/>
          <w:numId w:val="0"/>
        </w:numPr>
        <w:spacing w:before="0" w:after="160" w:line="276" w:lineRule="auto"/>
        <w:rPr>
          <w:rFonts w:eastAsiaTheme="minorEastAsia"/>
        </w:rPr>
      </w:pPr>
      <w:r w:rsidRPr="4644E7B5">
        <w:rPr>
          <w:rFonts w:eastAsiaTheme="minorEastAsia"/>
          <w14:ligatures w14:val="standardContextual"/>
        </w:rPr>
        <w:t>A concern is that</w:t>
      </w:r>
      <w:r w:rsidR="005430B6" w:rsidRPr="4644E7B5">
        <w:rPr>
          <w:rFonts w:eastAsiaTheme="minorEastAsia"/>
        </w:rPr>
        <w:t xml:space="preserve"> the release of a small number of EGD-LMOs, dependent on their design</w:t>
      </w:r>
      <w:r w:rsidR="005430B6" w:rsidRPr="00D35F03">
        <w:rPr>
          <w:rFonts w:eastAsiaTheme="minorEastAsia"/>
          <w:color w:val="000000" w:themeColor="text1"/>
        </w:rPr>
        <w:t xml:space="preserve">, </w:t>
      </w:r>
      <w:r w:rsidR="00E268A6" w:rsidRPr="00D35F03">
        <w:rPr>
          <w:rFonts w:eastAsiaTheme="minorEastAsia"/>
          <w:color w:val="000000" w:themeColor="text1"/>
        </w:rPr>
        <w:t xml:space="preserve">could </w:t>
      </w:r>
      <w:r w:rsidR="005430B6" w:rsidRPr="4644E7B5">
        <w:rPr>
          <w:rFonts w:eastAsiaTheme="minorEastAsia"/>
        </w:rPr>
        <w:t>result in the genetic modification of interest spread</w:t>
      </w:r>
      <w:r w:rsidR="00704809" w:rsidRPr="4644E7B5">
        <w:rPr>
          <w:rFonts w:eastAsiaTheme="minorEastAsia"/>
        </w:rPr>
        <w:t>ing</w:t>
      </w:r>
      <w:r w:rsidR="005430B6" w:rsidRPr="4644E7B5">
        <w:rPr>
          <w:rFonts w:eastAsiaTheme="minorEastAsia"/>
        </w:rPr>
        <w:t xml:space="preserve"> throughout the entire population of the targeted species in the wild. As a result, the potential ecological and health consequences of certain EGD-LMOs could be far-reaching (</w:t>
      </w:r>
      <w:r w:rsidR="005430B6" w:rsidRPr="003C1BD9">
        <w:rPr>
          <w:rFonts w:eastAsiaTheme="minorEastAsia"/>
        </w:rPr>
        <w:t>Kuzma and others, 2019</w:t>
      </w:r>
      <w:r w:rsidR="005430B6" w:rsidRPr="4644E7B5">
        <w:rPr>
          <w:rFonts w:eastAsiaTheme="minorEastAsia"/>
        </w:rPr>
        <w:t>). Moreover, some EGDs may raise novel risk assessment and risk management challenges (</w:t>
      </w:r>
      <w:r w:rsidR="005430B6" w:rsidRPr="003C1BD9">
        <w:rPr>
          <w:rFonts w:eastAsiaTheme="minorEastAsia"/>
        </w:rPr>
        <w:t>NASEM, 2016; Hayes and others, 2018</w:t>
      </w:r>
      <w:r w:rsidR="00A91232" w:rsidRPr="003C1BD9">
        <w:rPr>
          <w:rFonts w:eastAsiaTheme="minorEastAsia"/>
        </w:rPr>
        <w:t>a</w:t>
      </w:r>
      <w:r w:rsidR="005430B6" w:rsidRPr="003C1BD9">
        <w:rPr>
          <w:rFonts w:eastAsiaTheme="minorEastAsia"/>
        </w:rPr>
        <w:t>; Simon and others, 2018; CSS–ENSSER–VDW, 2019; AHTEG, 2020</w:t>
      </w:r>
      <w:r w:rsidR="0052464F" w:rsidRPr="003C1BD9">
        <w:rPr>
          <w:rStyle w:val="FootnoteReference"/>
          <w:rFonts w:eastAsiaTheme="minorEastAsia"/>
        </w:rPr>
        <w:footnoteReference w:id="11"/>
      </w:r>
      <w:r w:rsidR="005430B6" w:rsidRPr="003C1BD9">
        <w:rPr>
          <w:rFonts w:eastAsiaTheme="minorEastAsia"/>
        </w:rPr>
        <w:t xml:space="preserve">; Devos and others, 2020, 2021; Dolezel and others, 2020; </w:t>
      </w:r>
      <w:r w:rsidR="00A746A2" w:rsidRPr="003C1BD9">
        <w:rPr>
          <w:rFonts w:eastAsiaTheme="minorEastAsia"/>
        </w:rPr>
        <w:t>Then and others, 2020</w:t>
      </w:r>
      <w:proofErr w:type="gramStart"/>
      <w:r w:rsidR="00992EBA" w:rsidRPr="003C1BD9">
        <w:rPr>
          <w:rFonts w:eastAsiaTheme="minorEastAsia"/>
        </w:rPr>
        <w:t>a,b</w:t>
      </w:r>
      <w:proofErr w:type="gramEnd"/>
      <w:r w:rsidR="00A746A2" w:rsidRPr="003C1BD9">
        <w:rPr>
          <w:rFonts w:eastAsiaTheme="minorEastAsia"/>
        </w:rPr>
        <w:t xml:space="preserve">; Connolly and others, 2021; </w:t>
      </w:r>
      <w:r w:rsidR="005430B6" w:rsidRPr="003C1BD9">
        <w:rPr>
          <w:rFonts w:eastAsiaTheme="minorEastAsia"/>
        </w:rPr>
        <w:t>EFSA, 2022</w:t>
      </w:r>
      <w:r w:rsidR="005430B6" w:rsidRPr="4644E7B5">
        <w:rPr>
          <w:rFonts w:eastAsiaTheme="minorEastAsia"/>
        </w:rPr>
        <w:t xml:space="preserve">). </w:t>
      </w:r>
      <w:r w:rsidR="722803CB" w:rsidRPr="00D35F03">
        <w:rPr>
          <w:rFonts w:eastAsiaTheme="minorEastAsia"/>
          <w:color w:val="000000" w:themeColor="text1"/>
        </w:rPr>
        <w:t xml:space="preserve">There is also evidence suggesting that some </w:t>
      </w:r>
      <w:r w:rsidR="722803CB" w:rsidRPr="00D35F03">
        <w:rPr>
          <w:rFonts w:eastAsiaTheme="minorEastAsia"/>
          <w:color w:val="000000" w:themeColor="text1"/>
        </w:rPr>
        <w:lastRenderedPageBreak/>
        <w:t xml:space="preserve">EGDs are functioning under different molecular mechanisms or behaviours to the intended design. For example, population reduction EGDs may potentially result in mixed populations with unpredictable </w:t>
      </w:r>
      <w:r w:rsidR="722803CB" w:rsidRPr="00D35F03">
        <w:rPr>
          <w:rFonts w:ascii="Times" w:eastAsia="Times" w:hAnsi="Times" w:cs="Times"/>
          <w:color w:val="000000" w:themeColor="text1"/>
        </w:rPr>
        <w:t>chasing</w:t>
      </w:r>
      <w:r w:rsidR="722803CB" w:rsidRPr="00D35F03">
        <w:rPr>
          <w:rFonts w:eastAsiaTheme="minorEastAsia"/>
          <w:color w:val="000000" w:themeColor="text1"/>
        </w:rPr>
        <w:t xml:space="preserve"> dynamics</w:t>
      </w:r>
      <w:r w:rsidRPr="00D35F03">
        <w:rPr>
          <w:rFonts w:eastAsiaTheme="minorEastAsia"/>
          <w:color w:val="000000" w:themeColor="text1"/>
          <w:vertAlign w:val="superscript"/>
        </w:rPr>
        <w:footnoteReference w:id="12"/>
      </w:r>
      <w:r w:rsidR="722803CB" w:rsidRPr="00D35F03">
        <w:rPr>
          <w:rFonts w:eastAsiaTheme="minorEastAsia"/>
          <w:color w:val="000000" w:themeColor="text1"/>
        </w:rPr>
        <w:t xml:space="preserve"> (</w:t>
      </w:r>
      <w:r w:rsidR="722803CB" w:rsidRPr="009655A0">
        <w:rPr>
          <w:rFonts w:eastAsiaTheme="minorEastAsia"/>
          <w:color w:val="000000" w:themeColor="text1"/>
        </w:rPr>
        <w:t>Champer and others, 2021a</w:t>
      </w:r>
      <w:r w:rsidR="722803CB" w:rsidRPr="00D35F03">
        <w:rPr>
          <w:rFonts w:eastAsiaTheme="minorEastAsia"/>
          <w:color w:val="000000" w:themeColor="text1"/>
        </w:rPr>
        <w:t>). Homing EGD systems designed to operate via the expected CRISPR-based homing process may instead function via an unintended meiotic mechanism at least in part, and in some studies, exclusively, via unintentionally decreasing the inheritance of the non-drive recipient chromosome (</w:t>
      </w:r>
      <w:proofErr w:type="spellStart"/>
      <w:r w:rsidR="722803CB" w:rsidRPr="009655A0">
        <w:rPr>
          <w:rFonts w:eastAsiaTheme="minorEastAsia"/>
          <w:color w:val="000000" w:themeColor="text1"/>
        </w:rPr>
        <w:t>Verkujil</w:t>
      </w:r>
      <w:proofErr w:type="spellEnd"/>
      <w:r w:rsidR="722803CB" w:rsidRPr="009655A0">
        <w:rPr>
          <w:rFonts w:eastAsiaTheme="minorEastAsia"/>
          <w:color w:val="000000" w:themeColor="text1"/>
        </w:rPr>
        <w:t xml:space="preserve"> and others, 2022</w:t>
      </w:r>
      <w:r w:rsidR="722803CB" w:rsidRPr="00D35F03">
        <w:rPr>
          <w:rFonts w:eastAsiaTheme="minorEastAsia"/>
          <w:color w:val="000000" w:themeColor="text1"/>
        </w:rPr>
        <w:t xml:space="preserve">; </w:t>
      </w:r>
      <w:proofErr w:type="spellStart"/>
      <w:r w:rsidR="722803CB" w:rsidRPr="009655A0">
        <w:rPr>
          <w:rFonts w:eastAsiaTheme="minorEastAsia"/>
          <w:color w:val="000000" w:themeColor="text1"/>
        </w:rPr>
        <w:t>Terradas</w:t>
      </w:r>
      <w:proofErr w:type="spellEnd"/>
      <w:r w:rsidR="722803CB" w:rsidRPr="009655A0">
        <w:rPr>
          <w:rFonts w:eastAsiaTheme="minorEastAsia"/>
          <w:color w:val="000000" w:themeColor="text1"/>
        </w:rPr>
        <w:t xml:space="preserve"> and others, 2021</w:t>
      </w:r>
      <w:r w:rsidR="722803CB" w:rsidRPr="00D35F03">
        <w:rPr>
          <w:rFonts w:eastAsiaTheme="minorEastAsia"/>
          <w:color w:val="000000" w:themeColor="text1"/>
        </w:rPr>
        <w:t xml:space="preserve">; </w:t>
      </w:r>
      <w:r w:rsidR="722803CB" w:rsidRPr="009655A0">
        <w:rPr>
          <w:rFonts w:eastAsiaTheme="minorEastAsia"/>
          <w:color w:val="000000" w:themeColor="text1"/>
        </w:rPr>
        <w:t>Xu and others, 2020</w:t>
      </w:r>
      <w:r w:rsidR="722803CB" w:rsidRPr="00D35F03">
        <w:rPr>
          <w:rFonts w:eastAsiaTheme="minorEastAsia"/>
          <w:color w:val="000000" w:themeColor="text1"/>
        </w:rPr>
        <w:t>; Li and others, 20</w:t>
      </w:r>
      <w:r w:rsidR="00A5197C">
        <w:rPr>
          <w:rFonts w:eastAsiaTheme="minorEastAsia"/>
          <w:color w:val="000000" w:themeColor="text1"/>
        </w:rPr>
        <w:t>20</w:t>
      </w:r>
      <w:r w:rsidR="722803CB" w:rsidRPr="00D35F03">
        <w:rPr>
          <w:rFonts w:eastAsiaTheme="minorEastAsia"/>
          <w:color w:val="000000" w:themeColor="text1"/>
        </w:rPr>
        <w:t>). Certain designs of EGD aim to reduce risks in terms of controllability by intended self-limiting or threshold dependent behaviour. Depending on ecological conditions and receiving population these design goals may not be realised in the wild, resulting in unlimited or low-threshold EGDs.</w:t>
      </w:r>
      <w:r w:rsidR="722803CB" w:rsidRPr="00D35F03">
        <w:rPr>
          <w:rFonts w:eastAsiaTheme="minorEastAsia"/>
          <w:b/>
          <w:bCs/>
          <w:color w:val="000000" w:themeColor="text1"/>
        </w:rPr>
        <w:t xml:space="preserve"> </w:t>
      </w:r>
      <w:r w:rsidR="005430B6" w:rsidRPr="4644E7B5">
        <w:rPr>
          <w:rFonts w:eastAsiaTheme="minorEastAsia"/>
        </w:rPr>
        <w:t xml:space="preserve">Therefore, effective risk assessment </w:t>
      </w:r>
      <w:r w:rsidR="00AE5E94" w:rsidRPr="4644E7B5">
        <w:rPr>
          <w:rFonts w:eastAsiaTheme="minorEastAsia"/>
        </w:rPr>
        <w:t xml:space="preserve">and risk management </w:t>
      </w:r>
      <w:r w:rsidR="005430B6" w:rsidRPr="4644E7B5">
        <w:rPr>
          <w:rFonts w:eastAsiaTheme="minorEastAsia"/>
        </w:rPr>
        <w:t>protocol</w:t>
      </w:r>
      <w:r w:rsidR="00AE5E94" w:rsidRPr="4644E7B5">
        <w:rPr>
          <w:rFonts w:eastAsiaTheme="minorEastAsia"/>
        </w:rPr>
        <w:t>s</w:t>
      </w:r>
      <w:r w:rsidR="005430B6" w:rsidRPr="4644E7B5">
        <w:rPr>
          <w:rFonts w:eastAsiaTheme="minorEastAsia"/>
        </w:rPr>
        <w:t xml:space="preserve"> must be capable of addressing </w:t>
      </w:r>
      <w:r w:rsidR="0064256E" w:rsidRPr="4644E7B5">
        <w:rPr>
          <w:rFonts w:eastAsiaTheme="minorEastAsia"/>
        </w:rPr>
        <w:t>these concerns</w:t>
      </w:r>
      <w:r w:rsidR="005430B6" w:rsidRPr="4644E7B5">
        <w:rPr>
          <w:rFonts w:eastAsiaTheme="minorEastAsia"/>
        </w:rPr>
        <w:t>, ensuring a thorough evaluation of the potential impacts</w:t>
      </w:r>
      <w:r w:rsidR="00425633" w:rsidRPr="4644E7B5">
        <w:rPr>
          <w:rFonts w:eastAsiaTheme="minorEastAsia"/>
        </w:rPr>
        <w:t xml:space="preserve"> of EGD-LMOs</w:t>
      </w:r>
      <w:r w:rsidR="3570E4CA" w:rsidRPr="4644E7B5">
        <w:rPr>
          <w:rFonts w:eastAsiaTheme="minorEastAsia"/>
        </w:rPr>
        <w:t>.</w:t>
      </w:r>
      <w:r w:rsidR="005D5F4F" w:rsidRPr="4644E7B5">
        <w:rPr>
          <w:rFonts w:eastAsiaTheme="minorEastAsia"/>
        </w:rPr>
        <w:t xml:space="preserve"> </w:t>
      </w:r>
    </w:p>
    <w:p w14:paraId="27F65BE0" w14:textId="0A40C28E" w:rsidR="3570E4CA" w:rsidRPr="00D35F03" w:rsidRDefault="003A3B42" w:rsidP="00D35F03">
      <w:pPr>
        <w:pStyle w:val="Para1"/>
        <w:numPr>
          <w:ilvl w:val="0"/>
          <w:numId w:val="0"/>
        </w:numPr>
        <w:spacing w:before="0" w:after="160" w:line="276" w:lineRule="auto"/>
        <w:rPr>
          <w:rFonts w:eastAsiaTheme="minorHAnsi"/>
        </w:rPr>
      </w:pPr>
      <w:r w:rsidRPr="12D14FCC">
        <w:rPr>
          <w:rFonts w:eastAsiaTheme="minorEastAsia"/>
          <w14:ligatures w14:val="standardContextual"/>
        </w:rPr>
        <w:t>The above-</w:t>
      </w:r>
      <w:r w:rsidR="005430B6" w:rsidRPr="12D14FCC">
        <w:rPr>
          <w:rFonts w:eastAsiaTheme="minorEastAsia"/>
        </w:rPr>
        <w:t>mentioned risk concerns and associated</w:t>
      </w:r>
      <w:r w:rsidR="004C3B2C" w:rsidRPr="12D14FCC">
        <w:rPr>
          <w:rFonts w:eastAsiaTheme="minorEastAsia"/>
        </w:rPr>
        <w:t xml:space="preserve"> </w:t>
      </w:r>
      <w:r w:rsidR="005430B6" w:rsidRPr="12D14FCC">
        <w:rPr>
          <w:rFonts w:eastAsiaTheme="minorEastAsia"/>
        </w:rPr>
        <w:t xml:space="preserve">uncertainty have led some scientists, scientific and non-governmental organisations to call for the strict application of the precautionary </w:t>
      </w:r>
      <w:r w:rsidR="00410B09" w:rsidRPr="12D14FCC">
        <w:rPr>
          <w:rFonts w:eastAsiaTheme="minorEastAsia"/>
        </w:rPr>
        <w:t xml:space="preserve">approach </w:t>
      </w:r>
      <w:r w:rsidR="005430B6" w:rsidRPr="12D14FCC">
        <w:rPr>
          <w:rFonts w:eastAsiaTheme="minorEastAsia"/>
        </w:rPr>
        <w:t>on gene drive research, including field tests (</w:t>
      </w:r>
      <w:r w:rsidR="005430B6" w:rsidRPr="00A5197C">
        <w:rPr>
          <w:rFonts w:eastAsiaTheme="minorEastAsia"/>
        </w:rPr>
        <w:t>NASEM, 2016; CSS–ENSSER–VDW, 2019; Cotter and others, 2020</w:t>
      </w:r>
      <w:r w:rsidR="005430B6" w:rsidRPr="12D14FCC">
        <w:rPr>
          <w:rFonts w:eastAsiaTheme="minorEastAsia"/>
        </w:rPr>
        <w:t xml:space="preserve">). Calls are also made for a better understanding of the potential ecological and evolutionary impacts associated with the </w:t>
      </w:r>
      <w:r w:rsidR="00DE1BBD" w:rsidRPr="12D14FCC">
        <w:rPr>
          <w:rFonts w:eastAsiaTheme="minorEastAsia"/>
        </w:rPr>
        <w:t xml:space="preserve">intentional </w:t>
      </w:r>
      <w:r w:rsidR="005430B6" w:rsidRPr="12D14FCC">
        <w:rPr>
          <w:rFonts w:eastAsiaTheme="minorEastAsia"/>
        </w:rPr>
        <w:t xml:space="preserve">release of EGD-LMOs </w:t>
      </w:r>
      <w:r w:rsidR="00DE1BBD" w:rsidRPr="12D14FCC">
        <w:rPr>
          <w:rFonts w:eastAsiaTheme="minorEastAsia"/>
        </w:rPr>
        <w:t xml:space="preserve">to inform risk assessment </w:t>
      </w:r>
      <w:r w:rsidR="005430B6" w:rsidRPr="12D14FCC">
        <w:rPr>
          <w:rFonts w:eastAsiaTheme="minorEastAsia"/>
        </w:rPr>
        <w:t>(e.g.</w:t>
      </w:r>
      <w:r w:rsidR="007451AA" w:rsidRPr="12D14FCC">
        <w:rPr>
          <w:rFonts w:eastAsiaTheme="minorEastAsia"/>
        </w:rPr>
        <w:t>,</w:t>
      </w:r>
      <w:r w:rsidR="005430B6" w:rsidRPr="12D14FCC">
        <w:rPr>
          <w:rFonts w:eastAsiaTheme="minorEastAsia"/>
        </w:rPr>
        <w:t xml:space="preserve"> </w:t>
      </w:r>
      <w:r w:rsidR="005430B6" w:rsidRPr="00A5197C">
        <w:rPr>
          <w:rFonts w:eastAsiaTheme="minorEastAsia"/>
        </w:rPr>
        <w:t>NASEM, 2016; CSS–ENSSER–VDW, 2019;</w:t>
      </w:r>
      <w:r w:rsidR="005430B6" w:rsidRPr="12D14FCC">
        <w:rPr>
          <w:rFonts w:eastAsiaTheme="minorEastAsia"/>
        </w:rPr>
        <w:t xml:space="preserve"> </w:t>
      </w:r>
      <w:r w:rsidR="005430B6" w:rsidRPr="00A5197C">
        <w:rPr>
          <w:rFonts w:eastAsiaTheme="minorEastAsia"/>
        </w:rPr>
        <w:t>Giese and others, 2019;</w:t>
      </w:r>
      <w:r w:rsidR="005430B6" w:rsidRPr="12D14FCC">
        <w:rPr>
          <w:rFonts w:eastAsiaTheme="minorEastAsia"/>
        </w:rPr>
        <w:t xml:space="preserve"> </w:t>
      </w:r>
      <w:r w:rsidR="005430B6" w:rsidRPr="00A5197C">
        <w:rPr>
          <w:rFonts w:eastAsiaTheme="minorEastAsia"/>
        </w:rPr>
        <w:t>Rode and others, 2019</w:t>
      </w:r>
      <w:r w:rsidR="005430B6" w:rsidRPr="12D14FCC">
        <w:rPr>
          <w:rFonts w:eastAsiaTheme="minorEastAsia"/>
        </w:rPr>
        <w:t xml:space="preserve">; </w:t>
      </w:r>
      <w:r w:rsidR="005430B6" w:rsidRPr="00A5197C">
        <w:rPr>
          <w:rFonts w:eastAsiaTheme="minorEastAsia"/>
        </w:rPr>
        <w:t>Dolezel and others, 2020</w:t>
      </w:r>
      <w:r w:rsidR="00397682">
        <w:rPr>
          <w:rFonts w:eastAsiaTheme="minorEastAsia"/>
        </w:rPr>
        <w:t>)</w:t>
      </w:r>
      <w:r w:rsidR="005430B6" w:rsidRPr="12D14FCC">
        <w:rPr>
          <w:rFonts w:eastAsiaTheme="minorEastAsia"/>
        </w:rPr>
        <w:t xml:space="preserve">. </w:t>
      </w:r>
      <w:r w:rsidR="00220BC5" w:rsidRPr="12D14FCC">
        <w:rPr>
          <w:rFonts w:eastAsiaTheme="minorEastAsia"/>
        </w:rPr>
        <w:t xml:space="preserve">In parallel to this dialogue, established guidance for living </w:t>
      </w:r>
      <w:r w:rsidR="00220BC5" w:rsidRPr="0049458A">
        <w:rPr>
          <w:rFonts w:eastAsiaTheme="minorEastAsia"/>
        </w:rPr>
        <w:t xml:space="preserve">modified mosquitoes provided a basis for developing further recommendations for the phased testing of EGD-LMOs </w:t>
      </w:r>
      <w:r w:rsidR="005430B6" w:rsidRPr="0049458A">
        <w:rPr>
          <w:rFonts w:eastAsiaTheme="minorEastAsia"/>
        </w:rPr>
        <w:t>(e.g.</w:t>
      </w:r>
      <w:r w:rsidR="007451AA" w:rsidRPr="0049458A">
        <w:rPr>
          <w:rFonts w:eastAsiaTheme="minorEastAsia"/>
        </w:rPr>
        <w:t>,</w:t>
      </w:r>
      <w:r w:rsidR="005430B6" w:rsidRPr="0049458A">
        <w:rPr>
          <w:rFonts w:eastAsiaTheme="minorEastAsia"/>
        </w:rPr>
        <w:t xml:space="preserve"> WHO, </w:t>
      </w:r>
      <w:r w:rsidR="004B18A5" w:rsidRPr="0049458A">
        <w:rPr>
          <w:rFonts w:eastAsiaTheme="minorEastAsia"/>
        </w:rPr>
        <w:t xml:space="preserve">2014, </w:t>
      </w:r>
      <w:r w:rsidR="005430B6" w:rsidRPr="0049458A">
        <w:rPr>
          <w:rFonts w:eastAsiaTheme="minorEastAsia"/>
        </w:rPr>
        <w:t>2021</w:t>
      </w:r>
      <w:r w:rsidR="0095438C">
        <w:rPr>
          <w:rFonts w:eastAsiaTheme="minorEastAsia"/>
        </w:rPr>
        <w:t>b</w:t>
      </w:r>
      <w:r w:rsidR="005430B6" w:rsidRPr="0049458A">
        <w:rPr>
          <w:rFonts w:eastAsiaTheme="minorEastAsia"/>
        </w:rPr>
        <w:t>;</w:t>
      </w:r>
      <w:r w:rsidR="005430B6" w:rsidRPr="12D14FCC">
        <w:rPr>
          <w:rFonts w:eastAsiaTheme="minorEastAsia"/>
        </w:rPr>
        <w:t xml:space="preserve"> N</w:t>
      </w:r>
      <w:r w:rsidR="005430B6" w:rsidRPr="00A5197C">
        <w:rPr>
          <w:rFonts w:eastAsiaTheme="minorEastAsia"/>
        </w:rPr>
        <w:t>ASEM, 2016; Hayes and others, 2018</w:t>
      </w:r>
      <w:r w:rsidR="00647F2C">
        <w:rPr>
          <w:rFonts w:eastAsiaTheme="minorEastAsia"/>
        </w:rPr>
        <w:t>a</w:t>
      </w:r>
      <w:r w:rsidR="005430B6" w:rsidRPr="12D14FCC">
        <w:rPr>
          <w:rFonts w:eastAsiaTheme="minorEastAsia"/>
        </w:rPr>
        <w:t xml:space="preserve">; James and others, 2018, 2020), </w:t>
      </w:r>
      <w:r w:rsidR="00220BC5" w:rsidRPr="12D14FCC">
        <w:rPr>
          <w:rFonts w:eastAsiaTheme="minorEastAsia"/>
        </w:rPr>
        <w:t xml:space="preserve">as well as recommendations for </w:t>
      </w:r>
      <w:r w:rsidR="005430B6" w:rsidRPr="12D14FCC">
        <w:rPr>
          <w:rFonts w:eastAsiaTheme="minorEastAsia"/>
        </w:rPr>
        <w:t>the responsible and sustainable deployment of the technology (</w:t>
      </w:r>
      <w:r w:rsidR="005430B6" w:rsidRPr="00384B1D">
        <w:rPr>
          <w:rFonts w:eastAsiaTheme="minorEastAsia"/>
        </w:rPr>
        <w:t>James and others, 2018, 2020;</w:t>
      </w:r>
      <w:r w:rsidR="005430B6" w:rsidRPr="12D14FCC">
        <w:rPr>
          <w:rFonts w:eastAsiaTheme="minorEastAsia"/>
        </w:rPr>
        <w:t xml:space="preserve"> Warmbrod and others, 2020), and engagement of all concerned </w:t>
      </w:r>
      <w:r w:rsidR="7DB1C343" w:rsidRPr="12D14FCC">
        <w:rPr>
          <w:rFonts w:eastAsiaTheme="minorEastAsia"/>
        </w:rPr>
        <w:t>P</w:t>
      </w:r>
      <w:r w:rsidR="3570E4CA" w:rsidRPr="12D14FCC">
        <w:rPr>
          <w:rFonts w:eastAsiaTheme="minorEastAsia"/>
        </w:rPr>
        <w:t>arties</w:t>
      </w:r>
      <w:r w:rsidR="00E27591">
        <w:rPr>
          <w:rFonts w:eastAsiaTheme="minorEastAsia"/>
        </w:rPr>
        <w:t xml:space="preserve">, </w:t>
      </w:r>
      <w:r w:rsidR="3570E4CA" w:rsidRPr="12D14FCC">
        <w:rPr>
          <w:rFonts w:eastAsiaTheme="minorEastAsia"/>
        </w:rPr>
        <w:t xml:space="preserve">stakeholders </w:t>
      </w:r>
      <w:r w:rsidR="00E27591">
        <w:rPr>
          <w:rFonts w:eastAsiaTheme="minorEastAsia"/>
        </w:rPr>
        <w:t xml:space="preserve">and </w:t>
      </w:r>
      <w:r w:rsidR="004458BA">
        <w:rPr>
          <w:color w:val="000000" w:themeColor="text1"/>
        </w:rPr>
        <w:t>indigenous peoples and local communitie</w:t>
      </w:r>
      <w:r w:rsidR="004458BA" w:rsidRPr="0025725D">
        <w:rPr>
          <w:color w:val="000000" w:themeColor="text1"/>
        </w:rPr>
        <w:t>s</w:t>
      </w:r>
      <w:r w:rsidR="004458BA">
        <w:rPr>
          <w:rFonts w:eastAsiaTheme="minorEastAsia"/>
        </w:rPr>
        <w:t xml:space="preserve"> </w:t>
      </w:r>
      <w:r w:rsidR="3570E4CA" w:rsidRPr="12D14FCC">
        <w:rPr>
          <w:rFonts w:eastAsiaTheme="minorEastAsia"/>
        </w:rPr>
        <w:t>(</w:t>
      </w:r>
      <w:r w:rsidR="3570E4CA" w:rsidRPr="00013E7E">
        <w:rPr>
          <w:rFonts w:eastAsiaTheme="minorEastAsia"/>
        </w:rPr>
        <w:t>NASEM, 2016</w:t>
      </w:r>
      <w:r w:rsidR="3570E4CA" w:rsidRPr="00122D31">
        <w:rPr>
          <w:rFonts w:eastAsiaTheme="minorEastAsia"/>
        </w:rPr>
        <w:t>; WHO, 202</w:t>
      </w:r>
      <w:r w:rsidR="001D0ACD" w:rsidRPr="00122D31">
        <w:rPr>
          <w:rFonts w:eastAsiaTheme="minorEastAsia"/>
        </w:rPr>
        <w:t>1</w:t>
      </w:r>
      <w:r w:rsidR="00E25734">
        <w:rPr>
          <w:rFonts w:eastAsiaTheme="minorEastAsia"/>
        </w:rPr>
        <w:t>b</w:t>
      </w:r>
      <w:r w:rsidR="3570E4CA" w:rsidRPr="00122D31">
        <w:rPr>
          <w:rFonts w:eastAsiaTheme="minorEastAsia"/>
        </w:rPr>
        <w:t xml:space="preserve">). </w:t>
      </w:r>
    </w:p>
    <w:p w14:paraId="138A41AB" w14:textId="4CF76036" w:rsidR="00DC2E53" w:rsidRDefault="005430B6" w:rsidP="00212686">
      <w:pPr>
        <w:spacing w:line="276" w:lineRule="auto"/>
        <w:jc w:val="both"/>
        <w:rPr>
          <w:rFonts w:ascii="Times New Roman" w:hAnsi="Times New Roman" w:cs="Times New Roman"/>
        </w:rPr>
      </w:pPr>
      <w:r w:rsidRPr="00BB5241">
        <w:rPr>
          <w:rFonts w:ascii="Times New Roman" w:hAnsi="Times New Roman" w:cs="Times New Roman"/>
        </w:rPr>
        <w:t xml:space="preserve">The preferential inheritance of a transgenic construct, along with the intended spatial and temporal scale of spread of the genetic modification(s) of interest, may lead to potential adverse effects across large spatial and/or temporal </w:t>
      </w:r>
      <w:r w:rsidRPr="00201753">
        <w:rPr>
          <w:rFonts w:ascii="Times New Roman" w:hAnsi="Times New Roman" w:cs="Times New Roman"/>
        </w:rPr>
        <w:t>scales in specific cases</w:t>
      </w:r>
      <w:r w:rsidRPr="00BB5241">
        <w:rPr>
          <w:rFonts w:ascii="Times New Roman" w:hAnsi="Times New Roman" w:cs="Times New Roman"/>
        </w:rPr>
        <w:t xml:space="preserve">. </w:t>
      </w:r>
      <w:r w:rsidR="3570E4CA" w:rsidRPr="12D14FCC">
        <w:rPr>
          <w:rFonts w:ascii="Times New Roman" w:hAnsi="Times New Roman" w:cs="Times New Roman"/>
        </w:rPr>
        <w:t>Moreover</w:t>
      </w:r>
      <w:r w:rsidRPr="00BB5241">
        <w:rPr>
          <w:rFonts w:ascii="Times New Roman" w:hAnsi="Times New Roman" w:cs="Times New Roman"/>
        </w:rPr>
        <w:t xml:space="preserve">, EGDs may enable modifying target populations in the field, and expand the means to achieve population modification (including the spectrum and nature </w:t>
      </w:r>
      <w:r w:rsidRPr="00F52211">
        <w:rPr>
          <w:rFonts w:ascii="Times New Roman" w:hAnsi="Times New Roman" w:cs="Times New Roman"/>
        </w:rPr>
        <w:t xml:space="preserve">of novel cargo/payload genes, along with the diversity of target organisms). Further consideration in any future risk assessment is required to scrutinise whether the aspects mentioned above (or others) are potential novel </w:t>
      </w:r>
      <w:r w:rsidR="00A746A2" w:rsidRPr="00F52211">
        <w:rPr>
          <w:rFonts w:ascii="Times New Roman" w:hAnsi="Times New Roman" w:cs="Times New Roman"/>
        </w:rPr>
        <w:t>adverse effects</w:t>
      </w:r>
      <w:r w:rsidRPr="00F52211">
        <w:rPr>
          <w:rFonts w:ascii="Times New Roman" w:hAnsi="Times New Roman" w:cs="Times New Roman"/>
        </w:rPr>
        <w:t>, and whether they may introduce additional factors into the risk assessment of some EGD-LMOs. The hazardous potential of any novel aspect</w:t>
      </w:r>
      <w:r w:rsidRPr="00BB5241">
        <w:rPr>
          <w:rFonts w:ascii="Times New Roman" w:hAnsi="Times New Roman" w:cs="Times New Roman"/>
        </w:rPr>
        <w:t xml:space="preserve"> identified will need to be assessed on a case-by-case basis using the problem formulation approach.</w:t>
      </w:r>
    </w:p>
    <w:p w14:paraId="3A0606DA" w14:textId="21F5C2B8" w:rsidR="00DC2E53" w:rsidRPr="00BB5241" w:rsidRDefault="00DD7AFB" w:rsidP="00154C93">
      <w:pPr>
        <w:pStyle w:val="Heading1"/>
        <w:jc w:val="left"/>
        <w:rPr>
          <w:rFonts w:ascii="Times New Roman" w:hAnsi="Times New Roman" w:cs="Times New Roman"/>
          <w:b/>
          <w:bCs/>
          <w:color w:val="auto"/>
          <w:sz w:val="28"/>
          <w:szCs w:val="28"/>
          <w:lang w:val="en-GB"/>
        </w:rPr>
      </w:pPr>
      <w:bookmarkStart w:id="28" w:name="_Toc8"/>
      <w:bookmarkStart w:id="29" w:name="_Toc161220485"/>
      <w:r w:rsidRPr="00BB5241">
        <w:rPr>
          <w:rFonts w:ascii="Times New Roman" w:hAnsi="Times New Roman" w:cs="Times New Roman"/>
          <w:b/>
          <w:bCs/>
          <w:color w:val="auto"/>
          <w:sz w:val="28"/>
          <w:szCs w:val="28"/>
          <w:lang w:val="en-GB"/>
        </w:rPr>
        <w:t>4</w:t>
      </w:r>
      <w:r w:rsidR="00DA1916" w:rsidRPr="00BB5241">
        <w:rPr>
          <w:rFonts w:ascii="Times New Roman" w:hAnsi="Times New Roman" w:cs="Times New Roman"/>
          <w:b/>
          <w:bCs/>
          <w:color w:val="auto"/>
          <w:sz w:val="28"/>
          <w:szCs w:val="28"/>
          <w:lang w:val="en-GB"/>
        </w:rPr>
        <w:t>.</w:t>
      </w:r>
      <w:r w:rsidR="005430B6" w:rsidRPr="00BB5241">
        <w:rPr>
          <w:rFonts w:ascii="Times New Roman" w:hAnsi="Times New Roman" w:cs="Times New Roman"/>
          <w:b/>
          <w:bCs/>
          <w:color w:val="auto"/>
          <w:sz w:val="28"/>
          <w:szCs w:val="28"/>
          <w:lang w:val="en-GB"/>
        </w:rPr>
        <w:t xml:space="preserve"> </w:t>
      </w:r>
      <w:bookmarkEnd w:id="28"/>
      <w:r w:rsidR="004613CD">
        <w:rPr>
          <w:rFonts w:ascii="Times New Roman" w:hAnsi="Times New Roman" w:cs="Times New Roman"/>
          <w:b/>
          <w:bCs/>
          <w:color w:val="auto"/>
          <w:sz w:val="28"/>
          <w:szCs w:val="28"/>
          <w:lang w:val="en-GB"/>
        </w:rPr>
        <w:t>General risk assessment considerations for living modified organism containing engineered gene drives</w:t>
      </w:r>
      <w:bookmarkEnd w:id="29"/>
    </w:p>
    <w:p w14:paraId="4D58054A" w14:textId="6E391CA2" w:rsidR="00DC2E53" w:rsidRPr="00BB5241" w:rsidRDefault="00DD7AFB" w:rsidP="00212686">
      <w:pPr>
        <w:pStyle w:val="Heading2"/>
        <w:spacing w:line="276" w:lineRule="auto"/>
        <w:rPr>
          <w:rFonts w:ascii="Times New Roman" w:hAnsi="Times New Roman" w:cs="Times New Roman"/>
          <w:b/>
          <w:bCs/>
          <w:color w:val="auto"/>
          <w:sz w:val="24"/>
          <w:szCs w:val="24"/>
          <w:lang w:val="en-GB"/>
        </w:rPr>
      </w:pPr>
      <w:bookmarkStart w:id="30" w:name="_Toc9"/>
      <w:bookmarkStart w:id="31" w:name="_Toc161220486"/>
      <w:r w:rsidRPr="00BB5241">
        <w:rPr>
          <w:rFonts w:ascii="Times New Roman" w:hAnsi="Times New Roman" w:cs="Times New Roman"/>
          <w:b/>
          <w:bCs/>
          <w:color w:val="auto"/>
          <w:sz w:val="24"/>
          <w:szCs w:val="24"/>
          <w:lang w:val="en-GB"/>
        </w:rPr>
        <w:t>4</w:t>
      </w:r>
      <w:r w:rsidR="005430B6" w:rsidRPr="00BB5241">
        <w:rPr>
          <w:rFonts w:ascii="Times New Roman" w:hAnsi="Times New Roman" w:cs="Times New Roman"/>
          <w:b/>
          <w:bCs/>
          <w:color w:val="auto"/>
          <w:sz w:val="24"/>
          <w:szCs w:val="24"/>
          <w:lang w:val="en-GB"/>
        </w:rPr>
        <w:t>.1</w:t>
      </w:r>
      <w:r w:rsidR="00DA1916" w:rsidRPr="00BB5241">
        <w:rPr>
          <w:rFonts w:ascii="Times New Roman" w:hAnsi="Times New Roman" w:cs="Times New Roman"/>
          <w:b/>
          <w:bCs/>
          <w:color w:val="auto"/>
          <w:sz w:val="24"/>
          <w:szCs w:val="24"/>
          <w:lang w:val="en-GB"/>
        </w:rPr>
        <w:t>.</w:t>
      </w:r>
      <w:r w:rsidR="005430B6" w:rsidRPr="00BB5241">
        <w:rPr>
          <w:rFonts w:ascii="Times New Roman" w:hAnsi="Times New Roman" w:cs="Times New Roman"/>
          <w:b/>
          <w:bCs/>
          <w:color w:val="auto"/>
          <w:sz w:val="24"/>
          <w:szCs w:val="24"/>
          <w:lang w:val="en-GB"/>
        </w:rPr>
        <w:t xml:space="preserve"> Problem formulation</w:t>
      </w:r>
      <w:bookmarkEnd w:id="30"/>
      <w:bookmarkEnd w:id="31"/>
    </w:p>
    <w:p w14:paraId="44CFC086" w14:textId="59D3E5A7" w:rsidR="00DC2E53" w:rsidRPr="00BB5241" w:rsidRDefault="005430B6" w:rsidP="00212686">
      <w:pPr>
        <w:spacing w:line="276" w:lineRule="auto"/>
        <w:jc w:val="both"/>
        <w:rPr>
          <w:rFonts w:ascii="Times New Roman" w:hAnsi="Times New Roman" w:cs="Times New Roman"/>
          <w:b/>
          <w:bCs/>
          <w:sz w:val="28"/>
          <w:szCs w:val="28"/>
        </w:rPr>
      </w:pPr>
      <w:r w:rsidRPr="00BB5241">
        <w:rPr>
          <w:rFonts w:ascii="Times New Roman" w:hAnsi="Times New Roman" w:cs="Times New Roman"/>
        </w:rPr>
        <w:t xml:space="preserve">An explicit problem formulation is </w:t>
      </w:r>
      <w:r w:rsidR="009D031B" w:rsidRPr="00BB5241">
        <w:rPr>
          <w:rFonts w:ascii="Times New Roman" w:hAnsi="Times New Roman" w:cs="Times New Roman"/>
        </w:rPr>
        <w:t xml:space="preserve">a </w:t>
      </w:r>
      <w:r w:rsidR="008F143C" w:rsidRPr="00BB5241">
        <w:rPr>
          <w:rFonts w:ascii="Times New Roman" w:hAnsi="Times New Roman" w:cs="Times New Roman"/>
        </w:rPr>
        <w:t xml:space="preserve">key </w:t>
      </w:r>
      <w:r w:rsidRPr="00BB5241">
        <w:rPr>
          <w:rFonts w:ascii="Times New Roman" w:hAnsi="Times New Roman" w:cs="Times New Roman"/>
        </w:rPr>
        <w:t xml:space="preserve">starting point </w:t>
      </w:r>
      <w:r w:rsidR="00C734B3" w:rsidRPr="00BB5241">
        <w:rPr>
          <w:rFonts w:ascii="Times New Roman" w:hAnsi="Times New Roman" w:cs="Times New Roman"/>
        </w:rPr>
        <w:t>for</w:t>
      </w:r>
      <w:r w:rsidR="009D031B" w:rsidRPr="00BB5241">
        <w:rPr>
          <w:rFonts w:ascii="Times New Roman" w:hAnsi="Times New Roman" w:cs="Times New Roman"/>
        </w:rPr>
        <w:t xml:space="preserve"> a robust </w:t>
      </w:r>
      <w:r w:rsidRPr="00BB5241">
        <w:rPr>
          <w:rFonts w:ascii="Times New Roman" w:hAnsi="Times New Roman" w:cs="Times New Roman"/>
        </w:rPr>
        <w:t xml:space="preserve">risk assessment. It </w:t>
      </w:r>
      <w:r w:rsidR="009D031B" w:rsidRPr="00BB5241">
        <w:rPr>
          <w:rFonts w:ascii="Times New Roman" w:hAnsi="Times New Roman" w:cs="Times New Roman"/>
        </w:rPr>
        <w:t xml:space="preserve">serves as </w:t>
      </w:r>
      <w:r w:rsidRPr="00BB5241">
        <w:rPr>
          <w:rFonts w:ascii="Times New Roman" w:hAnsi="Times New Roman" w:cs="Times New Roman"/>
        </w:rPr>
        <w:t>a rigorous</w:t>
      </w:r>
      <w:r w:rsidRPr="00BB5241">
        <w:rPr>
          <w:rFonts w:ascii="Times New Roman" w:hAnsi="Times New Roman" w:cs="Times New Roman"/>
          <w:strike/>
        </w:rPr>
        <w:t xml:space="preserve"> </w:t>
      </w:r>
      <w:r w:rsidR="008F3953" w:rsidRPr="00BB5241">
        <w:rPr>
          <w:rFonts w:ascii="Times New Roman" w:hAnsi="Times New Roman" w:cs="Times New Roman"/>
        </w:rPr>
        <w:t xml:space="preserve">science-based </w:t>
      </w:r>
      <w:r w:rsidRPr="00BB5241">
        <w:rPr>
          <w:rFonts w:ascii="Times New Roman" w:hAnsi="Times New Roman" w:cs="Times New Roman"/>
        </w:rPr>
        <w:t xml:space="preserve">analysis that defines the overall parameters for a risk assessment and facilitates the systematic identification of potential </w:t>
      </w:r>
      <w:r w:rsidR="00A746A2">
        <w:rPr>
          <w:rFonts w:ascii="Times New Roman" w:hAnsi="Times New Roman" w:cs="Times New Roman"/>
        </w:rPr>
        <w:t>adverse effects</w:t>
      </w:r>
      <w:r w:rsidRPr="00BB5241">
        <w:rPr>
          <w:rFonts w:ascii="Times New Roman" w:hAnsi="Times New Roman" w:cs="Times New Roman"/>
        </w:rPr>
        <w:t>, as well as routes of exposure</w:t>
      </w:r>
      <w:r w:rsidR="00C734B3" w:rsidRPr="00BB5241">
        <w:rPr>
          <w:rFonts w:ascii="Times New Roman" w:hAnsi="Times New Roman" w:cs="Times New Roman"/>
        </w:rPr>
        <w:t xml:space="preserve"> or pathways to harm</w:t>
      </w:r>
      <w:r w:rsidRPr="00BB5241">
        <w:rPr>
          <w:rFonts w:ascii="Times New Roman" w:hAnsi="Times New Roman" w:cs="Times New Roman"/>
        </w:rPr>
        <w:t xml:space="preserve">, whilst being </w:t>
      </w:r>
      <w:r w:rsidRPr="00BB5241">
        <w:rPr>
          <w:rFonts w:ascii="Times New Roman" w:hAnsi="Times New Roman" w:cs="Times New Roman"/>
        </w:rPr>
        <w:lastRenderedPageBreak/>
        <w:t>transparent about the assumptions that have been made during the process (</w:t>
      </w:r>
      <w:r w:rsidRPr="00013E7E">
        <w:rPr>
          <w:rFonts w:ascii="Times New Roman" w:hAnsi="Times New Roman" w:cs="Times New Roman"/>
        </w:rPr>
        <w:t>OECD, 2023</w:t>
      </w:r>
      <w:r w:rsidRPr="00BB5241">
        <w:rPr>
          <w:rFonts w:ascii="Times New Roman" w:hAnsi="Times New Roman" w:cs="Times New Roman"/>
        </w:rPr>
        <w:t xml:space="preserve">). </w:t>
      </w:r>
      <w:r w:rsidR="00C734B3" w:rsidRPr="00BB5241">
        <w:rPr>
          <w:rFonts w:ascii="Times New Roman" w:hAnsi="Times New Roman" w:cs="Times New Roman"/>
        </w:rPr>
        <w:t xml:space="preserve">Problem formulation </w:t>
      </w:r>
      <w:r w:rsidR="0065040E" w:rsidRPr="00D35F03">
        <w:rPr>
          <w:rFonts w:ascii="Times New Roman" w:hAnsi="Times New Roman" w:cs="Times New Roman"/>
          <w:color w:val="000000" w:themeColor="text1"/>
        </w:rPr>
        <w:t>address</w:t>
      </w:r>
      <w:r w:rsidR="00495C1B" w:rsidRPr="00D35F03">
        <w:rPr>
          <w:rFonts w:ascii="Times New Roman" w:hAnsi="Times New Roman" w:cs="Times New Roman"/>
          <w:color w:val="000000" w:themeColor="text1"/>
        </w:rPr>
        <w:t>es</w:t>
      </w:r>
      <w:r w:rsidR="002E5F73" w:rsidRPr="00D35F03">
        <w:rPr>
          <w:rFonts w:ascii="Times New Roman" w:hAnsi="Times New Roman" w:cs="Times New Roman"/>
          <w:color w:val="000000" w:themeColor="text1"/>
        </w:rPr>
        <w:t xml:space="preserve"> </w:t>
      </w:r>
      <w:r w:rsidR="009A408B" w:rsidRPr="00D35F03">
        <w:rPr>
          <w:rFonts w:ascii="Times New Roman" w:hAnsi="Times New Roman" w:cs="Times New Roman"/>
          <w:color w:val="000000" w:themeColor="text1"/>
        </w:rPr>
        <w:t xml:space="preserve">novel </w:t>
      </w:r>
      <w:r w:rsidR="002E5F73" w:rsidRPr="00D35F03">
        <w:rPr>
          <w:rFonts w:ascii="Times New Roman" w:hAnsi="Times New Roman" w:cs="Times New Roman"/>
          <w:color w:val="000000" w:themeColor="text1"/>
        </w:rPr>
        <w:t>characteristics</w:t>
      </w:r>
      <w:r w:rsidR="002E5F73">
        <w:rPr>
          <w:rFonts w:ascii="Times New Roman" w:hAnsi="Times New Roman" w:cs="Times New Roman"/>
        </w:rPr>
        <w:t>, as well as</w:t>
      </w:r>
      <w:r w:rsidR="0065040E">
        <w:rPr>
          <w:rFonts w:ascii="Times New Roman" w:hAnsi="Times New Roman" w:cs="Times New Roman"/>
        </w:rPr>
        <w:t xml:space="preserve"> both</w:t>
      </w:r>
      <w:r w:rsidR="0065040E" w:rsidRPr="00BB5241">
        <w:rPr>
          <w:rFonts w:ascii="Times New Roman" w:hAnsi="Times New Roman" w:cs="Times New Roman"/>
        </w:rPr>
        <w:t xml:space="preserve"> </w:t>
      </w:r>
      <w:r w:rsidR="00C734B3" w:rsidRPr="00BB5241">
        <w:rPr>
          <w:rFonts w:ascii="Times New Roman" w:hAnsi="Times New Roman" w:cs="Times New Roman"/>
        </w:rPr>
        <w:t>intended and unintended behaviour</w:t>
      </w:r>
      <w:r w:rsidR="00C56082">
        <w:rPr>
          <w:rFonts w:ascii="Times New Roman" w:hAnsi="Times New Roman" w:cs="Times New Roman"/>
        </w:rPr>
        <w:t>,</w:t>
      </w:r>
      <w:r w:rsidR="0065040E">
        <w:rPr>
          <w:rFonts w:ascii="Times New Roman" w:hAnsi="Times New Roman" w:cs="Times New Roman"/>
        </w:rPr>
        <w:t xml:space="preserve"> </w:t>
      </w:r>
      <w:r w:rsidR="00C734B3" w:rsidRPr="00BB5241">
        <w:rPr>
          <w:rFonts w:ascii="Times New Roman" w:hAnsi="Times New Roman" w:cs="Times New Roman"/>
        </w:rPr>
        <w:t>of the EG</w:t>
      </w:r>
      <w:r w:rsidR="00F85ABF">
        <w:rPr>
          <w:rFonts w:ascii="Times New Roman" w:hAnsi="Times New Roman" w:cs="Times New Roman"/>
        </w:rPr>
        <w:t>D</w:t>
      </w:r>
      <w:r w:rsidR="00C734B3" w:rsidRPr="00BB5241">
        <w:rPr>
          <w:rFonts w:ascii="Times New Roman" w:hAnsi="Times New Roman" w:cs="Times New Roman"/>
        </w:rPr>
        <w:t>-LMO.</w:t>
      </w:r>
    </w:p>
    <w:p w14:paraId="671B0DE8" w14:textId="7484D16B" w:rsidR="00830D81" w:rsidRPr="00BB5241" w:rsidRDefault="005430B6" w:rsidP="00212686">
      <w:pPr>
        <w:spacing w:line="276" w:lineRule="auto"/>
        <w:jc w:val="both"/>
        <w:rPr>
          <w:rFonts w:ascii="Times New Roman" w:hAnsi="Times New Roman" w:cs="Times New Roman"/>
        </w:rPr>
      </w:pPr>
      <w:r w:rsidRPr="4644E7B5">
        <w:rPr>
          <w:rFonts w:ascii="Times New Roman" w:hAnsi="Times New Roman" w:cs="Times New Roman"/>
        </w:rPr>
        <w:t xml:space="preserve">Problem formulation can be made operational through a five-step process involving: </w:t>
      </w:r>
    </w:p>
    <w:p w14:paraId="30A48406" w14:textId="78CA2308" w:rsidR="00830D81" w:rsidRPr="00510EBB" w:rsidRDefault="00830D81" w:rsidP="00510EBB">
      <w:pPr>
        <w:pStyle w:val="ListParagraph"/>
        <w:numPr>
          <w:ilvl w:val="0"/>
          <w:numId w:val="28"/>
        </w:numPr>
        <w:spacing w:line="276" w:lineRule="auto"/>
        <w:rPr>
          <w:rFonts w:ascii="Times New Roman" w:eastAsia="Times New Roman" w:hAnsi="Times New Roman"/>
        </w:rPr>
      </w:pPr>
      <w:r w:rsidRPr="00510EBB">
        <w:rPr>
          <w:rFonts w:ascii="Times New Roman" w:eastAsia="Times New Roman" w:hAnsi="Times New Roman"/>
        </w:rPr>
        <w:t>T</w:t>
      </w:r>
      <w:r w:rsidR="005430B6" w:rsidRPr="00510EBB">
        <w:rPr>
          <w:rFonts w:ascii="Times New Roman" w:eastAsia="Times New Roman" w:hAnsi="Times New Roman"/>
        </w:rPr>
        <w:t>he identification of protection goals</w:t>
      </w:r>
      <w:r w:rsidR="008A006B" w:rsidRPr="00720DC3">
        <w:rPr>
          <w:rFonts w:ascii="Times New Roman" w:eastAsia="Times New Roman" w:hAnsi="Times New Roman"/>
        </w:rPr>
        <w:t xml:space="preserve"> </w:t>
      </w:r>
      <w:r w:rsidR="005430B6" w:rsidRPr="00510EBB">
        <w:rPr>
          <w:rFonts w:ascii="Times New Roman" w:eastAsia="Times New Roman" w:hAnsi="Times New Roman"/>
        </w:rPr>
        <w:t xml:space="preserve">and making them operational for use in risk assessment through the definition of assessment endpoints; </w:t>
      </w:r>
    </w:p>
    <w:p w14:paraId="1B545F31" w14:textId="4C42DF2A" w:rsidR="00830D81" w:rsidRPr="00510EBB" w:rsidRDefault="00830D81" w:rsidP="00510EBB">
      <w:pPr>
        <w:pStyle w:val="ListParagraph"/>
        <w:numPr>
          <w:ilvl w:val="0"/>
          <w:numId w:val="28"/>
        </w:numPr>
        <w:spacing w:line="276" w:lineRule="auto"/>
        <w:rPr>
          <w:rFonts w:ascii="Times New Roman" w:eastAsia="Times New Roman" w:hAnsi="Times New Roman"/>
        </w:rPr>
      </w:pPr>
      <w:r w:rsidRPr="00510EBB">
        <w:rPr>
          <w:rFonts w:ascii="Times New Roman" w:eastAsia="Times New Roman" w:hAnsi="Times New Roman"/>
        </w:rPr>
        <w:t>T</w:t>
      </w:r>
      <w:r w:rsidR="005430B6" w:rsidRPr="00510EBB">
        <w:rPr>
          <w:rFonts w:ascii="Times New Roman" w:eastAsia="Times New Roman" w:hAnsi="Times New Roman"/>
        </w:rPr>
        <w:t>he identification of potential adverse effects on assessment endpoints</w:t>
      </w:r>
      <w:r w:rsidR="00C734B3" w:rsidRPr="00510EBB">
        <w:rPr>
          <w:rFonts w:ascii="Times New Roman" w:eastAsia="Times New Roman" w:hAnsi="Times New Roman"/>
        </w:rPr>
        <w:t xml:space="preserve"> </w:t>
      </w:r>
      <w:r w:rsidR="00D16C59" w:rsidRPr="00510EBB">
        <w:rPr>
          <w:rFonts w:ascii="Times New Roman" w:eastAsia="Times New Roman" w:hAnsi="Times New Roman"/>
        </w:rPr>
        <w:t xml:space="preserve">(hazard identification); </w:t>
      </w:r>
    </w:p>
    <w:p w14:paraId="5A0F311B" w14:textId="42D61B37" w:rsidR="00830D81" w:rsidRPr="00510EBB" w:rsidRDefault="00830D81" w:rsidP="00510EBB">
      <w:pPr>
        <w:pStyle w:val="ListParagraph"/>
        <w:numPr>
          <w:ilvl w:val="0"/>
          <w:numId w:val="28"/>
        </w:numPr>
        <w:spacing w:line="276" w:lineRule="auto"/>
        <w:rPr>
          <w:rFonts w:ascii="Times New Roman" w:eastAsia="Times New Roman" w:hAnsi="Times New Roman"/>
        </w:rPr>
      </w:pPr>
      <w:r w:rsidRPr="00510EBB">
        <w:rPr>
          <w:rFonts w:ascii="Times New Roman" w:eastAsia="Times New Roman" w:hAnsi="Times New Roman"/>
        </w:rPr>
        <w:t>T</w:t>
      </w:r>
      <w:r w:rsidR="005430B6" w:rsidRPr="00510EBB">
        <w:rPr>
          <w:rFonts w:ascii="Times New Roman" w:eastAsia="Times New Roman" w:hAnsi="Times New Roman"/>
        </w:rPr>
        <w:t>he derivation of plausible pathways to harm</w:t>
      </w:r>
      <w:r w:rsidR="005430B6" w:rsidRPr="00B47178">
        <w:rPr>
          <w:rFonts w:ascii="Times New Roman" w:eastAsia="Times New Roman" w:hAnsi="Times New Roman"/>
          <w:vertAlign w:val="superscript"/>
        </w:rPr>
        <w:footnoteReference w:id="13"/>
      </w:r>
      <w:r w:rsidR="005430B6" w:rsidRPr="00720DC3">
        <w:rPr>
          <w:rFonts w:ascii="Times New Roman" w:eastAsia="Times New Roman" w:hAnsi="Times New Roman"/>
          <w:vertAlign w:val="superscript"/>
        </w:rPr>
        <w:t xml:space="preserve"> </w:t>
      </w:r>
      <w:r w:rsidR="005430B6" w:rsidRPr="00510EBB">
        <w:rPr>
          <w:rFonts w:ascii="Times New Roman" w:eastAsia="Times New Roman" w:hAnsi="Times New Roman"/>
        </w:rPr>
        <w:t xml:space="preserve">that describe how the </w:t>
      </w:r>
      <w:r w:rsidR="00E82174" w:rsidRPr="00510EBB">
        <w:rPr>
          <w:rFonts w:ascii="Times New Roman" w:eastAsia="Times New Roman" w:hAnsi="Times New Roman"/>
        </w:rPr>
        <w:t xml:space="preserve">intentional </w:t>
      </w:r>
      <w:r w:rsidR="005430B6" w:rsidRPr="00510EBB">
        <w:rPr>
          <w:rFonts w:ascii="Times New Roman" w:eastAsia="Times New Roman" w:hAnsi="Times New Roman"/>
        </w:rPr>
        <w:t xml:space="preserve">release of </w:t>
      </w:r>
      <w:proofErr w:type="gramStart"/>
      <w:r w:rsidR="005430B6" w:rsidRPr="00510EBB">
        <w:rPr>
          <w:rFonts w:ascii="Times New Roman" w:eastAsia="Times New Roman" w:hAnsi="Times New Roman"/>
        </w:rPr>
        <w:t>a</w:t>
      </w:r>
      <w:r w:rsidR="00B30F44" w:rsidRPr="00510EBB">
        <w:rPr>
          <w:rFonts w:ascii="Times New Roman" w:eastAsia="Times New Roman" w:hAnsi="Times New Roman"/>
        </w:rPr>
        <w:t xml:space="preserve">n </w:t>
      </w:r>
      <w:r w:rsidR="005430B6" w:rsidRPr="00510EBB">
        <w:rPr>
          <w:rFonts w:ascii="Times New Roman" w:eastAsia="Times New Roman" w:hAnsi="Times New Roman"/>
        </w:rPr>
        <w:t xml:space="preserve"> </w:t>
      </w:r>
      <w:r w:rsidR="00B30F44" w:rsidRPr="00510EBB">
        <w:rPr>
          <w:rFonts w:ascii="Times New Roman" w:eastAsia="Times New Roman" w:hAnsi="Times New Roman"/>
        </w:rPr>
        <w:t>EGD</w:t>
      </w:r>
      <w:proofErr w:type="gramEnd"/>
      <w:r w:rsidR="00B30F44" w:rsidRPr="00510EBB">
        <w:rPr>
          <w:rFonts w:ascii="Times New Roman" w:eastAsia="Times New Roman" w:hAnsi="Times New Roman"/>
        </w:rPr>
        <w:t>-</w:t>
      </w:r>
      <w:r w:rsidR="005430B6" w:rsidRPr="00510EBB">
        <w:rPr>
          <w:rFonts w:ascii="Times New Roman" w:eastAsia="Times New Roman" w:hAnsi="Times New Roman"/>
        </w:rPr>
        <w:t>LMO could be harmful;</w:t>
      </w:r>
    </w:p>
    <w:p w14:paraId="6DEE6126" w14:textId="1BF689F4" w:rsidR="00830D81" w:rsidRPr="00510EBB" w:rsidRDefault="00830D81" w:rsidP="00510EBB">
      <w:pPr>
        <w:pStyle w:val="ListParagraph"/>
        <w:numPr>
          <w:ilvl w:val="0"/>
          <w:numId w:val="28"/>
        </w:numPr>
        <w:spacing w:line="276" w:lineRule="auto"/>
        <w:rPr>
          <w:rFonts w:ascii="Times New Roman" w:eastAsia="Times New Roman" w:hAnsi="Times New Roman"/>
        </w:rPr>
      </w:pPr>
      <w:r w:rsidRPr="00510EBB">
        <w:rPr>
          <w:rFonts w:ascii="Times New Roman" w:eastAsia="Times New Roman" w:hAnsi="Times New Roman"/>
        </w:rPr>
        <w:t>T</w:t>
      </w:r>
      <w:r w:rsidR="005430B6" w:rsidRPr="00510EBB">
        <w:rPr>
          <w:rFonts w:ascii="Times New Roman" w:eastAsia="Times New Roman" w:hAnsi="Times New Roman"/>
        </w:rPr>
        <w:t xml:space="preserve">he formulation of risk hypotheses about the likelihood and </w:t>
      </w:r>
      <w:r w:rsidR="00D16C59" w:rsidRPr="00510EBB">
        <w:rPr>
          <w:rFonts w:ascii="Times New Roman" w:eastAsia="Times New Roman" w:hAnsi="Times New Roman"/>
        </w:rPr>
        <w:t xml:space="preserve">consequences </w:t>
      </w:r>
      <w:r w:rsidR="005430B6" w:rsidRPr="00510EBB">
        <w:rPr>
          <w:rFonts w:ascii="Times New Roman" w:eastAsia="Times New Roman" w:hAnsi="Times New Roman"/>
        </w:rPr>
        <w:t xml:space="preserve">of such events; and </w:t>
      </w:r>
    </w:p>
    <w:p w14:paraId="7119A9F2" w14:textId="293568F8" w:rsidR="00DC2E53" w:rsidRPr="00070DEF" w:rsidRDefault="00830D81" w:rsidP="00510EBB">
      <w:pPr>
        <w:pStyle w:val="ListParagraph"/>
        <w:numPr>
          <w:ilvl w:val="0"/>
          <w:numId w:val="28"/>
        </w:numPr>
        <w:spacing w:line="276" w:lineRule="auto"/>
        <w:rPr>
          <w:rFonts w:ascii="Times New Roman" w:eastAsia="Times New Roman" w:hAnsi="Times New Roman"/>
          <w:color w:val="000000" w:themeColor="text1"/>
        </w:rPr>
      </w:pPr>
      <w:r w:rsidRPr="00510EBB">
        <w:rPr>
          <w:rFonts w:ascii="Times New Roman" w:eastAsia="Times New Roman" w:hAnsi="Times New Roman"/>
        </w:rPr>
        <w:t>T</w:t>
      </w:r>
      <w:r w:rsidR="005430B6" w:rsidRPr="00510EBB">
        <w:rPr>
          <w:rFonts w:ascii="Times New Roman" w:eastAsia="Times New Roman" w:hAnsi="Times New Roman"/>
        </w:rPr>
        <w:t xml:space="preserve">he </w:t>
      </w:r>
      <w:r w:rsidR="00532C5D" w:rsidRPr="00D35F03">
        <w:rPr>
          <w:rFonts w:ascii="Times New Roman" w:eastAsia="Times New Roman" w:hAnsi="Times New Roman"/>
          <w:color w:val="000000" w:themeColor="text1"/>
        </w:rPr>
        <w:t xml:space="preserve">participation and </w:t>
      </w:r>
      <w:r w:rsidR="003A3B42" w:rsidRPr="00D35F03">
        <w:rPr>
          <w:rFonts w:ascii="Times New Roman" w:eastAsia="Times New Roman" w:hAnsi="Times New Roman"/>
          <w:color w:val="000000" w:themeColor="text1"/>
        </w:rPr>
        <w:t>engagement</w:t>
      </w:r>
      <w:r w:rsidR="005430B6" w:rsidRPr="00D35F03">
        <w:rPr>
          <w:rFonts w:ascii="Times New Roman" w:eastAsia="Times New Roman" w:hAnsi="Times New Roman"/>
          <w:color w:val="000000" w:themeColor="text1"/>
        </w:rPr>
        <w:t xml:space="preserve"> </w:t>
      </w:r>
      <w:r w:rsidR="00983F88" w:rsidRPr="00D35F03">
        <w:rPr>
          <w:rFonts w:ascii="Times New Roman" w:eastAsia="Times New Roman" w:hAnsi="Times New Roman"/>
          <w:color w:val="000000" w:themeColor="text1"/>
        </w:rPr>
        <w:t xml:space="preserve">of </w:t>
      </w:r>
      <w:r w:rsidR="005430B6" w:rsidRPr="00D35F03">
        <w:rPr>
          <w:rFonts w:ascii="Times New Roman" w:eastAsia="Times New Roman" w:hAnsi="Times New Roman"/>
          <w:color w:val="000000" w:themeColor="text1"/>
        </w:rPr>
        <w:t>stakeholders</w:t>
      </w:r>
      <w:r w:rsidR="00CF7ED3" w:rsidRPr="00D35F03">
        <w:rPr>
          <w:rFonts w:ascii="Times New Roman" w:eastAsia="Times New Roman" w:hAnsi="Times New Roman"/>
          <w:color w:val="000000" w:themeColor="text1"/>
        </w:rPr>
        <w:t xml:space="preserve"> and </w:t>
      </w:r>
      <w:r w:rsidR="00B614EB">
        <w:rPr>
          <w:rFonts w:ascii="Times New Roman" w:eastAsia="Times New Roman" w:hAnsi="Times New Roman"/>
          <w:color w:val="000000" w:themeColor="text1"/>
        </w:rPr>
        <w:t>indigenous peoples and local communitie</w:t>
      </w:r>
      <w:r w:rsidR="00CF7ED3" w:rsidRPr="00D35F03">
        <w:rPr>
          <w:rFonts w:ascii="Times New Roman" w:eastAsia="Times New Roman" w:hAnsi="Times New Roman"/>
          <w:color w:val="000000" w:themeColor="text1"/>
        </w:rPr>
        <w:t>s</w:t>
      </w:r>
      <w:r w:rsidR="004E460F" w:rsidRPr="00D35F03">
        <w:rPr>
          <w:rFonts w:ascii="Times New Roman" w:eastAsia="Times New Roman" w:hAnsi="Times New Roman"/>
          <w:color w:val="000000" w:themeColor="text1"/>
        </w:rPr>
        <w:t xml:space="preserve"> </w:t>
      </w:r>
      <w:r w:rsidR="009910F9" w:rsidRPr="00D35F03">
        <w:rPr>
          <w:rFonts w:ascii="Times New Roman" w:eastAsia="Times New Roman" w:hAnsi="Times New Roman"/>
          <w:color w:val="000000" w:themeColor="text1"/>
        </w:rPr>
        <w:t>can be included</w:t>
      </w:r>
      <w:r w:rsidR="006A251E" w:rsidRPr="00D35F03">
        <w:rPr>
          <w:rFonts w:ascii="Times New Roman" w:eastAsia="Times New Roman" w:hAnsi="Times New Roman"/>
          <w:color w:val="000000" w:themeColor="text1"/>
        </w:rPr>
        <w:t xml:space="preserve"> </w:t>
      </w:r>
      <w:r w:rsidR="009910F9" w:rsidRPr="00D35F03">
        <w:rPr>
          <w:rFonts w:ascii="Times New Roman" w:eastAsia="Times New Roman" w:hAnsi="Times New Roman"/>
          <w:color w:val="000000" w:themeColor="text1"/>
        </w:rPr>
        <w:t xml:space="preserve">at </w:t>
      </w:r>
      <w:r w:rsidR="006A251E" w:rsidRPr="00D35F03">
        <w:rPr>
          <w:rFonts w:ascii="Times New Roman" w:eastAsia="Times New Roman" w:hAnsi="Times New Roman"/>
          <w:color w:val="000000" w:themeColor="text1"/>
        </w:rPr>
        <w:t xml:space="preserve">all </w:t>
      </w:r>
      <w:r w:rsidR="009910F9" w:rsidRPr="00D35F03">
        <w:rPr>
          <w:rFonts w:ascii="Times New Roman" w:eastAsia="Times New Roman" w:hAnsi="Times New Roman"/>
          <w:color w:val="000000" w:themeColor="text1"/>
        </w:rPr>
        <w:t xml:space="preserve">points </w:t>
      </w:r>
      <w:r w:rsidR="009910F9" w:rsidRPr="00070DEF">
        <w:rPr>
          <w:rFonts w:ascii="Times New Roman" w:eastAsia="Times New Roman" w:hAnsi="Times New Roman"/>
          <w:color w:val="000000" w:themeColor="text1"/>
        </w:rPr>
        <w:t>in the process</w:t>
      </w:r>
      <w:r w:rsidR="006A251E" w:rsidRPr="00070DEF">
        <w:rPr>
          <w:rFonts w:ascii="Times New Roman" w:eastAsia="Times New Roman" w:hAnsi="Times New Roman"/>
          <w:color w:val="000000" w:themeColor="text1"/>
        </w:rPr>
        <w:t>, as appropriate</w:t>
      </w:r>
      <w:r w:rsidR="00376EB0" w:rsidRPr="00070DEF">
        <w:rPr>
          <w:rFonts w:ascii="Times New Roman" w:eastAsia="Times New Roman" w:hAnsi="Times New Roman"/>
          <w:color w:val="000000" w:themeColor="text1"/>
        </w:rPr>
        <w:t>.</w:t>
      </w:r>
    </w:p>
    <w:p w14:paraId="39EBE6A9" w14:textId="3BA05A37" w:rsidR="00F73A2D" w:rsidRPr="00D35F03" w:rsidRDefault="005E786E" w:rsidP="00A850BE">
      <w:pPr>
        <w:spacing w:line="276" w:lineRule="auto"/>
        <w:rPr>
          <w:rFonts w:ascii="Times New Roman" w:hAnsi="Times New Roman" w:cs="Times New Roman"/>
          <w:color w:val="000000" w:themeColor="text1"/>
        </w:rPr>
      </w:pPr>
      <w:r w:rsidRPr="00070DEF">
        <w:rPr>
          <w:rFonts w:ascii="Times New Roman" w:hAnsi="Times New Roman" w:cs="Times New Roman"/>
          <w:color w:val="000000" w:themeColor="text1"/>
        </w:rPr>
        <w:t xml:space="preserve">For further information, </w:t>
      </w:r>
      <w:r w:rsidR="00F73A2D" w:rsidRPr="00070DEF">
        <w:rPr>
          <w:rFonts w:ascii="Times New Roman" w:hAnsi="Times New Roman" w:cs="Times New Roman"/>
          <w:color w:val="000000" w:themeColor="text1"/>
        </w:rPr>
        <w:t>see, e.g., U</w:t>
      </w:r>
      <w:r w:rsidR="00F13513" w:rsidRPr="00070DEF">
        <w:rPr>
          <w:rFonts w:ascii="Times New Roman" w:hAnsi="Times New Roman" w:cs="Times New Roman"/>
          <w:color w:val="000000" w:themeColor="text1"/>
        </w:rPr>
        <w:t>.</w:t>
      </w:r>
      <w:r w:rsidR="00F73A2D" w:rsidRPr="00070DEF">
        <w:rPr>
          <w:rFonts w:ascii="Times New Roman" w:hAnsi="Times New Roman" w:cs="Times New Roman"/>
          <w:color w:val="000000" w:themeColor="text1"/>
        </w:rPr>
        <w:t>S</w:t>
      </w:r>
      <w:r w:rsidR="00F13513" w:rsidRPr="00070DEF">
        <w:rPr>
          <w:rFonts w:ascii="Times New Roman" w:hAnsi="Times New Roman" w:cs="Times New Roman"/>
          <w:color w:val="000000" w:themeColor="text1"/>
        </w:rPr>
        <w:t>.</w:t>
      </w:r>
      <w:r w:rsidR="00F73A2D" w:rsidRPr="00070DEF">
        <w:rPr>
          <w:rFonts w:ascii="Times New Roman" w:hAnsi="Times New Roman" w:cs="Times New Roman"/>
          <w:color w:val="000000" w:themeColor="text1"/>
        </w:rPr>
        <w:t xml:space="preserve"> EPA, 1998</w:t>
      </w:r>
      <w:r w:rsidR="00562F2F" w:rsidRPr="00070DEF">
        <w:rPr>
          <w:rFonts w:ascii="Times New Roman" w:hAnsi="Times New Roman" w:cs="Times New Roman"/>
          <w:color w:val="000000" w:themeColor="text1"/>
        </w:rPr>
        <w:t>;</w:t>
      </w:r>
      <w:r w:rsidR="00F73A2D" w:rsidRPr="00070DEF">
        <w:rPr>
          <w:rFonts w:ascii="Times New Roman" w:hAnsi="Times New Roman" w:cs="Times New Roman"/>
          <w:color w:val="000000" w:themeColor="text1"/>
        </w:rPr>
        <w:t xml:space="preserve"> Raybould, 2006, 2010; EFSA 2010; Wolt and others, 2010; Raybould and Macdonald, 2018; Devos and others, 2019;</w:t>
      </w:r>
      <w:r w:rsidR="00562F2F" w:rsidRPr="00070DEF">
        <w:rPr>
          <w:rFonts w:ascii="Times New Roman" w:hAnsi="Times New Roman" w:cs="Times New Roman"/>
          <w:color w:val="000000" w:themeColor="text1"/>
        </w:rPr>
        <w:t xml:space="preserve"> and</w:t>
      </w:r>
      <w:r w:rsidR="00F73A2D" w:rsidRPr="00070DEF">
        <w:rPr>
          <w:rFonts w:ascii="Times New Roman" w:hAnsi="Times New Roman" w:cs="Times New Roman"/>
          <w:color w:val="000000" w:themeColor="text1"/>
        </w:rPr>
        <w:t xml:space="preserve"> OECD, 2023.</w:t>
      </w:r>
      <w:r w:rsidR="00F73A2D" w:rsidRPr="00D35F03">
        <w:rPr>
          <w:rFonts w:ascii="Times New Roman" w:hAnsi="Times New Roman" w:cs="Times New Roman"/>
          <w:color w:val="000000" w:themeColor="text1"/>
        </w:rPr>
        <w:t xml:space="preserve"> </w:t>
      </w:r>
    </w:p>
    <w:p w14:paraId="1A7A42DB" w14:textId="6F5BF463" w:rsidR="00601B01" w:rsidRPr="00BB5241" w:rsidRDefault="00601B01" w:rsidP="00A850BE">
      <w:pPr>
        <w:spacing w:line="276" w:lineRule="auto"/>
        <w:rPr>
          <w:rFonts w:ascii="Times New Roman" w:eastAsia="Times New Roman" w:hAnsi="Times New Roman" w:cs="Times New Roman"/>
        </w:rPr>
      </w:pPr>
      <w:r w:rsidRPr="00BB5241">
        <w:rPr>
          <w:rFonts w:ascii="Times New Roman" w:hAnsi="Times New Roman" w:cs="Times New Roman"/>
        </w:rPr>
        <w:t>While problem formulation is conceptually straightforward, its implementation can be challenging when protection goals and scientific criteria for assessing risks are not clearly defined. Hence, reaching a common understanding of the relevant protection goals and scientific criteria is a prerequisite for conducting risk assessment. Data collection and interpretation can then be directed towards evaluating the impact of any observed effect on what is</w:t>
      </w:r>
      <w:r w:rsidR="00C3018C">
        <w:rPr>
          <w:rFonts w:ascii="Times New Roman" w:hAnsi="Times New Roman" w:cs="Times New Roman"/>
        </w:rPr>
        <w:t xml:space="preserve"> to be</w:t>
      </w:r>
      <w:r w:rsidRPr="00BB5241">
        <w:rPr>
          <w:rFonts w:ascii="Times New Roman" w:hAnsi="Times New Roman" w:cs="Times New Roman"/>
        </w:rPr>
        <w:t xml:space="preserve"> protect</w:t>
      </w:r>
      <w:r w:rsidR="00C3018C">
        <w:rPr>
          <w:rFonts w:ascii="Times New Roman" w:hAnsi="Times New Roman" w:cs="Times New Roman"/>
        </w:rPr>
        <w:t>ed</w:t>
      </w:r>
      <w:r w:rsidRPr="00BB5241">
        <w:rPr>
          <w:rFonts w:ascii="Times New Roman" w:hAnsi="Times New Roman" w:cs="Times New Roman"/>
        </w:rPr>
        <w:t xml:space="preserve">. </w:t>
      </w:r>
    </w:p>
    <w:p w14:paraId="00999DE2" w14:textId="38B7F644" w:rsidR="00DC2E53"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t xml:space="preserve">Transparency in how a problem formulation </w:t>
      </w:r>
      <w:r w:rsidR="000F570D" w:rsidRPr="00BB5241">
        <w:rPr>
          <w:rFonts w:ascii="Times New Roman" w:hAnsi="Times New Roman" w:cs="Times New Roman"/>
        </w:rPr>
        <w:t xml:space="preserve">approach </w:t>
      </w:r>
      <w:r w:rsidRPr="00BB5241">
        <w:rPr>
          <w:rFonts w:ascii="Times New Roman" w:hAnsi="Times New Roman" w:cs="Times New Roman"/>
        </w:rPr>
        <w:t xml:space="preserve">is conducted is important. Thus, sufficient detail about the methods, data, </w:t>
      </w:r>
      <w:proofErr w:type="gramStart"/>
      <w:r w:rsidRPr="00BB5241">
        <w:rPr>
          <w:rFonts w:ascii="Times New Roman" w:hAnsi="Times New Roman" w:cs="Times New Roman"/>
        </w:rPr>
        <w:t>assumptions</w:t>
      </w:r>
      <w:proofErr w:type="gramEnd"/>
      <w:r w:rsidRPr="00BB5241">
        <w:rPr>
          <w:rFonts w:ascii="Times New Roman" w:hAnsi="Times New Roman" w:cs="Times New Roman"/>
        </w:rPr>
        <w:t xml:space="preserve"> and uncertainties </w:t>
      </w:r>
      <w:r w:rsidR="00B17904" w:rsidRPr="00BB5241">
        <w:rPr>
          <w:rFonts w:ascii="Times New Roman" w:hAnsi="Times New Roman" w:cs="Times New Roman"/>
        </w:rPr>
        <w:t xml:space="preserve">should </w:t>
      </w:r>
      <w:r w:rsidRPr="00BB5241">
        <w:rPr>
          <w:rFonts w:ascii="Times New Roman" w:hAnsi="Times New Roman" w:cs="Times New Roman"/>
        </w:rPr>
        <w:t xml:space="preserve">be reported to </w:t>
      </w:r>
      <w:r w:rsidR="009B79D6" w:rsidRPr="00BB5241">
        <w:rPr>
          <w:rFonts w:ascii="Times New Roman" w:hAnsi="Times New Roman" w:cs="Times New Roman"/>
        </w:rPr>
        <w:t xml:space="preserve">ensure </w:t>
      </w:r>
      <w:r w:rsidRPr="00BB5241">
        <w:rPr>
          <w:rFonts w:ascii="Times New Roman" w:hAnsi="Times New Roman" w:cs="Times New Roman"/>
        </w:rPr>
        <w:t>transparency, facilitate an appropriate assessment of the quality of the problem formulation, ensure relevance, and enable reproducibility. Moreover, the problem formulation is</w:t>
      </w:r>
      <w:r w:rsidR="00C3018C">
        <w:rPr>
          <w:rFonts w:ascii="Times New Roman" w:hAnsi="Times New Roman" w:cs="Times New Roman"/>
        </w:rPr>
        <w:t xml:space="preserve"> an</w:t>
      </w:r>
      <w:r w:rsidRPr="00BB5241">
        <w:rPr>
          <w:rFonts w:ascii="Times New Roman" w:hAnsi="Times New Roman" w:cs="Times New Roman"/>
        </w:rPr>
        <w:t xml:space="preserve"> iterative</w:t>
      </w:r>
      <w:r w:rsidR="00C3018C">
        <w:rPr>
          <w:rFonts w:ascii="Times New Roman" w:hAnsi="Times New Roman" w:cs="Times New Roman"/>
        </w:rPr>
        <w:t xml:space="preserve"> process</w:t>
      </w:r>
      <w:r w:rsidRPr="00BB5241">
        <w:rPr>
          <w:rFonts w:ascii="Times New Roman" w:hAnsi="Times New Roman" w:cs="Times New Roman"/>
        </w:rPr>
        <w:t xml:space="preserve">, enabling </w:t>
      </w:r>
      <w:r w:rsidR="00701861" w:rsidRPr="00BB5241">
        <w:rPr>
          <w:rFonts w:ascii="Times New Roman" w:hAnsi="Times New Roman" w:cs="Times New Roman"/>
        </w:rPr>
        <w:t>the revision</w:t>
      </w:r>
      <w:r w:rsidRPr="00BB5241">
        <w:rPr>
          <w:rFonts w:ascii="Times New Roman" w:hAnsi="Times New Roman" w:cs="Times New Roman"/>
        </w:rPr>
        <w:t xml:space="preserve"> </w:t>
      </w:r>
      <w:r w:rsidR="00C3018C">
        <w:rPr>
          <w:rFonts w:ascii="Times New Roman" w:hAnsi="Times New Roman" w:cs="Times New Roman"/>
        </w:rPr>
        <w:t xml:space="preserve">of </w:t>
      </w:r>
      <w:r w:rsidRPr="00BB5241">
        <w:rPr>
          <w:rFonts w:ascii="Times New Roman" w:hAnsi="Times New Roman" w:cs="Times New Roman"/>
        </w:rPr>
        <w:t xml:space="preserve">each step of the process as evidence becomes available. This process </w:t>
      </w:r>
      <w:r w:rsidR="009B79D6" w:rsidRPr="00BB5241">
        <w:rPr>
          <w:rFonts w:ascii="Times New Roman" w:hAnsi="Times New Roman" w:cs="Times New Roman"/>
        </w:rPr>
        <w:t xml:space="preserve">should </w:t>
      </w:r>
      <w:r w:rsidRPr="00BB5241">
        <w:rPr>
          <w:rFonts w:ascii="Times New Roman" w:hAnsi="Times New Roman" w:cs="Times New Roman"/>
        </w:rPr>
        <w:t>also involve deeper engagement with stakeholders</w:t>
      </w:r>
      <w:r w:rsidR="00C734B3" w:rsidRPr="00BB5241">
        <w:rPr>
          <w:rFonts w:ascii="Times New Roman" w:hAnsi="Times New Roman" w:cs="Times New Roman"/>
        </w:rPr>
        <w:t xml:space="preserve"> </w:t>
      </w:r>
      <w:r w:rsidR="009B79D6" w:rsidRPr="00BB5241">
        <w:rPr>
          <w:rFonts w:ascii="Times New Roman" w:hAnsi="Times New Roman" w:cs="Times New Roman"/>
        </w:rPr>
        <w:t xml:space="preserve">such as </w:t>
      </w:r>
      <w:r w:rsidRPr="00BB5241">
        <w:rPr>
          <w:rFonts w:ascii="Times New Roman" w:hAnsi="Times New Roman" w:cs="Times New Roman"/>
        </w:rPr>
        <w:t xml:space="preserve">impacted communities at </w:t>
      </w:r>
      <w:r w:rsidR="007E56CB" w:rsidRPr="00BB5241">
        <w:rPr>
          <w:rFonts w:ascii="Times New Roman" w:hAnsi="Times New Roman" w:cs="Times New Roman"/>
        </w:rPr>
        <w:t xml:space="preserve">the relevant </w:t>
      </w:r>
      <w:r w:rsidRPr="00BB5241">
        <w:rPr>
          <w:rFonts w:ascii="Times New Roman" w:hAnsi="Times New Roman" w:cs="Times New Roman"/>
        </w:rPr>
        <w:t>step</w:t>
      </w:r>
      <w:r w:rsidR="007E56CB" w:rsidRPr="00BB5241">
        <w:rPr>
          <w:rFonts w:ascii="Times New Roman" w:hAnsi="Times New Roman" w:cs="Times New Roman"/>
        </w:rPr>
        <w:t>s</w:t>
      </w:r>
      <w:r w:rsidRPr="00BB5241">
        <w:rPr>
          <w:rFonts w:ascii="Times New Roman" w:hAnsi="Times New Roman" w:cs="Times New Roman"/>
        </w:rPr>
        <w:t xml:space="preserve">, to </w:t>
      </w:r>
      <w:r w:rsidR="009B79D6" w:rsidRPr="00BB5241">
        <w:rPr>
          <w:rFonts w:ascii="Times New Roman" w:hAnsi="Times New Roman" w:cs="Times New Roman"/>
        </w:rPr>
        <w:t xml:space="preserve">complement protection goals and </w:t>
      </w:r>
      <w:r w:rsidRPr="00BB5241">
        <w:rPr>
          <w:rFonts w:ascii="Times New Roman" w:hAnsi="Times New Roman" w:cs="Times New Roman"/>
        </w:rPr>
        <w:t>draw upon knowledge (</w:t>
      </w:r>
      <w:r w:rsidRPr="00413BF1">
        <w:rPr>
          <w:rFonts w:ascii="Times New Roman" w:hAnsi="Times New Roman" w:cs="Times New Roman"/>
        </w:rPr>
        <w:t>CCA, 2023).</w:t>
      </w:r>
    </w:p>
    <w:p w14:paraId="204A890C" w14:textId="7E768DAD" w:rsidR="00DC2E53" w:rsidRPr="00CA0582" w:rsidRDefault="00DD7AFB" w:rsidP="00212686">
      <w:pPr>
        <w:pStyle w:val="Heading3"/>
        <w:spacing w:line="276" w:lineRule="auto"/>
        <w:rPr>
          <w:rFonts w:ascii="Times New Roman" w:hAnsi="Times New Roman" w:cs="Times New Roman"/>
          <w:b/>
          <w:bCs/>
          <w:color w:val="auto"/>
          <w:lang w:val="en-GB"/>
        </w:rPr>
      </w:pPr>
      <w:bookmarkStart w:id="32" w:name="_Toc10"/>
      <w:bookmarkStart w:id="33" w:name="_Toc161220487"/>
      <w:r w:rsidRPr="4644E7B5">
        <w:rPr>
          <w:rFonts w:ascii="Times New Roman" w:hAnsi="Times New Roman" w:cs="Times New Roman"/>
          <w:b/>
          <w:bCs/>
          <w:color w:val="auto"/>
          <w:lang w:val="en-GB"/>
        </w:rPr>
        <w:t>4</w:t>
      </w:r>
      <w:r w:rsidR="005430B6" w:rsidRPr="4644E7B5">
        <w:rPr>
          <w:rFonts w:ascii="Times New Roman" w:hAnsi="Times New Roman" w:cs="Times New Roman"/>
          <w:b/>
          <w:bCs/>
          <w:color w:val="auto"/>
          <w:lang w:val="en-GB"/>
        </w:rPr>
        <w:t>.1.1</w:t>
      </w:r>
      <w:r w:rsidR="00DA1916" w:rsidRPr="4644E7B5">
        <w:rPr>
          <w:rFonts w:ascii="Times New Roman" w:hAnsi="Times New Roman" w:cs="Times New Roman"/>
          <w:b/>
          <w:bCs/>
          <w:color w:val="auto"/>
          <w:lang w:val="en-GB"/>
        </w:rPr>
        <w:t>.</w:t>
      </w:r>
      <w:r w:rsidR="005430B6" w:rsidRPr="4644E7B5">
        <w:rPr>
          <w:rFonts w:ascii="Times New Roman" w:hAnsi="Times New Roman" w:cs="Times New Roman"/>
          <w:b/>
          <w:bCs/>
          <w:color w:val="auto"/>
          <w:lang w:val="en-GB"/>
        </w:rPr>
        <w:t xml:space="preserve"> </w:t>
      </w:r>
      <w:r w:rsidR="00B30C53" w:rsidRPr="0025725D">
        <w:rPr>
          <w:rFonts w:ascii="Times New Roman" w:hAnsi="Times New Roman" w:cs="Times New Roman"/>
          <w:b/>
          <w:bCs/>
          <w:color w:val="000000" w:themeColor="text1"/>
          <w:lang w:val="en-GB"/>
        </w:rPr>
        <w:t xml:space="preserve">Identification </w:t>
      </w:r>
      <w:r w:rsidR="00176C68" w:rsidRPr="0025725D">
        <w:rPr>
          <w:rFonts w:ascii="Times New Roman" w:hAnsi="Times New Roman" w:cs="Times New Roman"/>
          <w:b/>
          <w:bCs/>
          <w:color w:val="000000" w:themeColor="text1"/>
          <w:lang w:val="en-GB"/>
        </w:rPr>
        <w:t>and operationaliz</w:t>
      </w:r>
      <w:r w:rsidR="00B30C53" w:rsidRPr="0025725D">
        <w:rPr>
          <w:rFonts w:ascii="Times New Roman" w:hAnsi="Times New Roman" w:cs="Times New Roman"/>
          <w:b/>
          <w:bCs/>
          <w:color w:val="000000" w:themeColor="text1"/>
          <w:lang w:val="en-GB"/>
        </w:rPr>
        <w:t xml:space="preserve">ation of </w:t>
      </w:r>
      <w:r w:rsidR="00B30C53" w:rsidRPr="4644E7B5">
        <w:rPr>
          <w:rFonts w:ascii="Times New Roman" w:hAnsi="Times New Roman" w:cs="Times New Roman"/>
          <w:b/>
          <w:bCs/>
          <w:color w:val="auto"/>
          <w:lang w:val="en-GB"/>
        </w:rPr>
        <w:t xml:space="preserve">the </w:t>
      </w:r>
      <w:r w:rsidR="005430B6" w:rsidRPr="4644E7B5">
        <w:rPr>
          <w:rFonts w:ascii="Times New Roman" w:hAnsi="Times New Roman" w:cs="Times New Roman"/>
          <w:b/>
          <w:bCs/>
          <w:color w:val="auto"/>
          <w:lang w:val="en-GB"/>
        </w:rPr>
        <w:t>protection goals</w:t>
      </w:r>
      <w:bookmarkEnd w:id="32"/>
      <w:bookmarkEnd w:id="33"/>
      <w:r w:rsidR="00537881" w:rsidRPr="4644E7B5">
        <w:rPr>
          <w:rFonts w:ascii="Times New Roman" w:hAnsi="Times New Roman" w:cs="Times New Roman"/>
          <w:b/>
          <w:bCs/>
          <w:color w:val="auto"/>
          <w:lang w:val="en-GB"/>
        </w:rPr>
        <w:t xml:space="preserve"> </w:t>
      </w:r>
    </w:p>
    <w:p w14:paraId="04783902" w14:textId="7064B456" w:rsidR="0097465E" w:rsidRPr="00997090" w:rsidRDefault="0097465E" w:rsidP="0097465E">
      <w:pPr>
        <w:spacing w:line="276" w:lineRule="auto"/>
        <w:jc w:val="both"/>
        <w:rPr>
          <w:rFonts w:ascii="Times New Roman" w:hAnsi="Times New Roman" w:cs="Times New Roman"/>
        </w:rPr>
      </w:pPr>
      <w:r w:rsidRPr="00997090">
        <w:rPr>
          <w:rFonts w:ascii="Times New Roman" w:hAnsi="Times New Roman" w:cs="Times New Roman"/>
        </w:rPr>
        <w:t>A crucial step in problem formulation is to identify protection goals and more specifically those that could possibly be harmed as the result of the deployment of an EGD-LMO. Protection goals can vary among jurisdictions, but their overall aim is to reduce or avoid potential harm caused by human activity to the environment and human, animal, plant, and soil health and water quality (</w:t>
      </w:r>
      <w:r w:rsidRPr="00413BF1">
        <w:rPr>
          <w:rFonts w:ascii="Times New Roman" w:hAnsi="Times New Roman" w:cs="Times New Roman"/>
        </w:rPr>
        <w:t>OECD, 2023</w:t>
      </w:r>
      <w:r w:rsidRPr="00997090">
        <w:rPr>
          <w:rFonts w:ascii="Times New Roman" w:hAnsi="Times New Roman" w:cs="Times New Roman"/>
        </w:rPr>
        <w:t>). As dictated by national policies and further clarified in annex I to the Convention on Biological Diversity</w:t>
      </w:r>
      <w:r w:rsidRPr="00997090">
        <w:rPr>
          <w:rStyle w:val="FootnoteReference"/>
          <w:rFonts w:ascii="Times New Roman" w:hAnsi="Times New Roman" w:cs="Times New Roman"/>
        </w:rPr>
        <w:footnoteReference w:id="14"/>
      </w:r>
      <w:r w:rsidRPr="00997090">
        <w:rPr>
          <w:rFonts w:ascii="Times New Roman" w:hAnsi="Times New Roman" w:cs="Times New Roman"/>
        </w:rPr>
        <w:t xml:space="preserve">, protection goals encompass various aspects, such as </w:t>
      </w:r>
      <w:r w:rsidRPr="00413BF1">
        <w:rPr>
          <w:rFonts w:ascii="Times New Roman" w:eastAsia="Times New Roman" w:hAnsi="Times New Roman" w:cs="Times New Roman"/>
        </w:rPr>
        <w:t>biological diversit</w:t>
      </w:r>
      <w:r w:rsidRPr="00413BF1">
        <w:rPr>
          <w:rFonts w:ascii="Times New Roman" w:eastAsia="Times New Roman" w:hAnsi="Times New Roman" w:cs="Times New Roman"/>
          <w:color w:val="000000" w:themeColor="text1"/>
        </w:rPr>
        <w:t>y</w:t>
      </w:r>
      <w:r w:rsidRPr="0025725D">
        <w:rPr>
          <w:rFonts w:ascii="Times New Roman" w:eastAsia="Times New Roman" w:hAnsi="Times New Roman" w:cs="Times New Roman"/>
          <w:color w:val="000000" w:themeColor="text1"/>
        </w:rPr>
        <w:t>,</w:t>
      </w:r>
      <w:r w:rsidR="00051CF0" w:rsidRPr="0025725D">
        <w:rPr>
          <w:rFonts w:ascii="Times New Roman" w:eastAsia="Times New Roman" w:hAnsi="Times New Roman" w:cs="Times New Roman"/>
          <w:color w:val="000000" w:themeColor="text1"/>
        </w:rPr>
        <w:t xml:space="preserve"> genetic diversity,</w:t>
      </w:r>
      <w:r w:rsidRPr="0025725D">
        <w:rPr>
          <w:rFonts w:ascii="Times New Roman" w:eastAsia="Times New Roman" w:hAnsi="Times New Roman" w:cs="Times New Roman"/>
          <w:color w:val="000000" w:themeColor="text1"/>
        </w:rPr>
        <w:t xml:space="preserve"> </w:t>
      </w:r>
      <w:r w:rsidRPr="0025725D">
        <w:rPr>
          <w:rFonts w:ascii="Times New Roman" w:hAnsi="Times New Roman" w:cs="Times New Roman"/>
          <w:color w:val="000000" w:themeColor="text1"/>
        </w:rPr>
        <w:t>human and animal health, ecosystems, ecosystem functions and services, soil health, water quality and habitats. Examples of protection goals that focus on biodiversity conservation include species of conservation value or cultural value</w:t>
      </w:r>
      <w:r w:rsidR="0040271E" w:rsidRPr="0025725D">
        <w:rPr>
          <w:rFonts w:ascii="Times New Roman" w:hAnsi="Times New Roman" w:cs="Times New Roman"/>
          <w:color w:val="000000" w:themeColor="text1"/>
        </w:rPr>
        <w:t>s</w:t>
      </w:r>
      <w:r w:rsidR="00670928" w:rsidRPr="0025725D">
        <w:rPr>
          <w:rFonts w:ascii="Times New Roman" w:hAnsi="Times New Roman" w:cs="Times New Roman"/>
          <w:color w:val="000000" w:themeColor="text1"/>
        </w:rPr>
        <w:t>, including those</w:t>
      </w:r>
      <w:r w:rsidR="004B65C2" w:rsidRPr="0025725D">
        <w:rPr>
          <w:rFonts w:ascii="Times New Roman" w:hAnsi="Times New Roman" w:cs="Times New Roman"/>
          <w:color w:val="000000" w:themeColor="text1"/>
        </w:rPr>
        <w:t xml:space="preserve"> of </w:t>
      </w:r>
      <w:r w:rsidR="00B614EB">
        <w:rPr>
          <w:rFonts w:ascii="Times New Roman" w:eastAsia="Times New Roman" w:hAnsi="Times New Roman" w:cs="Times New Roman"/>
          <w:color w:val="000000" w:themeColor="text1"/>
        </w:rPr>
        <w:t>indigenous peoples and local communitie</w:t>
      </w:r>
      <w:r w:rsidR="008364CA" w:rsidRPr="0025725D">
        <w:rPr>
          <w:rFonts w:ascii="Times New Roman" w:hAnsi="Times New Roman" w:cs="Times New Roman"/>
          <w:color w:val="000000" w:themeColor="text1"/>
        </w:rPr>
        <w:t>s</w:t>
      </w:r>
      <w:r w:rsidRPr="00997090">
        <w:rPr>
          <w:rFonts w:ascii="Times New Roman" w:hAnsi="Times New Roman" w:cs="Times New Roman"/>
        </w:rPr>
        <w:t xml:space="preserve">, species in the IUCN Red List and protected habitats and landscapes. Protection goals that focus on ecological functions include fertile soil, </w:t>
      </w:r>
      <w:r w:rsidRPr="00997090">
        <w:rPr>
          <w:rFonts w:ascii="Times New Roman" w:hAnsi="Times New Roman" w:cs="Times New Roman"/>
        </w:rPr>
        <w:lastRenderedPageBreak/>
        <w:t xml:space="preserve">clean </w:t>
      </w:r>
      <w:proofErr w:type="gramStart"/>
      <w:r w:rsidRPr="00997090">
        <w:rPr>
          <w:rFonts w:ascii="Times New Roman" w:hAnsi="Times New Roman" w:cs="Times New Roman"/>
        </w:rPr>
        <w:t>water</w:t>
      </w:r>
      <w:proofErr w:type="gramEnd"/>
      <w:r w:rsidRPr="00997090">
        <w:rPr>
          <w:rFonts w:ascii="Times New Roman" w:hAnsi="Times New Roman" w:cs="Times New Roman"/>
        </w:rPr>
        <w:t xml:space="preserve"> and sufficient biological diversity to withstand environmental change. Sustainable ecosystems as protection goals include both biodiversity conservation and ecological functions. </w:t>
      </w:r>
    </w:p>
    <w:p w14:paraId="3096702A" w14:textId="1EAB92D4" w:rsidR="00DC2E53" w:rsidRPr="00997090" w:rsidRDefault="008A0589" w:rsidP="00212686">
      <w:pPr>
        <w:spacing w:line="276" w:lineRule="auto"/>
        <w:jc w:val="both"/>
        <w:rPr>
          <w:rFonts w:ascii="Times New Roman" w:hAnsi="Times New Roman" w:cs="Times New Roman"/>
        </w:rPr>
      </w:pPr>
      <w:r w:rsidRPr="00997090">
        <w:rPr>
          <w:rFonts w:ascii="Times New Roman" w:hAnsi="Times New Roman" w:cs="Times New Roman"/>
        </w:rPr>
        <w:t>National policies and l</w:t>
      </w:r>
      <w:r w:rsidR="005430B6" w:rsidRPr="00997090">
        <w:rPr>
          <w:rFonts w:ascii="Times New Roman" w:hAnsi="Times New Roman" w:cs="Times New Roman"/>
        </w:rPr>
        <w:t>egislative frameworks generally define protection goals broadly. Consequently,</w:t>
      </w:r>
      <w:r w:rsidR="00983BAB" w:rsidRPr="00997090">
        <w:rPr>
          <w:rFonts w:ascii="Times New Roman" w:hAnsi="Times New Roman" w:cs="Times New Roman"/>
        </w:rPr>
        <w:t xml:space="preserve"> </w:t>
      </w:r>
      <w:r w:rsidR="005430B6" w:rsidRPr="00997090">
        <w:rPr>
          <w:rFonts w:ascii="Times New Roman" w:hAnsi="Times New Roman" w:cs="Times New Roman"/>
        </w:rPr>
        <w:t xml:space="preserve">refinement is required to make them operational for use in risk assessment – they must be translated into </w:t>
      </w:r>
      <w:r w:rsidR="005430B6" w:rsidRPr="00997090">
        <w:rPr>
          <w:rFonts w:ascii="Times New Roman" w:hAnsi="Times New Roman" w:cs="Times New Roman"/>
          <w:highlight w:val="white"/>
        </w:rPr>
        <w:t>specific, operational goals</w:t>
      </w:r>
      <w:r w:rsidR="005430B6" w:rsidRPr="00997090">
        <w:rPr>
          <w:rFonts w:ascii="Times New Roman" w:hAnsi="Times New Roman" w:cs="Times New Roman"/>
        </w:rPr>
        <w:t xml:space="preserve"> (termed </w:t>
      </w:r>
      <w:r w:rsidR="005430B6" w:rsidRPr="00952FE3">
        <w:rPr>
          <w:rFonts w:ascii="Times New Roman" w:hAnsi="Times New Roman" w:cs="Times New Roman"/>
        </w:rPr>
        <w:t>hereafter as assessment endpoints) (</w:t>
      </w:r>
      <w:r w:rsidR="008552B9" w:rsidRPr="00952FE3">
        <w:rPr>
          <w:rFonts w:ascii="Times New Roman" w:hAnsi="Times New Roman" w:cs="Times New Roman"/>
        </w:rPr>
        <w:t xml:space="preserve">Suter </w:t>
      </w:r>
      <w:r w:rsidR="002F1590" w:rsidRPr="00952FE3">
        <w:rPr>
          <w:rFonts w:ascii="Times New Roman" w:hAnsi="Times New Roman" w:cs="Times New Roman"/>
        </w:rPr>
        <w:t>II</w:t>
      </w:r>
      <w:r w:rsidR="008552B9" w:rsidRPr="00952FE3">
        <w:rPr>
          <w:rFonts w:ascii="Times New Roman" w:hAnsi="Times New Roman" w:cs="Times New Roman"/>
        </w:rPr>
        <w:t xml:space="preserve">, 2006; </w:t>
      </w:r>
      <w:r w:rsidR="005430B6" w:rsidRPr="00952FE3">
        <w:rPr>
          <w:rFonts w:ascii="Times New Roman" w:hAnsi="Times New Roman" w:cs="Times New Roman"/>
        </w:rPr>
        <w:t>Nienstedt and others, 2012; Garcia-Alonso and Raybould, 2014; Devos and others, 2015, 2019</w:t>
      </w:r>
      <w:r w:rsidR="008552B9" w:rsidRPr="00952FE3">
        <w:rPr>
          <w:rFonts w:ascii="Times New Roman" w:hAnsi="Times New Roman" w:cs="Times New Roman"/>
        </w:rPr>
        <w:t>; OECD</w:t>
      </w:r>
      <w:r w:rsidR="008552B9" w:rsidRPr="0005763A">
        <w:rPr>
          <w:rFonts w:ascii="Times New Roman" w:hAnsi="Times New Roman" w:cs="Times New Roman"/>
        </w:rPr>
        <w:t>, 2023</w:t>
      </w:r>
      <w:r w:rsidR="005430B6" w:rsidRPr="00997090">
        <w:rPr>
          <w:rFonts w:ascii="Times New Roman" w:hAnsi="Times New Roman" w:cs="Times New Roman"/>
        </w:rPr>
        <w:t xml:space="preserve">). This process requires the delineation of what must be protected, where and over what </w:t>
      </w:r>
      <w:proofErr w:type="gramStart"/>
      <w:r w:rsidR="005430B6" w:rsidRPr="00997090">
        <w:rPr>
          <w:rFonts w:ascii="Times New Roman" w:hAnsi="Times New Roman" w:cs="Times New Roman"/>
        </w:rPr>
        <w:t>time period</w:t>
      </w:r>
      <w:proofErr w:type="gramEnd"/>
      <w:r w:rsidR="005430B6" w:rsidRPr="00997090">
        <w:rPr>
          <w:rFonts w:ascii="Times New Roman" w:hAnsi="Times New Roman" w:cs="Times New Roman"/>
        </w:rPr>
        <w:t xml:space="preserve"> and defining the maximum tolerable </w:t>
      </w:r>
      <w:r w:rsidR="005430B6" w:rsidRPr="0025725D">
        <w:rPr>
          <w:rFonts w:ascii="Times New Roman" w:hAnsi="Times New Roman" w:cs="Times New Roman"/>
          <w:color w:val="000000" w:themeColor="text1"/>
        </w:rPr>
        <w:t>impact</w:t>
      </w:r>
      <w:r w:rsidR="00EB09DD" w:rsidRPr="0025725D">
        <w:rPr>
          <w:rFonts w:ascii="Times New Roman" w:hAnsi="Times New Roman" w:cs="Times New Roman"/>
          <w:color w:val="000000" w:themeColor="text1"/>
        </w:rPr>
        <w:t>, also term</w:t>
      </w:r>
      <w:r w:rsidR="00EA3C50" w:rsidRPr="0025725D">
        <w:rPr>
          <w:rFonts w:ascii="Times New Roman" w:hAnsi="Times New Roman" w:cs="Times New Roman"/>
          <w:color w:val="000000" w:themeColor="text1"/>
        </w:rPr>
        <w:t>ed</w:t>
      </w:r>
      <w:r w:rsidR="00EB09DD" w:rsidRPr="0025725D">
        <w:rPr>
          <w:rFonts w:ascii="Times New Roman" w:hAnsi="Times New Roman" w:cs="Times New Roman"/>
          <w:color w:val="000000" w:themeColor="text1"/>
        </w:rPr>
        <w:t xml:space="preserve"> </w:t>
      </w:r>
      <w:r w:rsidR="00680BB1" w:rsidRPr="0025725D">
        <w:rPr>
          <w:rFonts w:ascii="Times New Roman" w:hAnsi="Times New Roman" w:cs="Times New Roman"/>
          <w:color w:val="000000" w:themeColor="text1"/>
        </w:rPr>
        <w:t>limits of concern</w:t>
      </w:r>
      <w:r w:rsidR="007E5203">
        <w:rPr>
          <w:rFonts w:ascii="Times New Roman" w:hAnsi="Times New Roman" w:cs="Times New Roman"/>
        </w:rPr>
        <w:t>.</w:t>
      </w:r>
      <w:r w:rsidR="005430B6" w:rsidRPr="00997090">
        <w:rPr>
          <w:rFonts w:ascii="Times New Roman" w:hAnsi="Times New Roman" w:cs="Times New Roman"/>
        </w:rPr>
        <w:t xml:space="preserve"> Three sequential steps can be followed to define assessment endpoints: (1) identify relevant </w:t>
      </w:r>
      <w:r w:rsidR="00986487" w:rsidRPr="00997090">
        <w:rPr>
          <w:rFonts w:ascii="Times New Roman" w:hAnsi="Times New Roman" w:cs="Times New Roman"/>
        </w:rPr>
        <w:t xml:space="preserve">species (ecosystem units), habitats/ecosystems and </w:t>
      </w:r>
      <w:r w:rsidR="005430B6" w:rsidRPr="00997090">
        <w:rPr>
          <w:rFonts w:ascii="Times New Roman" w:hAnsi="Times New Roman" w:cs="Times New Roman"/>
        </w:rPr>
        <w:t>ecosystem services</w:t>
      </w:r>
      <w:r w:rsidR="002A094A" w:rsidRPr="00997090">
        <w:rPr>
          <w:rFonts w:ascii="Times New Roman" w:hAnsi="Times New Roman" w:cs="Times New Roman"/>
        </w:rPr>
        <w:t xml:space="preserve"> </w:t>
      </w:r>
      <w:r w:rsidR="005430B6" w:rsidRPr="00997090">
        <w:rPr>
          <w:rFonts w:ascii="Times New Roman" w:hAnsi="Times New Roman" w:cs="Times New Roman"/>
        </w:rPr>
        <w:t xml:space="preserve">that could be at risk from the </w:t>
      </w:r>
      <w:r w:rsidR="00930B74" w:rsidRPr="00997090">
        <w:rPr>
          <w:rFonts w:ascii="Times New Roman" w:hAnsi="Times New Roman" w:cs="Times New Roman"/>
        </w:rPr>
        <w:t xml:space="preserve">intentional </w:t>
      </w:r>
      <w:r w:rsidR="005430B6" w:rsidRPr="00997090">
        <w:rPr>
          <w:rFonts w:ascii="Times New Roman" w:hAnsi="Times New Roman" w:cs="Times New Roman"/>
        </w:rPr>
        <w:t>release of a</w:t>
      </w:r>
      <w:r w:rsidR="00AA6FB3" w:rsidRPr="00997090">
        <w:rPr>
          <w:rFonts w:ascii="Times New Roman" w:hAnsi="Times New Roman" w:cs="Times New Roman"/>
        </w:rPr>
        <w:t>n</w:t>
      </w:r>
      <w:r w:rsidR="005430B6" w:rsidRPr="00997090">
        <w:rPr>
          <w:rFonts w:ascii="Times New Roman" w:hAnsi="Times New Roman" w:cs="Times New Roman"/>
        </w:rPr>
        <w:t xml:space="preserve"> EGD-LMO; (2) identify service-providing units </w:t>
      </w:r>
      <w:r w:rsidR="00F27889" w:rsidRPr="00997090">
        <w:rPr>
          <w:rFonts w:ascii="Times New Roman" w:hAnsi="Times New Roman" w:cs="Times New Roman"/>
        </w:rPr>
        <w:t xml:space="preserve">(populations or communities) </w:t>
      </w:r>
      <w:r w:rsidR="005430B6" w:rsidRPr="00997090">
        <w:rPr>
          <w:rFonts w:ascii="Times New Roman" w:hAnsi="Times New Roman" w:cs="Times New Roman"/>
        </w:rPr>
        <w:t xml:space="preserve">– structural and functional components of biodiversity – that provide or support these ecosystem services; and (3) specify the level of protection for </w:t>
      </w:r>
      <w:r w:rsidR="008552B9" w:rsidRPr="00997090">
        <w:rPr>
          <w:rFonts w:ascii="Times New Roman" w:hAnsi="Times New Roman" w:cs="Times New Roman"/>
        </w:rPr>
        <w:t xml:space="preserve">habitats/ecosystems and </w:t>
      </w:r>
      <w:r w:rsidR="005430B6" w:rsidRPr="00997090">
        <w:rPr>
          <w:rFonts w:ascii="Times New Roman" w:hAnsi="Times New Roman" w:cs="Times New Roman"/>
        </w:rPr>
        <w:t xml:space="preserve">these service-providing units. The level of protection is then defined by the ecological entity of the service-providing unit </w:t>
      </w:r>
      <w:r w:rsidR="005430B6" w:rsidRPr="00952FE3">
        <w:rPr>
          <w:rFonts w:ascii="Times New Roman" w:hAnsi="Times New Roman" w:cs="Times New Roman"/>
        </w:rPr>
        <w:t>and its attributes, as well as the maximum tolerable impact (EFSA, 2010</w:t>
      </w:r>
      <w:proofErr w:type="gramStart"/>
      <w:r w:rsidR="005430B6" w:rsidRPr="00952FE3">
        <w:rPr>
          <w:rFonts w:ascii="Times New Roman" w:hAnsi="Times New Roman" w:cs="Times New Roman"/>
        </w:rPr>
        <w:t>a,b</w:t>
      </w:r>
      <w:proofErr w:type="gramEnd"/>
      <w:r w:rsidR="005430B6" w:rsidRPr="00952FE3">
        <w:rPr>
          <w:rFonts w:ascii="Times New Roman" w:hAnsi="Times New Roman" w:cs="Times New Roman"/>
        </w:rPr>
        <w:t>; Nienstedt and others, 2012; Devos and others, 2015, 2019).</w:t>
      </w:r>
      <w:r w:rsidR="005430B6" w:rsidRPr="00997090">
        <w:rPr>
          <w:rFonts w:ascii="Times New Roman" w:hAnsi="Times New Roman" w:cs="Times New Roman"/>
        </w:rPr>
        <w:t xml:space="preserve"> The assumption is that the general protection goal</w:t>
      </w:r>
      <w:r w:rsidR="00012020" w:rsidRPr="00997090">
        <w:rPr>
          <w:rFonts w:ascii="Times New Roman" w:hAnsi="Times New Roman" w:cs="Times New Roman"/>
        </w:rPr>
        <w:t xml:space="preserve">, </w:t>
      </w:r>
      <w:r w:rsidR="00283324" w:rsidRPr="00997090">
        <w:rPr>
          <w:rFonts w:ascii="Times New Roman" w:hAnsi="Times New Roman" w:cs="Times New Roman"/>
        </w:rPr>
        <w:t>represented by</w:t>
      </w:r>
      <w:r w:rsidR="00012020" w:rsidRPr="00997090">
        <w:rPr>
          <w:rFonts w:ascii="Times New Roman" w:hAnsi="Times New Roman" w:cs="Times New Roman"/>
        </w:rPr>
        <w:t xml:space="preserve"> specific </w:t>
      </w:r>
      <w:r w:rsidR="008552B9" w:rsidRPr="00997090">
        <w:rPr>
          <w:rFonts w:ascii="Times New Roman" w:hAnsi="Times New Roman" w:cs="Times New Roman"/>
        </w:rPr>
        <w:t>assessment endpoints</w:t>
      </w:r>
      <w:r w:rsidR="00012020" w:rsidRPr="00997090">
        <w:rPr>
          <w:rFonts w:ascii="Times New Roman" w:hAnsi="Times New Roman" w:cs="Times New Roman"/>
        </w:rPr>
        <w:t>,</w:t>
      </w:r>
      <w:r w:rsidR="00361C5E" w:rsidRPr="00997090">
        <w:rPr>
          <w:rFonts w:ascii="Times New Roman" w:hAnsi="Times New Roman" w:cs="Times New Roman"/>
        </w:rPr>
        <w:t xml:space="preserve"> </w:t>
      </w:r>
      <w:r w:rsidR="005430B6" w:rsidRPr="00997090">
        <w:rPr>
          <w:rFonts w:ascii="Times New Roman" w:hAnsi="Times New Roman" w:cs="Times New Roman"/>
        </w:rPr>
        <w:t>will be achieved through the protection of</w:t>
      </w:r>
      <w:r w:rsidR="00AA6FB3" w:rsidRPr="00997090">
        <w:rPr>
          <w:rFonts w:ascii="Times New Roman" w:hAnsi="Times New Roman" w:cs="Times New Roman"/>
        </w:rPr>
        <w:t xml:space="preserve"> t</w:t>
      </w:r>
      <w:r w:rsidR="00283324" w:rsidRPr="00997090">
        <w:rPr>
          <w:rFonts w:ascii="Times New Roman" w:hAnsi="Times New Roman" w:cs="Times New Roman"/>
        </w:rPr>
        <w:t>he</w:t>
      </w:r>
      <w:r w:rsidR="005A34D8" w:rsidRPr="00997090">
        <w:rPr>
          <w:rFonts w:ascii="Times New Roman" w:hAnsi="Times New Roman" w:cs="Times New Roman"/>
        </w:rPr>
        <w:t xml:space="preserve"> habitats/ecosystems and</w:t>
      </w:r>
      <w:r w:rsidR="00283324" w:rsidRPr="00997090">
        <w:rPr>
          <w:rFonts w:ascii="Times New Roman" w:hAnsi="Times New Roman" w:cs="Times New Roman"/>
        </w:rPr>
        <w:t xml:space="preserve"> </w:t>
      </w:r>
      <w:r w:rsidR="00012020" w:rsidRPr="00997090">
        <w:rPr>
          <w:rFonts w:ascii="Times New Roman" w:hAnsi="Times New Roman" w:cs="Times New Roman"/>
        </w:rPr>
        <w:t>service-providing units</w:t>
      </w:r>
      <w:r w:rsidR="000311D0" w:rsidRPr="00997090">
        <w:rPr>
          <w:rFonts w:ascii="Times New Roman" w:hAnsi="Times New Roman" w:cs="Times New Roman"/>
        </w:rPr>
        <w:t xml:space="preserve"> </w:t>
      </w:r>
      <w:r w:rsidR="005430B6" w:rsidRPr="00997090">
        <w:rPr>
          <w:rFonts w:ascii="Times New Roman" w:hAnsi="Times New Roman" w:cs="Times New Roman"/>
        </w:rPr>
        <w:t>of</w:t>
      </w:r>
      <w:r w:rsidR="00361C5E" w:rsidRPr="00997090">
        <w:rPr>
          <w:rFonts w:ascii="Times New Roman" w:hAnsi="Times New Roman" w:cs="Times New Roman"/>
        </w:rPr>
        <w:t xml:space="preserve"> </w:t>
      </w:r>
      <w:r w:rsidR="005430B6" w:rsidRPr="00997090">
        <w:rPr>
          <w:rFonts w:ascii="Times New Roman" w:hAnsi="Times New Roman" w:cs="Times New Roman"/>
        </w:rPr>
        <w:t>ecosystem services.</w:t>
      </w:r>
    </w:p>
    <w:p w14:paraId="7926E8CB" w14:textId="6A60D5D1" w:rsidR="0081482B" w:rsidRDefault="00983BAB" w:rsidP="0081482B">
      <w:pPr>
        <w:spacing w:line="276" w:lineRule="auto"/>
        <w:jc w:val="both"/>
        <w:rPr>
          <w:rFonts w:ascii="Times New Roman" w:hAnsi="Times New Roman" w:cs="Times New Roman"/>
        </w:rPr>
        <w:sectPr w:rsidR="0081482B" w:rsidSect="003724BD">
          <w:pgSz w:w="12240" w:h="15840"/>
          <w:pgMar w:top="1440" w:right="1440" w:bottom="1440" w:left="1440" w:header="708" w:footer="708" w:gutter="0"/>
          <w:cols w:space="708"/>
          <w:docGrid w:linePitch="360"/>
        </w:sectPr>
      </w:pPr>
      <w:r w:rsidRPr="00997090">
        <w:rPr>
          <w:rFonts w:ascii="Times New Roman" w:hAnsi="Times New Roman" w:cs="Times New Roman"/>
        </w:rPr>
        <w:t>Risk hypotheses for testing are subsequently established for identified a</w:t>
      </w:r>
      <w:r w:rsidR="005430B6" w:rsidRPr="00997090">
        <w:rPr>
          <w:rFonts w:ascii="Times New Roman" w:hAnsi="Times New Roman" w:cs="Times New Roman"/>
        </w:rPr>
        <w:t xml:space="preserve">ssessment endpoints, which lead to measurement endpoints that define the relevant experimental data or evidence required </w:t>
      </w:r>
      <w:r w:rsidR="005A34D8" w:rsidRPr="00997090">
        <w:rPr>
          <w:rFonts w:ascii="Times New Roman" w:hAnsi="Times New Roman" w:cs="Times New Roman"/>
        </w:rPr>
        <w:t xml:space="preserve">for </w:t>
      </w:r>
      <w:r w:rsidR="005430B6" w:rsidRPr="00997090">
        <w:rPr>
          <w:rFonts w:ascii="Times New Roman" w:hAnsi="Times New Roman" w:cs="Times New Roman"/>
        </w:rPr>
        <w:t>the assessment (</w:t>
      </w:r>
      <w:proofErr w:type="spellStart"/>
      <w:r w:rsidR="005430B6" w:rsidRPr="0005763A">
        <w:rPr>
          <w:rFonts w:ascii="Times New Roman" w:hAnsi="Times New Roman" w:cs="Times New Roman"/>
        </w:rPr>
        <w:t>Sanvido</w:t>
      </w:r>
      <w:proofErr w:type="spellEnd"/>
      <w:r w:rsidR="005430B6" w:rsidRPr="0005763A">
        <w:rPr>
          <w:rFonts w:ascii="Times New Roman" w:hAnsi="Times New Roman" w:cs="Times New Roman"/>
        </w:rPr>
        <w:t xml:space="preserve"> and other</w:t>
      </w:r>
      <w:r w:rsidR="009E0869" w:rsidRPr="0005763A">
        <w:rPr>
          <w:rFonts w:ascii="Times New Roman" w:hAnsi="Times New Roman" w:cs="Times New Roman"/>
        </w:rPr>
        <w:t>s</w:t>
      </w:r>
      <w:r w:rsidR="005430B6" w:rsidRPr="0005763A">
        <w:rPr>
          <w:rFonts w:ascii="Times New Roman" w:hAnsi="Times New Roman" w:cs="Times New Roman"/>
        </w:rPr>
        <w:t>, 2012</w:t>
      </w:r>
      <w:r w:rsidR="005430B6" w:rsidRPr="00997090">
        <w:rPr>
          <w:rFonts w:ascii="Times New Roman" w:hAnsi="Times New Roman" w:cs="Times New Roman"/>
        </w:rPr>
        <w:t xml:space="preserve">; </w:t>
      </w:r>
      <w:r w:rsidR="005430B6" w:rsidRPr="0005763A">
        <w:rPr>
          <w:rFonts w:ascii="Times New Roman" w:hAnsi="Times New Roman" w:cs="Times New Roman"/>
        </w:rPr>
        <w:t>Devos and others, 2015</w:t>
      </w:r>
      <w:r w:rsidR="005430B6" w:rsidRPr="00997090">
        <w:rPr>
          <w:rFonts w:ascii="Times New Roman" w:hAnsi="Times New Roman" w:cs="Times New Roman"/>
        </w:rPr>
        <w:t xml:space="preserve">). Measurement endpoints determine the information to be collected to test the formulated risk hypotheses. Thus, measurement endpoints are used </w:t>
      </w:r>
      <w:r w:rsidR="00E7774E" w:rsidRPr="00997090">
        <w:rPr>
          <w:rFonts w:ascii="Times New Roman" w:hAnsi="Times New Roman" w:cs="Times New Roman"/>
        </w:rPr>
        <w:t>as indicators</w:t>
      </w:r>
      <w:r w:rsidR="00BB261B" w:rsidRPr="00997090">
        <w:rPr>
          <w:rFonts w:ascii="Times New Roman" w:hAnsi="Times New Roman" w:cs="Times New Roman"/>
        </w:rPr>
        <w:t xml:space="preserve"> of potential</w:t>
      </w:r>
      <w:r w:rsidR="005430B6" w:rsidRPr="00997090">
        <w:rPr>
          <w:rFonts w:ascii="Times New Roman" w:hAnsi="Times New Roman" w:cs="Times New Roman"/>
        </w:rPr>
        <w:t xml:space="preserve"> harm</w:t>
      </w:r>
      <w:r w:rsidR="0038521A" w:rsidRPr="00997090">
        <w:rPr>
          <w:rFonts w:ascii="Times New Roman" w:hAnsi="Times New Roman" w:cs="Times New Roman"/>
        </w:rPr>
        <w:t>,</w:t>
      </w:r>
      <w:r w:rsidR="005430B6" w:rsidRPr="00997090">
        <w:rPr>
          <w:rFonts w:ascii="Times New Roman" w:hAnsi="Times New Roman" w:cs="Times New Roman"/>
        </w:rPr>
        <w:t xml:space="preserve"> but they are not part of a definition of harm. Measurement endpoints are rather a measurable</w:t>
      </w:r>
      <w:r w:rsidR="00281133" w:rsidRPr="00997090">
        <w:rPr>
          <w:rFonts w:ascii="Times New Roman" w:hAnsi="Times New Roman" w:cs="Times New Roman"/>
        </w:rPr>
        <w:t xml:space="preserve"> (quantifiable)</w:t>
      </w:r>
      <w:r w:rsidR="005430B6" w:rsidRPr="00997090">
        <w:rPr>
          <w:rFonts w:ascii="Times New Roman" w:hAnsi="Times New Roman" w:cs="Times New Roman"/>
        </w:rPr>
        <w:t xml:space="preserve"> biological characteristic that can be related to a</w:t>
      </w:r>
      <w:r w:rsidR="005430B6" w:rsidRPr="00BB5241">
        <w:rPr>
          <w:rFonts w:ascii="Times New Roman" w:hAnsi="Times New Roman" w:cs="Times New Roman"/>
        </w:rPr>
        <w:t xml:space="preserve"> particular assessment endpoint (</w:t>
      </w:r>
      <w:r w:rsidR="00565205" w:rsidRPr="001B24FE">
        <w:rPr>
          <w:rFonts w:ascii="Times New Roman" w:hAnsi="Times New Roman" w:cs="Times New Roman"/>
          <w:color w:val="000000" w:themeColor="text1"/>
        </w:rPr>
        <w:t xml:space="preserve">see </w:t>
      </w:r>
      <w:r w:rsidR="004B6589" w:rsidRPr="001B24FE">
        <w:rPr>
          <w:rFonts w:ascii="Times New Roman" w:hAnsi="Times New Roman" w:cs="Times New Roman"/>
          <w:color w:val="000000" w:themeColor="text1"/>
        </w:rPr>
        <w:t xml:space="preserve">table </w:t>
      </w:r>
      <w:r w:rsidR="00E156A2">
        <w:rPr>
          <w:rFonts w:ascii="Times New Roman" w:hAnsi="Times New Roman" w:cs="Times New Roman"/>
          <w:color w:val="000000" w:themeColor="text1"/>
        </w:rPr>
        <w:t>3</w:t>
      </w:r>
      <w:r w:rsidR="004B6589" w:rsidRPr="001B24FE">
        <w:rPr>
          <w:rFonts w:ascii="Times New Roman" w:hAnsi="Times New Roman" w:cs="Times New Roman"/>
          <w:color w:val="000000" w:themeColor="text1"/>
        </w:rPr>
        <w:t>;</w:t>
      </w:r>
      <w:r w:rsidR="004B6589" w:rsidRPr="00720DC3">
        <w:rPr>
          <w:rFonts w:ascii="Times New Roman" w:hAnsi="Times New Roman" w:cs="Times New Roman"/>
          <w:color w:val="FF0000"/>
        </w:rPr>
        <w:t xml:space="preserve"> </w:t>
      </w:r>
      <w:proofErr w:type="spellStart"/>
      <w:r w:rsidR="005430B6" w:rsidRPr="0005763A">
        <w:rPr>
          <w:rFonts w:ascii="Times New Roman" w:hAnsi="Times New Roman" w:cs="Times New Roman"/>
        </w:rPr>
        <w:t>Sanvido</w:t>
      </w:r>
      <w:proofErr w:type="spellEnd"/>
      <w:r w:rsidR="005430B6" w:rsidRPr="0005763A">
        <w:rPr>
          <w:rFonts w:ascii="Times New Roman" w:hAnsi="Times New Roman" w:cs="Times New Roman"/>
        </w:rPr>
        <w:t xml:space="preserve"> and other</w:t>
      </w:r>
      <w:r w:rsidR="009E0869" w:rsidRPr="0005763A">
        <w:rPr>
          <w:rFonts w:ascii="Times New Roman" w:hAnsi="Times New Roman" w:cs="Times New Roman"/>
        </w:rPr>
        <w:t>s</w:t>
      </w:r>
      <w:r w:rsidR="005430B6" w:rsidRPr="0005763A">
        <w:rPr>
          <w:rFonts w:ascii="Times New Roman" w:hAnsi="Times New Roman" w:cs="Times New Roman"/>
        </w:rPr>
        <w:t>, 2012</w:t>
      </w:r>
      <w:r w:rsidR="005430B6" w:rsidRPr="00BB5241">
        <w:rPr>
          <w:rFonts w:ascii="Times New Roman" w:hAnsi="Times New Roman" w:cs="Times New Roman"/>
        </w:rPr>
        <w:t>).</w:t>
      </w:r>
      <w:r w:rsidR="0081482B">
        <w:rPr>
          <w:rFonts w:ascii="Times New Roman" w:hAnsi="Times New Roman" w:cs="Times New Roman"/>
        </w:rPr>
        <w:br w:type="page"/>
      </w:r>
    </w:p>
    <w:p w14:paraId="1683D148" w14:textId="5EF91682" w:rsidR="0063052B" w:rsidRPr="008112E8" w:rsidRDefault="0063052B" w:rsidP="003C23E6">
      <w:pPr>
        <w:spacing w:after="0" w:line="276" w:lineRule="auto"/>
        <w:jc w:val="both"/>
        <w:rPr>
          <w:rFonts w:ascii="Times New Roman" w:hAnsi="Times New Roman" w:cs="Times New Roman"/>
          <w:noProof/>
          <w:lang w:val="de-DE" w:eastAsia="de-DE"/>
        </w:rPr>
      </w:pPr>
      <w:r w:rsidRPr="00A10BDE">
        <w:rPr>
          <w:rFonts w:ascii="Times New Roman" w:hAnsi="Times New Roman" w:cs="Times New Roman"/>
          <w:b/>
          <w:bCs/>
        </w:rPr>
        <w:lastRenderedPageBreak/>
        <w:t xml:space="preserve">Table </w:t>
      </w:r>
      <w:r w:rsidR="00E156A2">
        <w:rPr>
          <w:rFonts w:ascii="Times New Roman" w:hAnsi="Times New Roman" w:cs="Times New Roman"/>
          <w:b/>
          <w:bCs/>
        </w:rPr>
        <w:t>3</w:t>
      </w:r>
    </w:p>
    <w:p w14:paraId="37A7C896" w14:textId="38CC2DAE" w:rsidR="009A6D8D" w:rsidRDefault="009A6D8D" w:rsidP="00212686">
      <w:pPr>
        <w:spacing w:line="276" w:lineRule="auto"/>
        <w:jc w:val="both"/>
        <w:rPr>
          <w:rFonts w:ascii="Times New Roman" w:hAnsi="Times New Roman" w:cs="Times New Roman"/>
        </w:rPr>
      </w:pPr>
      <w:r>
        <w:rPr>
          <w:rFonts w:ascii="Times New Roman" w:hAnsi="Times New Roman" w:cs="Times New Roman"/>
        </w:rPr>
        <w:t xml:space="preserve">Matrix for an operational definition of environmental harm with some selected examples </w:t>
      </w:r>
      <w:r w:rsidRPr="005A6563">
        <w:rPr>
          <w:rFonts w:ascii="Times New Roman" w:hAnsi="Times New Roman" w:cs="Times New Roman"/>
          <w:color w:val="000000" w:themeColor="text1"/>
        </w:rPr>
        <w:t>of</w:t>
      </w:r>
      <w:r w:rsidR="00DF48E0" w:rsidRPr="005A6563">
        <w:rPr>
          <w:rFonts w:ascii="Times New Roman" w:hAnsi="Times New Roman" w:cs="Times New Roman"/>
          <w:color w:val="000000" w:themeColor="text1"/>
        </w:rPr>
        <w:t xml:space="preserve"> its application</w:t>
      </w:r>
      <w:r w:rsidR="00BA270C" w:rsidRPr="005A6563">
        <w:rPr>
          <w:rFonts w:ascii="Times New Roman" w:hAnsi="Times New Roman" w:cs="Times New Roman"/>
          <w:color w:val="000000" w:themeColor="text1"/>
        </w:rPr>
        <w:t xml:space="preserve"> </w:t>
      </w:r>
      <w:r w:rsidRPr="005A6563">
        <w:rPr>
          <w:rFonts w:ascii="Times New Roman" w:hAnsi="Times New Roman" w:cs="Times New Roman"/>
          <w:color w:val="000000" w:themeColor="text1"/>
        </w:rPr>
        <w:t>(</w:t>
      </w:r>
      <w:r w:rsidR="00BA270C" w:rsidRPr="005A6563">
        <w:rPr>
          <w:rFonts w:ascii="Times New Roman" w:hAnsi="Times New Roman" w:cs="Times New Roman"/>
          <w:color w:val="000000" w:themeColor="text1"/>
        </w:rPr>
        <w:t>a</w:t>
      </w:r>
      <w:r w:rsidR="00390BF3" w:rsidRPr="005A6563">
        <w:rPr>
          <w:rFonts w:ascii="Times New Roman" w:hAnsi="Times New Roman" w:cs="Times New Roman"/>
          <w:color w:val="000000" w:themeColor="text1"/>
        </w:rPr>
        <w:t xml:space="preserve">dapted from </w:t>
      </w:r>
      <w:proofErr w:type="spellStart"/>
      <w:r w:rsidRPr="0005763A">
        <w:rPr>
          <w:rFonts w:ascii="Times New Roman" w:hAnsi="Times New Roman" w:cs="Times New Roman"/>
        </w:rPr>
        <w:t>Sanvido</w:t>
      </w:r>
      <w:proofErr w:type="spellEnd"/>
      <w:r w:rsidRPr="0005763A">
        <w:rPr>
          <w:rFonts w:ascii="Times New Roman" w:hAnsi="Times New Roman" w:cs="Times New Roman"/>
        </w:rPr>
        <w:t xml:space="preserve"> and others, 2012</w:t>
      </w:r>
      <w:r>
        <w:rPr>
          <w:rFonts w:ascii="Times New Roman" w:hAnsi="Times New Roman" w:cs="Times New Roman"/>
        </w:rPr>
        <w:t>).</w:t>
      </w:r>
    </w:p>
    <w:p w14:paraId="0E231F56" w14:textId="59415E02" w:rsidR="007B5A9C" w:rsidRDefault="009F4F56" w:rsidP="0081482B">
      <w:pPr>
        <w:spacing w:line="276" w:lineRule="auto"/>
        <w:jc w:val="both"/>
        <w:rPr>
          <w:rFonts w:ascii="Times New Roman" w:hAnsi="Times New Roman" w:cs="Times New Roman"/>
        </w:rPr>
      </w:pPr>
      <w:r>
        <w:rPr>
          <w:rFonts w:ascii="Times New Roman" w:hAnsi="Times New Roman" w:cs="Times New Roman"/>
          <w:noProof/>
        </w:rPr>
        <w:drawing>
          <wp:inline distT="0" distB="0" distL="0" distR="0" wp14:anchorId="4F10B734" wp14:editId="40274228">
            <wp:extent cx="8195481" cy="3708974"/>
            <wp:effectExtent l="0" t="0" r="0" b="6350"/>
            <wp:docPr id="14793588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252220" cy="3734652"/>
                    </a:xfrm>
                    <a:prstGeom prst="rect">
                      <a:avLst/>
                    </a:prstGeom>
                    <a:noFill/>
                    <a:ln>
                      <a:noFill/>
                    </a:ln>
                  </pic:spPr>
                </pic:pic>
              </a:graphicData>
            </a:graphic>
          </wp:inline>
        </w:drawing>
      </w:r>
    </w:p>
    <w:p w14:paraId="3B885548" w14:textId="77777777" w:rsidR="008112E8" w:rsidRDefault="008112E8">
      <w:pPr>
        <w:rPr>
          <w:rFonts w:ascii="Times New Roman" w:hAnsi="Times New Roman" w:cs="Times New Roman"/>
        </w:rPr>
        <w:sectPr w:rsidR="008112E8" w:rsidSect="003724BD">
          <w:type w:val="continuous"/>
          <w:pgSz w:w="15840" w:h="12240" w:orient="landscape"/>
          <w:pgMar w:top="1440" w:right="1440" w:bottom="1440" w:left="1440" w:header="708" w:footer="708" w:gutter="0"/>
          <w:cols w:space="708"/>
          <w:docGrid w:linePitch="360"/>
        </w:sectPr>
      </w:pPr>
      <w:r>
        <w:rPr>
          <w:rFonts w:ascii="Times New Roman" w:hAnsi="Times New Roman" w:cs="Times New Roman"/>
        </w:rPr>
        <w:br w:type="page"/>
      </w:r>
    </w:p>
    <w:p w14:paraId="051407D9" w14:textId="082B3B79" w:rsidR="00DC2E53"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lastRenderedPageBreak/>
        <w:t>Protection goals and assessment endpoints are aimed at defining and targeting the initial processes in the risk assessment by helping frame relevant questions, especially during the problem formulation phase. Precisely defining</w:t>
      </w:r>
      <w:r w:rsidR="00133440" w:rsidRPr="00BB5241">
        <w:rPr>
          <w:rFonts w:ascii="Times New Roman" w:hAnsi="Times New Roman" w:cs="Times New Roman"/>
        </w:rPr>
        <w:t xml:space="preserve"> </w:t>
      </w:r>
      <w:r w:rsidRPr="00BB5241">
        <w:rPr>
          <w:rFonts w:ascii="Times New Roman" w:hAnsi="Times New Roman" w:cs="Times New Roman"/>
        </w:rPr>
        <w:t xml:space="preserve">the assessment endpoints is crucial to focus the risk assessment and guide subsequent analyses. The choice of the protection goals and assessment endpoints may change after an objective analysis of the characteristics of the </w:t>
      </w:r>
      <w:r w:rsidR="005A34D8">
        <w:rPr>
          <w:rFonts w:ascii="Times New Roman" w:hAnsi="Times New Roman" w:cs="Times New Roman"/>
        </w:rPr>
        <w:t>EGD-</w:t>
      </w:r>
      <w:r w:rsidRPr="00BB5241">
        <w:rPr>
          <w:rFonts w:ascii="Times New Roman" w:hAnsi="Times New Roman" w:cs="Times New Roman"/>
        </w:rPr>
        <w:t>LMO or as the risk assessment progresses and new information emerges.</w:t>
      </w:r>
    </w:p>
    <w:p w14:paraId="2F6FC2BC" w14:textId="7C54D0B0" w:rsidR="001451BA" w:rsidRPr="00A10BDE" w:rsidRDefault="005B313D" w:rsidP="00212686">
      <w:pPr>
        <w:spacing w:line="276" w:lineRule="auto"/>
        <w:jc w:val="both"/>
        <w:rPr>
          <w:rFonts w:ascii="Times New Roman" w:hAnsi="Times New Roman" w:cs="Times New Roman"/>
          <w:color w:val="000000" w:themeColor="text1"/>
        </w:rPr>
      </w:pPr>
      <w:r w:rsidRPr="00BB5241">
        <w:rPr>
          <w:rFonts w:ascii="Times New Roman" w:hAnsi="Times New Roman" w:cs="Times New Roman"/>
          <w:b/>
        </w:rPr>
        <w:t xml:space="preserve"> </w:t>
      </w:r>
      <w:r w:rsidR="001451BA" w:rsidRPr="00BB5241">
        <w:rPr>
          <w:rFonts w:ascii="Times New Roman" w:hAnsi="Times New Roman" w:cs="Times New Roman"/>
          <w:color w:val="000000" w:themeColor="text1"/>
        </w:rPr>
        <w:t xml:space="preserve">Since some EGD-LMOs may spread across jurisdictional boundaries, </w:t>
      </w:r>
      <w:r w:rsidRPr="00BB5241">
        <w:rPr>
          <w:rFonts w:ascii="Times New Roman" w:hAnsi="Times New Roman" w:cs="Times New Roman"/>
          <w:color w:val="000000" w:themeColor="text1"/>
        </w:rPr>
        <w:t>regional approaches that would facilitate multi-country/international regulatory oversight and governance have been suggested (</w:t>
      </w:r>
      <w:r w:rsidRPr="0005763A">
        <w:rPr>
          <w:rFonts w:ascii="Times New Roman" w:hAnsi="Times New Roman" w:cs="Times New Roman"/>
          <w:color w:val="000000" w:themeColor="text1"/>
        </w:rPr>
        <w:t>James and others, 2018</w:t>
      </w:r>
      <w:r w:rsidRPr="00BB5241">
        <w:rPr>
          <w:rFonts w:ascii="Times New Roman" w:hAnsi="Times New Roman" w:cs="Times New Roman"/>
          <w:color w:val="000000" w:themeColor="text1"/>
        </w:rPr>
        <w:t xml:space="preserve">; </w:t>
      </w:r>
      <w:r w:rsidRPr="0005763A">
        <w:rPr>
          <w:rFonts w:ascii="Times New Roman" w:hAnsi="Times New Roman" w:cs="Times New Roman"/>
          <w:color w:val="000000" w:themeColor="text1"/>
        </w:rPr>
        <w:t>Rabitz, 2019;</w:t>
      </w:r>
      <w:r w:rsidRPr="00BB5241">
        <w:rPr>
          <w:rFonts w:ascii="Times New Roman" w:hAnsi="Times New Roman" w:cs="Times New Roman"/>
          <w:color w:val="000000" w:themeColor="text1"/>
        </w:rPr>
        <w:t xml:space="preserve"> </w:t>
      </w:r>
      <w:r w:rsidRPr="0005763A">
        <w:rPr>
          <w:rFonts w:ascii="Times New Roman" w:hAnsi="Times New Roman" w:cs="Times New Roman"/>
          <w:color w:val="000000" w:themeColor="text1"/>
        </w:rPr>
        <w:t>Kelsey and others, 2020</w:t>
      </w:r>
      <w:r w:rsidRPr="00BB5241">
        <w:rPr>
          <w:rFonts w:ascii="Times New Roman" w:hAnsi="Times New Roman" w:cs="Times New Roman"/>
          <w:color w:val="000000" w:themeColor="text1"/>
        </w:rPr>
        <w:t xml:space="preserve">). </w:t>
      </w:r>
      <w:r w:rsidR="001451BA" w:rsidRPr="00BB5241">
        <w:rPr>
          <w:rFonts w:ascii="Times New Roman" w:hAnsi="Times New Roman" w:cs="Times New Roman"/>
          <w:color w:val="000000" w:themeColor="text1"/>
        </w:rPr>
        <w:t xml:space="preserve">A point </w:t>
      </w:r>
      <w:r w:rsidRPr="00BB5241">
        <w:rPr>
          <w:rFonts w:ascii="Times New Roman" w:hAnsi="Times New Roman" w:cs="Times New Roman"/>
          <w:color w:val="000000" w:themeColor="text1"/>
        </w:rPr>
        <w:t xml:space="preserve">that </w:t>
      </w:r>
      <w:r w:rsidR="00E201A0" w:rsidRPr="00BB5241">
        <w:rPr>
          <w:rFonts w:ascii="Times New Roman" w:hAnsi="Times New Roman" w:cs="Times New Roman"/>
          <w:color w:val="000000" w:themeColor="text1"/>
        </w:rPr>
        <w:t xml:space="preserve">would likely </w:t>
      </w:r>
      <w:r w:rsidR="001451BA" w:rsidRPr="00BB5241">
        <w:rPr>
          <w:rFonts w:ascii="Times New Roman" w:hAnsi="Times New Roman" w:cs="Times New Roman"/>
          <w:color w:val="000000" w:themeColor="text1"/>
        </w:rPr>
        <w:t>requir</w:t>
      </w:r>
      <w:r w:rsidRPr="00BB5241">
        <w:rPr>
          <w:rFonts w:ascii="Times New Roman" w:hAnsi="Times New Roman" w:cs="Times New Roman"/>
          <w:color w:val="000000" w:themeColor="text1"/>
        </w:rPr>
        <w:t>e</w:t>
      </w:r>
      <w:r w:rsidR="001451BA" w:rsidRPr="00BB5241">
        <w:rPr>
          <w:rFonts w:ascii="Times New Roman" w:hAnsi="Times New Roman" w:cs="Times New Roman"/>
          <w:color w:val="000000" w:themeColor="text1"/>
        </w:rPr>
        <w:t xml:space="preserve"> further consideration is whether the risk assessment should </w:t>
      </w:r>
      <w:r w:rsidRPr="00BB5241">
        <w:rPr>
          <w:rFonts w:ascii="Times New Roman" w:hAnsi="Times New Roman" w:cs="Times New Roman"/>
          <w:color w:val="000000" w:themeColor="text1"/>
        </w:rPr>
        <w:t xml:space="preserve">therefore </w:t>
      </w:r>
      <w:r w:rsidR="001451BA" w:rsidRPr="00BB5241">
        <w:rPr>
          <w:rFonts w:ascii="Times New Roman" w:hAnsi="Times New Roman" w:cs="Times New Roman"/>
          <w:color w:val="000000" w:themeColor="text1"/>
        </w:rPr>
        <w:t xml:space="preserve">be framed only by the specific protection goals established by the jurisdictions that would host the </w:t>
      </w:r>
      <w:r w:rsidR="00A6257B">
        <w:rPr>
          <w:rFonts w:ascii="Times New Roman" w:hAnsi="Times New Roman" w:cs="Times New Roman"/>
          <w:color w:val="000000" w:themeColor="text1"/>
        </w:rPr>
        <w:t>intentional</w:t>
      </w:r>
      <w:r w:rsidR="00041937">
        <w:rPr>
          <w:rFonts w:ascii="Times New Roman" w:hAnsi="Times New Roman" w:cs="Times New Roman"/>
          <w:color w:val="000000" w:themeColor="text1"/>
        </w:rPr>
        <w:t xml:space="preserve"> </w:t>
      </w:r>
      <w:r w:rsidR="001451BA" w:rsidRPr="00BB5241">
        <w:rPr>
          <w:rFonts w:ascii="Times New Roman" w:hAnsi="Times New Roman" w:cs="Times New Roman"/>
          <w:color w:val="000000" w:themeColor="text1"/>
        </w:rPr>
        <w:t>release, or address those of the entire area of potential spread to cover the potential for transboundary movements</w:t>
      </w:r>
      <w:r w:rsidR="00E25F94" w:rsidRPr="00BB5241">
        <w:rPr>
          <w:rFonts w:ascii="Times New Roman" w:hAnsi="Times New Roman" w:cs="Times New Roman"/>
          <w:color w:val="000000" w:themeColor="text1"/>
        </w:rPr>
        <w:t>.</w:t>
      </w:r>
    </w:p>
    <w:p w14:paraId="0D949EE0" w14:textId="16C3EA47" w:rsidR="00DC2E53" w:rsidRPr="00CA0582" w:rsidRDefault="00DD7AFB" w:rsidP="00212686">
      <w:pPr>
        <w:pStyle w:val="Heading3"/>
        <w:spacing w:line="276" w:lineRule="auto"/>
        <w:rPr>
          <w:rFonts w:ascii="Times New Roman" w:hAnsi="Times New Roman" w:cs="Times New Roman"/>
          <w:b/>
          <w:bCs/>
          <w:color w:val="auto"/>
          <w:lang w:val="en-GB"/>
        </w:rPr>
      </w:pPr>
      <w:bookmarkStart w:id="34" w:name="_Toc11"/>
      <w:bookmarkStart w:id="35" w:name="_Toc161220488"/>
      <w:r w:rsidRPr="421B232A">
        <w:rPr>
          <w:rFonts w:ascii="Times New Roman" w:hAnsi="Times New Roman" w:cs="Times New Roman"/>
          <w:b/>
          <w:bCs/>
          <w:color w:val="auto"/>
          <w:lang w:val="en-GB"/>
        </w:rPr>
        <w:t>4</w:t>
      </w:r>
      <w:r w:rsidR="005430B6" w:rsidRPr="421B232A">
        <w:rPr>
          <w:rFonts w:ascii="Times New Roman" w:hAnsi="Times New Roman" w:cs="Times New Roman"/>
          <w:b/>
          <w:bCs/>
          <w:color w:val="auto"/>
          <w:lang w:val="en-GB"/>
        </w:rPr>
        <w:t>.1.2</w:t>
      </w:r>
      <w:r w:rsidR="00DA1916" w:rsidRPr="421B232A">
        <w:rPr>
          <w:rFonts w:ascii="Times New Roman" w:hAnsi="Times New Roman" w:cs="Times New Roman"/>
          <w:b/>
          <w:bCs/>
          <w:color w:val="auto"/>
          <w:lang w:val="en-GB"/>
        </w:rPr>
        <w:t>.</w:t>
      </w:r>
      <w:r w:rsidR="005430B6" w:rsidRPr="421B232A">
        <w:rPr>
          <w:rFonts w:ascii="Times New Roman" w:hAnsi="Times New Roman" w:cs="Times New Roman"/>
          <w:b/>
          <w:bCs/>
          <w:color w:val="auto"/>
          <w:lang w:val="en-GB"/>
        </w:rPr>
        <w:t xml:space="preserve"> </w:t>
      </w:r>
      <w:r w:rsidR="00B41C37" w:rsidRPr="005A6563">
        <w:rPr>
          <w:rFonts w:ascii="Times New Roman" w:hAnsi="Times New Roman" w:cs="Times New Roman"/>
          <w:b/>
          <w:bCs/>
          <w:color w:val="000000" w:themeColor="text1"/>
          <w:lang w:val="en-GB"/>
        </w:rPr>
        <w:t xml:space="preserve">Identification of </w:t>
      </w:r>
      <w:r w:rsidR="005430B6" w:rsidRPr="421B232A">
        <w:rPr>
          <w:rFonts w:ascii="Times New Roman" w:hAnsi="Times New Roman" w:cs="Times New Roman"/>
          <w:b/>
          <w:bCs/>
          <w:color w:val="auto"/>
          <w:lang w:val="en-GB"/>
        </w:rPr>
        <w:t>potential adverse effects on the assessment endpoints</w:t>
      </w:r>
      <w:bookmarkEnd w:id="34"/>
      <w:bookmarkEnd w:id="35"/>
    </w:p>
    <w:p w14:paraId="1D8CBD51" w14:textId="467289E2" w:rsidR="00DC2E53" w:rsidRPr="00BB5241" w:rsidRDefault="005430B6" w:rsidP="421B232A">
      <w:pPr>
        <w:spacing w:line="276" w:lineRule="auto"/>
        <w:jc w:val="both"/>
        <w:rPr>
          <w:rStyle w:val="None"/>
          <w:rFonts w:ascii="Times New Roman" w:hAnsi="Times New Roman" w:cs="Times New Roman"/>
          <w:b/>
          <w:bCs/>
        </w:rPr>
      </w:pPr>
      <w:r w:rsidRPr="421B232A">
        <w:rPr>
          <w:rFonts w:ascii="Times New Roman" w:hAnsi="Times New Roman" w:cs="Times New Roman"/>
        </w:rPr>
        <w:t xml:space="preserve">This step involves </w:t>
      </w:r>
      <w:r w:rsidRPr="421B232A">
        <w:rPr>
          <w:rFonts w:ascii="Times New Roman" w:eastAsia="Times New Roman" w:hAnsi="Times New Roman" w:cs="Times New Roman"/>
        </w:rPr>
        <w:t xml:space="preserve">the identification of any </w:t>
      </w:r>
      <w:r w:rsidR="00D3793C" w:rsidRPr="421B232A">
        <w:rPr>
          <w:rFonts w:ascii="Times New Roman" w:eastAsia="Times New Roman" w:hAnsi="Times New Roman" w:cs="Times New Roman"/>
        </w:rPr>
        <w:t>features of</w:t>
      </w:r>
      <w:r w:rsidRPr="421B232A">
        <w:rPr>
          <w:rFonts w:ascii="Times New Roman" w:eastAsia="Times New Roman" w:hAnsi="Times New Roman" w:cs="Times New Roman"/>
        </w:rPr>
        <w:t xml:space="preserve"> the EGD-LMO that may have </w:t>
      </w:r>
      <w:r w:rsidR="00D01E15" w:rsidRPr="0005763A">
        <w:rPr>
          <w:rFonts w:ascii="Times New Roman" w:eastAsia="Times New Roman" w:hAnsi="Times New Roman" w:cs="Times New Roman"/>
        </w:rPr>
        <w:t>potential</w:t>
      </w:r>
      <w:r w:rsidRPr="421B232A">
        <w:rPr>
          <w:rFonts w:ascii="Times New Roman" w:eastAsia="Times New Roman" w:hAnsi="Times New Roman" w:cs="Times New Roman"/>
        </w:rPr>
        <w:t xml:space="preserve"> adverse effects on </w:t>
      </w:r>
      <w:r w:rsidRPr="421B232A">
        <w:rPr>
          <w:rFonts w:ascii="Times New Roman" w:hAnsi="Times New Roman" w:cs="Times New Roman"/>
        </w:rPr>
        <w:t xml:space="preserve">the conservation and sustainable use of </w:t>
      </w:r>
      <w:r w:rsidRPr="421B232A">
        <w:rPr>
          <w:rFonts w:ascii="Times New Roman" w:eastAsia="Times New Roman" w:hAnsi="Times New Roman" w:cs="Times New Roman"/>
        </w:rPr>
        <w:t>biological diversity in the likely potential receiving environment, taking also into account risks to human health</w:t>
      </w:r>
      <w:r w:rsidRPr="421B232A">
        <w:rPr>
          <w:rFonts w:ascii="Times New Roman" w:hAnsi="Times New Roman" w:cs="Times New Roman"/>
        </w:rPr>
        <w:t xml:space="preserve">. </w:t>
      </w:r>
      <w:r w:rsidR="00D2064F" w:rsidRPr="005A6563">
        <w:rPr>
          <w:rFonts w:ascii="Times New Roman" w:hAnsi="Times New Roman" w:cs="Times New Roman"/>
          <w:color w:val="000000" w:themeColor="text1"/>
        </w:rPr>
        <w:t>Additionally, t</w:t>
      </w:r>
      <w:r w:rsidR="000F4549" w:rsidRPr="005A6563">
        <w:rPr>
          <w:rFonts w:ascii="Times New Roman" w:hAnsi="Times New Roman" w:cs="Times New Roman"/>
          <w:color w:val="000000" w:themeColor="text1"/>
        </w:rPr>
        <w:t xml:space="preserve">his </w:t>
      </w:r>
      <w:r w:rsidR="00D2064F" w:rsidRPr="005A6563">
        <w:rPr>
          <w:rFonts w:ascii="Times New Roman" w:hAnsi="Times New Roman" w:cs="Times New Roman"/>
          <w:color w:val="000000" w:themeColor="text1"/>
        </w:rPr>
        <w:t>can</w:t>
      </w:r>
      <w:r w:rsidR="000F4549" w:rsidRPr="005A6563">
        <w:rPr>
          <w:rFonts w:ascii="Times New Roman" w:hAnsi="Times New Roman" w:cs="Times New Roman"/>
          <w:color w:val="000000" w:themeColor="text1"/>
        </w:rPr>
        <w:t xml:space="preserve"> include </w:t>
      </w:r>
      <w:r w:rsidR="00D2064F" w:rsidRPr="005A6563">
        <w:rPr>
          <w:rFonts w:ascii="Times New Roman" w:hAnsi="Times New Roman" w:cs="Times New Roman"/>
          <w:color w:val="000000" w:themeColor="text1"/>
        </w:rPr>
        <w:t xml:space="preserve">the </w:t>
      </w:r>
      <w:r w:rsidR="000F4549" w:rsidRPr="005A6563">
        <w:rPr>
          <w:rFonts w:ascii="Times New Roman" w:hAnsi="Times New Roman" w:cs="Times New Roman"/>
          <w:color w:val="000000" w:themeColor="text1"/>
        </w:rPr>
        <w:t xml:space="preserve">identification of </w:t>
      </w:r>
      <w:r w:rsidR="00D01E15" w:rsidRPr="0005763A">
        <w:rPr>
          <w:rFonts w:ascii="Times New Roman" w:hAnsi="Times New Roman" w:cs="Times New Roman"/>
          <w:color w:val="000000" w:themeColor="text1"/>
        </w:rPr>
        <w:t>potential</w:t>
      </w:r>
      <w:r w:rsidR="00D01E15">
        <w:rPr>
          <w:rFonts w:ascii="Times New Roman" w:hAnsi="Times New Roman" w:cs="Times New Roman"/>
          <w:color w:val="000000" w:themeColor="text1"/>
        </w:rPr>
        <w:t xml:space="preserve"> </w:t>
      </w:r>
      <w:r w:rsidR="000F4549" w:rsidRPr="005A6563">
        <w:rPr>
          <w:rFonts w:ascii="Times New Roman" w:hAnsi="Times New Roman" w:cs="Times New Roman"/>
          <w:color w:val="000000" w:themeColor="text1"/>
        </w:rPr>
        <w:t xml:space="preserve">adverse effects on plant and animal health. </w:t>
      </w:r>
      <w:r w:rsidR="00BB4F6B" w:rsidRPr="421B232A">
        <w:rPr>
          <w:rFonts w:ascii="Times New Roman" w:hAnsi="Times New Roman" w:cs="Times New Roman"/>
        </w:rPr>
        <w:t xml:space="preserve">The potential adverse effects caused by the </w:t>
      </w:r>
      <w:r w:rsidR="00062B09" w:rsidRPr="421B232A">
        <w:rPr>
          <w:rFonts w:ascii="Times New Roman" w:hAnsi="Times New Roman" w:cs="Times New Roman"/>
        </w:rPr>
        <w:t>intentional</w:t>
      </w:r>
      <w:r w:rsidR="00BB4F6B" w:rsidRPr="421B232A">
        <w:rPr>
          <w:rFonts w:ascii="Times New Roman" w:hAnsi="Times New Roman" w:cs="Times New Roman"/>
        </w:rPr>
        <w:t xml:space="preserve"> release of an EGD-LMO will vary depending on its characteristics, how it is used and the environment in which it is present. </w:t>
      </w:r>
      <w:r w:rsidRPr="421B232A">
        <w:rPr>
          <w:rFonts w:ascii="Times New Roman" w:hAnsi="Times New Roman" w:cs="Times New Roman"/>
        </w:rPr>
        <w:t>The question that risk assessors ask in this step is “what could</w:t>
      </w:r>
      <w:r w:rsidR="009C0BD9" w:rsidRPr="421B232A">
        <w:rPr>
          <w:rFonts w:ascii="Times New Roman" w:hAnsi="Times New Roman" w:cs="Times New Roman"/>
        </w:rPr>
        <w:t xml:space="preserve"> </w:t>
      </w:r>
      <w:r w:rsidRPr="421B232A">
        <w:rPr>
          <w:rFonts w:ascii="Times New Roman" w:hAnsi="Times New Roman" w:cs="Times New Roman"/>
        </w:rPr>
        <w:t>go wrong, why and how?” This step is very important in the risk assessment process as the answers to th</w:t>
      </w:r>
      <w:r w:rsidR="00F61D3E" w:rsidRPr="421B232A">
        <w:rPr>
          <w:rFonts w:ascii="Times New Roman" w:hAnsi="Times New Roman" w:cs="Times New Roman"/>
        </w:rPr>
        <w:t>ese</w:t>
      </w:r>
      <w:r w:rsidRPr="421B232A">
        <w:rPr>
          <w:rFonts w:ascii="Times New Roman" w:hAnsi="Times New Roman" w:cs="Times New Roman"/>
        </w:rPr>
        <w:t xml:space="preserve"> question</w:t>
      </w:r>
      <w:r w:rsidR="00F61D3E" w:rsidRPr="421B232A">
        <w:rPr>
          <w:rFonts w:ascii="Times New Roman" w:hAnsi="Times New Roman" w:cs="Times New Roman"/>
        </w:rPr>
        <w:t>s</w:t>
      </w:r>
      <w:r w:rsidRPr="421B232A">
        <w:rPr>
          <w:rFonts w:ascii="Times New Roman" w:hAnsi="Times New Roman" w:cs="Times New Roman"/>
        </w:rPr>
        <w:t xml:space="preserve"> will determine what risk scenarios are considered in all subsequent steps. In this step, risk </w:t>
      </w:r>
      <w:proofErr w:type="gramStart"/>
      <w:r w:rsidRPr="421B232A">
        <w:rPr>
          <w:rFonts w:ascii="Times New Roman" w:hAnsi="Times New Roman" w:cs="Times New Roman"/>
        </w:rPr>
        <w:t>assessors</w:t>
      </w:r>
      <w:proofErr w:type="gramEnd"/>
      <w:r w:rsidR="00A611C9" w:rsidRPr="421B232A">
        <w:rPr>
          <w:rFonts w:ascii="Times New Roman" w:hAnsi="Times New Roman" w:cs="Times New Roman"/>
        </w:rPr>
        <w:t xml:space="preserve"> postulate and </w:t>
      </w:r>
      <w:r w:rsidRPr="421B232A">
        <w:rPr>
          <w:rFonts w:ascii="Times New Roman" w:hAnsi="Times New Roman" w:cs="Times New Roman"/>
        </w:rPr>
        <w:t xml:space="preserve">identify scientifically plausible risk scenarios to predict if the EGD-LMO </w:t>
      </w:r>
      <w:r w:rsidR="00A76C7E" w:rsidRPr="421B232A">
        <w:rPr>
          <w:rFonts w:ascii="Times New Roman" w:hAnsi="Times New Roman" w:cs="Times New Roman"/>
        </w:rPr>
        <w:t xml:space="preserve">may </w:t>
      </w:r>
      <w:r w:rsidRPr="421B232A">
        <w:rPr>
          <w:rFonts w:ascii="Times New Roman" w:hAnsi="Times New Roman" w:cs="Times New Roman"/>
        </w:rPr>
        <w:t xml:space="preserve">have an adverse effect on the assessment endpoints. This is done by examining if any of the novel </w:t>
      </w:r>
      <w:r w:rsidR="00A90C6B" w:rsidRPr="421B232A">
        <w:rPr>
          <w:rFonts w:ascii="Times New Roman" w:hAnsi="Times New Roman" w:cs="Times New Roman"/>
        </w:rPr>
        <w:t xml:space="preserve">or altered </w:t>
      </w:r>
      <w:r w:rsidRPr="421B232A">
        <w:rPr>
          <w:rFonts w:ascii="Times New Roman" w:hAnsi="Times New Roman" w:cs="Times New Roman"/>
        </w:rPr>
        <w:t xml:space="preserve">characteristics of the EGD-LMO and/or its intended use could give rise to </w:t>
      </w:r>
      <w:r w:rsidR="00794968" w:rsidRPr="0005763A">
        <w:rPr>
          <w:rFonts w:ascii="Times New Roman" w:hAnsi="Times New Roman" w:cs="Times New Roman"/>
        </w:rPr>
        <w:t>potential</w:t>
      </w:r>
      <w:r w:rsidR="00794968">
        <w:rPr>
          <w:rFonts w:ascii="Times New Roman" w:hAnsi="Times New Roman" w:cs="Times New Roman"/>
        </w:rPr>
        <w:t xml:space="preserve"> </w:t>
      </w:r>
      <w:r w:rsidRPr="421B232A">
        <w:rPr>
          <w:rFonts w:ascii="Times New Roman" w:hAnsi="Times New Roman" w:cs="Times New Roman"/>
        </w:rPr>
        <w:t xml:space="preserve">adverse effects in the </w:t>
      </w:r>
      <w:r w:rsidR="00346986">
        <w:rPr>
          <w:rFonts w:ascii="Times New Roman" w:hAnsi="Times New Roman" w:cs="Times New Roman"/>
        </w:rPr>
        <w:t xml:space="preserve">likely </w:t>
      </w:r>
      <w:r w:rsidRPr="421B232A">
        <w:rPr>
          <w:rFonts w:ascii="Times New Roman" w:hAnsi="Times New Roman" w:cs="Times New Roman"/>
        </w:rPr>
        <w:t xml:space="preserve">potential receiving environment. The novel characteristics of the EGD-LMO to be considered </w:t>
      </w:r>
      <w:r w:rsidR="00F81509" w:rsidRPr="421B232A">
        <w:rPr>
          <w:rFonts w:ascii="Times New Roman" w:hAnsi="Times New Roman" w:cs="Times New Roman"/>
        </w:rPr>
        <w:t xml:space="preserve">should </w:t>
      </w:r>
      <w:r w:rsidRPr="421B232A">
        <w:rPr>
          <w:rFonts w:ascii="Times New Roman" w:hAnsi="Times New Roman" w:cs="Times New Roman"/>
        </w:rPr>
        <w:t xml:space="preserve">include any changes in the EGD-LMO, such as </w:t>
      </w:r>
      <w:r w:rsidR="00BA73C3" w:rsidRPr="0005763A">
        <w:rPr>
          <w:rFonts w:ascii="Times New Roman" w:hAnsi="Times New Roman" w:cs="Times New Roman"/>
        </w:rPr>
        <w:t>at the</w:t>
      </w:r>
      <w:r w:rsidR="00BA73C3">
        <w:rPr>
          <w:rFonts w:ascii="Times New Roman" w:hAnsi="Times New Roman" w:cs="Times New Roman"/>
        </w:rPr>
        <w:t xml:space="preserve"> </w:t>
      </w:r>
      <w:r w:rsidR="0092471E" w:rsidRPr="421B232A">
        <w:rPr>
          <w:rFonts w:ascii="Times New Roman" w:hAnsi="Times New Roman" w:cs="Times New Roman"/>
        </w:rPr>
        <w:t xml:space="preserve">DNA-level, </w:t>
      </w:r>
      <w:r w:rsidRPr="421B232A">
        <w:rPr>
          <w:rFonts w:ascii="Times New Roman" w:hAnsi="Times New Roman" w:cs="Times New Roman"/>
        </w:rPr>
        <w:t>gene expression level and morphological and behavioural changes. The changes are</w:t>
      </w:r>
      <w:r w:rsidR="00CC0456" w:rsidRPr="421B232A">
        <w:rPr>
          <w:rFonts w:ascii="Times New Roman" w:hAnsi="Times New Roman" w:cs="Times New Roman"/>
        </w:rPr>
        <w:t xml:space="preserve"> then</w:t>
      </w:r>
      <w:r w:rsidRPr="421B232A">
        <w:rPr>
          <w:rFonts w:ascii="Times New Roman" w:hAnsi="Times New Roman" w:cs="Times New Roman"/>
        </w:rPr>
        <w:t xml:space="preserve"> considered in the context of the </w:t>
      </w:r>
      <w:r w:rsidR="005F1168" w:rsidRPr="421B232A">
        <w:rPr>
          <w:rFonts w:ascii="Times New Roman" w:hAnsi="Times New Roman" w:cs="Times New Roman"/>
        </w:rPr>
        <w:t>comparators (</w:t>
      </w:r>
      <w:r w:rsidR="00CC4465" w:rsidRPr="421B232A">
        <w:rPr>
          <w:rFonts w:ascii="Times New Roman" w:hAnsi="Times New Roman" w:cs="Times New Roman"/>
        </w:rPr>
        <w:t>e.g., the</w:t>
      </w:r>
      <w:r w:rsidR="005F1168" w:rsidRPr="421B232A">
        <w:rPr>
          <w:rFonts w:ascii="Times New Roman" w:hAnsi="Times New Roman" w:cs="Times New Roman"/>
        </w:rPr>
        <w:t xml:space="preserve"> </w:t>
      </w:r>
      <w:r w:rsidRPr="421B232A">
        <w:rPr>
          <w:rFonts w:ascii="Times New Roman" w:hAnsi="Times New Roman" w:cs="Times New Roman"/>
        </w:rPr>
        <w:t>non-modified recipient or parental organisms</w:t>
      </w:r>
      <w:r w:rsidR="00B948D9" w:rsidRPr="421B232A">
        <w:rPr>
          <w:rFonts w:ascii="Times New Roman" w:hAnsi="Times New Roman" w:cs="Times New Roman"/>
        </w:rPr>
        <w:t>, see section 4.2.3</w:t>
      </w:r>
      <w:r w:rsidR="005F1168" w:rsidRPr="421B232A">
        <w:rPr>
          <w:rFonts w:ascii="Times New Roman" w:hAnsi="Times New Roman" w:cs="Times New Roman"/>
        </w:rPr>
        <w:t>)</w:t>
      </w:r>
      <w:r w:rsidRPr="421B232A">
        <w:rPr>
          <w:rFonts w:ascii="Times New Roman" w:hAnsi="Times New Roman" w:cs="Times New Roman"/>
        </w:rPr>
        <w:t xml:space="preserve"> in the </w:t>
      </w:r>
      <w:r w:rsidR="0040397C">
        <w:rPr>
          <w:rFonts w:ascii="Times New Roman" w:hAnsi="Times New Roman" w:cs="Times New Roman"/>
        </w:rPr>
        <w:t xml:space="preserve">likely </w:t>
      </w:r>
      <w:r w:rsidRPr="421B232A">
        <w:rPr>
          <w:rFonts w:ascii="Times New Roman" w:hAnsi="Times New Roman" w:cs="Times New Roman"/>
        </w:rPr>
        <w:t xml:space="preserve">potential receiving environment using the environmental conditions prior to the </w:t>
      </w:r>
      <w:r w:rsidR="00DF2B2C" w:rsidRPr="421B232A">
        <w:rPr>
          <w:rFonts w:ascii="Times New Roman" w:hAnsi="Times New Roman" w:cs="Times New Roman"/>
        </w:rPr>
        <w:t xml:space="preserve">intentional </w:t>
      </w:r>
      <w:r w:rsidRPr="421B232A">
        <w:rPr>
          <w:rFonts w:ascii="Times New Roman" w:hAnsi="Times New Roman" w:cs="Times New Roman"/>
        </w:rPr>
        <w:t xml:space="preserve">release of the EGD-LMO as baseline. </w:t>
      </w:r>
    </w:p>
    <w:p w14:paraId="7BD4226B" w14:textId="13795ED7" w:rsidR="00A90C6B" w:rsidRPr="00F83E6A" w:rsidRDefault="00A90C6B" w:rsidP="0077736C">
      <w:pPr>
        <w:spacing w:line="276" w:lineRule="auto"/>
        <w:jc w:val="both"/>
        <w:rPr>
          <w:rFonts w:ascii="Times New Roman" w:hAnsi="Times New Roman" w:cs="Times New Roman"/>
          <w:strike/>
          <w:color w:val="000000" w:themeColor="text1"/>
        </w:rPr>
      </w:pPr>
      <w:r w:rsidRPr="00BB5241">
        <w:rPr>
          <w:rFonts w:ascii="Times New Roman" w:hAnsi="Times New Roman" w:cs="Times New Roman"/>
        </w:rPr>
        <w:t xml:space="preserve">Potential adverse effects may be direct or indirect, </w:t>
      </w:r>
      <w:proofErr w:type="gramStart"/>
      <w:r w:rsidRPr="00BB5241">
        <w:rPr>
          <w:rFonts w:ascii="Times New Roman" w:hAnsi="Times New Roman" w:cs="Times New Roman"/>
        </w:rPr>
        <w:t>immediate</w:t>
      </w:r>
      <w:proofErr w:type="gramEnd"/>
      <w:r w:rsidRPr="00BB5241">
        <w:rPr>
          <w:rFonts w:ascii="Times New Roman" w:hAnsi="Times New Roman" w:cs="Times New Roman"/>
        </w:rPr>
        <w:t xml:space="preserve"> or delayed, cumulative, local or long distance, as well as predicted or unpredicted. </w:t>
      </w:r>
      <w:r w:rsidR="00BB4F6B" w:rsidRPr="00BB5241">
        <w:rPr>
          <w:rFonts w:ascii="Times New Roman" w:hAnsi="Times New Roman" w:cs="Times New Roman"/>
        </w:rPr>
        <w:t>D</w:t>
      </w:r>
      <w:r w:rsidRPr="00BB5241">
        <w:rPr>
          <w:rFonts w:ascii="Times New Roman" w:hAnsi="Times New Roman" w:cs="Times New Roman"/>
        </w:rPr>
        <w:t>irect</w:t>
      </w:r>
      <w:r w:rsidR="0077736C" w:rsidRPr="00BB5241">
        <w:rPr>
          <w:rFonts w:ascii="Times New Roman" w:hAnsi="Times New Roman" w:cs="Times New Roman"/>
        </w:rPr>
        <w:t xml:space="preserve"> or indirect</w:t>
      </w:r>
      <w:r w:rsidRPr="00BB5241">
        <w:rPr>
          <w:rFonts w:ascii="Times New Roman" w:hAnsi="Times New Roman" w:cs="Times New Roman"/>
        </w:rPr>
        <w:t xml:space="preserve"> effects on individual organisms that the </w:t>
      </w:r>
      <w:r w:rsidR="00B948D9">
        <w:rPr>
          <w:rFonts w:ascii="Times New Roman" w:hAnsi="Times New Roman" w:cs="Times New Roman"/>
        </w:rPr>
        <w:t>EGD-</w:t>
      </w:r>
      <w:r w:rsidRPr="00BB5241">
        <w:rPr>
          <w:rFonts w:ascii="Times New Roman" w:hAnsi="Times New Roman" w:cs="Times New Roman"/>
        </w:rPr>
        <w:t>LMO itself generates</w:t>
      </w:r>
      <w:r w:rsidR="00BB4F6B" w:rsidRPr="00BB5241">
        <w:rPr>
          <w:rFonts w:ascii="Times New Roman" w:hAnsi="Times New Roman" w:cs="Times New Roman"/>
        </w:rPr>
        <w:t xml:space="preserve"> may be caused</w:t>
      </w:r>
      <w:r w:rsidRPr="00BB5241">
        <w:rPr>
          <w:rFonts w:ascii="Times New Roman" w:hAnsi="Times New Roman" w:cs="Times New Roman"/>
        </w:rPr>
        <w:t xml:space="preserve"> via predation, competition, habitat alteration, hybridisation</w:t>
      </w:r>
      <w:r w:rsidR="009F4776">
        <w:rPr>
          <w:rFonts w:ascii="Times New Roman" w:hAnsi="Times New Roman" w:cs="Times New Roman"/>
        </w:rPr>
        <w:t xml:space="preserve"> </w:t>
      </w:r>
      <w:r w:rsidR="009F4776" w:rsidRPr="00F83E6A">
        <w:rPr>
          <w:rFonts w:ascii="Times New Roman" w:hAnsi="Times New Roman" w:cs="Times New Roman"/>
          <w:color w:val="000000" w:themeColor="text1"/>
        </w:rPr>
        <w:t>(gene flow)</w:t>
      </w:r>
      <w:r w:rsidRPr="00F83E6A">
        <w:rPr>
          <w:rFonts w:ascii="Times New Roman" w:hAnsi="Times New Roman" w:cs="Times New Roman"/>
          <w:color w:val="000000" w:themeColor="text1"/>
        </w:rPr>
        <w:t xml:space="preserve"> and introduction of new parasites and diseases</w:t>
      </w:r>
      <w:r w:rsidR="00BB4F6B" w:rsidRPr="00F83E6A">
        <w:rPr>
          <w:rFonts w:ascii="Times New Roman" w:hAnsi="Times New Roman" w:cs="Times New Roman"/>
          <w:color w:val="000000" w:themeColor="text1"/>
        </w:rPr>
        <w:t xml:space="preserve">. </w:t>
      </w:r>
    </w:p>
    <w:p w14:paraId="3B479ABA" w14:textId="2E98F94F" w:rsidR="00DC2E53" w:rsidRDefault="00775388" w:rsidP="00212686">
      <w:pPr>
        <w:spacing w:line="276" w:lineRule="auto"/>
        <w:jc w:val="both"/>
        <w:rPr>
          <w:rFonts w:ascii="Times New Roman" w:hAnsi="Times New Roman" w:cs="Times New Roman"/>
          <w:color w:val="000000" w:themeColor="text1"/>
        </w:rPr>
      </w:pPr>
      <w:r w:rsidRPr="00F83E6A">
        <w:rPr>
          <w:rFonts w:ascii="Times New Roman" w:hAnsi="Times New Roman" w:cs="Times New Roman"/>
          <w:color w:val="000000" w:themeColor="text1"/>
        </w:rPr>
        <w:t>The</w:t>
      </w:r>
      <w:r w:rsidR="005430B6" w:rsidRPr="00F83E6A">
        <w:rPr>
          <w:rFonts w:ascii="Times New Roman" w:hAnsi="Times New Roman" w:cs="Times New Roman"/>
          <w:color w:val="000000" w:themeColor="text1"/>
        </w:rPr>
        <w:t xml:space="preserve"> </w:t>
      </w:r>
      <w:r w:rsidR="0002418E" w:rsidRPr="00F83E6A">
        <w:rPr>
          <w:rFonts w:ascii="Times New Roman" w:hAnsi="Times New Roman" w:cs="Times New Roman"/>
          <w:color w:val="000000" w:themeColor="text1"/>
        </w:rPr>
        <w:t xml:space="preserve">ability </w:t>
      </w:r>
      <w:r w:rsidR="005430B6" w:rsidRPr="00F83E6A">
        <w:rPr>
          <w:rFonts w:ascii="Times New Roman" w:hAnsi="Times New Roman" w:cs="Times New Roman"/>
          <w:color w:val="000000" w:themeColor="text1"/>
        </w:rPr>
        <w:t>of the EGD-LMO to (</w:t>
      </w:r>
      <w:r w:rsidR="006E088B" w:rsidRPr="00F83E6A">
        <w:rPr>
          <w:rFonts w:ascii="Times New Roman" w:hAnsi="Times New Roman" w:cs="Times New Roman"/>
          <w:color w:val="000000" w:themeColor="text1"/>
        </w:rPr>
        <w:t>1</w:t>
      </w:r>
      <w:r w:rsidR="005430B6" w:rsidRPr="00F83E6A">
        <w:rPr>
          <w:rFonts w:ascii="Times New Roman" w:hAnsi="Times New Roman" w:cs="Times New Roman"/>
          <w:color w:val="000000" w:themeColor="text1"/>
        </w:rPr>
        <w:t>) affect non-target organisms; (</w:t>
      </w:r>
      <w:r w:rsidR="006E088B" w:rsidRPr="00F83E6A">
        <w:rPr>
          <w:rFonts w:ascii="Times New Roman" w:hAnsi="Times New Roman" w:cs="Times New Roman"/>
          <w:color w:val="000000" w:themeColor="text1"/>
        </w:rPr>
        <w:t>2</w:t>
      </w:r>
      <w:r w:rsidR="005430B6" w:rsidRPr="00F83E6A">
        <w:rPr>
          <w:rFonts w:ascii="Times New Roman" w:hAnsi="Times New Roman" w:cs="Times New Roman"/>
          <w:color w:val="000000" w:themeColor="text1"/>
        </w:rPr>
        <w:t>) cause unintended effects on target organisms; (</w:t>
      </w:r>
      <w:r w:rsidR="006E088B" w:rsidRPr="00F83E6A">
        <w:rPr>
          <w:rFonts w:ascii="Times New Roman" w:hAnsi="Times New Roman" w:cs="Times New Roman"/>
          <w:color w:val="000000" w:themeColor="text1"/>
        </w:rPr>
        <w:t>3</w:t>
      </w:r>
      <w:r w:rsidR="005430B6" w:rsidRPr="00F83E6A">
        <w:rPr>
          <w:rFonts w:ascii="Times New Roman" w:hAnsi="Times New Roman" w:cs="Times New Roman"/>
          <w:color w:val="000000" w:themeColor="text1"/>
        </w:rPr>
        <w:t>) develop unintentional changes in fitness; (</w:t>
      </w:r>
      <w:r w:rsidR="006E088B" w:rsidRPr="00F83E6A">
        <w:rPr>
          <w:rFonts w:ascii="Times New Roman" w:hAnsi="Times New Roman" w:cs="Times New Roman"/>
          <w:color w:val="000000" w:themeColor="text1"/>
        </w:rPr>
        <w:t>4</w:t>
      </w:r>
      <w:r w:rsidR="005430B6" w:rsidRPr="00F83E6A">
        <w:rPr>
          <w:rFonts w:ascii="Times New Roman" w:hAnsi="Times New Roman" w:cs="Times New Roman"/>
          <w:color w:val="000000" w:themeColor="text1"/>
        </w:rPr>
        <w:t xml:space="preserve">) transfer genes to other organisms/populations, such as </w:t>
      </w:r>
      <w:r w:rsidR="00A071F9" w:rsidRPr="00F83E6A">
        <w:rPr>
          <w:rFonts w:ascii="Times New Roman" w:hAnsi="Times New Roman" w:cs="Times New Roman"/>
          <w:color w:val="000000" w:themeColor="text1"/>
        </w:rPr>
        <w:t xml:space="preserve">sexually compatible </w:t>
      </w:r>
      <w:r w:rsidR="005430B6" w:rsidRPr="00F83E6A">
        <w:rPr>
          <w:rFonts w:ascii="Times New Roman" w:hAnsi="Times New Roman" w:cs="Times New Roman"/>
          <w:color w:val="000000" w:themeColor="text1"/>
        </w:rPr>
        <w:t>wild species; (</w:t>
      </w:r>
      <w:r w:rsidR="006E088B" w:rsidRPr="00F83E6A">
        <w:rPr>
          <w:rFonts w:ascii="Times New Roman" w:hAnsi="Times New Roman" w:cs="Times New Roman"/>
          <w:color w:val="000000" w:themeColor="text1"/>
        </w:rPr>
        <w:t>5</w:t>
      </w:r>
      <w:r w:rsidR="005430B6" w:rsidRPr="00F83E6A">
        <w:rPr>
          <w:rFonts w:ascii="Times New Roman" w:hAnsi="Times New Roman" w:cs="Times New Roman"/>
          <w:color w:val="000000" w:themeColor="text1"/>
        </w:rPr>
        <w:t>) become genotypically or phenotypically unstable</w:t>
      </w:r>
      <w:r w:rsidR="00603848" w:rsidRPr="00F83E6A">
        <w:rPr>
          <w:rFonts w:ascii="Times New Roman" w:hAnsi="Times New Roman" w:cs="Times New Roman"/>
          <w:color w:val="000000" w:themeColor="text1"/>
        </w:rPr>
        <w:t>;</w:t>
      </w:r>
      <w:r w:rsidR="006829DC" w:rsidRPr="00F83E6A">
        <w:rPr>
          <w:rFonts w:ascii="Times New Roman" w:hAnsi="Times New Roman" w:cs="Times New Roman"/>
          <w:color w:val="000000" w:themeColor="text1"/>
        </w:rPr>
        <w:t xml:space="preserve"> (6) lead to unintended phenotypes</w:t>
      </w:r>
      <w:r w:rsidR="00E2483B" w:rsidRPr="00F83E6A">
        <w:rPr>
          <w:rFonts w:ascii="Times New Roman" w:hAnsi="Times New Roman" w:cs="Times New Roman"/>
          <w:color w:val="000000" w:themeColor="text1"/>
        </w:rPr>
        <w:t>;</w:t>
      </w:r>
      <w:r w:rsidR="00170DF8" w:rsidRPr="00F83E6A">
        <w:rPr>
          <w:rFonts w:ascii="Times New Roman" w:hAnsi="Times New Roman" w:cs="Times New Roman"/>
          <w:color w:val="000000" w:themeColor="text1"/>
        </w:rPr>
        <w:t xml:space="preserve"> and</w:t>
      </w:r>
      <w:r w:rsidR="005430B6" w:rsidRPr="00F83E6A">
        <w:rPr>
          <w:rFonts w:ascii="Times New Roman" w:hAnsi="Times New Roman" w:cs="Times New Roman"/>
          <w:color w:val="000000" w:themeColor="text1"/>
        </w:rPr>
        <w:t xml:space="preserve"> </w:t>
      </w:r>
      <w:r w:rsidR="00FF3F2F" w:rsidRPr="00F83E6A">
        <w:rPr>
          <w:rFonts w:ascii="Times New Roman" w:hAnsi="Times New Roman" w:cs="Times New Roman"/>
          <w:color w:val="000000" w:themeColor="text1"/>
        </w:rPr>
        <w:t>(7) affect the food web</w:t>
      </w:r>
      <w:r w:rsidR="00823742" w:rsidRPr="00F83E6A">
        <w:rPr>
          <w:rFonts w:ascii="Times New Roman" w:hAnsi="Times New Roman" w:cs="Times New Roman"/>
          <w:color w:val="000000" w:themeColor="text1"/>
        </w:rPr>
        <w:t xml:space="preserve">, </w:t>
      </w:r>
      <w:r w:rsidR="00381702" w:rsidRPr="00F83E6A">
        <w:rPr>
          <w:rFonts w:ascii="Times New Roman" w:hAnsi="Times New Roman" w:cs="Times New Roman"/>
          <w:color w:val="000000" w:themeColor="text1"/>
        </w:rPr>
        <w:t xml:space="preserve">could </w:t>
      </w:r>
      <w:r w:rsidR="00823742" w:rsidRPr="00F83E6A">
        <w:rPr>
          <w:rFonts w:ascii="Times New Roman" w:hAnsi="Times New Roman" w:cs="Times New Roman"/>
          <w:color w:val="000000" w:themeColor="text1"/>
        </w:rPr>
        <w:t>caus</w:t>
      </w:r>
      <w:r w:rsidR="00381702" w:rsidRPr="00F83E6A">
        <w:rPr>
          <w:rFonts w:ascii="Times New Roman" w:hAnsi="Times New Roman" w:cs="Times New Roman"/>
          <w:color w:val="000000" w:themeColor="text1"/>
        </w:rPr>
        <w:t>e</w:t>
      </w:r>
      <w:r w:rsidR="00823742" w:rsidRPr="00F83E6A">
        <w:rPr>
          <w:rFonts w:ascii="Times New Roman" w:hAnsi="Times New Roman" w:cs="Times New Roman"/>
          <w:color w:val="000000" w:themeColor="text1"/>
        </w:rPr>
        <w:t xml:space="preserve"> potential adverse </w:t>
      </w:r>
      <w:r w:rsidR="00E73055" w:rsidRPr="00F83E6A">
        <w:rPr>
          <w:rFonts w:ascii="Times New Roman" w:hAnsi="Times New Roman" w:cs="Times New Roman"/>
          <w:color w:val="000000" w:themeColor="text1"/>
        </w:rPr>
        <w:t>effects</w:t>
      </w:r>
      <w:r w:rsidR="00E2483B" w:rsidRPr="00F83E6A">
        <w:rPr>
          <w:rFonts w:ascii="Times New Roman" w:hAnsi="Times New Roman" w:cs="Times New Roman"/>
          <w:color w:val="000000" w:themeColor="text1"/>
        </w:rPr>
        <w:t>.</w:t>
      </w:r>
    </w:p>
    <w:tbl>
      <w:tblPr>
        <w:tblStyle w:val="TableGrid"/>
        <w:tblW w:w="0" w:type="auto"/>
        <w:tblLook w:val="04A0" w:firstRow="1" w:lastRow="0" w:firstColumn="1" w:lastColumn="0" w:noHBand="0" w:noVBand="1"/>
      </w:tblPr>
      <w:tblGrid>
        <w:gridCol w:w="9016"/>
      </w:tblGrid>
      <w:tr w:rsidR="00554C89" w:rsidRPr="000B71E5" w14:paraId="583FAB29" w14:textId="77777777">
        <w:tc>
          <w:tcPr>
            <w:tcW w:w="9016" w:type="dxa"/>
          </w:tcPr>
          <w:p w14:paraId="191B0B83" w14:textId="40962BF4" w:rsidR="00A36198" w:rsidRPr="00091D71" w:rsidRDefault="00A36198" w:rsidP="00554C89">
            <w:pPr>
              <w:pStyle w:val="Heading3"/>
              <w:spacing w:line="276" w:lineRule="auto"/>
              <w:rPr>
                <w:rFonts w:asciiTheme="majorEastAsia" w:eastAsia="Times New Roman" w:hAnsiTheme="majorEastAsia" w:cstheme="majorEastAsia"/>
                <w:b/>
                <w:color w:val="000000" w:themeColor="text1"/>
                <w:lang w:val="en-GB"/>
              </w:rPr>
            </w:pPr>
            <w:bookmarkStart w:id="36" w:name="_Toc160798873"/>
            <w:bookmarkStart w:id="37" w:name="_Toc161220489"/>
            <w:bookmarkStart w:id="38" w:name="_Toc160721307"/>
            <w:bookmarkStart w:id="39" w:name="_Toc160721407"/>
            <w:r w:rsidRPr="00091D71">
              <w:rPr>
                <w:rFonts w:asciiTheme="majorEastAsia" w:eastAsia="Times New Roman" w:hAnsiTheme="majorEastAsia" w:cstheme="majorEastAsia"/>
                <w:b/>
                <w:color w:val="000000" w:themeColor="text1"/>
                <w:lang w:val="en-GB"/>
              </w:rPr>
              <w:lastRenderedPageBreak/>
              <w:t>Mosquitoes:</w:t>
            </w:r>
            <w:bookmarkEnd w:id="36"/>
            <w:bookmarkEnd w:id="37"/>
          </w:p>
          <w:p w14:paraId="3C409B10" w14:textId="3C5AA05A" w:rsidR="00554C89" w:rsidRPr="00091D71" w:rsidRDefault="00554C89" w:rsidP="00554C89">
            <w:pPr>
              <w:pStyle w:val="Heading3"/>
              <w:spacing w:line="276" w:lineRule="auto"/>
              <w:rPr>
                <w:rFonts w:asciiTheme="majorEastAsia" w:eastAsia="Times New Roman" w:hAnsiTheme="majorEastAsia" w:cstheme="majorEastAsia"/>
                <w:b/>
                <w:color w:val="000000" w:themeColor="text1"/>
                <w:lang w:val="en-GB"/>
              </w:rPr>
            </w:pPr>
            <w:bookmarkStart w:id="40" w:name="_Toc160798874"/>
            <w:bookmarkStart w:id="41" w:name="_Toc161220490"/>
            <w:r w:rsidRPr="00091D71">
              <w:rPr>
                <w:rFonts w:asciiTheme="majorEastAsia" w:eastAsia="Times New Roman" w:hAnsiTheme="majorEastAsia" w:cstheme="majorEastAsia"/>
                <w:b/>
                <w:color w:val="000000" w:themeColor="text1"/>
                <w:lang w:val="en-GB"/>
              </w:rPr>
              <w:t xml:space="preserve">Characterisation of the </w:t>
            </w:r>
            <w:r w:rsidR="009238FF" w:rsidRPr="00091D71">
              <w:rPr>
                <w:rFonts w:asciiTheme="majorEastAsia" w:eastAsia="Times New Roman" w:hAnsiTheme="majorEastAsia" w:cstheme="majorEastAsia" w:hint="eastAsia"/>
                <w:b/>
                <w:color w:val="000000" w:themeColor="text1"/>
                <w:lang w:val="en-GB"/>
              </w:rPr>
              <w:t>l</w:t>
            </w:r>
            <w:proofErr w:type="spellStart"/>
            <w:r w:rsidR="009238FF" w:rsidRPr="00091D71">
              <w:rPr>
                <w:rFonts w:asciiTheme="majorEastAsia" w:eastAsia="Times New Roman" w:hAnsiTheme="majorEastAsia" w:cstheme="majorEastAsia" w:hint="eastAsia"/>
                <w:b/>
                <w:color w:val="000000" w:themeColor="text1"/>
              </w:rPr>
              <w:t>iving</w:t>
            </w:r>
            <w:proofErr w:type="spellEnd"/>
            <w:r w:rsidR="009238FF" w:rsidRPr="00091D71">
              <w:rPr>
                <w:rFonts w:asciiTheme="majorEastAsia" w:eastAsia="Times New Roman" w:hAnsiTheme="majorEastAsia" w:cstheme="majorEastAsia"/>
                <w:b/>
                <w:color w:val="000000" w:themeColor="text1"/>
              </w:rPr>
              <w:t xml:space="preserve"> modified mosquito containing an engineered gene drives</w:t>
            </w:r>
            <w:r w:rsidRPr="00091D71">
              <w:rPr>
                <w:rFonts w:asciiTheme="majorEastAsia" w:eastAsia="Times New Roman" w:hAnsiTheme="majorEastAsia" w:cstheme="majorEastAsia"/>
                <w:b/>
                <w:color w:val="000000" w:themeColor="text1"/>
                <w:lang w:val="en-GB"/>
              </w:rPr>
              <w:t xml:space="preserve"> and its </w:t>
            </w:r>
            <w:r w:rsidR="00103EB3">
              <w:rPr>
                <w:rFonts w:asciiTheme="majorEastAsia" w:eastAsia="Times New Roman" w:hAnsiTheme="majorEastAsia" w:cstheme="majorEastAsia"/>
                <w:b/>
                <w:color w:val="000000" w:themeColor="text1"/>
                <w:lang w:val="en-GB"/>
              </w:rPr>
              <w:t xml:space="preserve">likely potential </w:t>
            </w:r>
            <w:r w:rsidRPr="00091D71">
              <w:rPr>
                <w:rFonts w:asciiTheme="majorEastAsia" w:eastAsia="Times New Roman" w:hAnsiTheme="majorEastAsia" w:cstheme="majorEastAsia"/>
                <w:b/>
                <w:color w:val="000000" w:themeColor="text1"/>
                <w:lang w:val="en-GB"/>
              </w:rPr>
              <w:t>receiving environments</w:t>
            </w:r>
            <w:bookmarkEnd w:id="38"/>
            <w:bookmarkEnd w:id="39"/>
            <w:bookmarkEnd w:id="40"/>
            <w:bookmarkEnd w:id="41"/>
          </w:p>
          <w:p w14:paraId="15899C4B" w14:textId="77777777" w:rsidR="00554C89" w:rsidRPr="000B71E5" w:rsidRDefault="00554C89" w:rsidP="00554C89">
            <w:pPr>
              <w:spacing w:before="120" w:after="240" w:line="276" w:lineRule="auto"/>
              <w:ind w:left="-20" w:right="-20"/>
              <w:jc w:val="both"/>
              <w:rPr>
                <w:rFonts w:asciiTheme="majorEastAsia" w:hAnsiTheme="majorEastAsia" w:cstheme="majorEastAsia"/>
                <w:color w:val="000000" w:themeColor="text1"/>
                <w:sz w:val="18"/>
                <w:szCs w:val="18"/>
              </w:rPr>
            </w:pPr>
            <w:r w:rsidRPr="000B71E5">
              <w:rPr>
                <w:rFonts w:asciiTheme="majorEastAsia" w:hAnsiTheme="majorEastAsia" w:cstheme="majorEastAsia"/>
                <w:color w:val="000000" w:themeColor="text1"/>
                <w:sz w:val="18"/>
                <w:szCs w:val="18"/>
              </w:rPr>
              <w:t xml:space="preserve">The characterisation of the EGD-LMM aims to identify any novel genotypic and phenotypic characteristics that may have adverse effects on biological diversity in the likely potential receiving environment, taking also into account risks to human health. Depending on the case, risk assessment </w:t>
            </w:r>
            <w:proofErr w:type="gramStart"/>
            <w:r w:rsidRPr="000B71E5">
              <w:rPr>
                <w:rFonts w:asciiTheme="majorEastAsia" w:hAnsiTheme="majorEastAsia" w:cstheme="majorEastAsia"/>
                <w:color w:val="000000" w:themeColor="text1"/>
                <w:sz w:val="18"/>
                <w:szCs w:val="18"/>
              </w:rPr>
              <w:t>takes into account</w:t>
            </w:r>
            <w:proofErr w:type="gramEnd"/>
            <w:r w:rsidRPr="000B71E5">
              <w:rPr>
                <w:rFonts w:asciiTheme="majorEastAsia" w:hAnsiTheme="majorEastAsia" w:cstheme="majorEastAsia"/>
                <w:color w:val="000000" w:themeColor="text1"/>
                <w:sz w:val="18"/>
                <w:szCs w:val="18"/>
              </w:rPr>
              <w:t xml:space="preserve"> the relevant technical and scientific details regarding the characteristics of the subjects outlined in paragraphs 9(a–h) of Annex 3 of the Protocol. </w:t>
            </w:r>
          </w:p>
          <w:p w14:paraId="5B3D96CD" w14:textId="29827F45" w:rsidR="00554C89" w:rsidRPr="000B71E5" w:rsidRDefault="00554C89" w:rsidP="00554C89">
            <w:pPr>
              <w:spacing w:before="120" w:after="240" w:line="276" w:lineRule="auto"/>
              <w:ind w:left="-20" w:right="-20"/>
              <w:jc w:val="both"/>
              <w:rPr>
                <w:rFonts w:asciiTheme="majorEastAsia" w:hAnsiTheme="majorEastAsia" w:cstheme="majorEastAsia"/>
                <w:color w:val="000000" w:themeColor="text1"/>
                <w:sz w:val="18"/>
                <w:szCs w:val="18"/>
              </w:rPr>
            </w:pPr>
            <w:r w:rsidRPr="000B71E5">
              <w:rPr>
                <w:rFonts w:asciiTheme="majorEastAsia" w:hAnsiTheme="majorEastAsia" w:cstheme="majorEastAsia"/>
                <w:color w:val="000000" w:themeColor="text1"/>
                <w:sz w:val="18"/>
                <w:szCs w:val="18"/>
              </w:rPr>
              <w:t xml:space="preserve">For the EGD-LMM case, this includes: the unmodified target mosquito and associated pathogen(s); the EGD-LMM (including the genetic modification); and the </w:t>
            </w:r>
            <w:r w:rsidR="00103EB3">
              <w:rPr>
                <w:rFonts w:asciiTheme="majorEastAsia" w:hAnsiTheme="majorEastAsia" w:cstheme="majorEastAsia"/>
                <w:color w:val="000000" w:themeColor="text1"/>
                <w:sz w:val="18"/>
                <w:szCs w:val="18"/>
              </w:rPr>
              <w:t xml:space="preserve">likely potential </w:t>
            </w:r>
            <w:r w:rsidRPr="000B71E5">
              <w:rPr>
                <w:rFonts w:asciiTheme="majorEastAsia" w:hAnsiTheme="majorEastAsia" w:cstheme="majorEastAsia"/>
                <w:color w:val="000000" w:themeColor="text1"/>
                <w:sz w:val="18"/>
                <w:szCs w:val="18"/>
              </w:rPr>
              <w:t xml:space="preserve">receiving environment (including interactions between the EGD-LMM and its </w:t>
            </w:r>
            <w:r w:rsidR="00103EB3">
              <w:rPr>
                <w:rFonts w:asciiTheme="majorEastAsia" w:hAnsiTheme="majorEastAsia" w:cstheme="majorEastAsia"/>
                <w:color w:val="000000" w:themeColor="text1"/>
                <w:sz w:val="18"/>
                <w:szCs w:val="18"/>
              </w:rPr>
              <w:t>likely potential</w:t>
            </w:r>
            <w:r w:rsidRPr="000B71E5">
              <w:rPr>
                <w:rFonts w:asciiTheme="majorEastAsia" w:hAnsiTheme="majorEastAsia" w:cstheme="majorEastAsia" w:hint="eastAsia"/>
                <w:color w:val="000000" w:themeColor="text1"/>
                <w:sz w:val="18"/>
                <w:szCs w:val="18"/>
              </w:rPr>
              <w:t xml:space="preserve"> </w:t>
            </w:r>
            <w:r w:rsidRPr="000B71E5">
              <w:rPr>
                <w:rFonts w:asciiTheme="majorEastAsia" w:hAnsiTheme="majorEastAsia" w:cstheme="majorEastAsia"/>
                <w:color w:val="000000" w:themeColor="text1"/>
                <w:sz w:val="18"/>
                <w:szCs w:val="18"/>
              </w:rPr>
              <w:t xml:space="preserve">receiving environments) in which the EGD-LMM will be released and spread. </w:t>
            </w:r>
          </w:p>
          <w:p w14:paraId="64CF2118" w14:textId="7CE25FF0" w:rsidR="00554C89" w:rsidRPr="000B71E5" w:rsidRDefault="00554C89" w:rsidP="00554C89">
            <w:pPr>
              <w:spacing w:before="120" w:after="240" w:line="276" w:lineRule="auto"/>
              <w:ind w:left="-20" w:right="-20"/>
              <w:jc w:val="both"/>
              <w:rPr>
                <w:rFonts w:asciiTheme="majorEastAsia" w:hAnsiTheme="majorEastAsia" w:cstheme="majorEastAsia"/>
                <w:color w:val="000000" w:themeColor="text1"/>
                <w:sz w:val="18"/>
                <w:szCs w:val="18"/>
              </w:rPr>
            </w:pPr>
            <w:r w:rsidRPr="000B71E5">
              <w:rPr>
                <w:rFonts w:asciiTheme="majorEastAsia" w:hAnsiTheme="majorEastAsia" w:cstheme="majorEastAsia"/>
                <w:color w:val="000000" w:themeColor="text1"/>
                <w:sz w:val="18"/>
                <w:szCs w:val="18"/>
              </w:rPr>
              <w:t>Challenges in the characterisation of EGD-LMM may arise due to knowledge gaps in the biology of the parental species such as, life cycle, reproductive strategies, population dynamics and their potential cross-compatible species. Access to information on the functional role of the target organism in the various ecosystems and the potential genetic and behavioural diversity of the target species may be limited.</w:t>
            </w:r>
          </w:p>
          <w:p w14:paraId="793581C3" w14:textId="18DF9400" w:rsidR="00554C89" w:rsidRPr="000B71E5" w:rsidRDefault="00554C89" w:rsidP="00554C89">
            <w:pPr>
              <w:spacing w:before="120" w:after="240" w:line="276" w:lineRule="auto"/>
              <w:ind w:left="-20" w:right="-20"/>
              <w:jc w:val="both"/>
              <w:rPr>
                <w:rFonts w:asciiTheme="majorEastAsia" w:hAnsiTheme="majorEastAsia" w:cstheme="majorEastAsia"/>
                <w:color w:val="000000" w:themeColor="text1"/>
                <w:sz w:val="18"/>
                <w:szCs w:val="18"/>
              </w:rPr>
            </w:pPr>
            <w:r w:rsidRPr="000B71E5">
              <w:rPr>
                <w:rFonts w:asciiTheme="majorEastAsia" w:hAnsiTheme="majorEastAsia" w:cstheme="majorEastAsia"/>
                <w:color w:val="000000" w:themeColor="text1"/>
                <w:sz w:val="18"/>
                <w:szCs w:val="18"/>
              </w:rPr>
              <w:t xml:space="preserve">Challenges in the characterisation of the </w:t>
            </w:r>
            <w:r w:rsidR="00103EB3">
              <w:rPr>
                <w:rFonts w:asciiTheme="majorEastAsia" w:hAnsiTheme="majorEastAsia" w:cstheme="majorEastAsia"/>
                <w:color w:val="000000" w:themeColor="text1"/>
                <w:sz w:val="18"/>
                <w:szCs w:val="18"/>
              </w:rPr>
              <w:t>likely</w:t>
            </w:r>
            <w:r w:rsidRPr="000B71E5">
              <w:rPr>
                <w:rFonts w:asciiTheme="majorEastAsia" w:hAnsiTheme="majorEastAsia" w:cstheme="majorEastAsia" w:hint="eastAsia"/>
                <w:color w:val="000000" w:themeColor="text1"/>
                <w:sz w:val="18"/>
                <w:szCs w:val="18"/>
              </w:rPr>
              <w:t xml:space="preserve"> </w:t>
            </w:r>
            <w:r w:rsidRPr="000B71E5">
              <w:rPr>
                <w:rFonts w:asciiTheme="majorEastAsia" w:hAnsiTheme="majorEastAsia" w:cstheme="majorEastAsia"/>
                <w:color w:val="000000" w:themeColor="text1"/>
                <w:sz w:val="18"/>
                <w:szCs w:val="18"/>
              </w:rPr>
              <w:t>potential receiving environments may arise due to their diversity, limited environmental and ecological data and knowledge gaps in ecological interactions of the EGD-LMM.</w:t>
            </w:r>
          </w:p>
          <w:p w14:paraId="14C01333" w14:textId="77777777" w:rsidR="00554C89" w:rsidRPr="000B71E5" w:rsidRDefault="00554C89" w:rsidP="00554C89">
            <w:pPr>
              <w:spacing w:before="120" w:after="240" w:line="276" w:lineRule="auto"/>
              <w:ind w:left="-20" w:right="-20"/>
              <w:jc w:val="both"/>
              <w:rPr>
                <w:rFonts w:asciiTheme="majorEastAsia" w:hAnsiTheme="majorEastAsia" w:cstheme="majorEastAsia"/>
                <w:color w:val="000000" w:themeColor="text1"/>
                <w:sz w:val="18"/>
                <w:szCs w:val="18"/>
              </w:rPr>
            </w:pPr>
            <w:r w:rsidRPr="000B71E5">
              <w:rPr>
                <w:rFonts w:asciiTheme="majorEastAsia" w:hAnsiTheme="majorEastAsia" w:cstheme="majorEastAsia"/>
                <w:color w:val="000000" w:themeColor="text1"/>
                <w:sz w:val="18"/>
                <w:szCs w:val="18"/>
              </w:rPr>
              <w:t>Examples of characteristics that may require further consideration on a case-by-case basis are given below.</w:t>
            </w:r>
          </w:p>
          <w:p w14:paraId="27AD3AA9" w14:textId="77777777" w:rsidR="00554C89" w:rsidRPr="000B71E5" w:rsidRDefault="00554C89" w:rsidP="00554C89">
            <w:pPr>
              <w:pStyle w:val="ListParagraph"/>
              <w:numPr>
                <w:ilvl w:val="0"/>
                <w:numId w:val="94"/>
              </w:numPr>
              <w:spacing w:after="240" w:line="276" w:lineRule="auto"/>
              <w:ind w:right="-20"/>
              <w:rPr>
                <w:rFonts w:asciiTheme="majorEastAsia" w:hAnsiTheme="majorEastAsia" w:cstheme="majorEastAsia"/>
                <w:color w:val="000000" w:themeColor="text1"/>
                <w:sz w:val="18"/>
                <w:szCs w:val="18"/>
                <w:u w:val="single"/>
                <w:lang w:val="en-GB"/>
              </w:rPr>
            </w:pPr>
            <w:r w:rsidRPr="000B71E5">
              <w:rPr>
                <w:rFonts w:asciiTheme="majorEastAsia" w:hAnsiTheme="majorEastAsia" w:cstheme="majorEastAsia"/>
                <w:color w:val="000000" w:themeColor="text1"/>
                <w:sz w:val="18"/>
                <w:szCs w:val="18"/>
                <w:lang w:val="en-GB"/>
              </w:rPr>
              <w:t>Characteristics of</w:t>
            </w:r>
            <w:r w:rsidRPr="000B71E5">
              <w:rPr>
                <w:rFonts w:asciiTheme="majorEastAsia" w:hAnsiTheme="majorEastAsia" w:cstheme="majorEastAsia"/>
                <w:color w:val="000000" w:themeColor="text1"/>
                <w:sz w:val="18"/>
                <w:szCs w:val="18"/>
                <w:u w:val="single"/>
                <w:lang w:val="en-GB"/>
              </w:rPr>
              <w:t xml:space="preserve"> </w:t>
            </w:r>
            <w:r w:rsidRPr="000B71E5">
              <w:rPr>
                <w:rFonts w:asciiTheme="majorEastAsia" w:hAnsiTheme="majorEastAsia" w:cstheme="majorEastAsia"/>
                <w:color w:val="000000" w:themeColor="text1"/>
                <w:sz w:val="18"/>
                <w:szCs w:val="18"/>
                <w:lang w:val="en-GB"/>
              </w:rPr>
              <w:t>the unmodified target mosquito and associated pathogen(s)</w:t>
            </w:r>
          </w:p>
          <w:p w14:paraId="3BB02289"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 xml:space="preserve">Biology, genetic diversity, species status (existence of a complex of species, species barriers, anatomy, physiology) and behaviour of the target mosquito population </w:t>
            </w:r>
          </w:p>
          <w:p w14:paraId="6F29C3FF"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 xml:space="preserve">Ecological niches occupied by a species at different stages of </w:t>
            </w:r>
            <w:proofErr w:type="gramStart"/>
            <w:r w:rsidRPr="000B71E5">
              <w:rPr>
                <w:rFonts w:asciiTheme="majorEastAsia" w:hAnsiTheme="majorEastAsia" w:cstheme="majorEastAsia"/>
                <w:color w:val="000000" w:themeColor="text1"/>
                <w:sz w:val="18"/>
                <w:szCs w:val="18"/>
                <w:lang w:val="en-GB"/>
              </w:rPr>
              <w:t>development</w:t>
            </w:r>
            <w:proofErr w:type="gramEnd"/>
          </w:p>
          <w:p w14:paraId="305112DC"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Species’ contribution to biodiversity, ecosystem functions and services, and food webs</w:t>
            </w:r>
          </w:p>
          <w:p w14:paraId="314D5A43"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Seasonal dynamics of the target mosquito population</w:t>
            </w:r>
          </w:p>
          <w:p w14:paraId="7F8C9C18"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 xml:space="preserve">Aquatic and terrestrial habitats </w:t>
            </w:r>
          </w:p>
          <w:p w14:paraId="504D4A2A"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Reproductive biology of target mosquito populations</w:t>
            </w:r>
          </w:p>
          <w:p w14:paraId="40231A6E"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Interactions with other organisms</w:t>
            </w:r>
          </w:p>
          <w:p w14:paraId="1DB9BA64"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Contribution of the target population to disease transmission</w:t>
            </w:r>
          </w:p>
          <w:p w14:paraId="79304C4A"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 xml:space="preserve">Biological (including genotypic and phenotypic) characteristics of the </w:t>
            </w:r>
            <w:proofErr w:type="gramStart"/>
            <w:r w:rsidRPr="000B71E5">
              <w:rPr>
                <w:rFonts w:asciiTheme="majorEastAsia" w:hAnsiTheme="majorEastAsia" w:cstheme="majorEastAsia"/>
                <w:color w:val="000000" w:themeColor="text1"/>
                <w:sz w:val="18"/>
                <w:szCs w:val="18"/>
                <w:lang w:val="en-GB"/>
              </w:rPr>
              <w:t>pathogen</w:t>
            </w:r>
            <w:proofErr w:type="gramEnd"/>
          </w:p>
          <w:p w14:paraId="4CEBBB67" w14:textId="76B51DF6"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 xml:space="preserve">Host-pathogen </w:t>
            </w:r>
            <w:proofErr w:type="gramStart"/>
            <w:r w:rsidRPr="000B71E5">
              <w:rPr>
                <w:rFonts w:asciiTheme="majorEastAsia" w:hAnsiTheme="majorEastAsia" w:cstheme="majorEastAsia"/>
                <w:color w:val="000000" w:themeColor="text1"/>
                <w:sz w:val="18"/>
                <w:szCs w:val="18"/>
                <w:lang w:val="en-GB"/>
              </w:rPr>
              <w:t>interactions</w:t>
            </w:r>
            <w:proofErr w:type="gramEnd"/>
          </w:p>
          <w:p w14:paraId="0A813676" w14:textId="77777777" w:rsidR="00554C89" w:rsidRPr="000B71E5" w:rsidRDefault="00554C89" w:rsidP="00554C89">
            <w:pPr>
              <w:pStyle w:val="ListParagraph"/>
              <w:numPr>
                <w:ilvl w:val="0"/>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Characteristics</w:t>
            </w:r>
            <w:r w:rsidRPr="00204D69">
              <w:rPr>
                <w:rFonts w:asciiTheme="majorEastAsia" w:hAnsiTheme="majorEastAsia" w:cstheme="majorEastAsia"/>
                <w:color w:val="000000" w:themeColor="text1"/>
                <w:sz w:val="18"/>
                <w:szCs w:val="18"/>
                <w:lang w:val="en-GB"/>
              </w:rPr>
              <w:t xml:space="preserve"> </w:t>
            </w:r>
            <w:r w:rsidRPr="000B71E5">
              <w:rPr>
                <w:rFonts w:asciiTheme="majorEastAsia" w:hAnsiTheme="majorEastAsia" w:cstheme="majorEastAsia"/>
                <w:color w:val="000000" w:themeColor="text1"/>
                <w:sz w:val="18"/>
                <w:szCs w:val="18"/>
                <w:lang w:val="en-GB"/>
              </w:rPr>
              <w:t>of the EGD-LMM and associated pathogen(s)</w:t>
            </w:r>
          </w:p>
          <w:p w14:paraId="1A1310C1"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 xml:space="preserve">Vector species and disease </w:t>
            </w:r>
            <w:proofErr w:type="gramStart"/>
            <w:r w:rsidRPr="000B71E5">
              <w:rPr>
                <w:rFonts w:asciiTheme="majorEastAsia" w:hAnsiTheme="majorEastAsia" w:cstheme="majorEastAsia"/>
                <w:color w:val="000000" w:themeColor="text1"/>
                <w:sz w:val="18"/>
                <w:szCs w:val="18"/>
                <w:lang w:val="en-GB"/>
              </w:rPr>
              <w:t>targeted</w:t>
            </w:r>
            <w:proofErr w:type="gramEnd"/>
          </w:p>
          <w:p w14:paraId="68768551"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Intended entomological objective (e.g., suppression or modification of the target mosquito populations)</w:t>
            </w:r>
          </w:p>
          <w:p w14:paraId="25E56006"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 xml:space="preserve">Degree of spread of the EGD in target mosquito populations, from localized </w:t>
            </w:r>
            <w:proofErr w:type="gramStart"/>
            <w:r w:rsidRPr="000B71E5">
              <w:rPr>
                <w:rFonts w:asciiTheme="majorEastAsia" w:hAnsiTheme="majorEastAsia" w:cstheme="majorEastAsia"/>
                <w:color w:val="000000" w:themeColor="text1"/>
                <w:sz w:val="18"/>
                <w:szCs w:val="18"/>
                <w:lang w:val="en-GB"/>
              </w:rPr>
              <w:t>to</w:t>
            </w:r>
            <w:proofErr w:type="gramEnd"/>
            <w:r w:rsidRPr="000B71E5">
              <w:rPr>
                <w:rFonts w:asciiTheme="majorEastAsia" w:hAnsiTheme="majorEastAsia" w:cstheme="majorEastAsia"/>
                <w:color w:val="000000" w:themeColor="text1"/>
                <w:sz w:val="18"/>
                <w:szCs w:val="18"/>
                <w:lang w:val="en-GB"/>
              </w:rPr>
              <w:t xml:space="preserve"> non-localized</w:t>
            </w:r>
          </w:p>
          <w:p w14:paraId="6BA199B9"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Degree of persistence of the EGD in target mosquito populations, from self-limiting to self-sustaining</w:t>
            </w:r>
          </w:p>
          <w:p w14:paraId="31933C5A"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 xml:space="preserve">Threshold ratio of EGD-LMMs to be released relative to wild mosquito target populations, from low to </w:t>
            </w:r>
            <w:proofErr w:type="gramStart"/>
            <w:r w:rsidRPr="000B71E5">
              <w:rPr>
                <w:rFonts w:asciiTheme="majorEastAsia" w:hAnsiTheme="majorEastAsia" w:cstheme="majorEastAsia"/>
                <w:color w:val="000000" w:themeColor="text1"/>
                <w:sz w:val="18"/>
                <w:szCs w:val="18"/>
                <w:lang w:val="en-GB"/>
              </w:rPr>
              <w:t>high</w:t>
            </w:r>
            <w:proofErr w:type="gramEnd"/>
          </w:p>
          <w:p w14:paraId="787F2321"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Molecular and biological mechanisms underpinning the EGD in the LMM, such as</w:t>
            </w:r>
          </w:p>
          <w:p w14:paraId="4073B268" w14:textId="77777777" w:rsidR="00554C89" w:rsidRPr="000B71E5" w:rsidRDefault="00554C89" w:rsidP="00554C89">
            <w:pPr>
              <w:pStyle w:val="ListParagraph"/>
              <w:numPr>
                <w:ilvl w:val="2"/>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Nature of the genomic target sequence (e.g., within a conserved domain)</w:t>
            </w:r>
          </w:p>
          <w:p w14:paraId="31901EB7" w14:textId="77777777" w:rsidR="00554C89" w:rsidRPr="000B71E5" w:rsidRDefault="00554C89" w:rsidP="00554C89">
            <w:pPr>
              <w:pStyle w:val="ListParagraph"/>
              <w:numPr>
                <w:ilvl w:val="2"/>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 xml:space="preserve">EGD and its design covering both the underlying mechanisms involved and their </w:t>
            </w:r>
            <w:proofErr w:type="gramStart"/>
            <w:r w:rsidRPr="000B71E5">
              <w:rPr>
                <w:rFonts w:asciiTheme="majorEastAsia" w:hAnsiTheme="majorEastAsia" w:cstheme="majorEastAsia"/>
                <w:color w:val="000000" w:themeColor="text1"/>
                <w:sz w:val="18"/>
                <w:szCs w:val="18"/>
                <w:lang w:val="en-GB"/>
              </w:rPr>
              <w:t>components</w:t>
            </w:r>
            <w:proofErr w:type="gramEnd"/>
          </w:p>
          <w:p w14:paraId="00F731A5" w14:textId="77777777" w:rsidR="00554C89" w:rsidRPr="000B71E5" w:rsidRDefault="00554C89" w:rsidP="00554C89">
            <w:pPr>
              <w:pStyle w:val="ListParagraph"/>
              <w:numPr>
                <w:ilvl w:val="2"/>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Stability and specificity of expression of the EGD system</w:t>
            </w:r>
          </w:p>
          <w:p w14:paraId="26382E48" w14:textId="77777777" w:rsidR="00554C89" w:rsidRPr="000B71E5" w:rsidRDefault="00554C89" w:rsidP="00554C89">
            <w:pPr>
              <w:pStyle w:val="ListParagraph"/>
              <w:numPr>
                <w:ilvl w:val="2"/>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 xml:space="preserve">Characteristics of any cargo/payload gene(s) linked to the EGD, and its/their </w:t>
            </w:r>
            <w:proofErr w:type="gramStart"/>
            <w:r w:rsidRPr="000B71E5">
              <w:rPr>
                <w:rFonts w:asciiTheme="majorEastAsia" w:hAnsiTheme="majorEastAsia" w:cstheme="majorEastAsia"/>
                <w:color w:val="000000" w:themeColor="text1"/>
                <w:sz w:val="18"/>
                <w:szCs w:val="18"/>
                <w:lang w:val="en-GB"/>
              </w:rPr>
              <w:t>function</w:t>
            </w:r>
            <w:proofErr w:type="gramEnd"/>
          </w:p>
          <w:p w14:paraId="5454417E" w14:textId="4BFBB3AA" w:rsidR="00554C89" w:rsidRPr="000B71E5" w:rsidRDefault="00554C89" w:rsidP="00554C89">
            <w:pPr>
              <w:pStyle w:val="ListParagraph"/>
              <w:numPr>
                <w:ilvl w:val="2"/>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 xml:space="preserve">Homing and/or transmission rate of EGD (e.g., efficiency of EGD </w:t>
            </w:r>
            <w:r w:rsidR="006B740E">
              <w:rPr>
                <w:rFonts w:asciiTheme="majorEastAsia" w:hAnsiTheme="majorEastAsia" w:cstheme="majorEastAsia"/>
                <w:color w:val="000000" w:themeColor="text1"/>
                <w:sz w:val="18"/>
                <w:szCs w:val="18"/>
                <w:lang w:val="en-GB"/>
              </w:rPr>
              <w:t>r</w:t>
            </w:r>
            <w:r w:rsidRPr="000B71E5">
              <w:rPr>
                <w:rFonts w:asciiTheme="majorEastAsia" w:hAnsiTheme="majorEastAsia" w:cstheme="majorEastAsia" w:hint="eastAsia"/>
                <w:color w:val="000000" w:themeColor="text1"/>
                <w:sz w:val="18"/>
                <w:szCs w:val="18"/>
                <w:lang w:val="en-GB"/>
              </w:rPr>
              <w:t>atio</w:t>
            </w:r>
            <w:r w:rsidRPr="000B71E5">
              <w:rPr>
                <w:rFonts w:asciiTheme="majorEastAsia" w:hAnsiTheme="majorEastAsia" w:cstheme="majorEastAsia"/>
                <w:color w:val="000000" w:themeColor="text1"/>
                <w:sz w:val="18"/>
                <w:szCs w:val="18"/>
                <w:lang w:val="en-GB"/>
              </w:rPr>
              <w:t xml:space="preserve"> of non-homologous end joining to homologous repair and cleavage efficiency of the target sequence)</w:t>
            </w:r>
          </w:p>
          <w:p w14:paraId="3F61731A"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Effects of the genetic modification on the biology (e.g., genotype, phenotype) of the EGD-LMM</w:t>
            </w:r>
          </w:p>
          <w:p w14:paraId="18897308"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lastRenderedPageBreak/>
              <w:t>Effects of the genetic modification on the pathogen, in terms of genotype and phenotype, in the EGD-LMM</w:t>
            </w:r>
          </w:p>
          <w:p w14:paraId="6C0EB16D" w14:textId="77777777"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Effects of the genetic background on the EGD, including in sibling species</w:t>
            </w:r>
          </w:p>
          <w:p w14:paraId="0AB9934B" w14:textId="1D945011" w:rsidR="00554C89" w:rsidRPr="000B71E5" w:rsidRDefault="00554C89" w:rsidP="00554C89">
            <w:pPr>
              <w:pStyle w:val="ListParagraph"/>
              <w:numPr>
                <w:ilvl w:val="0"/>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 xml:space="preserve">Characteristics of the </w:t>
            </w:r>
            <w:r w:rsidR="006B740E">
              <w:rPr>
                <w:rFonts w:asciiTheme="majorEastAsia" w:hAnsiTheme="majorEastAsia" w:cstheme="majorEastAsia"/>
                <w:color w:val="000000" w:themeColor="text1"/>
                <w:sz w:val="18"/>
                <w:szCs w:val="18"/>
                <w:lang w:val="en-GB"/>
              </w:rPr>
              <w:t>likely potential</w:t>
            </w:r>
            <w:r w:rsidR="00A95222">
              <w:rPr>
                <w:rFonts w:asciiTheme="majorEastAsia" w:hAnsiTheme="majorEastAsia" w:cstheme="majorEastAsia"/>
                <w:color w:val="000000" w:themeColor="text1"/>
                <w:sz w:val="18"/>
                <w:szCs w:val="18"/>
                <w:lang w:val="en-GB"/>
              </w:rPr>
              <w:t xml:space="preserve"> </w:t>
            </w:r>
            <w:r w:rsidRPr="000B71E5">
              <w:rPr>
                <w:rFonts w:asciiTheme="majorEastAsia" w:hAnsiTheme="majorEastAsia" w:cstheme="majorEastAsia" w:hint="eastAsia"/>
                <w:color w:val="000000" w:themeColor="text1"/>
                <w:sz w:val="18"/>
                <w:szCs w:val="18"/>
                <w:lang w:val="en-GB"/>
              </w:rPr>
              <w:t xml:space="preserve">receiving </w:t>
            </w:r>
            <w:r w:rsidRPr="000B71E5">
              <w:rPr>
                <w:rFonts w:asciiTheme="majorEastAsia" w:hAnsiTheme="majorEastAsia" w:cstheme="majorEastAsia"/>
                <w:color w:val="000000" w:themeColor="text1"/>
                <w:sz w:val="18"/>
                <w:szCs w:val="18"/>
                <w:lang w:val="en-GB"/>
              </w:rPr>
              <w:t xml:space="preserve">environments (including interactions between the EGD-LMM and its </w:t>
            </w:r>
            <w:r w:rsidR="00A95222">
              <w:rPr>
                <w:rFonts w:asciiTheme="majorEastAsia" w:hAnsiTheme="majorEastAsia" w:cstheme="majorEastAsia"/>
                <w:color w:val="000000" w:themeColor="text1"/>
                <w:sz w:val="18"/>
                <w:szCs w:val="18"/>
                <w:lang w:val="en-GB"/>
              </w:rPr>
              <w:t>likely potential</w:t>
            </w:r>
            <w:r w:rsidR="00A95222" w:rsidRPr="000B71E5">
              <w:rPr>
                <w:rFonts w:asciiTheme="majorEastAsia" w:hAnsiTheme="majorEastAsia" w:cstheme="majorEastAsia" w:hint="eastAsia"/>
                <w:color w:val="000000" w:themeColor="text1"/>
                <w:sz w:val="18"/>
                <w:szCs w:val="18"/>
                <w:lang w:val="en-GB"/>
              </w:rPr>
              <w:t xml:space="preserve"> </w:t>
            </w:r>
            <w:r w:rsidRPr="000B71E5">
              <w:rPr>
                <w:rFonts w:asciiTheme="majorEastAsia" w:hAnsiTheme="majorEastAsia" w:cstheme="majorEastAsia"/>
                <w:color w:val="000000" w:themeColor="text1"/>
                <w:sz w:val="18"/>
                <w:szCs w:val="18"/>
                <w:lang w:val="en-GB"/>
              </w:rPr>
              <w:t>receiving environment)</w:t>
            </w:r>
          </w:p>
          <w:p w14:paraId="0C545EEB" w14:textId="1E60EAC1"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 xml:space="preserve">Geographic, demographic, entomological, </w:t>
            </w:r>
            <w:proofErr w:type="gramStart"/>
            <w:r w:rsidRPr="000B71E5">
              <w:rPr>
                <w:rFonts w:asciiTheme="majorEastAsia" w:hAnsiTheme="majorEastAsia" w:cstheme="majorEastAsia"/>
                <w:color w:val="000000" w:themeColor="text1"/>
                <w:sz w:val="18"/>
                <w:szCs w:val="18"/>
                <w:lang w:val="en-GB"/>
              </w:rPr>
              <w:t>seasonal</w:t>
            </w:r>
            <w:proofErr w:type="gramEnd"/>
            <w:r w:rsidRPr="000B71E5">
              <w:rPr>
                <w:rFonts w:asciiTheme="majorEastAsia" w:hAnsiTheme="majorEastAsia" w:cstheme="majorEastAsia"/>
                <w:color w:val="000000" w:themeColor="text1"/>
                <w:sz w:val="18"/>
                <w:szCs w:val="18"/>
                <w:lang w:val="en-GB"/>
              </w:rPr>
              <w:t xml:space="preserve"> and climatic characteristics of the </w:t>
            </w:r>
            <w:r w:rsidR="00A95222">
              <w:rPr>
                <w:rFonts w:asciiTheme="majorEastAsia" w:hAnsiTheme="majorEastAsia" w:cstheme="majorEastAsia"/>
                <w:color w:val="000000" w:themeColor="text1"/>
                <w:sz w:val="18"/>
                <w:szCs w:val="18"/>
                <w:lang w:val="en-GB"/>
              </w:rPr>
              <w:t>likely potential</w:t>
            </w:r>
            <w:r w:rsidR="00A95222" w:rsidRPr="000B71E5">
              <w:rPr>
                <w:rFonts w:asciiTheme="majorEastAsia" w:hAnsiTheme="majorEastAsia" w:cstheme="majorEastAsia" w:hint="eastAsia"/>
                <w:color w:val="000000" w:themeColor="text1"/>
                <w:sz w:val="18"/>
                <w:szCs w:val="18"/>
                <w:lang w:val="en-GB"/>
              </w:rPr>
              <w:t xml:space="preserve"> </w:t>
            </w:r>
            <w:r w:rsidRPr="000B71E5">
              <w:rPr>
                <w:rFonts w:asciiTheme="majorEastAsia" w:hAnsiTheme="majorEastAsia" w:cstheme="majorEastAsia"/>
                <w:color w:val="000000" w:themeColor="text1"/>
                <w:sz w:val="18"/>
                <w:szCs w:val="18"/>
                <w:lang w:val="en-GB"/>
              </w:rPr>
              <w:t xml:space="preserve">receiving </w:t>
            </w:r>
            <w:r w:rsidRPr="000B71E5">
              <w:rPr>
                <w:rFonts w:asciiTheme="majorEastAsia" w:hAnsiTheme="majorEastAsia" w:cstheme="majorEastAsia" w:hint="eastAsia"/>
                <w:color w:val="000000" w:themeColor="text1"/>
                <w:sz w:val="18"/>
                <w:szCs w:val="18"/>
                <w:lang w:val="en-GB"/>
              </w:rPr>
              <w:t>environment</w:t>
            </w:r>
          </w:p>
          <w:p w14:paraId="1BCA1977" w14:textId="7E258805" w:rsidR="00554C89" w:rsidRPr="000B71E5" w:rsidRDefault="00554C89" w:rsidP="00554C89">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 xml:space="preserve">Effects of the </w:t>
            </w:r>
            <w:r w:rsidR="00A95222">
              <w:rPr>
                <w:rFonts w:asciiTheme="majorEastAsia" w:hAnsiTheme="majorEastAsia" w:cstheme="majorEastAsia"/>
                <w:color w:val="000000" w:themeColor="text1"/>
                <w:sz w:val="18"/>
                <w:szCs w:val="18"/>
                <w:lang w:val="en-GB"/>
              </w:rPr>
              <w:t>likely potential</w:t>
            </w:r>
            <w:r w:rsidR="00A95222" w:rsidRPr="000B71E5">
              <w:rPr>
                <w:rFonts w:asciiTheme="majorEastAsia" w:hAnsiTheme="majorEastAsia" w:cstheme="majorEastAsia" w:hint="eastAsia"/>
                <w:color w:val="000000" w:themeColor="text1"/>
                <w:sz w:val="18"/>
                <w:szCs w:val="18"/>
                <w:lang w:val="en-GB"/>
              </w:rPr>
              <w:t xml:space="preserve"> </w:t>
            </w:r>
            <w:r w:rsidRPr="000B71E5">
              <w:rPr>
                <w:rFonts w:asciiTheme="majorEastAsia" w:hAnsiTheme="majorEastAsia" w:cstheme="majorEastAsia"/>
                <w:color w:val="000000" w:themeColor="text1"/>
                <w:sz w:val="18"/>
                <w:szCs w:val="18"/>
                <w:lang w:val="en-GB"/>
              </w:rPr>
              <w:t xml:space="preserve">receiving </w:t>
            </w:r>
            <w:r w:rsidRPr="000B71E5">
              <w:rPr>
                <w:rFonts w:asciiTheme="majorEastAsia" w:hAnsiTheme="majorEastAsia" w:cstheme="majorEastAsia" w:hint="eastAsia"/>
                <w:color w:val="000000" w:themeColor="text1"/>
                <w:sz w:val="18"/>
                <w:szCs w:val="18"/>
                <w:lang w:val="en-GB"/>
              </w:rPr>
              <w:t>environment</w:t>
            </w:r>
            <w:r w:rsidRPr="000B71E5">
              <w:rPr>
                <w:rFonts w:asciiTheme="majorEastAsia" w:hAnsiTheme="majorEastAsia" w:cstheme="majorEastAsia"/>
                <w:color w:val="000000" w:themeColor="text1"/>
                <w:sz w:val="18"/>
                <w:szCs w:val="18"/>
                <w:lang w:val="en-GB"/>
              </w:rPr>
              <w:t xml:space="preserve"> (e.g., abiotic factors) on the EGD-LMM</w:t>
            </w:r>
          </w:p>
          <w:p w14:paraId="499E4812" w14:textId="2EC73C91" w:rsidR="00554C89" w:rsidRPr="000B71E5" w:rsidRDefault="00554C89" w:rsidP="009238FF">
            <w:pPr>
              <w:pStyle w:val="ListParagraph"/>
              <w:numPr>
                <w:ilvl w:val="1"/>
                <w:numId w:val="94"/>
              </w:numPr>
              <w:spacing w:after="240" w:line="276" w:lineRule="auto"/>
              <w:ind w:right="-20"/>
              <w:rPr>
                <w:rFonts w:asciiTheme="majorEastAsia" w:hAnsiTheme="majorEastAsia" w:cstheme="majorEastAsia"/>
                <w:color w:val="000000" w:themeColor="text1"/>
                <w:sz w:val="18"/>
                <w:szCs w:val="18"/>
                <w:lang w:val="en-GB"/>
              </w:rPr>
            </w:pPr>
            <w:r w:rsidRPr="000B71E5">
              <w:rPr>
                <w:rFonts w:asciiTheme="majorEastAsia" w:hAnsiTheme="majorEastAsia" w:cstheme="majorEastAsia"/>
                <w:color w:val="000000" w:themeColor="text1"/>
                <w:sz w:val="18"/>
                <w:szCs w:val="18"/>
                <w:lang w:val="en-GB"/>
              </w:rPr>
              <w:t>Effects of the genetic modification on interactions with the target and non-target pathogens</w:t>
            </w:r>
          </w:p>
        </w:tc>
      </w:tr>
    </w:tbl>
    <w:p w14:paraId="664FF88E" w14:textId="77777777" w:rsidR="00F83E6A" w:rsidRPr="00F83E6A" w:rsidRDefault="00F83E6A" w:rsidP="00212686">
      <w:pPr>
        <w:spacing w:line="276" w:lineRule="auto"/>
        <w:jc w:val="both"/>
        <w:rPr>
          <w:rFonts w:ascii="Times New Roman" w:hAnsi="Times New Roman" w:cs="Times New Roman"/>
          <w:color w:val="000000" w:themeColor="text1"/>
        </w:rPr>
      </w:pPr>
    </w:p>
    <w:tbl>
      <w:tblPr>
        <w:tblStyle w:val="TableGrid"/>
        <w:tblW w:w="0" w:type="auto"/>
        <w:tblLook w:val="04A0" w:firstRow="1" w:lastRow="0" w:firstColumn="1" w:lastColumn="0" w:noHBand="0" w:noVBand="1"/>
      </w:tblPr>
      <w:tblGrid>
        <w:gridCol w:w="9016"/>
      </w:tblGrid>
      <w:tr w:rsidR="00A36198" w14:paraId="493A8E22" w14:textId="77777777" w:rsidTr="007970E6">
        <w:trPr>
          <w:trHeight w:val="3950"/>
        </w:trPr>
        <w:tc>
          <w:tcPr>
            <w:tcW w:w="9016" w:type="dxa"/>
          </w:tcPr>
          <w:p w14:paraId="00C78676" w14:textId="071A9E72" w:rsidR="00A36198" w:rsidRPr="00091D71" w:rsidRDefault="00A36198" w:rsidP="00A36198">
            <w:pPr>
              <w:pStyle w:val="Heading3"/>
              <w:keepNext w:val="0"/>
              <w:spacing w:line="276" w:lineRule="auto"/>
              <w:rPr>
                <w:rFonts w:asciiTheme="majorEastAsia" w:hAnsiTheme="majorEastAsia" w:cstheme="majorEastAsia"/>
                <w:b/>
                <w:color w:val="000000" w:themeColor="text1"/>
              </w:rPr>
            </w:pPr>
            <w:bookmarkStart w:id="42" w:name="_Toc160798875"/>
            <w:bookmarkStart w:id="43" w:name="_Toc161220491"/>
            <w:bookmarkStart w:id="44" w:name="_Toc160721310"/>
            <w:bookmarkStart w:id="45" w:name="_Toc160721410"/>
            <w:r w:rsidRPr="00091D71">
              <w:rPr>
                <w:rFonts w:asciiTheme="majorEastAsia" w:hAnsiTheme="majorEastAsia" w:cstheme="majorEastAsia"/>
                <w:b/>
                <w:color w:val="000000" w:themeColor="text1"/>
              </w:rPr>
              <w:t>Mosquitoes:</w:t>
            </w:r>
            <w:bookmarkEnd w:id="42"/>
            <w:bookmarkEnd w:id="43"/>
            <w:r w:rsidR="00A95222">
              <w:rPr>
                <w:rFonts w:asciiTheme="majorEastAsia" w:hAnsiTheme="majorEastAsia" w:cstheme="majorEastAsia"/>
                <w:b/>
                <w:color w:val="000000" w:themeColor="text1"/>
              </w:rPr>
              <w:t xml:space="preserve"> </w:t>
            </w:r>
          </w:p>
          <w:p w14:paraId="5772B03A" w14:textId="0B957C20" w:rsidR="00A36198" w:rsidRPr="00091D71" w:rsidRDefault="00A36198" w:rsidP="00A36198">
            <w:pPr>
              <w:pStyle w:val="Heading3"/>
              <w:spacing w:line="276" w:lineRule="auto"/>
              <w:rPr>
                <w:rFonts w:asciiTheme="majorEastAsia" w:hAnsiTheme="majorEastAsia" w:cstheme="majorEastAsia"/>
                <w:b/>
                <w:color w:val="000000" w:themeColor="text1"/>
              </w:rPr>
            </w:pPr>
            <w:bookmarkStart w:id="46" w:name="_Toc160798876"/>
            <w:bookmarkStart w:id="47" w:name="_Toc161220492"/>
            <w:r w:rsidRPr="00091D71">
              <w:rPr>
                <w:rFonts w:asciiTheme="majorEastAsia" w:hAnsiTheme="majorEastAsia" w:cstheme="majorEastAsia"/>
                <w:b/>
                <w:color w:val="000000" w:themeColor="text1"/>
              </w:rPr>
              <w:t xml:space="preserve">Postulated adverse effects of living modified mosquitoes containing engineered gene </w:t>
            </w:r>
            <w:proofErr w:type="gramStart"/>
            <w:r w:rsidRPr="00091D71">
              <w:rPr>
                <w:rFonts w:asciiTheme="majorEastAsia" w:hAnsiTheme="majorEastAsia" w:cstheme="majorEastAsia"/>
                <w:b/>
                <w:color w:val="000000" w:themeColor="text1"/>
              </w:rPr>
              <w:t>drives</w:t>
            </w:r>
            <w:bookmarkEnd w:id="44"/>
            <w:bookmarkEnd w:id="45"/>
            <w:bookmarkEnd w:id="46"/>
            <w:bookmarkEnd w:id="47"/>
            <w:proofErr w:type="gramEnd"/>
          </w:p>
          <w:p w14:paraId="65DF75AA" w14:textId="5D2092E8" w:rsidR="00A36198" w:rsidRPr="000B71E5" w:rsidRDefault="00A36198" w:rsidP="00A36198">
            <w:pPr>
              <w:pStyle w:val="Default"/>
              <w:spacing w:line="276" w:lineRule="auto"/>
              <w:rPr>
                <w:rFonts w:asciiTheme="majorEastAsia" w:hAnsiTheme="majorEastAsia" w:cstheme="majorEastAsia"/>
                <w:color w:val="000000" w:themeColor="text1"/>
                <w:sz w:val="18"/>
                <w:szCs w:val="18"/>
              </w:rPr>
            </w:pPr>
            <w:r w:rsidRPr="000B71E5">
              <w:rPr>
                <w:rFonts w:asciiTheme="majorEastAsia" w:hAnsiTheme="majorEastAsia" w:cstheme="majorEastAsia" w:hint="eastAsia"/>
                <w:color w:val="000000" w:themeColor="text1"/>
                <w:sz w:val="18"/>
                <w:szCs w:val="18"/>
              </w:rPr>
              <w:t xml:space="preserve">Several publications have previously postulated adverse effects on broad protection goals (such as </w:t>
            </w:r>
            <w:r w:rsidR="00956940">
              <w:rPr>
                <w:rFonts w:asciiTheme="majorEastAsia" w:hAnsiTheme="majorEastAsia" w:cstheme="majorEastAsia"/>
                <w:color w:val="000000" w:themeColor="text1"/>
                <w:sz w:val="18"/>
                <w:szCs w:val="18"/>
              </w:rPr>
              <w:t>the environment, and</w:t>
            </w:r>
            <w:r w:rsidRPr="000B71E5">
              <w:rPr>
                <w:rFonts w:asciiTheme="majorEastAsia" w:hAnsiTheme="majorEastAsia" w:cstheme="majorEastAsia" w:hint="eastAsia"/>
                <w:color w:val="000000" w:themeColor="text1"/>
                <w:sz w:val="18"/>
                <w:szCs w:val="18"/>
              </w:rPr>
              <w:t xml:space="preserve"> human and animal health) associated with the intentional release of the EGD-LMMs (e.g., EFSA, 2013; </w:t>
            </w:r>
            <w:r w:rsidRPr="00204D69">
              <w:rPr>
                <w:rFonts w:asciiTheme="majorEastAsia" w:hAnsiTheme="majorEastAsia" w:cstheme="majorEastAsia" w:hint="eastAsia"/>
                <w:color w:val="000000" w:themeColor="text1"/>
                <w:sz w:val="18"/>
                <w:szCs w:val="18"/>
              </w:rPr>
              <w:t xml:space="preserve">NASEM, </w:t>
            </w:r>
            <w:r w:rsidRPr="003C0C6C">
              <w:rPr>
                <w:rFonts w:asciiTheme="majorEastAsia" w:hAnsiTheme="majorEastAsia" w:cstheme="majorEastAsia" w:hint="eastAsia"/>
                <w:color w:val="000000" w:themeColor="text1"/>
                <w:sz w:val="18"/>
                <w:szCs w:val="18"/>
              </w:rPr>
              <w:t>2016; Roberts and others, 2017</w:t>
            </w:r>
            <w:r w:rsidR="003C0C6C" w:rsidRPr="003C0C6C">
              <w:rPr>
                <w:rFonts w:asciiTheme="majorEastAsia" w:hAnsiTheme="majorEastAsia" w:cstheme="majorEastAsia"/>
                <w:color w:val="000000" w:themeColor="text1"/>
                <w:sz w:val="18"/>
                <w:szCs w:val="18"/>
              </w:rPr>
              <w:t>a</w:t>
            </w:r>
            <w:r w:rsidRPr="003C0C6C">
              <w:rPr>
                <w:rFonts w:asciiTheme="majorEastAsia" w:hAnsiTheme="majorEastAsia" w:cstheme="majorEastAsia" w:hint="eastAsia"/>
                <w:color w:val="000000" w:themeColor="text1"/>
                <w:sz w:val="18"/>
                <w:szCs w:val="18"/>
              </w:rPr>
              <w:t>; James</w:t>
            </w:r>
            <w:r w:rsidRPr="00204D69">
              <w:rPr>
                <w:rFonts w:asciiTheme="majorEastAsia" w:hAnsiTheme="majorEastAsia" w:cstheme="majorEastAsia" w:hint="eastAsia"/>
                <w:color w:val="000000" w:themeColor="text1"/>
                <w:sz w:val="18"/>
                <w:szCs w:val="18"/>
              </w:rPr>
              <w:t xml:space="preserve"> and others, 2018, 2020</w:t>
            </w:r>
            <w:r w:rsidRPr="000B71E5">
              <w:rPr>
                <w:rFonts w:asciiTheme="majorEastAsia" w:hAnsiTheme="majorEastAsia" w:cstheme="majorEastAsia" w:hint="eastAsia"/>
                <w:color w:val="000000" w:themeColor="text1"/>
                <w:sz w:val="18"/>
                <w:szCs w:val="18"/>
              </w:rPr>
              <w:t xml:space="preserve">; </w:t>
            </w:r>
            <w:r w:rsidRPr="00204D69">
              <w:rPr>
                <w:rFonts w:asciiTheme="majorEastAsia" w:hAnsiTheme="majorEastAsia" w:cstheme="majorEastAsia" w:hint="eastAsia"/>
                <w:color w:val="000000" w:themeColor="text1"/>
                <w:sz w:val="18"/>
                <w:szCs w:val="18"/>
              </w:rPr>
              <w:t>Collins and others, 2019</w:t>
            </w:r>
            <w:r w:rsidRPr="000B71E5">
              <w:rPr>
                <w:rFonts w:asciiTheme="majorEastAsia" w:hAnsiTheme="majorEastAsia" w:cstheme="majorEastAsia" w:hint="eastAsia"/>
                <w:color w:val="000000" w:themeColor="text1"/>
                <w:sz w:val="18"/>
                <w:szCs w:val="18"/>
              </w:rPr>
              <w:t xml:space="preserve">; </w:t>
            </w:r>
            <w:r w:rsidRPr="00204D69">
              <w:rPr>
                <w:rFonts w:asciiTheme="majorEastAsia" w:hAnsiTheme="majorEastAsia" w:cstheme="majorEastAsia" w:hint="eastAsia"/>
                <w:color w:val="000000" w:themeColor="text1"/>
                <w:sz w:val="18"/>
                <w:szCs w:val="18"/>
              </w:rPr>
              <w:t>CSS–ENSSER–VDW, 2019</w:t>
            </w:r>
            <w:r w:rsidRPr="000B71E5">
              <w:rPr>
                <w:rFonts w:asciiTheme="majorEastAsia" w:hAnsiTheme="majorEastAsia" w:cstheme="majorEastAsia" w:hint="eastAsia"/>
                <w:color w:val="000000" w:themeColor="text1"/>
                <w:sz w:val="18"/>
                <w:szCs w:val="18"/>
              </w:rPr>
              <w:t xml:space="preserve">; </w:t>
            </w:r>
            <w:r w:rsidRPr="00204D69">
              <w:rPr>
                <w:rFonts w:asciiTheme="majorEastAsia" w:hAnsiTheme="majorEastAsia" w:cstheme="majorEastAsia" w:hint="eastAsia"/>
                <w:color w:val="000000" w:themeColor="text1"/>
                <w:sz w:val="18"/>
                <w:szCs w:val="18"/>
              </w:rPr>
              <w:t>Rode and others, 2019</w:t>
            </w:r>
            <w:r w:rsidRPr="000B71E5">
              <w:rPr>
                <w:rFonts w:asciiTheme="majorEastAsia" w:hAnsiTheme="majorEastAsia" w:cstheme="majorEastAsia" w:hint="eastAsia"/>
                <w:color w:val="000000" w:themeColor="text1"/>
                <w:sz w:val="18"/>
                <w:szCs w:val="18"/>
              </w:rPr>
              <w:t xml:space="preserve">; </w:t>
            </w:r>
            <w:r w:rsidRPr="00204D69">
              <w:rPr>
                <w:rFonts w:asciiTheme="majorEastAsia" w:hAnsiTheme="majorEastAsia" w:cstheme="majorEastAsia" w:hint="eastAsia"/>
                <w:color w:val="000000" w:themeColor="text1"/>
                <w:sz w:val="18"/>
                <w:szCs w:val="18"/>
              </w:rPr>
              <w:t>Teem and others, 2019</w:t>
            </w:r>
            <w:r w:rsidRPr="000B71E5">
              <w:rPr>
                <w:rFonts w:asciiTheme="majorEastAsia" w:hAnsiTheme="majorEastAsia" w:cstheme="majorEastAsia" w:hint="eastAsia"/>
                <w:color w:val="000000" w:themeColor="text1"/>
                <w:sz w:val="18"/>
                <w:szCs w:val="18"/>
              </w:rPr>
              <w:t xml:space="preserve">; </w:t>
            </w:r>
            <w:r w:rsidRPr="00204D69">
              <w:rPr>
                <w:rFonts w:asciiTheme="majorEastAsia" w:hAnsiTheme="majorEastAsia" w:cstheme="majorEastAsia" w:hint="eastAsia"/>
                <w:color w:val="000000" w:themeColor="text1"/>
                <w:sz w:val="18"/>
                <w:szCs w:val="18"/>
              </w:rPr>
              <w:t>Dolezel and others, 2020</w:t>
            </w:r>
            <w:r w:rsidRPr="000B71E5">
              <w:rPr>
                <w:rFonts w:asciiTheme="majorEastAsia" w:hAnsiTheme="majorEastAsia" w:cstheme="majorEastAsia" w:hint="eastAsia"/>
                <w:color w:val="000000" w:themeColor="text1"/>
                <w:sz w:val="18"/>
                <w:szCs w:val="18"/>
              </w:rPr>
              <w:t xml:space="preserve">; </w:t>
            </w:r>
            <w:r w:rsidRPr="00204D69">
              <w:rPr>
                <w:rFonts w:asciiTheme="majorEastAsia" w:hAnsiTheme="majorEastAsia" w:cstheme="majorEastAsia" w:hint="eastAsia"/>
                <w:color w:val="000000" w:themeColor="text1"/>
                <w:sz w:val="18"/>
                <w:szCs w:val="18"/>
              </w:rPr>
              <w:t xml:space="preserve">Smets and </w:t>
            </w:r>
            <w:proofErr w:type="spellStart"/>
            <w:r w:rsidRPr="00204D69">
              <w:rPr>
                <w:rFonts w:asciiTheme="majorEastAsia" w:hAnsiTheme="majorEastAsia" w:cstheme="majorEastAsia" w:hint="eastAsia"/>
                <w:color w:val="000000" w:themeColor="text1"/>
                <w:sz w:val="18"/>
                <w:szCs w:val="18"/>
              </w:rPr>
              <w:t>Rüdelsheim</w:t>
            </w:r>
            <w:proofErr w:type="spellEnd"/>
            <w:r w:rsidRPr="00204D69">
              <w:rPr>
                <w:rFonts w:asciiTheme="majorEastAsia" w:hAnsiTheme="majorEastAsia" w:cstheme="majorEastAsia" w:hint="eastAsia"/>
                <w:color w:val="000000" w:themeColor="text1"/>
                <w:sz w:val="18"/>
                <w:szCs w:val="18"/>
              </w:rPr>
              <w:t>, 2020;</w:t>
            </w:r>
            <w:r w:rsidRPr="000B71E5">
              <w:rPr>
                <w:rFonts w:asciiTheme="majorEastAsia" w:hAnsiTheme="majorEastAsia" w:cstheme="majorEastAsia" w:hint="eastAsia"/>
                <w:color w:val="000000" w:themeColor="text1"/>
                <w:sz w:val="18"/>
                <w:szCs w:val="18"/>
              </w:rPr>
              <w:t xml:space="preserve"> </w:t>
            </w:r>
            <w:r w:rsidRPr="00204D69">
              <w:rPr>
                <w:rFonts w:asciiTheme="majorEastAsia" w:hAnsiTheme="majorEastAsia" w:cstheme="majorEastAsia" w:hint="eastAsia"/>
                <w:color w:val="000000" w:themeColor="text1"/>
                <w:sz w:val="18"/>
                <w:szCs w:val="18"/>
              </w:rPr>
              <w:t xml:space="preserve">Then and others, </w:t>
            </w:r>
            <w:r w:rsidRPr="0025616C">
              <w:rPr>
                <w:rFonts w:asciiTheme="majorEastAsia" w:hAnsiTheme="majorEastAsia" w:cstheme="majorEastAsia" w:hint="eastAsia"/>
                <w:color w:val="000000" w:themeColor="text1"/>
                <w:sz w:val="18"/>
                <w:szCs w:val="18"/>
              </w:rPr>
              <w:t>2020a,b; EFSA, 202</w:t>
            </w:r>
            <w:r w:rsidR="0025616C" w:rsidRPr="0025616C">
              <w:rPr>
                <w:rFonts w:asciiTheme="majorEastAsia" w:hAnsiTheme="majorEastAsia" w:cstheme="majorEastAsia"/>
                <w:color w:val="000000" w:themeColor="text1"/>
                <w:sz w:val="18"/>
                <w:szCs w:val="18"/>
              </w:rPr>
              <w:t>0</w:t>
            </w:r>
            <w:r w:rsidRPr="0025616C">
              <w:rPr>
                <w:rFonts w:asciiTheme="majorEastAsia" w:hAnsiTheme="majorEastAsia" w:cstheme="majorEastAsia" w:hint="eastAsia"/>
                <w:color w:val="000000" w:themeColor="text1"/>
                <w:sz w:val="18"/>
                <w:szCs w:val="18"/>
              </w:rPr>
              <w:t>; WHO, 2021</w:t>
            </w:r>
            <w:r w:rsidR="00E25734">
              <w:rPr>
                <w:rFonts w:asciiTheme="majorEastAsia" w:hAnsiTheme="majorEastAsia" w:cstheme="majorEastAsia"/>
                <w:color w:val="000000" w:themeColor="text1"/>
                <w:sz w:val="18"/>
                <w:szCs w:val="18"/>
              </w:rPr>
              <w:t>b</w:t>
            </w:r>
            <w:r w:rsidRPr="0025616C">
              <w:rPr>
                <w:rFonts w:asciiTheme="majorEastAsia" w:hAnsiTheme="majorEastAsia" w:cstheme="majorEastAsia" w:hint="eastAsia"/>
                <w:color w:val="000000" w:themeColor="text1"/>
                <w:sz w:val="18"/>
                <w:szCs w:val="18"/>
              </w:rPr>
              <w:t>).</w:t>
            </w:r>
            <w:r w:rsidRPr="000B71E5">
              <w:rPr>
                <w:rFonts w:asciiTheme="majorEastAsia" w:hAnsiTheme="majorEastAsia" w:cstheme="majorEastAsia" w:hint="eastAsia"/>
                <w:color w:val="000000" w:themeColor="text1"/>
                <w:sz w:val="18"/>
                <w:szCs w:val="18"/>
              </w:rPr>
              <w:t xml:space="preserve"> Some of these previously postulated adverse effects to human and animal health and the environment associated with the intentional release of EGD-LMMs are summarized below. </w:t>
            </w:r>
          </w:p>
          <w:p w14:paraId="48B1D75E" w14:textId="0B37FD62" w:rsidR="00A36198" w:rsidRPr="000B71E5" w:rsidRDefault="00A36198" w:rsidP="00A36198">
            <w:pPr>
              <w:pStyle w:val="Default"/>
              <w:spacing w:after="0" w:line="276" w:lineRule="auto"/>
              <w:rPr>
                <w:rFonts w:asciiTheme="majorEastAsia" w:hAnsiTheme="majorEastAsia" w:cstheme="majorEastAsia"/>
                <w:color w:val="000000" w:themeColor="text1"/>
                <w:sz w:val="18"/>
                <w:szCs w:val="18"/>
              </w:rPr>
            </w:pPr>
            <w:r w:rsidRPr="000B71E5">
              <w:rPr>
                <w:rFonts w:asciiTheme="majorEastAsia" w:hAnsiTheme="majorEastAsia" w:cstheme="majorEastAsia" w:hint="eastAsia"/>
                <w:color w:val="000000" w:themeColor="text1"/>
                <w:sz w:val="18"/>
                <w:szCs w:val="18"/>
              </w:rPr>
              <w:t xml:space="preserve">The identification of adverse effects is inevitably hypothetical to some extent, as no EGD-LMM application has been submitted for regulatory approval in any jurisdiction globally </w:t>
            </w:r>
            <w:r w:rsidR="00723A7A">
              <w:rPr>
                <w:rFonts w:asciiTheme="majorEastAsia" w:hAnsiTheme="majorEastAsia" w:cstheme="majorEastAsia"/>
                <w:color w:val="000000" w:themeColor="text1"/>
                <w:sz w:val="18"/>
                <w:szCs w:val="18"/>
              </w:rPr>
              <w:t>as of February 2024</w:t>
            </w:r>
            <w:r w:rsidRPr="000B71E5">
              <w:rPr>
                <w:rFonts w:asciiTheme="majorEastAsia" w:hAnsiTheme="majorEastAsia" w:cstheme="majorEastAsia" w:hint="eastAsia"/>
                <w:color w:val="000000" w:themeColor="text1"/>
                <w:sz w:val="18"/>
                <w:szCs w:val="18"/>
              </w:rPr>
              <w:t xml:space="preserve">. </w:t>
            </w:r>
          </w:p>
          <w:p w14:paraId="69A01E77" w14:textId="77777777" w:rsidR="00A36198" w:rsidRPr="000B71E5" w:rsidRDefault="00A36198" w:rsidP="00A36198">
            <w:pPr>
              <w:pStyle w:val="Default"/>
              <w:numPr>
                <w:ilvl w:val="0"/>
                <w:numId w:val="101"/>
              </w:numPr>
              <w:spacing w:after="0" w:line="276" w:lineRule="auto"/>
              <w:rPr>
                <w:rFonts w:asciiTheme="majorEastAsia" w:hAnsiTheme="majorEastAsia" w:cstheme="majorEastAsia"/>
                <w:b/>
                <w:color w:val="000000" w:themeColor="text1"/>
                <w:sz w:val="18"/>
                <w:szCs w:val="18"/>
              </w:rPr>
            </w:pPr>
            <w:r w:rsidRPr="000B71E5">
              <w:rPr>
                <w:rFonts w:asciiTheme="majorEastAsia" w:hAnsiTheme="majorEastAsia" w:cstheme="majorEastAsia"/>
                <w:b/>
                <w:color w:val="000000" w:themeColor="text1"/>
                <w:sz w:val="18"/>
                <w:szCs w:val="18"/>
              </w:rPr>
              <w:t>Postulated adverse effects to human and animal health include:</w:t>
            </w:r>
          </w:p>
          <w:p w14:paraId="3EBDBBF5" w14:textId="77777777" w:rsidR="00A36198" w:rsidRPr="000B71E5" w:rsidRDefault="00A36198" w:rsidP="00A36198">
            <w:pPr>
              <w:pStyle w:val="ListParagraph"/>
              <w:numPr>
                <w:ilvl w:val="0"/>
                <w:numId w:val="45"/>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Increased disease transmission;</w:t>
            </w:r>
          </w:p>
          <w:p w14:paraId="0FE08218" w14:textId="77777777" w:rsidR="00A36198" w:rsidRPr="000B71E5" w:rsidRDefault="00A36198" w:rsidP="00A36198">
            <w:pPr>
              <w:pStyle w:val="ListParagraph"/>
              <w:numPr>
                <w:ilvl w:val="1"/>
                <w:numId w:val="45"/>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Increased abundance of disease-transmitting mosquitoes;</w:t>
            </w:r>
          </w:p>
          <w:p w14:paraId="32EB8F43" w14:textId="43977967" w:rsidR="00A36198" w:rsidRPr="000B71E5" w:rsidRDefault="00A36198" w:rsidP="00A36198">
            <w:pPr>
              <w:pStyle w:val="ListParagraph"/>
              <w:numPr>
                <w:ilvl w:val="1"/>
                <w:numId w:val="45"/>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Increased competence for transmission of the pathogen or other vector-borne pathogens and thus the prevalence of other mosquito-transmitted diseases;</w:t>
            </w:r>
            <w:r w:rsidR="00B92AF2">
              <w:rPr>
                <w:rFonts w:asciiTheme="majorEastAsia" w:hAnsiTheme="majorEastAsia" w:cstheme="majorEastAsia"/>
                <w:sz w:val="18"/>
                <w:szCs w:val="18"/>
              </w:rPr>
              <w:t xml:space="preserve"> </w:t>
            </w:r>
          </w:p>
          <w:p w14:paraId="11E3CE31" w14:textId="77777777" w:rsidR="00A36198" w:rsidRPr="000B71E5" w:rsidRDefault="00A36198" w:rsidP="00A36198">
            <w:pPr>
              <w:pStyle w:val="ListParagraph"/>
              <w:numPr>
                <w:ilvl w:val="1"/>
                <w:numId w:val="45"/>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 xml:space="preserve">Altered mating, host seeking, or feeding </w:t>
            </w:r>
            <w:proofErr w:type="spellStart"/>
            <w:r w:rsidRPr="000B71E5">
              <w:rPr>
                <w:rFonts w:asciiTheme="majorEastAsia" w:hAnsiTheme="majorEastAsia" w:cstheme="majorEastAsia" w:hint="eastAsia"/>
                <w:sz w:val="18"/>
                <w:szCs w:val="18"/>
              </w:rPr>
              <w:t>behaviours</w:t>
            </w:r>
            <w:proofErr w:type="spellEnd"/>
            <w:r w:rsidRPr="000B71E5">
              <w:rPr>
                <w:rFonts w:asciiTheme="majorEastAsia" w:hAnsiTheme="majorEastAsia" w:cstheme="majorEastAsia" w:hint="eastAsia"/>
                <w:sz w:val="18"/>
                <w:szCs w:val="18"/>
              </w:rPr>
              <w:t>, or geographic range (broader temperature tolerance) of disease-transmitting mosquitoes;</w:t>
            </w:r>
          </w:p>
          <w:p w14:paraId="6B69E0E6" w14:textId="77777777" w:rsidR="00A36198" w:rsidRPr="000B71E5" w:rsidRDefault="00A36198" w:rsidP="00A36198">
            <w:pPr>
              <w:pStyle w:val="ListParagraph"/>
              <w:numPr>
                <w:ilvl w:val="1"/>
                <w:numId w:val="45"/>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Reduced capability to control the target species by conventional methods;</w:t>
            </w:r>
          </w:p>
          <w:p w14:paraId="57E5D31C" w14:textId="77777777" w:rsidR="00A36198" w:rsidRPr="000B71E5" w:rsidRDefault="00A36198" w:rsidP="00A36198">
            <w:pPr>
              <w:pStyle w:val="ListParagraph"/>
              <w:numPr>
                <w:ilvl w:val="0"/>
                <w:numId w:val="45"/>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Increased potential for resistance to evolve in the target organism;</w:t>
            </w:r>
          </w:p>
          <w:p w14:paraId="26E0C73E" w14:textId="77777777" w:rsidR="00A36198" w:rsidRPr="000B71E5" w:rsidRDefault="00A36198" w:rsidP="00A36198">
            <w:pPr>
              <w:pStyle w:val="ListParagraph"/>
              <w:numPr>
                <w:ilvl w:val="1"/>
                <w:numId w:val="45"/>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Reduced efficacy of the EGD-LMM in the target population(s);</w:t>
            </w:r>
          </w:p>
          <w:p w14:paraId="184868D9" w14:textId="77777777" w:rsidR="00A36198" w:rsidRPr="000B71E5" w:rsidRDefault="00A36198" w:rsidP="00A36198">
            <w:pPr>
              <w:pStyle w:val="ListParagraph"/>
              <w:numPr>
                <w:ilvl w:val="0"/>
                <w:numId w:val="45"/>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Increased toxicity and/or allergenicity;</w:t>
            </w:r>
          </w:p>
          <w:p w14:paraId="2CEAFFB6" w14:textId="77777777" w:rsidR="00A36198" w:rsidRPr="000B71E5" w:rsidRDefault="00A36198" w:rsidP="00A36198">
            <w:pPr>
              <w:pStyle w:val="ListParagraph"/>
              <w:numPr>
                <w:ilvl w:val="1"/>
                <w:numId w:val="45"/>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Transmission of toxic or allergenic substances (related to the components of an EGD) either directly by biting or indirectly by exposure from such substances released into the environment (e.g., incidental exposure through inhalation or ingestion); and</w:t>
            </w:r>
          </w:p>
          <w:p w14:paraId="4E60A968" w14:textId="77777777" w:rsidR="00A36198" w:rsidRPr="000B71E5" w:rsidRDefault="00A36198" w:rsidP="00A36198">
            <w:pPr>
              <w:pStyle w:val="ListParagraph"/>
              <w:numPr>
                <w:ilvl w:val="1"/>
                <w:numId w:val="45"/>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Increased pathogen virulence in case of population modification.</w:t>
            </w:r>
          </w:p>
          <w:p w14:paraId="6D4FCEC6" w14:textId="77777777" w:rsidR="00A36198" w:rsidRPr="000B71E5" w:rsidRDefault="00A36198" w:rsidP="00A36198">
            <w:pPr>
              <w:pStyle w:val="Default"/>
              <w:numPr>
                <w:ilvl w:val="0"/>
                <w:numId w:val="101"/>
              </w:numPr>
              <w:spacing w:after="0" w:line="276" w:lineRule="auto"/>
              <w:rPr>
                <w:rFonts w:asciiTheme="majorEastAsia" w:hAnsiTheme="majorEastAsia" w:cstheme="majorEastAsia"/>
                <w:b/>
                <w:color w:val="000000" w:themeColor="text1"/>
                <w:sz w:val="18"/>
                <w:szCs w:val="18"/>
              </w:rPr>
            </w:pPr>
            <w:r w:rsidRPr="000B71E5">
              <w:rPr>
                <w:rFonts w:asciiTheme="majorEastAsia" w:hAnsiTheme="majorEastAsia" w:cstheme="majorEastAsia"/>
                <w:b/>
                <w:color w:val="000000" w:themeColor="text1"/>
                <w:sz w:val="18"/>
                <w:szCs w:val="18"/>
              </w:rPr>
              <w:t xml:space="preserve">Postulated adverse effects to the environment (biodiversity, food webs, </w:t>
            </w:r>
            <w:proofErr w:type="gramStart"/>
            <w:r w:rsidRPr="000B71E5">
              <w:rPr>
                <w:rFonts w:asciiTheme="majorEastAsia" w:hAnsiTheme="majorEastAsia" w:cstheme="majorEastAsia"/>
                <w:b/>
                <w:color w:val="000000" w:themeColor="text1"/>
                <w:sz w:val="18"/>
                <w:szCs w:val="18"/>
              </w:rPr>
              <w:t>ecosystems</w:t>
            </w:r>
            <w:proofErr w:type="gramEnd"/>
            <w:r w:rsidRPr="000B71E5">
              <w:rPr>
                <w:rFonts w:asciiTheme="majorEastAsia" w:hAnsiTheme="majorEastAsia" w:cstheme="majorEastAsia"/>
                <w:b/>
                <w:color w:val="000000" w:themeColor="text1"/>
                <w:sz w:val="18"/>
                <w:szCs w:val="18"/>
              </w:rPr>
              <w:t xml:space="preserve"> and ecosystem services) include:</w:t>
            </w:r>
          </w:p>
          <w:p w14:paraId="29BC7386" w14:textId="77777777" w:rsidR="00A36198" w:rsidRPr="000B71E5" w:rsidRDefault="00A36198" w:rsidP="00A36198">
            <w:pPr>
              <w:pStyle w:val="ListParagraph"/>
              <w:numPr>
                <w:ilvl w:val="0"/>
                <w:numId w:val="46"/>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Increased persistence and invasiveness potential;</w:t>
            </w:r>
          </w:p>
          <w:p w14:paraId="3DA89D3E" w14:textId="77777777" w:rsidR="00A36198" w:rsidRPr="000B71E5" w:rsidRDefault="00A36198" w:rsidP="00A36198">
            <w:pPr>
              <w:pStyle w:val="ListParagraph"/>
              <w:numPr>
                <w:ilvl w:val="0"/>
                <w:numId w:val="58"/>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 xml:space="preserve">A competitive advantage of EGD-LMMs as compared to the wild type, causing increased persistence and </w:t>
            </w:r>
            <w:proofErr w:type="gramStart"/>
            <w:r w:rsidRPr="000B71E5">
              <w:rPr>
                <w:rFonts w:asciiTheme="majorEastAsia" w:hAnsiTheme="majorEastAsia" w:cstheme="majorEastAsia" w:hint="eastAsia"/>
                <w:sz w:val="18"/>
                <w:szCs w:val="18"/>
              </w:rPr>
              <w:t>invasiveness</w:t>
            </w:r>
            <w:proofErr w:type="gramEnd"/>
            <w:r w:rsidRPr="000B71E5">
              <w:rPr>
                <w:rFonts w:asciiTheme="majorEastAsia" w:hAnsiTheme="majorEastAsia" w:cstheme="majorEastAsia" w:hint="eastAsia"/>
                <w:sz w:val="18"/>
                <w:szCs w:val="18"/>
              </w:rPr>
              <w:t xml:space="preserve"> and leading to the displacement of other mosquito species;</w:t>
            </w:r>
          </w:p>
          <w:p w14:paraId="08A52AE5" w14:textId="77777777" w:rsidR="00A36198" w:rsidRPr="000B71E5" w:rsidRDefault="00A36198" w:rsidP="00A36198">
            <w:pPr>
              <w:pStyle w:val="ListParagraph"/>
              <w:numPr>
                <w:ilvl w:val="0"/>
                <w:numId w:val="46"/>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Increased potential for resistance to evolve in the target organism;</w:t>
            </w:r>
          </w:p>
          <w:p w14:paraId="436B3EBA" w14:textId="77777777" w:rsidR="00A36198" w:rsidRPr="000B71E5" w:rsidRDefault="00A36198" w:rsidP="00A36198">
            <w:pPr>
              <w:pStyle w:val="ListParagraph"/>
              <w:numPr>
                <w:ilvl w:val="0"/>
                <w:numId w:val="59"/>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Management responses to reduced efficacy of the EGD-LMM;</w:t>
            </w:r>
          </w:p>
          <w:p w14:paraId="04522D81" w14:textId="77777777" w:rsidR="00A36198" w:rsidRPr="000B71E5" w:rsidRDefault="00A36198" w:rsidP="00A36198">
            <w:pPr>
              <w:pStyle w:val="ListParagraph"/>
              <w:numPr>
                <w:ilvl w:val="0"/>
                <w:numId w:val="46"/>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Increased potential for vertical and horizontal gene transfer;</w:t>
            </w:r>
          </w:p>
          <w:p w14:paraId="5FA86FB9" w14:textId="77777777" w:rsidR="00A36198" w:rsidRPr="000B71E5" w:rsidRDefault="00A36198" w:rsidP="00A36198">
            <w:pPr>
              <w:pStyle w:val="ListParagraph"/>
              <w:numPr>
                <w:ilvl w:val="0"/>
                <w:numId w:val="60"/>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Spread of the genetic modification of interest to non-target organisms through vertical and horizontal gene transfer that results in harm to the wider ecosystem;</w:t>
            </w:r>
          </w:p>
          <w:p w14:paraId="5BD2FF72" w14:textId="77777777" w:rsidR="00A36198" w:rsidRPr="000B71E5" w:rsidRDefault="00A36198" w:rsidP="00A36198">
            <w:pPr>
              <w:pStyle w:val="ListParagraph"/>
              <w:numPr>
                <w:ilvl w:val="0"/>
                <w:numId w:val="46"/>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Increased toxicity;</w:t>
            </w:r>
          </w:p>
          <w:p w14:paraId="489EA031" w14:textId="77777777" w:rsidR="00A36198" w:rsidRPr="000B71E5" w:rsidRDefault="00A36198" w:rsidP="00A36198">
            <w:pPr>
              <w:pStyle w:val="ListParagraph"/>
              <w:numPr>
                <w:ilvl w:val="1"/>
                <w:numId w:val="61"/>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Transmission of substances (related to the components of an EGD) that are toxic to non-target organisms that consume the EGD-LMM;</w:t>
            </w:r>
          </w:p>
          <w:p w14:paraId="0874413C" w14:textId="77777777" w:rsidR="00A36198" w:rsidRPr="000B71E5" w:rsidRDefault="00A36198" w:rsidP="00A36198">
            <w:pPr>
              <w:pStyle w:val="ListParagraph"/>
              <w:numPr>
                <w:ilvl w:val="0"/>
                <w:numId w:val="46"/>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 xml:space="preserve">Adverse effects associated with the suppression of the target </w:t>
            </w:r>
            <w:proofErr w:type="gramStart"/>
            <w:r w:rsidRPr="000B71E5">
              <w:rPr>
                <w:rFonts w:asciiTheme="majorEastAsia" w:hAnsiTheme="majorEastAsia" w:cstheme="majorEastAsia" w:hint="eastAsia"/>
                <w:sz w:val="18"/>
                <w:szCs w:val="18"/>
              </w:rPr>
              <w:t>organism</w:t>
            </w:r>
            <w:proofErr w:type="gramEnd"/>
          </w:p>
          <w:p w14:paraId="6EF74E92" w14:textId="77777777" w:rsidR="00A36198" w:rsidRPr="000B71E5" w:rsidRDefault="00A36198" w:rsidP="00A36198">
            <w:pPr>
              <w:pStyle w:val="ListParagraph"/>
              <w:numPr>
                <w:ilvl w:val="0"/>
                <w:numId w:val="63"/>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Suppression of the target organism that serves as food source (e.g., prey) for non-target organisms (e.g., predator);</w:t>
            </w:r>
          </w:p>
          <w:p w14:paraId="208E2496" w14:textId="77777777" w:rsidR="00A36198" w:rsidRPr="000B71E5" w:rsidRDefault="00A36198" w:rsidP="00A36198">
            <w:pPr>
              <w:pStyle w:val="ListParagraph"/>
              <w:numPr>
                <w:ilvl w:val="0"/>
                <w:numId w:val="63"/>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lastRenderedPageBreak/>
              <w:t>Suppression of the target organism may harm non-target organisms that rely on the species for the delivery of ecosystem services (such as pollination, biological control, decomposition);</w:t>
            </w:r>
          </w:p>
          <w:p w14:paraId="081E578D" w14:textId="77777777" w:rsidR="00A36198" w:rsidRPr="000B71E5" w:rsidRDefault="00A36198" w:rsidP="00A36198">
            <w:pPr>
              <w:pStyle w:val="ListParagraph"/>
              <w:numPr>
                <w:ilvl w:val="0"/>
                <w:numId w:val="63"/>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Invasion of the ecological niche vacated by suppression of the target organism of other mosquito species (niche replacement);</w:t>
            </w:r>
          </w:p>
          <w:p w14:paraId="0F117386" w14:textId="77777777" w:rsidR="00A36198" w:rsidRPr="000B71E5" w:rsidRDefault="00A36198" w:rsidP="00A36198">
            <w:pPr>
              <w:pStyle w:val="ListParagraph"/>
              <w:numPr>
                <w:ilvl w:val="0"/>
                <w:numId w:val="46"/>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 xml:space="preserve">Decreased water </w:t>
            </w:r>
            <w:proofErr w:type="gramStart"/>
            <w:r w:rsidRPr="000B71E5">
              <w:rPr>
                <w:rFonts w:asciiTheme="majorEastAsia" w:hAnsiTheme="majorEastAsia" w:cstheme="majorEastAsia" w:hint="eastAsia"/>
                <w:sz w:val="18"/>
                <w:szCs w:val="18"/>
              </w:rPr>
              <w:t>quality</w:t>
            </w:r>
            <w:proofErr w:type="gramEnd"/>
          </w:p>
          <w:p w14:paraId="2B89911B" w14:textId="77777777" w:rsidR="00A36198" w:rsidRPr="000B71E5" w:rsidRDefault="00A36198" w:rsidP="00AA262E">
            <w:pPr>
              <w:pStyle w:val="ListParagraph"/>
              <w:numPr>
                <w:ilvl w:val="0"/>
                <w:numId w:val="108"/>
              </w:numPr>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Suppression of the target organism which results in reduced larval consumption of algae causing levels of algae to increase and their associated toxins produced from algal bloom. This is in turn could lead to adverse effects on non-target organisms in the aquatic habitat, and negative effects on water quality;</w:t>
            </w:r>
          </w:p>
          <w:p w14:paraId="57907FD7" w14:textId="77777777" w:rsidR="00A36198" w:rsidRPr="000B71E5" w:rsidRDefault="00A36198" w:rsidP="00A36198">
            <w:pPr>
              <w:pStyle w:val="ListParagraph"/>
              <w:numPr>
                <w:ilvl w:val="0"/>
                <w:numId w:val="46"/>
              </w:numPr>
              <w:spacing w:line="276" w:lineRule="auto"/>
              <w:rPr>
                <w:rFonts w:asciiTheme="majorEastAsia" w:hAnsiTheme="majorEastAsia" w:cstheme="majorEastAsia"/>
                <w:color w:val="000000" w:themeColor="text1"/>
                <w:sz w:val="18"/>
                <w:szCs w:val="18"/>
              </w:rPr>
            </w:pPr>
            <w:r w:rsidRPr="000B71E5">
              <w:rPr>
                <w:rFonts w:asciiTheme="majorEastAsia" w:hAnsiTheme="majorEastAsia" w:cstheme="majorEastAsia" w:hint="eastAsia"/>
                <w:color w:val="000000" w:themeColor="text1"/>
                <w:sz w:val="18"/>
                <w:szCs w:val="18"/>
              </w:rPr>
              <w:t>Decreased genetic diversity in target populations.</w:t>
            </w:r>
          </w:p>
          <w:p w14:paraId="1CD8EE4C" w14:textId="0142E0CE" w:rsidR="00A36198" w:rsidRPr="00A36198" w:rsidRDefault="00A36198" w:rsidP="00A36198">
            <w:pPr>
              <w:pStyle w:val="Default"/>
              <w:spacing w:line="276" w:lineRule="auto"/>
              <w:rPr>
                <w:rFonts w:asciiTheme="majorEastAsia" w:hAnsiTheme="majorEastAsia" w:cstheme="majorEastAsia"/>
                <w:sz w:val="18"/>
                <w:szCs w:val="18"/>
              </w:rPr>
            </w:pPr>
            <w:r w:rsidRPr="000B71E5">
              <w:rPr>
                <w:rFonts w:asciiTheme="majorEastAsia" w:hAnsiTheme="majorEastAsia" w:cstheme="majorEastAsia" w:hint="eastAsia"/>
                <w:color w:val="auto"/>
                <w:sz w:val="18"/>
                <w:szCs w:val="18"/>
              </w:rPr>
              <w:t xml:space="preserve">The abovementioned postulated adverse effects represent areas of concern for further consideration in the risk assessment. Any adverse effect will need to be identified on a case-by-case basis using the problem formulation approach and assessed as part of the risk characterization (i.e., testing of risk hypotheses) process. Wider environmental mediators are also known to impact vectorial capacity and could be considered, in the context of conservation and sustainable use of biological diversity, considering the EGD-LMM capacity for spread and persist over time and space. </w:t>
            </w:r>
          </w:p>
        </w:tc>
      </w:tr>
    </w:tbl>
    <w:p w14:paraId="6EC5239F" w14:textId="77777777" w:rsidR="00A36198" w:rsidRPr="00F83E6A" w:rsidRDefault="00A36198" w:rsidP="00212686">
      <w:pPr>
        <w:spacing w:line="276" w:lineRule="auto"/>
        <w:jc w:val="both"/>
        <w:rPr>
          <w:rFonts w:ascii="Times New Roman" w:hAnsi="Times New Roman" w:cs="Times New Roman"/>
          <w:color w:val="000000" w:themeColor="text1"/>
        </w:rPr>
      </w:pPr>
    </w:p>
    <w:p w14:paraId="01F3A38C" w14:textId="6E33A00B" w:rsidR="00DC2E53" w:rsidRPr="00CA0582" w:rsidRDefault="00DD7AFB" w:rsidP="00212686">
      <w:pPr>
        <w:pStyle w:val="Heading3"/>
        <w:spacing w:line="276" w:lineRule="auto"/>
        <w:rPr>
          <w:rFonts w:ascii="Times New Roman" w:hAnsi="Times New Roman" w:cs="Times New Roman"/>
          <w:b/>
          <w:bCs/>
          <w:color w:val="auto"/>
          <w:lang w:val="en-GB"/>
        </w:rPr>
      </w:pPr>
      <w:bookmarkStart w:id="48" w:name="_Toc12"/>
      <w:bookmarkStart w:id="49" w:name="_Toc161220493"/>
      <w:r w:rsidRPr="00CA0582">
        <w:rPr>
          <w:rFonts w:ascii="Times New Roman" w:hAnsi="Times New Roman" w:cs="Times New Roman"/>
          <w:b/>
          <w:bCs/>
          <w:color w:val="auto"/>
          <w:lang w:val="en-GB"/>
        </w:rPr>
        <w:t>4</w:t>
      </w:r>
      <w:r w:rsidR="005430B6" w:rsidRPr="00CA0582">
        <w:rPr>
          <w:rFonts w:ascii="Times New Roman" w:hAnsi="Times New Roman" w:cs="Times New Roman"/>
          <w:b/>
          <w:bCs/>
          <w:color w:val="auto"/>
          <w:lang w:val="en-GB"/>
        </w:rPr>
        <w:t>.1.3</w:t>
      </w:r>
      <w:r w:rsidR="00DA1916" w:rsidRPr="00CA0582">
        <w:rPr>
          <w:rFonts w:ascii="Times New Roman" w:hAnsi="Times New Roman" w:cs="Times New Roman"/>
          <w:b/>
          <w:bCs/>
          <w:color w:val="auto"/>
          <w:lang w:val="en-GB"/>
        </w:rPr>
        <w:t>.</w:t>
      </w:r>
      <w:r w:rsidR="005430B6" w:rsidRPr="00CA0582">
        <w:rPr>
          <w:rFonts w:ascii="Times New Roman" w:hAnsi="Times New Roman" w:cs="Times New Roman"/>
          <w:b/>
          <w:bCs/>
          <w:color w:val="auto"/>
          <w:lang w:val="en-GB"/>
        </w:rPr>
        <w:t xml:space="preserve"> Devising plausible pathways to harm</w:t>
      </w:r>
      <w:bookmarkEnd w:id="48"/>
      <w:bookmarkEnd w:id="49"/>
    </w:p>
    <w:p w14:paraId="29C5F652" w14:textId="320E86D2" w:rsidR="00F83338"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t>In the risk assessment process, it is important to define clear links or pathways between the EGD-LMO and po</w:t>
      </w:r>
      <w:r w:rsidR="00F10AC2">
        <w:rPr>
          <w:rFonts w:ascii="Times New Roman" w:hAnsi="Times New Roman" w:cs="Times New Roman"/>
        </w:rPr>
        <w:t>tential</w:t>
      </w:r>
      <w:r w:rsidRPr="00BB5241">
        <w:rPr>
          <w:rFonts w:ascii="Times New Roman" w:hAnsi="Times New Roman" w:cs="Times New Roman"/>
        </w:rPr>
        <w:t xml:space="preserve"> adverse effects </w:t>
      </w:r>
      <w:proofErr w:type="gramStart"/>
      <w:r w:rsidRPr="00BB5241">
        <w:rPr>
          <w:rFonts w:ascii="Times New Roman" w:hAnsi="Times New Roman" w:cs="Times New Roman"/>
        </w:rPr>
        <w:t>in order to</w:t>
      </w:r>
      <w:proofErr w:type="gramEnd"/>
      <w:r w:rsidRPr="00BB5241">
        <w:rPr>
          <w:rFonts w:ascii="Times New Roman" w:hAnsi="Times New Roman" w:cs="Times New Roman"/>
        </w:rPr>
        <w:t xml:space="preserve"> focus on generating information that will be useful in the decision-making</w:t>
      </w:r>
      <w:r w:rsidR="00864384" w:rsidRPr="00BB5241">
        <w:rPr>
          <w:rFonts w:ascii="Times New Roman" w:hAnsi="Times New Roman" w:cs="Times New Roman"/>
        </w:rPr>
        <w:t>.</w:t>
      </w:r>
      <w:r w:rsidRPr="00BB5241">
        <w:rPr>
          <w:rFonts w:ascii="Times New Roman" w:hAnsi="Times New Roman" w:cs="Times New Roman"/>
        </w:rPr>
        <w:t xml:space="preserve"> Based on the available information on the biology and ecology of the species under consideration, the EGD design and strategy, the introduced traits, the intended uses of the EGD-LMO </w:t>
      </w:r>
      <w:r w:rsidR="00622DFF" w:rsidRPr="00BB5241">
        <w:rPr>
          <w:rFonts w:ascii="Times New Roman" w:hAnsi="Times New Roman" w:cs="Times New Roman"/>
        </w:rPr>
        <w:t>(</w:t>
      </w:r>
      <w:r w:rsidRPr="00BB5241">
        <w:rPr>
          <w:rFonts w:ascii="Times New Roman" w:hAnsi="Times New Roman" w:cs="Times New Roman"/>
        </w:rPr>
        <w:t xml:space="preserve">the scale and frequency of the </w:t>
      </w:r>
      <w:r w:rsidR="00C87013" w:rsidRPr="00BB5241">
        <w:rPr>
          <w:rFonts w:ascii="Times New Roman" w:hAnsi="Times New Roman" w:cs="Times New Roman"/>
        </w:rPr>
        <w:t xml:space="preserve">intentional </w:t>
      </w:r>
      <w:r w:rsidRPr="00BB5241">
        <w:rPr>
          <w:rFonts w:ascii="Times New Roman" w:hAnsi="Times New Roman" w:cs="Times New Roman"/>
        </w:rPr>
        <w:t>release</w:t>
      </w:r>
      <w:r w:rsidR="00622DFF" w:rsidRPr="00BB5241">
        <w:rPr>
          <w:rFonts w:ascii="Times New Roman" w:hAnsi="Times New Roman" w:cs="Times New Roman"/>
        </w:rPr>
        <w:t>)</w:t>
      </w:r>
      <w:r w:rsidRPr="00BB5241">
        <w:rPr>
          <w:rFonts w:ascii="Times New Roman" w:hAnsi="Times New Roman" w:cs="Times New Roman"/>
        </w:rPr>
        <w:t xml:space="preserve">, the </w:t>
      </w:r>
      <w:r w:rsidR="00F10AC2" w:rsidRPr="00F10AC2">
        <w:rPr>
          <w:rFonts w:ascii="Times New Roman" w:hAnsi="Times New Roman" w:cs="Times New Roman"/>
          <w:color w:val="000000" w:themeColor="text1"/>
        </w:rPr>
        <w:t>likely potential</w:t>
      </w:r>
      <w:r w:rsidR="00F10AC2" w:rsidRPr="00BB5241">
        <w:rPr>
          <w:rFonts w:ascii="Times New Roman" w:hAnsi="Times New Roman" w:cs="Times New Roman"/>
        </w:rPr>
        <w:t xml:space="preserve"> </w:t>
      </w:r>
      <w:r w:rsidRPr="00BB5241">
        <w:rPr>
          <w:rFonts w:ascii="Times New Roman" w:hAnsi="Times New Roman" w:cs="Times New Roman"/>
        </w:rPr>
        <w:t xml:space="preserve">receiving environments (covering the </w:t>
      </w:r>
      <w:r w:rsidR="00F10AC2" w:rsidRPr="00F10AC2">
        <w:rPr>
          <w:rFonts w:ascii="Times New Roman" w:hAnsi="Times New Roman" w:cs="Times New Roman"/>
          <w:color w:val="000000" w:themeColor="text1"/>
        </w:rPr>
        <w:t>likely potential</w:t>
      </w:r>
      <w:r w:rsidR="00F10AC2" w:rsidRPr="00BB5241">
        <w:rPr>
          <w:rFonts w:ascii="Times New Roman" w:hAnsi="Times New Roman" w:cs="Times New Roman"/>
        </w:rPr>
        <w:t xml:space="preserve"> </w:t>
      </w:r>
      <w:r w:rsidRPr="00BB5241">
        <w:rPr>
          <w:rFonts w:ascii="Times New Roman" w:hAnsi="Times New Roman" w:cs="Times New Roman"/>
        </w:rPr>
        <w:t>receiving environments where the EGD-LMO will be released and spread) and the interactions amongst these variables, plausible pathways to harm</w:t>
      </w:r>
      <w:r w:rsidRPr="00BB5241">
        <w:rPr>
          <w:rFonts w:ascii="Times New Roman" w:hAnsi="Times New Roman" w:cs="Times New Roman"/>
          <w:vertAlign w:val="superscript"/>
        </w:rPr>
        <w:footnoteReference w:id="15"/>
      </w:r>
      <w:r w:rsidRPr="00BB5241">
        <w:rPr>
          <w:rFonts w:ascii="Times New Roman" w:hAnsi="Times New Roman" w:cs="Times New Roman"/>
        </w:rPr>
        <w:t xml:space="preserve"> are constructed in the problem formulation process. Pathways to harm are used as a conceptual model to describe how the </w:t>
      </w:r>
      <w:r w:rsidR="00D73B41" w:rsidRPr="00BB5241">
        <w:rPr>
          <w:rFonts w:ascii="Times New Roman" w:hAnsi="Times New Roman" w:cs="Times New Roman"/>
        </w:rPr>
        <w:t xml:space="preserve">intentional </w:t>
      </w:r>
      <w:r w:rsidRPr="00BB5241">
        <w:rPr>
          <w:rFonts w:ascii="Times New Roman" w:hAnsi="Times New Roman" w:cs="Times New Roman"/>
        </w:rPr>
        <w:t>release of a</w:t>
      </w:r>
      <w:r w:rsidR="00B948D9">
        <w:rPr>
          <w:rFonts w:ascii="Times New Roman" w:hAnsi="Times New Roman" w:cs="Times New Roman"/>
        </w:rPr>
        <w:t>n</w:t>
      </w:r>
      <w:r w:rsidR="00B948D9" w:rsidRPr="00BB5241">
        <w:rPr>
          <w:rFonts w:ascii="Times New Roman" w:hAnsi="Times New Roman" w:cs="Times New Roman"/>
        </w:rPr>
        <w:t xml:space="preserve"> </w:t>
      </w:r>
      <w:r w:rsidR="00FD45B4" w:rsidRPr="00BB5241">
        <w:rPr>
          <w:rFonts w:ascii="Times New Roman" w:hAnsi="Times New Roman" w:cs="Times New Roman"/>
        </w:rPr>
        <w:t>EGD-</w:t>
      </w:r>
      <w:r w:rsidRPr="00BB5241">
        <w:rPr>
          <w:rFonts w:ascii="Times New Roman" w:hAnsi="Times New Roman" w:cs="Times New Roman"/>
        </w:rPr>
        <w:t xml:space="preserve">LMO could lead to possible harm to assessment endpoints. </w:t>
      </w:r>
    </w:p>
    <w:p w14:paraId="1691A132" w14:textId="7E77BF4D" w:rsidR="00370799" w:rsidRPr="00BB5241" w:rsidRDefault="005430B6" w:rsidP="4644E7B5">
      <w:pPr>
        <w:pStyle w:val="Para1"/>
        <w:numPr>
          <w:ilvl w:val="0"/>
          <w:numId w:val="0"/>
        </w:numPr>
        <w:spacing w:before="0" w:after="160" w:line="276" w:lineRule="auto"/>
        <w:rPr>
          <w:rFonts w:eastAsiaTheme="minorEastAsia"/>
          <w:strike/>
        </w:rPr>
      </w:pPr>
      <w:r w:rsidRPr="4644E7B5">
        <w:rPr>
          <w:rFonts w:eastAsiaTheme="minorEastAsia"/>
          <w14:ligatures w14:val="standardContextual"/>
        </w:rPr>
        <w:t xml:space="preserve">A pathway to harm describes the plausible and necessary steps that would need to occur for the environmental release of </w:t>
      </w:r>
      <w:r w:rsidR="00725642" w:rsidRPr="4644E7B5">
        <w:rPr>
          <w:rFonts w:eastAsiaTheme="minorEastAsia"/>
        </w:rPr>
        <w:t xml:space="preserve">an </w:t>
      </w:r>
      <w:r w:rsidRPr="4644E7B5">
        <w:rPr>
          <w:rFonts w:eastAsiaTheme="minorEastAsia"/>
        </w:rPr>
        <w:t>EGD-LMO to result in an adverse effect on the assessment endpoint (</w:t>
      </w:r>
      <w:r w:rsidRPr="00204D69">
        <w:rPr>
          <w:rFonts w:eastAsiaTheme="minorEastAsia"/>
        </w:rPr>
        <w:t>OECD, 2023)</w:t>
      </w:r>
      <w:r w:rsidRPr="4644E7B5">
        <w:rPr>
          <w:rFonts w:eastAsiaTheme="minorEastAsia"/>
        </w:rPr>
        <w:t>.</w:t>
      </w:r>
      <w:r w:rsidR="004E18E0" w:rsidRPr="4644E7B5">
        <w:rPr>
          <w:rFonts w:eastAsiaTheme="minorEastAsia"/>
        </w:rPr>
        <w:t xml:space="preserve"> </w:t>
      </w:r>
      <w:r w:rsidR="00D379AD" w:rsidRPr="4644E7B5">
        <w:rPr>
          <w:rFonts w:eastAsiaTheme="minorEastAsia"/>
        </w:rPr>
        <w:t xml:space="preserve">In effect, a causal chain of events </w:t>
      </w:r>
      <w:r w:rsidR="00F31CD2" w:rsidRPr="4644E7B5">
        <w:rPr>
          <w:rFonts w:eastAsiaTheme="minorEastAsia"/>
        </w:rPr>
        <w:t xml:space="preserve">is </w:t>
      </w:r>
      <w:r w:rsidR="00D379AD" w:rsidRPr="4644E7B5">
        <w:rPr>
          <w:rFonts w:eastAsiaTheme="minorEastAsia"/>
        </w:rPr>
        <w:t xml:space="preserve">required for a </w:t>
      </w:r>
      <w:r w:rsidR="00986487" w:rsidRPr="00204D69">
        <w:rPr>
          <w:rFonts w:eastAsiaTheme="minorEastAsia"/>
        </w:rPr>
        <w:t>hazard</w:t>
      </w:r>
      <w:r w:rsidR="00D379AD" w:rsidRPr="4644E7B5">
        <w:rPr>
          <w:rFonts w:eastAsiaTheme="minorEastAsia"/>
        </w:rPr>
        <w:t xml:space="preserve"> to be realised. </w:t>
      </w:r>
      <w:r w:rsidRPr="4644E7B5">
        <w:rPr>
          <w:rFonts w:eastAsiaTheme="minorEastAsia"/>
        </w:rPr>
        <w:t>Such a pathway can be the function of a simple linear chain of events, or a complex one that is branched. A risk assessment typically includes many pathways (</w:t>
      </w:r>
      <w:r w:rsidRPr="00204D69">
        <w:rPr>
          <w:rFonts w:eastAsiaTheme="minorEastAsia"/>
        </w:rPr>
        <w:t>Connolly and other</w:t>
      </w:r>
      <w:r w:rsidR="00B32678" w:rsidRPr="00204D69">
        <w:rPr>
          <w:rFonts w:eastAsiaTheme="minorEastAsia"/>
        </w:rPr>
        <w:t>s</w:t>
      </w:r>
      <w:r w:rsidRPr="00204D69">
        <w:rPr>
          <w:rFonts w:eastAsiaTheme="minorEastAsia"/>
        </w:rPr>
        <w:t>, 2021</w:t>
      </w:r>
      <w:r w:rsidRPr="4644E7B5">
        <w:rPr>
          <w:rFonts w:eastAsiaTheme="minorEastAsia"/>
        </w:rPr>
        <w:t xml:space="preserve">), because the proposed activity </w:t>
      </w:r>
      <w:r w:rsidR="00370799" w:rsidRPr="4644E7B5">
        <w:rPr>
          <w:rFonts w:eastAsiaTheme="minorEastAsia"/>
        </w:rPr>
        <w:t xml:space="preserve">may affect different protection goals and assessment </w:t>
      </w:r>
      <w:r w:rsidR="00E666C4" w:rsidRPr="4644E7B5">
        <w:rPr>
          <w:rFonts w:eastAsiaTheme="minorEastAsia"/>
        </w:rPr>
        <w:t>end</w:t>
      </w:r>
      <w:r w:rsidR="00370799" w:rsidRPr="4644E7B5">
        <w:rPr>
          <w:rFonts w:eastAsiaTheme="minorEastAsia"/>
        </w:rPr>
        <w:t>points</w:t>
      </w:r>
      <w:r w:rsidR="00E666C4" w:rsidRPr="4644E7B5">
        <w:rPr>
          <w:rFonts w:eastAsiaTheme="minorEastAsia"/>
        </w:rPr>
        <w:t>, and</w:t>
      </w:r>
      <w:r w:rsidR="00370799" w:rsidRPr="4644E7B5">
        <w:rPr>
          <w:rFonts w:eastAsiaTheme="minorEastAsia"/>
        </w:rPr>
        <w:t xml:space="preserve"> </w:t>
      </w:r>
      <w:r w:rsidRPr="4644E7B5">
        <w:rPr>
          <w:rFonts w:eastAsiaTheme="minorEastAsia"/>
        </w:rPr>
        <w:t xml:space="preserve">could lead to different harms, or because a particular </w:t>
      </w:r>
      <w:r w:rsidR="00986487" w:rsidRPr="00204D69">
        <w:rPr>
          <w:rFonts w:eastAsiaTheme="minorEastAsia"/>
        </w:rPr>
        <w:t>hazard</w:t>
      </w:r>
      <w:r w:rsidRPr="4644E7B5">
        <w:rPr>
          <w:rFonts w:eastAsiaTheme="minorEastAsia"/>
        </w:rPr>
        <w:t xml:space="preserve"> could arise in different ways, or both. Moreover, there may be multiple interconnected pathways to</w:t>
      </w:r>
      <w:r w:rsidR="00A15D74" w:rsidRPr="4644E7B5">
        <w:rPr>
          <w:rFonts w:eastAsiaTheme="minorEastAsia"/>
        </w:rPr>
        <w:t xml:space="preserve"> be</w:t>
      </w:r>
      <w:r w:rsidRPr="4644E7B5">
        <w:rPr>
          <w:rFonts w:eastAsiaTheme="minorEastAsia"/>
        </w:rPr>
        <w:t xml:space="preserve"> consider</w:t>
      </w:r>
      <w:r w:rsidR="00A15D74" w:rsidRPr="4644E7B5">
        <w:rPr>
          <w:rFonts w:eastAsiaTheme="minorEastAsia"/>
        </w:rPr>
        <w:t>ed</w:t>
      </w:r>
      <w:r w:rsidRPr="4644E7B5">
        <w:rPr>
          <w:rFonts w:eastAsiaTheme="minorEastAsia"/>
        </w:rPr>
        <w:t xml:space="preserve"> that may share some of the same steps.</w:t>
      </w:r>
    </w:p>
    <w:p w14:paraId="4DAF0054" w14:textId="5FCE4774" w:rsidR="00DC2E53" w:rsidRPr="00BB5241" w:rsidRDefault="005430B6" w:rsidP="00D1250F">
      <w:pPr>
        <w:spacing w:line="276" w:lineRule="auto"/>
        <w:jc w:val="both"/>
        <w:rPr>
          <w:rFonts w:ascii="Times New Roman" w:hAnsi="Times New Roman" w:cs="Times New Roman"/>
        </w:rPr>
      </w:pPr>
      <w:r w:rsidRPr="4644E7B5">
        <w:rPr>
          <w:rFonts w:ascii="Times New Roman" w:hAnsi="Times New Roman" w:cs="Times New Roman"/>
        </w:rPr>
        <w:t xml:space="preserve">When planning the risk assessment, one or more pathways to harm may be postulated for each potential adverse effect identified for </w:t>
      </w:r>
      <w:r w:rsidRPr="0025616C">
        <w:rPr>
          <w:rFonts w:ascii="Times New Roman" w:hAnsi="Times New Roman" w:cs="Times New Roman"/>
        </w:rPr>
        <w:t>an assessment endpoint (OECD, 2023). Different techniques may be used to postulate pathways to harm (e.g.</w:t>
      </w:r>
      <w:r w:rsidR="0013654F" w:rsidRPr="0025616C">
        <w:rPr>
          <w:rFonts w:ascii="Times New Roman" w:hAnsi="Times New Roman" w:cs="Times New Roman"/>
        </w:rPr>
        <w:t>,</w:t>
      </w:r>
      <w:r w:rsidRPr="0025616C">
        <w:rPr>
          <w:rFonts w:ascii="Times New Roman" w:hAnsi="Times New Roman" w:cs="Times New Roman"/>
        </w:rPr>
        <w:t xml:space="preserve"> Wolt and others, 2010; Roberts and others, 2017</w:t>
      </w:r>
      <w:r w:rsidR="0025616C" w:rsidRPr="0025616C">
        <w:rPr>
          <w:rFonts w:ascii="Times New Roman" w:hAnsi="Times New Roman" w:cs="Times New Roman"/>
        </w:rPr>
        <w:t>a</w:t>
      </w:r>
      <w:r w:rsidRPr="0025616C">
        <w:rPr>
          <w:rFonts w:ascii="Times New Roman" w:hAnsi="Times New Roman" w:cs="Times New Roman"/>
        </w:rPr>
        <w:t>; Hayes and others, 2018</w:t>
      </w:r>
      <w:r w:rsidR="00872623" w:rsidRPr="0025616C">
        <w:rPr>
          <w:rFonts w:ascii="Times New Roman" w:hAnsi="Times New Roman" w:cs="Times New Roman"/>
        </w:rPr>
        <w:t>b</w:t>
      </w:r>
      <w:r w:rsidRPr="0025616C">
        <w:rPr>
          <w:rFonts w:ascii="Times New Roman" w:hAnsi="Times New Roman" w:cs="Times New Roman"/>
        </w:rPr>
        <w:t>; Teem and others, 2019).</w:t>
      </w:r>
      <w:r w:rsidRPr="4644E7B5">
        <w:rPr>
          <w:rFonts w:ascii="Times New Roman" w:hAnsi="Times New Roman" w:cs="Times New Roman"/>
        </w:rPr>
        <w:t xml:space="preserve"> The nature and formality of this exercise, which may include stakeholder</w:t>
      </w:r>
      <w:r w:rsidR="00A35CAB" w:rsidRPr="4644E7B5">
        <w:rPr>
          <w:rFonts w:ascii="Times New Roman" w:hAnsi="Times New Roman" w:cs="Times New Roman"/>
        </w:rPr>
        <w:t xml:space="preserve"> </w:t>
      </w:r>
      <w:r w:rsidRPr="4644E7B5">
        <w:rPr>
          <w:rFonts w:ascii="Times New Roman" w:hAnsi="Times New Roman" w:cs="Times New Roman"/>
        </w:rPr>
        <w:t>engagement</w:t>
      </w:r>
      <w:r w:rsidR="00A35CAB" w:rsidRPr="4644E7B5">
        <w:rPr>
          <w:rFonts w:ascii="Times New Roman" w:hAnsi="Times New Roman" w:cs="Times New Roman"/>
        </w:rPr>
        <w:t>,</w:t>
      </w:r>
      <w:r w:rsidR="00D71D3F" w:rsidRPr="4644E7B5">
        <w:rPr>
          <w:rFonts w:ascii="Times New Roman" w:hAnsi="Times New Roman" w:cs="Times New Roman"/>
        </w:rPr>
        <w:t xml:space="preserve"> </w:t>
      </w:r>
      <w:r w:rsidRPr="4644E7B5">
        <w:rPr>
          <w:rFonts w:ascii="Times New Roman" w:hAnsi="Times New Roman" w:cs="Times New Roman"/>
        </w:rPr>
        <w:t xml:space="preserve">may reflect </w:t>
      </w:r>
      <w:r w:rsidR="003F3119" w:rsidRPr="4644E7B5">
        <w:rPr>
          <w:rFonts w:ascii="Times New Roman" w:hAnsi="Times New Roman" w:cs="Times New Roman"/>
        </w:rPr>
        <w:t xml:space="preserve">priorities based on policies </w:t>
      </w:r>
      <w:r w:rsidRPr="4644E7B5">
        <w:rPr>
          <w:rFonts w:ascii="Times New Roman" w:hAnsi="Times New Roman" w:cs="Times New Roman"/>
        </w:rPr>
        <w:t>and approaches of the responsible authorit</w:t>
      </w:r>
      <w:r w:rsidR="00262B3B" w:rsidRPr="4644E7B5">
        <w:rPr>
          <w:rFonts w:ascii="Times New Roman" w:hAnsi="Times New Roman" w:cs="Times New Roman"/>
        </w:rPr>
        <w:t>ies</w:t>
      </w:r>
      <w:r w:rsidRPr="4644E7B5">
        <w:rPr>
          <w:rFonts w:ascii="Times New Roman" w:hAnsi="Times New Roman" w:cs="Times New Roman"/>
        </w:rPr>
        <w:t>. When devising pathways to harm, potential pathways to harm should be systematically explored</w:t>
      </w:r>
      <w:r w:rsidR="00262B3B" w:rsidRPr="4644E7B5">
        <w:rPr>
          <w:rFonts w:ascii="Times New Roman" w:hAnsi="Times New Roman" w:cs="Times New Roman"/>
        </w:rPr>
        <w:t xml:space="preserve"> in a broad fashion</w:t>
      </w:r>
      <w:r w:rsidRPr="00204D69">
        <w:rPr>
          <w:rFonts w:ascii="Times New Roman" w:hAnsi="Times New Roman" w:cs="Times New Roman"/>
          <w:color w:val="000000" w:themeColor="text1"/>
        </w:rPr>
        <w:t>.</w:t>
      </w:r>
      <w:r w:rsidRPr="00720DC3">
        <w:rPr>
          <w:rFonts w:ascii="Times New Roman" w:hAnsi="Times New Roman" w:cs="Times New Roman"/>
          <w:b/>
          <w:bCs/>
          <w:color w:val="FF0000"/>
        </w:rPr>
        <w:t xml:space="preserve"> </w:t>
      </w:r>
      <w:r w:rsidRPr="4644E7B5">
        <w:rPr>
          <w:rFonts w:ascii="Times New Roman" w:hAnsi="Times New Roman" w:cs="Times New Roman"/>
        </w:rPr>
        <w:t>In principle, only those pathways to harm that are</w:t>
      </w:r>
      <w:r w:rsidRPr="0053255E">
        <w:rPr>
          <w:rFonts w:ascii="Times New Roman" w:hAnsi="Times New Roman" w:cs="Times New Roman"/>
          <w:color w:val="000000" w:themeColor="text1"/>
        </w:rPr>
        <w:t xml:space="preserve"> </w:t>
      </w:r>
      <w:r w:rsidR="004F5D1F" w:rsidRPr="0053255E">
        <w:rPr>
          <w:rFonts w:ascii="Times New Roman" w:hAnsi="Times New Roman" w:cs="Times New Roman"/>
          <w:color w:val="000000" w:themeColor="text1"/>
        </w:rPr>
        <w:t>plausible</w:t>
      </w:r>
      <w:r w:rsidR="004F5D1F" w:rsidRPr="0053255E">
        <w:rPr>
          <w:rFonts w:ascii="Times New Roman" w:hAnsi="Times New Roman" w:cs="Times New Roman"/>
          <w:b/>
          <w:bCs/>
          <w:color w:val="000000" w:themeColor="text1"/>
        </w:rPr>
        <w:t xml:space="preserve"> </w:t>
      </w:r>
      <w:r w:rsidRPr="4644E7B5">
        <w:rPr>
          <w:rFonts w:ascii="Times New Roman" w:hAnsi="Times New Roman" w:cs="Times New Roman"/>
        </w:rPr>
        <w:t xml:space="preserve">according to existing knowledge, expert judgement and at least potentially consequential </w:t>
      </w:r>
      <w:r w:rsidR="007A255D" w:rsidRPr="4644E7B5">
        <w:rPr>
          <w:rFonts w:ascii="Times New Roman" w:hAnsi="Times New Roman" w:cs="Times New Roman"/>
        </w:rPr>
        <w:t xml:space="preserve">should </w:t>
      </w:r>
      <w:r w:rsidRPr="4644E7B5">
        <w:rPr>
          <w:rFonts w:ascii="Times New Roman" w:hAnsi="Times New Roman" w:cs="Times New Roman"/>
        </w:rPr>
        <w:t xml:space="preserve">be carried forward into the analysis. However, if the validity or consequences of a pathway to harm cannot be </w:t>
      </w:r>
      <w:r w:rsidR="00400EE9" w:rsidRPr="4644E7B5">
        <w:rPr>
          <w:rFonts w:ascii="Times New Roman" w:hAnsi="Times New Roman" w:cs="Times New Roman"/>
        </w:rPr>
        <w:t xml:space="preserve">sufficiently </w:t>
      </w:r>
      <w:r w:rsidRPr="4644E7B5">
        <w:rPr>
          <w:rFonts w:ascii="Times New Roman" w:hAnsi="Times New Roman" w:cs="Times New Roman"/>
        </w:rPr>
        <w:t xml:space="preserve">defined, one can expand efforts to consider existing knowledge and/or carry that pathway forward into </w:t>
      </w:r>
      <w:r w:rsidRPr="4644E7B5">
        <w:rPr>
          <w:rFonts w:ascii="Times New Roman" w:hAnsi="Times New Roman" w:cs="Times New Roman"/>
        </w:rPr>
        <w:lastRenderedPageBreak/>
        <w:t>the analysis.</w:t>
      </w:r>
      <w:r w:rsidR="00562E22" w:rsidRPr="4644E7B5">
        <w:rPr>
          <w:rFonts w:ascii="Times New Roman" w:hAnsi="Times New Roman" w:cs="Times New Roman"/>
        </w:rPr>
        <w:t xml:space="preserve"> </w:t>
      </w:r>
      <w:r w:rsidR="00093D20" w:rsidRPr="0053255E">
        <w:rPr>
          <w:rFonts w:ascii="Times New Roman" w:hAnsi="Times New Roman" w:cs="Times New Roman"/>
          <w:color w:val="000000" w:themeColor="text1"/>
        </w:rPr>
        <w:t>Due consideration should</w:t>
      </w:r>
      <w:r w:rsidR="00FD33BE" w:rsidRPr="0053255E">
        <w:rPr>
          <w:rFonts w:ascii="Times New Roman" w:hAnsi="Times New Roman" w:cs="Times New Roman"/>
          <w:color w:val="000000" w:themeColor="text1"/>
        </w:rPr>
        <w:t xml:space="preserve"> be given to have both broad and detailed knowledge and expertise </w:t>
      </w:r>
      <w:r w:rsidR="002E49AD" w:rsidRPr="0053255E">
        <w:rPr>
          <w:rFonts w:ascii="Times New Roman" w:hAnsi="Times New Roman" w:cs="Times New Roman"/>
          <w:color w:val="000000" w:themeColor="text1"/>
        </w:rPr>
        <w:t xml:space="preserve">from </w:t>
      </w:r>
      <w:r w:rsidR="005108C3" w:rsidRPr="0053255E">
        <w:rPr>
          <w:rFonts w:ascii="Times New Roman" w:hAnsi="Times New Roman" w:cs="Times New Roman"/>
          <w:color w:val="000000" w:themeColor="text1"/>
        </w:rPr>
        <w:t>different</w:t>
      </w:r>
      <w:r w:rsidR="002E49AD" w:rsidRPr="0053255E">
        <w:rPr>
          <w:rFonts w:ascii="Times New Roman" w:hAnsi="Times New Roman" w:cs="Times New Roman"/>
          <w:color w:val="000000" w:themeColor="text1"/>
        </w:rPr>
        <w:t xml:space="preserve"> disciplines</w:t>
      </w:r>
      <w:r w:rsidR="00C90210" w:rsidRPr="0053255E">
        <w:rPr>
          <w:rFonts w:ascii="Times New Roman" w:hAnsi="Times New Roman" w:cs="Times New Roman"/>
          <w:color w:val="000000" w:themeColor="text1"/>
        </w:rPr>
        <w:t xml:space="preserve"> </w:t>
      </w:r>
      <w:r w:rsidR="00F46E4E" w:rsidRPr="0053255E">
        <w:rPr>
          <w:rFonts w:ascii="Times New Roman" w:hAnsi="Times New Roman" w:cs="Times New Roman"/>
          <w:color w:val="000000" w:themeColor="text1"/>
        </w:rPr>
        <w:t>for</w:t>
      </w:r>
      <w:r w:rsidR="00D1250F" w:rsidRPr="0053255E">
        <w:rPr>
          <w:rFonts w:ascii="Times New Roman" w:hAnsi="Times New Roman" w:cs="Times New Roman"/>
          <w:color w:val="000000" w:themeColor="text1"/>
        </w:rPr>
        <w:t xml:space="preserve"> the identification of potential pathways to harm.</w:t>
      </w:r>
    </w:p>
    <w:p w14:paraId="4DAC6C75" w14:textId="1C41A49D" w:rsidR="00DC2E53" w:rsidRPr="00BB5241" w:rsidRDefault="005430B6" w:rsidP="00212686">
      <w:pPr>
        <w:spacing w:line="276" w:lineRule="auto"/>
        <w:jc w:val="both"/>
        <w:rPr>
          <w:rFonts w:ascii="Times New Roman" w:hAnsi="Times New Roman" w:cs="Times New Roman"/>
        </w:rPr>
      </w:pPr>
      <w:r w:rsidRPr="00BB5241">
        <w:rPr>
          <w:rFonts w:ascii="Times New Roman" w:hAnsi="Times New Roman" w:cs="Times New Roman"/>
        </w:rPr>
        <w:t xml:space="preserve">Since it can be challenging to adequately devise multiple, complex pathways to harm over long </w:t>
      </w:r>
      <w:proofErr w:type="gramStart"/>
      <w:r w:rsidRPr="00BB5241">
        <w:rPr>
          <w:rFonts w:ascii="Times New Roman" w:hAnsi="Times New Roman" w:cs="Times New Roman"/>
        </w:rPr>
        <w:t>time period</w:t>
      </w:r>
      <w:proofErr w:type="gramEnd"/>
      <w:r w:rsidRPr="00BB5241">
        <w:rPr>
          <w:rFonts w:ascii="Times New Roman" w:hAnsi="Times New Roman" w:cs="Times New Roman"/>
        </w:rPr>
        <w:t xml:space="preserve">, a wide area, and/or a heterogeneous environment, it is important that all potential pathways are reported transparently. Moreover, a rationale justifying why potential pathways to harm are not considered sufficiently </w:t>
      </w:r>
      <w:r w:rsidR="00512D1C" w:rsidRPr="0053255E">
        <w:rPr>
          <w:rFonts w:ascii="Times New Roman" w:hAnsi="Times New Roman" w:cs="Times New Roman"/>
          <w:color w:val="000000" w:themeColor="text1"/>
        </w:rPr>
        <w:t>plausible</w:t>
      </w:r>
      <w:r w:rsidR="00512D1C" w:rsidRPr="00BB5241">
        <w:rPr>
          <w:rFonts w:ascii="Times New Roman" w:hAnsi="Times New Roman" w:cs="Times New Roman"/>
        </w:rPr>
        <w:t xml:space="preserve"> </w:t>
      </w:r>
      <w:r w:rsidRPr="00BB5241">
        <w:rPr>
          <w:rFonts w:ascii="Times New Roman" w:hAnsi="Times New Roman" w:cs="Times New Roman"/>
        </w:rPr>
        <w:t>and/or consequential should be reported transparently</w:t>
      </w:r>
      <w:r w:rsidR="00135C5A">
        <w:rPr>
          <w:rFonts w:ascii="Times New Roman" w:hAnsi="Times New Roman" w:cs="Times New Roman"/>
        </w:rPr>
        <w:t>.</w:t>
      </w:r>
    </w:p>
    <w:p w14:paraId="583732C7" w14:textId="079809E8" w:rsidR="00DD3530" w:rsidRPr="00BB5241" w:rsidRDefault="0022748E" w:rsidP="00082B2F">
      <w:pPr>
        <w:pStyle w:val="Default"/>
        <w:spacing w:line="276" w:lineRule="auto"/>
        <w:rPr>
          <w:b/>
          <w:bCs/>
        </w:rPr>
      </w:pPr>
      <w:r w:rsidRPr="00BB5241">
        <w:rPr>
          <w:color w:val="auto"/>
          <w:sz w:val="22"/>
          <w:szCs w:val="22"/>
        </w:rPr>
        <w:t>T</w:t>
      </w:r>
      <w:r w:rsidR="000A6260" w:rsidRPr="00BB5241">
        <w:rPr>
          <w:color w:val="auto"/>
          <w:sz w:val="22"/>
          <w:szCs w:val="22"/>
        </w:rPr>
        <w:t xml:space="preserve">he main </w:t>
      </w:r>
      <w:r w:rsidR="00C544BE" w:rsidRPr="00BB5241">
        <w:rPr>
          <w:color w:val="auto"/>
          <w:sz w:val="22"/>
          <w:szCs w:val="22"/>
        </w:rPr>
        <w:t xml:space="preserve">aim of the pathway to harm approach is to </w:t>
      </w:r>
      <w:r w:rsidR="003F3119" w:rsidRPr="00BB5241">
        <w:rPr>
          <w:color w:val="auto"/>
          <w:sz w:val="22"/>
          <w:szCs w:val="22"/>
        </w:rPr>
        <w:t>focus</w:t>
      </w:r>
      <w:r w:rsidRPr="00BB5241">
        <w:rPr>
          <w:color w:val="auto"/>
          <w:sz w:val="22"/>
          <w:szCs w:val="22"/>
        </w:rPr>
        <w:t xml:space="preserve"> the risk assessment process</w:t>
      </w:r>
      <w:r w:rsidR="003F3119" w:rsidRPr="00BB5241">
        <w:rPr>
          <w:color w:val="auto"/>
          <w:sz w:val="22"/>
          <w:szCs w:val="22"/>
        </w:rPr>
        <w:t xml:space="preserve"> and </w:t>
      </w:r>
      <w:r w:rsidRPr="00BB5241">
        <w:rPr>
          <w:color w:val="auto"/>
          <w:sz w:val="22"/>
          <w:szCs w:val="22"/>
        </w:rPr>
        <w:t xml:space="preserve">to </w:t>
      </w:r>
      <w:r w:rsidR="00C544BE" w:rsidRPr="00BB5241">
        <w:rPr>
          <w:color w:val="auto"/>
          <w:sz w:val="22"/>
          <w:szCs w:val="22"/>
        </w:rPr>
        <w:t xml:space="preserve">improve transparency in the risk assessment by making these pathways explicit and thereby amenable to comparison and independent </w:t>
      </w:r>
      <w:r w:rsidR="00C544BE" w:rsidRPr="0025616C">
        <w:rPr>
          <w:color w:val="auto"/>
          <w:sz w:val="22"/>
          <w:szCs w:val="22"/>
        </w:rPr>
        <w:t xml:space="preserve">review. This is typically achieved by using block diagrams to portray pathways to harm. </w:t>
      </w:r>
      <w:r w:rsidR="005430B6" w:rsidRPr="0025616C">
        <w:rPr>
          <w:color w:val="auto"/>
          <w:sz w:val="22"/>
          <w:szCs w:val="22"/>
        </w:rPr>
        <w:t>Several authors (e.g.</w:t>
      </w:r>
      <w:r w:rsidR="0013654F" w:rsidRPr="0025616C">
        <w:rPr>
          <w:color w:val="auto"/>
          <w:sz w:val="22"/>
          <w:szCs w:val="22"/>
        </w:rPr>
        <w:t>,</w:t>
      </w:r>
      <w:r w:rsidR="005430B6" w:rsidRPr="0025616C">
        <w:rPr>
          <w:color w:val="auto"/>
          <w:sz w:val="22"/>
          <w:szCs w:val="22"/>
        </w:rPr>
        <w:t xml:space="preserve"> Roberts and others, 2017</w:t>
      </w:r>
      <w:r w:rsidR="0025616C" w:rsidRPr="0025616C">
        <w:rPr>
          <w:color w:val="auto"/>
          <w:sz w:val="22"/>
          <w:szCs w:val="22"/>
        </w:rPr>
        <w:t>a</w:t>
      </w:r>
      <w:r w:rsidR="005430B6" w:rsidRPr="0025616C">
        <w:rPr>
          <w:color w:val="auto"/>
          <w:sz w:val="22"/>
          <w:szCs w:val="22"/>
        </w:rPr>
        <w:t>; Teem</w:t>
      </w:r>
      <w:r w:rsidR="005430B6" w:rsidRPr="00204D69">
        <w:rPr>
          <w:color w:val="auto"/>
          <w:sz w:val="22"/>
          <w:szCs w:val="22"/>
        </w:rPr>
        <w:t xml:space="preserve"> and others, 2019</w:t>
      </w:r>
      <w:r w:rsidR="005430B6" w:rsidRPr="00BB5241">
        <w:rPr>
          <w:color w:val="auto"/>
          <w:sz w:val="22"/>
          <w:szCs w:val="22"/>
        </w:rPr>
        <w:t xml:space="preserve">; </w:t>
      </w:r>
      <w:r w:rsidR="005430B6" w:rsidRPr="00204D69">
        <w:rPr>
          <w:color w:val="auto"/>
          <w:sz w:val="22"/>
          <w:szCs w:val="22"/>
        </w:rPr>
        <w:t>Romeis and others, 2020</w:t>
      </w:r>
      <w:r w:rsidR="005430B6" w:rsidRPr="00BB5241">
        <w:rPr>
          <w:color w:val="auto"/>
          <w:sz w:val="22"/>
          <w:szCs w:val="22"/>
        </w:rPr>
        <w:t xml:space="preserve">; </w:t>
      </w:r>
      <w:r w:rsidR="00415337" w:rsidRPr="00204D69">
        <w:rPr>
          <w:color w:val="auto"/>
          <w:sz w:val="22"/>
          <w:szCs w:val="22"/>
        </w:rPr>
        <w:t>Alcalay and others, 2021</w:t>
      </w:r>
      <w:r w:rsidR="00415337" w:rsidRPr="00BB5241">
        <w:rPr>
          <w:color w:val="auto"/>
          <w:sz w:val="22"/>
          <w:szCs w:val="22"/>
        </w:rPr>
        <w:t xml:space="preserve">; </w:t>
      </w:r>
      <w:r w:rsidR="005430B6" w:rsidRPr="00204D69">
        <w:rPr>
          <w:color w:val="auto"/>
          <w:sz w:val="22"/>
          <w:szCs w:val="22"/>
        </w:rPr>
        <w:t>Connolly and other</w:t>
      </w:r>
      <w:r w:rsidR="00A15D74" w:rsidRPr="00204D69">
        <w:rPr>
          <w:color w:val="auto"/>
          <w:sz w:val="22"/>
          <w:szCs w:val="22"/>
        </w:rPr>
        <w:t>s</w:t>
      </w:r>
      <w:r w:rsidR="005430B6" w:rsidRPr="00204D69">
        <w:rPr>
          <w:color w:val="auto"/>
          <w:sz w:val="22"/>
          <w:szCs w:val="22"/>
        </w:rPr>
        <w:t>, 2021;</w:t>
      </w:r>
      <w:r w:rsidR="005430B6" w:rsidRPr="00BB5241">
        <w:rPr>
          <w:color w:val="auto"/>
          <w:sz w:val="22"/>
          <w:szCs w:val="22"/>
        </w:rPr>
        <w:t xml:space="preserve"> </w:t>
      </w:r>
      <w:r w:rsidR="005430B6" w:rsidRPr="00204D69">
        <w:rPr>
          <w:color w:val="auto"/>
          <w:sz w:val="22"/>
          <w:szCs w:val="22"/>
        </w:rPr>
        <w:t>Kormos and others, 2023</w:t>
      </w:r>
      <w:r w:rsidR="005430B6" w:rsidRPr="00BB5241">
        <w:rPr>
          <w:color w:val="auto"/>
          <w:sz w:val="22"/>
          <w:szCs w:val="22"/>
        </w:rPr>
        <w:t xml:space="preserve">) reported some relevant pathways to harm associated with the </w:t>
      </w:r>
      <w:r w:rsidR="001D1032" w:rsidRPr="00BB5241">
        <w:rPr>
          <w:color w:val="auto"/>
          <w:sz w:val="22"/>
          <w:szCs w:val="22"/>
        </w:rPr>
        <w:t xml:space="preserve">intentional </w:t>
      </w:r>
      <w:r w:rsidR="005430B6" w:rsidRPr="00BB5241">
        <w:rPr>
          <w:color w:val="auto"/>
          <w:sz w:val="22"/>
          <w:szCs w:val="22"/>
        </w:rPr>
        <w:t>release of EGD-LMOs (mostly insects) that can be considered further when devising such pathways.</w:t>
      </w:r>
      <w:r w:rsidR="005430B6" w:rsidRPr="00BB5241">
        <w:t xml:space="preserve"> </w:t>
      </w:r>
      <w:r w:rsidR="00415337" w:rsidRPr="00BB5241">
        <w:rPr>
          <w:color w:val="auto"/>
          <w:sz w:val="22"/>
          <w:szCs w:val="22"/>
        </w:rPr>
        <w:t xml:space="preserve">Other types of conceptual models that may also be useful include fault trees and event trees </w:t>
      </w:r>
      <w:r w:rsidR="00415337" w:rsidRPr="00204D69">
        <w:rPr>
          <w:color w:val="auto"/>
          <w:sz w:val="22"/>
          <w:szCs w:val="22"/>
        </w:rPr>
        <w:t xml:space="preserve">(Hayes </w:t>
      </w:r>
      <w:r w:rsidR="00C35EA2" w:rsidRPr="00204D69">
        <w:rPr>
          <w:color w:val="auto"/>
          <w:sz w:val="22"/>
          <w:szCs w:val="22"/>
        </w:rPr>
        <w:t>and others</w:t>
      </w:r>
      <w:r w:rsidR="00415337" w:rsidRPr="00204D69">
        <w:rPr>
          <w:color w:val="auto"/>
          <w:sz w:val="22"/>
          <w:szCs w:val="22"/>
        </w:rPr>
        <w:t>, 2018</w:t>
      </w:r>
      <w:proofErr w:type="gramStart"/>
      <w:r w:rsidR="00415337" w:rsidRPr="00204D69">
        <w:rPr>
          <w:color w:val="auto"/>
          <w:sz w:val="22"/>
          <w:szCs w:val="22"/>
        </w:rPr>
        <w:t>a</w:t>
      </w:r>
      <w:r w:rsidR="00C35EA2" w:rsidRPr="00204D69">
        <w:rPr>
          <w:color w:val="auto"/>
          <w:sz w:val="22"/>
          <w:szCs w:val="22"/>
        </w:rPr>
        <w:t>,</w:t>
      </w:r>
      <w:r w:rsidR="00415337" w:rsidRPr="00204D69">
        <w:rPr>
          <w:color w:val="auto"/>
          <w:sz w:val="22"/>
          <w:szCs w:val="22"/>
        </w:rPr>
        <w:t>b</w:t>
      </w:r>
      <w:proofErr w:type="gramEnd"/>
      <w:r w:rsidR="00415337" w:rsidRPr="00204D69">
        <w:rPr>
          <w:color w:val="auto"/>
          <w:sz w:val="22"/>
          <w:szCs w:val="22"/>
        </w:rPr>
        <w:t>;</w:t>
      </w:r>
      <w:r w:rsidR="00415337" w:rsidRPr="00BB5241">
        <w:rPr>
          <w:color w:val="auto"/>
          <w:sz w:val="22"/>
          <w:szCs w:val="22"/>
        </w:rPr>
        <w:t xml:space="preserve"> </w:t>
      </w:r>
      <w:r w:rsidR="00415337" w:rsidRPr="00204D69">
        <w:rPr>
          <w:color w:val="auto"/>
          <w:sz w:val="22"/>
          <w:szCs w:val="22"/>
        </w:rPr>
        <w:t xml:space="preserve">Hosack </w:t>
      </w:r>
      <w:r w:rsidR="00C35EA2" w:rsidRPr="00204D69">
        <w:rPr>
          <w:color w:val="auto"/>
          <w:sz w:val="22"/>
          <w:szCs w:val="22"/>
        </w:rPr>
        <w:t>and others</w:t>
      </w:r>
      <w:r w:rsidR="00415337" w:rsidRPr="00204D69">
        <w:rPr>
          <w:color w:val="auto"/>
          <w:sz w:val="22"/>
          <w:szCs w:val="22"/>
        </w:rPr>
        <w:t>, 2023)</w:t>
      </w:r>
      <w:r w:rsidR="00415337" w:rsidRPr="00BB5241">
        <w:rPr>
          <w:color w:val="auto"/>
          <w:sz w:val="22"/>
          <w:szCs w:val="22"/>
        </w:rPr>
        <w:t>.</w:t>
      </w:r>
      <w:r w:rsidR="00C35EA2" w:rsidRPr="00BB5241">
        <w:rPr>
          <w:color w:val="auto"/>
          <w:sz w:val="22"/>
          <w:szCs w:val="22"/>
        </w:rPr>
        <w:t xml:space="preserve"> </w:t>
      </w:r>
      <w:r w:rsidR="00DD3530" w:rsidRPr="00BB5241">
        <w:rPr>
          <w:color w:val="auto"/>
          <w:sz w:val="22"/>
          <w:szCs w:val="22"/>
        </w:rPr>
        <w:t>Pictorial conceptual models, such as block diagrams showing pathways to harm, have many useful properties beyond improving transparency. They are relatively easy to construct allowing multiple models to be developed a</w:t>
      </w:r>
      <w:r w:rsidR="00BB4FA7">
        <w:rPr>
          <w:color w:val="auto"/>
          <w:sz w:val="22"/>
          <w:szCs w:val="22"/>
        </w:rPr>
        <w:t>nd</w:t>
      </w:r>
      <w:r w:rsidR="00DD3530" w:rsidRPr="00BB5241">
        <w:rPr>
          <w:color w:val="auto"/>
          <w:sz w:val="22"/>
          <w:szCs w:val="22"/>
        </w:rPr>
        <w:t xml:space="preserve"> recommended approach for tackling deep uncertainty (Section </w:t>
      </w:r>
      <w:r w:rsidR="000A6953" w:rsidRPr="00BB5241">
        <w:rPr>
          <w:color w:val="auto"/>
          <w:sz w:val="22"/>
          <w:szCs w:val="22"/>
        </w:rPr>
        <w:t>4.2.</w:t>
      </w:r>
      <w:r w:rsidR="006020C0" w:rsidRPr="00BB5241">
        <w:rPr>
          <w:color w:val="auto"/>
          <w:sz w:val="22"/>
          <w:szCs w:val="22"/>
        </w:rPr>
        <w:t>7</w:t>
      </w:r>
      <w:r w:rsidR="000A6953" w:rsidRPr="00BB5241">
        <w:rPr>
          <w:color w:val="auto"/>
          <w:sz w:val="22"/>
          <w:szCs w:val="22"/>
        </w:rPr>
        <w:t>. “Uncertainties”</w:t>
      </w:r>
      <w:r w:rsidR="00DD3530" w:rsidRPr="00BB5241">
        <w:rPr>
          <w:color w:val="auto"/>
          <w:sz w:val="22"/>
          <w:szCs w:val="22"/>
        </w:rPr>
        <w:t>), without excessive resource commitments. Moreover</w:t>
      </w:r>
      <w:r w:rsidR="004516B1" w:rsidRPr="00BB5241">
        <w:rPr>
          <w:color w:val="auto"/>
          <w:sz w:val="22"/>
          <w:szCs w:val="22"/>
        </w:rPr>
        <w:t>,</w:t>
      </w:r>
      <w:r w:rsidR="00DD3530" w:rsidRPr="00BB5241">
        <w:rPr>
          <w:color w:val="auto"/>
          <w:sz w:val="22"/>
          <w:szCs w:val="22"/>
        </w:rPr>
        <w:t xml:space="preserve"> they do not require speciali</w:t>
      </w:r>
      <w:r w:rsidR="00724FDC" w:rsidRPr="00BB5241">
        <w:rPr>
          <w:color w:val="auto"/>
          <w:sz w:val="22"/>
          <w:szCs w:val="22"/>
        </w:rPr>
        <w:t>sed</w:t>
      </w:r>
      <w:r w:rsidR="00DD3530" w:rsidRPr="00BB5241">
        <w:rPr>
          <w:color w:val="auto"/>
          <w:sz w:val="22"/>
          <w:szCs w:val="22"/>
        </w:rPr>
        <w:t xml:space="preserve"> skills to develop or understand, and hence can be used to engage stakeholders, who may have different backgrounds and training, into the risk assessment by capturing the views and beliefs on relevant assessment endpoints and pathways.</w:t>
      </w:r>
    </w:p>
    <w:p w14:paraId="55C37102" w14:textId="33B86157" w:rsidR="00DC2E53" w:rsidRPr="00CA0582" w:rsidRDefault="00DD7AFB" w:rsidP="00212686">
      <w:pPr>
        <w:pStyle w:val="Heading3"/>
        <w:spacing w:line="276" w:lineRule="auto"/>
        <w:rPr>
          <w:rFonts w:ascii="Times New Roman" w:hAnsi="Times New Roman" w:cs="Times New Roman"/>
          <w:b/>
          <w:bCs/>
          <w:color w:val="auto"/>
          <w:lang w:val="en-GB"/>
        </w:rPr>
      </w:pPr>
      <w:bookmarkStart w:id="50" w:name="_Toc13"/>
      <w:bookmarkStart w:id="51" w:name="_Toc161220494"/>
      <w:r w:rsidRPr="00CA0582">
        <w:rPr>
          <w:rFonts w:ascii="Times New Roman" w:hAnsi="Times New Roman" w:cs="Times New Roman"/>
          <w:b/>
          <w:bCs/>
          <w:color w:val="auto"/>
          <w:lang w:val="en-GB"/>
        </w:rPr>
        <w:t>4</w:t>
      </w:r>
      <w:r w:rsidR="005430B6" w:rsidRPr="00CA0582">
        <w:rPr>
          <w:rFonts w:ascii="Times New Roman" w:hAnsi="Times New Roman" w:cs="Times New Roman"/>
          <w:b/>
          <w:bCs/>
          <w:color w:val="auto"/>
          <w:lang w:val="en-GB"/>
        </w:rPr>
        <w:t>.1.4</w:t>
      </w:r>
      <w:r w:rsidR="00DA1916" w:rsidRPr="00CA0582">
        <w:rPr>
          <w:rFonts w:ascii="Times New Roman" w:hAnsi="Times New Roman" w:cs="Times New Roman"/>
          <w:b/>
          <w:bCs/>
          <w:color w:val="auto"/>
          <w:lang w:val="en-GB"/>
        </w:rPr>
        <w:t>.</w:t>
      </w:r>
      <w:r w:rsidR="005430B6" w:rsidRPr="0053255E">
        <w:rPr>
          <w:rFonts w:ascii="Times New Roman" w:hAnsi="Times New Roman" w:cs="Times New Roman"/>
          <w:b/>
          <w:bCs/>
          <w:color w:val="auto"/>
          <w:lang w:val="en-GB"/>
        </w:rPr>
        <w:t xml:space="preserve"> </w:t>
      </w:r>
      <w:r w:rsidR="005430B6" w:rsidRPr="0053255E">
        <w:rPr>
          <w:rFonts w:ascii="Times New Roman" w:hAnsi="Times New Roman" w:cs="Times New Roman"/>
          <w:b/>
          <w:bCs/>
          <w:color w:val="000000" w:themeColor="text1"/>
          <w:lang w:val="en-GB"/>
        </w:rPr>
        <w:t>Formulat</w:t>
      </w:r>
      <w:r w:rsidR="004A7231" w:rsidRPr="0053255E">
        <w:rPr>
          <w:rFonts w:ascii="Times New Roman" w:hAnsi="Times New Roman" w:cs="Times New Roman"/>
          <w:b/>
          <w:bCs/>
          <w:color w:val="000000" w:themeColor="text1"/>
          <w:lang w:val="en-GB"/>
        </w:rPr>
        <w:t>ion</w:t>
      </w:r>
      <w:r w:rsidR="004A7231">
        <w:rPr>
          <w:rFonts w:ascii="Times New Roman" w:hAnsi="Times New Roman" w:cs="Times New Roman"/>
          <w:b/>
          <w:bCs/>
          <w:color w:val="auto"/>
          <w:lang w:val="en-GB"/>
        </w:rPr>
        <w:t xml:space="preserve"> of</w:t>
      </w:r>
      <w:r w:rsidR="005430B6" w:rsidRPr="00CA0582">
        <w:rPr>
          <w:rFonts w:ascii="Times New Roman" w:hAnsi="Times New Roman" w:cs="Times New Roman"/>
          <w:b/>
          <w:bCs/>
          <w:color w:val="auto"/>
          <w:lang w:val="en-GB"/>
        </w:rPr>
        <w:t xml:space="preserve"> risk hypotheses</w:t>
      </w:r>
      <w:bookmarkEnd w:id="50"/>
      <w:bookmarkEnd w:id="51"/>
      <w:r w:rsidR="003338B8" w:rsidRPr="00CA0582">
        <w:rPr>
          <w:rFonts w:ascii="Times New Roman" w:hAnsi="Times New Roman" w:cs="Times New Roman"/>
          <w:b/>
          <w:bCs/>
          <w:color w:val="auto"/>
          <w:lang w:val="en-GB"/>
        </w:rPr>
        <w:t xml:space="preserve"> </w:t>
      </w:r>
    </w:p>
    <w:p w14:paraId="1B43C98D" w14:textId="5E279B13" w:rsidR="00E02702" w:rsidRPr="00BB5241" w:rsidRDefault="008677B5" w:rsidP="00212686">
      <w:pPr>
        <w:spacing w:line="276" w:lineRule="auto"/>
        <w:jc w:val="both"/>
        <w:rPr>
          <w:rFonts w:ascii="Times New Roman" w:hAnsi="Times New Roman" w:cs="Times New Roman"/>
        </w:rPr>
      </w:pPr>
      <w:r w:rsidRPr="00BB5241">
        <w:rPr>
          <w:rFonts w:ascii="Times New Roman" w:hAnsi="Times New Roman" w:cs="Times New Roman"/>
        </w:rPr>
        <w:t xml:space="preserve">Each </w:t>
      </w:r>
      <w:r w:rsidR="005430B6" w:rsidRPr="00BB5241">
        <w:rPr>
          <w:rFonts w:ascii="Times New Roman" w:hAnsi="Times New Roman" w:cs="Times New Roman"/>
        </w:rPr>
        <w:t>step in a pathway to harm enable</w:t>
      </w:r>
      <w:r w:rsidR="00D70FF2" w:rsidRPr="00BB5241">
        <w:rPr>
          <w:rFonts w:ascii="Times New Roman" w:hAnsi="Times New Roman" w:cs="Times New Roman"/>
        </w:rPr>
        <w:t>s</w:t>
      </w:r>
      <w:r w:rsidR="005430B6" w:rsidRPr="00BB5241">
        <w:rPr>
          <w:rFonts w:ascii="Times New Roman" w:hAnsi="Times New Roman" w:cs="Times New Roman"/>
        </w:rPr>
        <w:t xml:space="preserve"> the formulation of risk hypotheses that can then be tested to characterise</w:t>
      </w:r>
      <w:r w:rsidR="000C04C4" w:rsidRPr="00BB5241">
        <w:rPr>
          <w:rFonts w:ascii="Times New Roman" w:hAnsi="Times New Roman" w:cs="Times New Roman"/>
        </w:rPr>
        <w:t xml:space="preserve"> </w:t>
      </w:r>
      <w:r w:rsidR="005430B6" w:rsidRPr="00BB5241">
        <w:rPr>
          <w:rFonts w:ascii="Times New Roman" w:hAnsi="Times New Roman" w:cs="Times New Roman"/>
        </w:rPr>
        <w:t>risk.</w:t>
      </w:r>
      <w:r w:rsidR="000C04C4" w:rsidRPr="00BB5241">
        <w:rPr>
          <w:rFonts w:ascii="Times New Roman" w:hAnsi="Times New Roman" w:cs="Times New Roman"/>
        </w:rPr>
        <w:t xml:space="preserve"> </w:t>
      </w:r>
      <w:r w:rsidR="00E02702" w:rsidRPr="00BB5241">
        <w:rPr>
          <w:rFonts w:ascii="Times New Roman" w:hAnsi="Times New Roman" w:cs="Times New Roman"/>
        </w:rPr>
        <w:t>For instance, if the protection goal is biodiversity, a risk hypothesis may assess how specific characteristics of the EGD-LMO could impact</w:t>
      </w:r>
      <w:r w:rsidR="006F3900" w:rsidRPr="00BB5241">
        <w:rPr>
          <w:rFonts w:ascii="Times New Roman" w:hAnsi="Times New Roman" w:cs="Times New Roman"/>
        </w:rPr>
        <w:t xml:space="preserve"> different</w:t>
      </w:r>
      <w:r w:rsidR="00E02702" w:rsidRPr="00BB5241">
        <w:rPr>
          <w:rFonts w:ascii="Times New Roman" w:hAnsi="Times New Roman" w:cs="Times New Roman"/>
        </w:rPr>
        <w:t xml:space="preserve"> assessment endpoints</w:t>
      </w:r>
      <w:r w:rsidR="003B153F" w:rsidRPr="00BB5241">
        <w:rPr>
          <w:rFonts w:ascii="Times New Roman" w:hAnsi="Times New Roman" w:cs="Times New Roman"/>
        </w:rPr>
        <w:t xml:space="preserve"> related to biodiversity</w:t>
      </w:r>
      <w:r w:rsidR="00E02702" w:rsidRPr="00BB5241">
        <w:rPr>
          <w:rFonts w:ascii="Times New Roman" w:hAnsi="Times New Roman" w:cs="Times New Roman"/>
        </w:rPr>
        <w:t xml:space="preserve">. This </w:t>
      </w:r>
      <w:r w:rsidR="009A3BF9" w:rsidRPr="00BB5241">
        <w:rPr>
          <w:rFonts w:ascii="Times New Roman" w:hAnsi="Times New Roman" w:cs="Times New Roman"/>
        </w:rPr>
        <w:t xml:space="preserve">could </w:t>
      </w:r>
      <w:r w:rsidR="00E02702" w:rsidRPr="00BB5241">
        <w:rPr>
          <w:rFonts w:ascii="Times New Roman" w:hAnsi="Times New Roman" w:cs="Times New Roman"/>
        </w:rPr>
        <w:t>include assessing the consequences of the reduction of</w:t>
      </w:r>
      <w:r w:rsidR="00E80E30" w:rsidRPr="00BB5241">
        <w:rPr>
          <w:rFonts w:ascii="Times New Roman" w:hAnsi="Times New Roman" w:cs="Times New Roman"/>
        </w:rPr>
        <w:t xml:space="preserve"> EGD-LMO</w:t>
      </w:r>
      <w:r w:rsidR="00E02702" w:rsidRPr="00BB5241">
        <w:rPr>
          <w:rFonts w:ascii="Times New Roman" w:hAnsi="Times New Roman" w:cs="Times New Roman"/>
        </w:rPr>
        <w:t xml:space="preserve"> abundance on predators, </w:t>
      </w:r>
      <w:proofErr w:type="gramStart"/>
      <w:r w:rsidR="00E02702" w:rsidRPr="00BB5241">
        <w:rPr>
          <w:rFonts w:ascii="Times New Roman" w:hAnsi="Times New Roman" w:cs="Times New Roman"/>
        </w:rPr>
        <w:t>competitors</w:t>
      </w:r>
      <w:proofErr w:type="gramEnd"/>
      <w:r w:rsidR="00E02702" w:rsidRPr="00BB5241">
        <w:rPr>
          <w:rFonts w:ascii="Times New Roman" w:hAnsi="Times New Roman" w:cs="Times New Roman"/>
        </w:rPr>
        <w:t xml:space="preserve"> or prey, as well as the potential replacement of ecological niches by other organisms within the </w:t>
      </w:r>
      <w:r w:rsidR="001A6A0E" w:rsidRPr="00F10AC2">
        <w:rPr>
          <w:rFonts w:ascii="Times New Roman" w:hAnsi="Times New Roman" w:cs="Times New Roman"/>
          <w:color w:val="000000" w:themeColor="text1"/>
        </w:rPr>
        <w:t>likely potential</w:t>
      </w:r>
      <w:r w:rsidR="00E02702" w:rsidRPr="00BB5241">
        <w:rPr>
          <w:rFonts w:ascii="Times New Roman" w:hAnsi="Times New Roman" w:cs="Times New Roman"/>
        </w:rPr>
        <w:t xml:space="preserve"> receiving environment.</w:t>
      </w:r>
    </w:p>
    <w:p w14:paraId="5387C6AC" w14:textId="02649614" w:rsidR="00DC2E53" w:rsidRPr="00BB5241" w:rsidRDefault="00FE0D3D" w:rsidP="00212686">
      <w:pPr>
        <w:spacing w:line="276" w:lineRule="auto"/>
        <w:jc w:val="both"/>
        <w:rPr>
          <w:rFonts w:ascii="Times New Roman" w:hAnsi="Times New Roman" w:cs="Times New Roman"/>
          <w:strike/>
        </w:rPr>
      </w:pPr>
      <w:r w:rsidRPr="00BB5241">
        <w:rPr>
          <w:rFonts w:ascii="Times New Roman" w:hAnsi="Times New Roman" w:cs="Times New Roman"/>
        </w:rPr>
        <w:t>In practice</w:t>
      </w:r>
      <w:r w:rsidR="00E02702" w:rsidRPr="00BB5241">
        <w:rPr>
          <w:rFonts w:ascii="Times New Roman" w:hAnsi="Times New Roman" w:cs="Times New Roman"/>
        </w:rPr>
        <w:t xml:space="preserve">, a </w:t>
      </w:r>
      <w:r w:rsidR="005430B6" w:rsidRPr="00BB5241">
        <w:rPr>
          <w:rFonts w:ascii="Times New Roman" w:hAnsi="Times New Roman" w:cs="Times New Roman"/>
        </w:rPr>
        <w:t xml:space="preserve">careful first scrutiny of the pathway to harm can usually help </w:t>
      </w:r>
      <w:r w:rsidR="008A1DA0" w:rsidRPr="00BB5241">
        <w:rPr>
          <w:rFonts w:ascii="Times New Roman" w:hAnsi="Times New Roman" w:cs="Times New Roman"/>
        </w:rPr>
        <w:t xml:space="preserve">to </w:t>
      </w:r>
      <w:r w:rsidR="005430B6" w:rsidRPr="00BB5241">
        <w:rPr>
          <w:rFonts w:ascii="Times New Roman" w:hAnsi="Times New Roman" w:cs="Times New Roman"/>
        </w:rPr>
        <w:t xml:space="preserve">identify which of the risk hypotheses may be the most decisive or easiest to </w:t>
      </w:r>
      <w:r w:rsidR="00E82D41" w:rsidRPr="00BB5241">
        <w:rPr>
          <w:rFonts w:ascii="Times New Roman" w:hAnsi="Times New Roman" w:cs="Times New Roman"/>
        </w:rPr>
        <w:t>test</w:t>
      </w:r>
      <w:r w:rsidR="00F85C4F" w:rsidRPr="00BB5241">
        <w:rPr>
          <w:rFonts w:ascii="Times New Roman" w:hAnsi="Times New Roman" w:cs="Times New Roman"/>
        </w:rPr>
        <w:t>,</w:t>
      </w:r>
      <w:r w:rsidR="00E82D41" w:rsidRPr="00BB5241">
        <w:rPr>
          <w:rFonts w:ascii="Times New Roman" w:hAnsi="Times New Roman" w:cs="Times New Roman"/>
        </w:rPr>
        <w:t xml:space="preserve"> while minimising uncertainty</w:t>
      </w:r>
      <w:r w:rsidR="005430B6" w:rsidRPr="00BB5241">
        <w:rPr>
          <w:rFonts w:ascii="Times New Roman" w:hAnsi="Times New Roman" w:cs="Times New Roman"/>
        </w:rPr>
        <w:t xml:space="preserve">. A particularly useful feature of this analysis is that it decisively determines with sufficient confidence </w:t>
      </w:r>
      <w:r w:rsidR="00E82D41" w:rsidRPr="00BB5241">
        <w:rPr>
          <w:rFonts w:ascii="Times New Roman" w:hAnsi="Times New Roman" w:cs="Times New Roman"/>
        </w:rPr>
        <w:t xml:space="preserve">if a </w:t>
      </w:r>
      <w:r w:rsidR="005430B6" w:rsidRPr="00BB5241">
        <w:rPr>
          <w:rFonts w:ascii="Times New Roman" w:hAnsi="Times New Roman" w:cs="Times New Roman"/>
        </w:rPr>
        <w:t xml:space="preserve">critical step </w:t>
      </w:r>
      <w:r w:rsidR="00E82D41" w:rsidRPr="00BB5241">
        <w:rPr>
          <w:rFonts w:ascii="Times New Roman" w:hAnsi="Times New Roman" w:cs="Times New Roman"/>
        </w:rPr>
        <w:t xml:space="preserve">is </w:t>
      </w:r>
      <w:r w:rsidR="005430B6" w:rsidRPr="00BB5241">
        <w:rPr>
          <w:rFonts w:ascii="Times New Roman" w:hAnsi="Times New Roman" w:cs="Times New Roman"/>
        </w:rPr>
        <w:t>highly unlikely</w:t>
      </w:r>
      <w:r w:rsidR="003C3EBE" w:rsidRPr="00BB5241">
        <w:rPr>
          <w:rFonts w:ascii="Times New Roman" w:hAnsi="Times New Roman" w:cs="Times New Roman"/>
        </w:rPr>
        <w:t xml:space="preserve"> or not.</w:t>
      </w:r>
      <w:r w:rsidR="004F0D06" w:rsidRPr="00BB5241">
        <w:rPr>
          <w:rFonts w:ascii="Times New Roman" w:hAnsi="Times New Roman" w:cs="Times New Roman"/>
        </w:rPr>
        <w:t xml:space="preserve"> </w:t>
      </w:r>
      <w:r w:rsidR="003C3EBE" w:rsidRPr="00BB5241">
        <w:rPr>
          <w:rFonts w:ascii="Times New Roman" w:hAnsi="Times New Roman" w:cs="Times New Roman"/>
        </w:rPr>
        <w:t xml:space="preserve">If one step in the pathway is highly unlikely </w:t>
      </w:r>
      <w:r w:rsidR="003C3EBE" w:rsidRPr="00BB5241">
        <w:rPr>
          <w:rFonts w:ascii="Times New Roman" w:hAnsi="Times New Roman" w:cs="Times New Roman"/>
          <w:highlight w:val="white"/>
        </w:rPr>
        <w:t xml:space="preserve">this </w:t>
      </w:r>
      <w:r w:rsidR="005430B6" w:rsidRPr="00BB5241">
        <w:rPr>
          <w:rFonts w:ascii="Times New Roman" w:hAnsi="Times New Roman" w:cs="Times New Roman"/>
          <w:highlight w:val="white"/>
        </w:rPr>
        <w:t xml:space="preserve">would cause the entire pathway to harm to be </w:t>
      </w:r>
      <w:r w:rsidR="003C3EBE" w:rsidRPr="00BB5241">
        <w:rPr>
          <w:rFonts w:ascii="Times New Roman" w:hAnsi="Times New Roman" w:cs="Times New Roman"/>
          <w:highlight w:val="white"/>
        </w:rPr>
        <w:t>equally unlikely</w:t>
      </w:r>
      <w:r w:rsidR="005430B6" w:rsidRPr="00BB5241">
        <w:rPr>
          <w:rFonts w:ascii="Times New Roman" w:hAnsi="Times New Roman" w:cs="Times New Roman"/>
          <w:highlight w:val="white"/>
        </w:rPr>
        <w:t>.</w:t>
      </w:r>
    </w:p>
    <w:p w14:paraId="1ADDA002" w14:textId="7B54BD2C" w:rsidR="00DC2E53" w:rsidRPr="00BB5241" w:rsidRDefault="005430B6" w:rsidP="00212686">
      <w:pPr>
        <w:spacing w:line="276" w:lineRule="auto"/>
        <w:jc w:val="both"/>
        <w:rPr>
          <w:rFonts w:ascii="Times New Roman" w:hAnsi="Times New Roman" w:cs="Times New Roman"/>
          <w:highlight w:val="white"/>
        </w:rPr>
      </w:pPr>
      <w:r w:rsidRPr="00BB5241">
        <w:rPr>
          <w:rFonts w:ascii="Times New Roman" w:hAnsi="Times New Roman" w:cs="Times New Roman"/>
        </w:rPr>
        <w:t>There may be cases for which the available evidence may not be sufficient to show that the pathway is blocked at any step. The testing of each step in</w:t>
      </w:r>
      <w:r w:rsidR="008A1DA0" w:rsidRPr="00BB5241">
        <w:rPr>
          <w:rFonts w:ascii="Times New Roman" w:hAnsi="Times New Roman" w:cs="Times New Roman"/>
        </w:rPr>
        <w:t xml:space="preserve"> the pathway to harm will help </w:t>
      </w:r>
      <w:r w:rsidRPr="00BB5241">
        <w:rPr>
          <w:rFonts w:ascii="Times New Roman" w:hAnsi="Times New Roman" w:cs="Times New Roman"/>
        </w:rPr>
        <w:t>to assess the probability of each step to occur</w:t>
      </w:r>
      <w:r w:rsidR="00F806F0" w:rsidRPr="00BB5241">
        <w:rPr>
          <w:rFonts w:ascii="Times New Roman" w:hAnsi="Times New Roman" w:cs="Times New Roman"/>
        </w:rPr>
        <w:t>, the severity of outcomes</w:t>
      </w:r>
      <w:r w:rsidRPr="00BB5241">
        <w:rPr>
          <w:rFonts w:ascii="Times New Roman" w:hAnsi="Times New Roman" w:cs="Times New Roman"/>
        </w:rPr>
        <w:t xml:space="preserve"> and the associated level of uncertainty, and thus </w:t>
      </w:r>
      <w:r w:rsidR="00986487" w:rsidRPr="00BB5241">
        <w:rPr>
          <w:rFonts w:ascii="Times New Roman" w:hAnsi="Times New Roman" w:cs="Times New Roman"/>
        </w:rPr>
        <w:t xml:space="preserve">a </w:t>
      </w:r>
      <w:r w:rsidR="00986487" w:rsidRPr="00204D69">
        <w:rPr>
          <w:rFonts w:ascii="Times New Roman" w:hAnsi="Times New Roman" w:cs="Times New Roman"/>
        </w:rPr>
        <w:t>hazard</w:t>
      </w:r>
      <w:r w:rsidRPr="00BB5241">
        <w:rPr>
          <w:rFonts w:ascii="Times New Roman" w:hAnsi="Times New Roman" w:cs="Times New Roman"/>
        </w:rPr>
        <w:t xml:space="preserve"> to be realised through the postulated pathway to harm. </w:t>
      </w:r>
      <w:r w:rsidR="004F0D06" w:rsidRPr="00BB5241">
        <w:rPr>
          <w:rFonts w:ascii="Times New Roman" w:hAnsi="Times New Roman" w:cs="Times New Roman"/>
        </w:rPr>
        <w:t>In some cases</w:t>
      </w:r>
      <w:r w:rsidR="00302001" w:rsidRPr="00BB5241">
        <w:rPr>
          <w:rFonts w:ascii="Times New Roman" w:hAnsi="Times New Roman" w:cs="Times New Roman"/>
        </w:rPr>
        <w:t>,</w:t>
      </w:r>
      <w:r w:rsidR="004F0D06" w:rsidRPr="00BB5241">
        <w:rPr>
          <w:rFonts w:ascii="Times New Roman" w:hAnsi="Times New Roman" w:cs="Times New Roman"/>
        </w:rPr>
        <w:t xml:space="preserve"> e</w:t>
      </w:r>
      <w:r w:rsidR="004F0D06" w:rsidRPr="00204D69">
        <w:rPr>
          <w:rFonts w:ascii="Times New Roman" w:hAnsi="Times New Roman" w:cs="Times New Roman"/>
        </w:rPr>
        <w:t xml:space="preserve">vidence from a series of risk hypotheses may together produce weight of evidence to indicate rejection or acceptance of that </w:t>
      </w:r>
      <w:r w:rsidR="004F0D06" w:rsidRPr="00BB5241">
        <w:rPr>
          <w:rFonts w:ascii="Times New Roman" w:hAnsi="Times New Roman" w:cs="Times New Roman"/>
          <w:highlight w:val="white"/>
        </w:rPr>
        <w:t>pathway</w:t>
      </w:r>
      <w:r w:rsidR="00C03AA8" w:rsidRPr="00BB5241">
        <w:rPr>
          <w:rFonts w:ascii="Times New Roman" w:hAnsi="Times New Roman" w:cs="Times New Roman"/>
          <w:highlight w:val="white"/>
        </w:rPr>
        <w:t xml:space="preserve"> or </w:t>
      </w:r>
      <w:r w:rsidR="00C03AA8" w:rsidRPr="00BB5241">
        <w:rPr>
          <w:rFonts w:ascii="Times New Roman" w:hAnsi="Times New Roman" w:cs="Times New Roman"/>
        </w:rPr>
        <w:t>uncertainty may be so high that no reliable conclusions can be drawn.</w:t>
      </w:r>
    </w:p>
    <w:p w14:paraId="4350394E" w14:textId="67C1B18E" w:rsidR="00DC2E53" w:rsidRDefault="005430B6" w:rsidP="00212686">
      <w:pPr>
        <w:spacing w:line="276" w:lineRule="auto"/>
        <w:jc w:val="both"/>
        <w:rPr>
          <w:rFonts w:ascii="Times New Roman" w:hAnsi="Times New Roman" w:cs="Times New Roman"/>
        </w:rPr>
      </w:pPr>
      <w:r w:rsidRPr="24ADC2D6">
        <w:rPr>
          <w:rFonts w:ascii="Times New Roman" w:hAnsi="Times New Roman" w:cs="Times New Roman"/>
        </w:rPr>
        <w:t xml:space="preserve">Some pathways to harm may need to be re-examined on a case-by-case basis, as new or altered pathways to harm may be identified as the scientific evidence base expands. Therefore, some pathways to harm are likely to </w:t>
      </w:r>
      <w:r w:rsidR="007D1163" w:rsidRPr="24ADC2D6">
        <w:rPr>
          <w:rFonts w:ascii="Times New Roman" w:hAnsi="Times New Roman" w:cs="Times New Roman"/>
        </w:rPr>
        <w:t xml:space="preserve">be </w:t>
      </w:r>
      <w:r w:rsidRPr="24ADC2D6">
        <w:rPr>
          <w:rFonts w:ascii="Times New Roman" w:hAnsi="Times New Roman" w:cs="Times New Roman"/>
        </w:rPr>
        <w:t xml:space="preserve">revised and updated periodically, with feedback from stakeholders and the wider scientific community. </w:t>
      </w:r>
    </w:p>
    <w:tbl>
      <w:tblPr>
        <w:tblStyle w:val="TableGrid"/>
        <w:tblW w:w="0" w:type="auto"/>
        <w:tblLook w:val="04A0" w:firstRow="1" w:lastRow="0" w:firstColumn="1" w:lastColumn="0" w:noHBand="0" w:noVBand="1"/>
      </w:tblPr>
      <w:tblGrid>
        <w:gridCol w:w="9016"/>
      </w:tblGrid>
      <w:tr w:rsidR="00554C89" w14:paraId="26763410" w14:textId="77777777" w:rsidTr="00554C89">
        <w:tc>
          <w:tcPr>
            <w:tcW w:w="9016" w:type="dxa"/>
          </w:tcPr>
          <w:p w14:paraId="796BF9A1" w14:textId="4E16D26B" w:rsidR="00554C89" w:rsidRPr="000B71E5" w:rsidRDefault="00825C2B" w:rsidP="00554C89">
            <w:pPr>
              <w:pStyle w:val="Default"/>
              <w:spacing w:line="276" w:lineRule="auto"/>
              <w:rPr>
                <w:rFonts w:asciiTheme="majorEastAsia" w:hAnsiTheme="majorEastAsia" w:cstheme="majorEastAsia"/>
                <w:sz w:val="18"/>
                <w:szCs w:val="18"/>
              </w:rPr>
            </w:pPr>
            <w:r w:rsidRPr="00091D71">
              <w:rPr>
                <w:rFonts w:asciiTheme="majorEastAsia" w:hAnsiTheme="majorEastAsia" w:cstheme="majorEastAsia"/>
                <w:b/>
                <w:sz w:val="20"/>
                <w:szCs w:val="20"/>
              </w:rPr>
              <w:lastRenderedPageBreak/>
              <w:t>Mosquitoes:</w:t>
            </w:r>
            <w:r w:rsidR="00554C89" w:rsidRPr="000B71E5">
              <w:rPr>
                <w:rFonts w:asciiTheme="majorEastAsia" w:hAnsiTheme="majorEastAsia" w:cstheme="majorEastAsia"/>
                <w:noProof/>
                <w:sz w:val="18"/>
                <w:szCs w:val="18"/>
              </w:rPr>
              <w:drawing>
                <wp:inline distT="0" distB="0" distL="0" distR="0" wp14:anchorId="375F7BB9" wp14:editId="7849D219">
                  <wp:extent cx="5556250" cy="3975084"/>
                  <wp:effectExtent l="0" t="0" r="6350" b="6985"/>
                  <wp:docPr id="41580002" name="Picture 1" descr="A diagram of a risk fac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80002" name="Picture 1" descr="A diagram of a risk factor&#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5562654" cy="3979666"/>
                          </a:xfrm>
                          <a:prstGeom prst="rect">
                            <a:avLst/>
                          </a:prstGeom>
                          <a:noFill/>
                          <a:ln>
                            <a:noFill/>
                          </a:ln>
                        </pic:spPr>
                      </pic:pic>
                    </a:graphicData>
                  </a:graphic>
                </wp:inline>
              </w:drawing>
            </w:r>
          </w:p>
          <w:p w14:paraId="3E5481C3" w14:textId="28D7DBCB" w:rsidR="00554C89" w:rsidRPr="000B71E5" w:rsidRDefault="00554C89" w:rsidP="00554C89">
            <w:pPr>
              <w:pStyle w:val="Default"/>
              <w:spacing w:line="276" w:lineRule="auto"/>
              <w:rPr>
                <w:rFonts w:asciiTheme="majorEastAsia" w:hAnsiTheme="majorEastAsia" w:cstheme="majorEastAsia"/>
                <w:color w:val="000000" w:themeColor="text1"/>
                <w:sz w:val="18"/>
                <w:szCs w:val="18"/>
              </w:rPr>
            </w:pPr>
            <w:r w:rsidRPr="000B71E5">
              <w:rPr>
                <w:rFonts w:asciiTheme="majorEastAsia" w:hAnsiTheme="majorEastAsia" w:cstheme="majorEastAsia"/>
                <w:b/>
                <w:color w:val="000000" w:themeColor="text1"/>
                <w:sz w:val="18"/>
                <w:szCs w:val="18"/>
              </w:rPr>
              <w:t>Figure 2</w:t>
            </w:r>
            <w:r w:rsidR="00FD64B7">
              <w:rPr>
                <w:rFonts w:asciiTheme="majorEastAsia" w:hAnsiTheme="majorEastAsia" w:cstheme="majorEastAsia"/>
                <w:color w:val="000000" w:themeColor="text1"/>
                <w:sz w:val="18"/>
                <w:szCs w:val="18"/>
              </w:rPr>
              <w:t>.</w:t>
            </w:r>
            <w:r w:rsidRPr="000B71E5">
              <w:rPr>
                <w:rFonts w:asciiTheme="majorEastAsia" w:hAnsiTheme="majorEastAsia" w:cstheme="majorEastAsia"/>
                <w:color w:val="000000" w:themeColor="text1"/>
                <w:sz w:val="18"/>
                <w:szCs w:val="18"/>
              </w:rPr>
              <w:t xml:space="preserve"> An illustrative pathway to harm and how to test the underlying risk </w:t>
            </w:r>
            <w:proofErr w:type="gramStart"/>
            <w:r w:rsidRPr="000B71E5">
              <w:rPr>
                <w:rFonts w:asciiTheme="majorEastAsia" w:hAnsiTheme="majorEastAsia" w:cstheme="majorEastAsia"/>
                <w:color w:val="000000" w:themeColor="text1"/>
                <w:sz w:val="18"/>
                <w:szCs w:val="18"/>
              </w:rPr>
              <w:t>hypotheses</w:t>
            </w:r>
            <w:proofErr w:type="gramEnd"/>
            <w:r w:rsidRPr="000B71E5">
              <w:rPr>
                <w:rFonts w:asciiTheme="majorEastAsia" w:hAnsiTheme="majorEastAsia" w:cstheme="majorEastAsia"/>
                <w:color w:val="000000" w:themeColor="text1"/>
                <w:sz w:val="18"/>
                <w:szCs w:val="18"/>
              </w:rPr>
              <w:t xml:space="preserve"> </w:t>
            </w:r>
          </w:p>
          <w:p w14:paraId="4B02DB73" w14:textId="48D1BF3A" w:rsidR="00554C89" w:rsidRPr="000B71E5" w:rsidRDefault="00554C89" w:rsidP="00554C89">
            <w:pPr>
              <w:pStyle w:val="Default"/>
              <w:spacing w:line="276" w:lineRule="auto"/>
              <w:rPr>
                <w:rFonts w:asciiTheme="majorEastAsia" w:hAnsiTheme="majorEastAsia" w:cstheme="majorEastAsia"/>
                <w:color w:val="000000" w:themeColor="text1"/>
                <w:sz w:val="18"/>
                <w:szCs w:val="18"/>
              </w:rPr>
            </w:pPr>
            <w:r w:rsidRPr="000B71E5">
              <w:rPr>
                <w:rFonts w:asciiTheme="majorEastAsia" w:hAnsiTheme="majorEastAsia" w:cstheme="majorEastAsia"/>
                <w:color w:val="000000" w:themeColor="text1"/>
                <w:sz w:val="18"/>
                <w:szCs w:val="18"/>
              </w:rPr>
              <w:t>This figure presents a pathway to harm by which the consumption of EGD-LMM adults by insectivorous bats could have toxic properties to the bats. In this example, insectivorous bats feed on EGD-LMM adults potentially causing acute or chronic toxicological effects to the bats, which in turn reduces their abundance significantly, leading to a reduction in the ecosystem services they provide such as biological (pest) control, pollination (</w:t>
            </w:r>
            <w:r w:rsidRPr="00204D69">
              <w:rPr>
                <w:rFonts w:asciiTheme="majorEastAsia" w:hAnsiTheme="majorEastAsia" w:cstheme="majorEastAsia"/>
                <w:color w:val="000000" w:themeColor="text1"/>
                <w:sz w:val="18"/>
                <w:szCs w:val="18"/>
              </w:rPr>
              <w:t>Connolly and others, 2021</w:t>
            </w:r>
            <w:r w:rsidRPr="000B71E5">
              <w:rPr>
                <w:rFonts w:asciiTheme="majorEastAsia" w:hAnsiTheme="majorEastAsia" w:cstheme="majorEastAsia"/>
                <w:color w:val="000000" w:themeColor="text1"/>
                <w:sz w:val="18"/>
                <w:szCs w:val="18"/>
              </w:rPr>
              <w:t xml:space="preserve">; </w:t>
            </w:r>
            <w:r w:rsidRPr="00204D69">
              <w:rPr>
                <w:rFonts w:asciiTheme="majorEastAsia" w:hAnsiTheme="majorEastAsia" w:cstheme="majorEastAsia"/>
                <w:color w:val="000000" w:themeColor="text1"/>
                <w:sz w:val="18"/>
                <w:szCs w:val="18"/>
              </w:rPr>
              <w:t>Ramírez-</w:t>
            </w:r>
            <w:proofErr w:type="spellStart"/>
            <w:r w:rsidRPr="00204D69">
              <w:rPr>
                <w:rFonts w:asciiTheme="majorEastAsia" w:hAnsiTheme="majorEastAsia" w:cstheme="majorEastAsia"/>
                <w:color w:val="000000" w:themeColor="text1"/>
                <w:sz w:val="18"/>
                <w:szCs w:val="18"/>
              </w:rPr>
              <w:t>Fráncel</w:t>
            </w:r>
            <w:proofErr w:type="spellEnd"/>
            <w:r w:rsidRPr="00204D69">
              <w:rPr>
                <w:rFonts w:asciiTheme="majorEastAsia" w:hAnsiTheme="majorEastAsia" w:cstheme="majorEastAsia"/>
                <w:color w:val="000000" w:themeColor="text1"/>
                <w:sz w:val="18"/>
                <w:szCs w:val="18"/>
              </w:rPr>
              <w:t xml:space="preserve"> and others, 2022)</w:t>
            </w:r>
            <w:r w:rsidRPr="000B71E5">
              <w:rPr>
                <w:rFonts w:asciiTheme="majorEastAsia" w:hAnsiTheme="majorEastAsia" w:cstheme="majorEastAsia"/>
                <w:color w:val="000000" w:themeColor="text1"/>
                <w:sz w:val="18"/>
                <w:szCs w:val="18"/>
              </w:rPr>
              <w:t xml:space="preserve"> and cultural services (e.g., the value of biological diversity and the relationship with land, waters and territories for </w:t>
            </w:r>
            <w:r w:rsidR="00B614EB" w:rsidRPr="00B614EB">
              <w:rPr>
                <w:rFonts w:asciiTheme="majorEastAsia" w:hAnsiTheme="majorEastAsia" w:cstheme="majorEastAsia"/>
                <w:color w:val="000000" w:themeColor="text1"/>
                <w:sz w:val="18"/>
                <w:szCs w:val="18"/>
              </w:rPr>
              <w:t>indigenous peoples and local communitie</w:t>
            </w:r>
            <w:r w:rsidRPr="000B71E5">
              <w:rPr>
                <w:rFonts w:asciiTheme="majorEastAsia" w:hAnsiTheme="majorEastAsia" w:cstheme="majorEastAsia" w:hint="eastAsia"/>
                <w:color w:val="000000" w:themeColor="text1"/>
                <w:sz w:val="18"/>
                <w:szCs w:val="18"/>
              </w:rPr>
              <w:t xml:space="preserve">s). </w:t>
            </w:r>
          </w:p>
          <w:p w14:paraId="47A99ACD" w14:textId="77777777" w:rsidR="00554C89" w:rsidRPr="000B71E5" w:rsidRDefault="00554C89" w:rsidP="00554C89">
            <w:pPr>
              <w:pStyle w:val="Default"/>
              <w:spacing w:line="276" w:lineRule="auto"/>
              <w:rPr>
                <w:rFonts w:asciiTheme="majorEastAsia" w:hAnsiTheme="majorEastAsia" w:cstheme="majorEastAsia"/>
                <w:color w:val="000000" w:themeColor="text1"/>
                <w:sz w:val="18"/>
                <w:szCs w:val="18"/>
              </w:rPr>
            </w:pPr>
            <w:r w:rsidRPr="000B71E5">
              <w:rPr>
                <w:rFonts w:asciiTheme="majorEastAsia" w:hAnsiTheme="majorEastAsia" w:cstheme="majorEastAsia"/>
                <w:color w:val="000000" w:themeColor="text1"/>
                <w:sz w:val="18"/>
                <w:szCs w:val="18"/>
              </w:rPr>
              <w:t xml:space="preserve">The protection goal chosen for illustration was ecosystem services (i.e., biological (pest) control, </w:t>
            </w:r>
            <w:proofErr w:type="gramStart"/>
            <w:r w:rsidRPr="000B71E5">
              <w:rPr>
                <w:rFonts w:asciiTheme="majorEastAsia" w:hAnsiTheme="majorEastAsia" w:cstheme="majorEastAsia"/>
                <w:color w:val="000000" w:themeColor="text1"/>
                <w:sz w:val="18"/>
                <w:szCs w:val="18"/>
              </w:rPr>
              <w:t>pollination</w:t>
            </w:r>
            <w:proofErr w:type="gramEnd"/>
            <w:r w:rsidRPr="000B71E5">
              <w:rPr>
                <w:rFonts w:asciiTheme="majorEastAsia" w:hAnsiTheme="majorEastAsia" w:cstheme="majorEastAsia"/>
                <w:color w:val="000000" w:themeColor="text1"/>
                <w:sz w:val="18"/>
                <w:szCs w:val="18"/>
              </w:rPr>
              <w:t xml:space="preserve"> and cultural services) and more specifically within that the assessment endpoint of bat abundance. The plausible pathway describes steps by which the intentional release of EGD-LMMs could adversely impact this assessment endpoint via acute or chronic toxicity through consumption of EGD-LMM adults. </w:t>
            </w:r>
          </w:p>
          <w:p w14:paraId="5A3E6359" w14:textId="5E418427" w:rsidR="00554C89" w:rsidRPr="000B71E5" w:rsidRDefault="00554C89" w:rsidP="00FB333D">
            <w:pPr>
              <w:pStyle w:val="Default"/>
              <w:spacing w:line="276" w:lineRule="auto"/>
              <w:rPr>
                <w:rFonts w:asciiTheme="majorEastAsia" w:hAnsiTheme="majorEastAsia" w:cstheme="majorEastAsia"/>
                <w:color w:val="000000" w:themeColor="text1"/>
                <w:sz w:val="18"/>
                <w:szCs w:val="18"/>
              </w:rPr>
            </w:pPr>
            <w:r w:rsidRPr="000B71E5">
              <w:rPr>
                <w:rFonts w:asciiTheme="majorEastAsia" w:hAnsiTheme="majorEastAsia" w:cstheme="majorEastAsia"/>
                <w:color w:val="000000" w:themeColor="text1"/>
                <w:sz w:val="18"/>
                <w:szCs w:val="18"/>
              </w:rPr>
              <w:t>A risk hypothesis was built around this step in the pathway and methods were explored by which data and information could be obtained to test it. The methods proposed are illustrate examples. Alternative methods to test the risk hypothesis could be considered on a case-by-case basis.</w:t>
            </w:r>
          </w:p>
        </w:tc>
      </w:tr>
    </w:tbl>
    <w:p w14:paraId="71451EE9" w14:textId="77777777" w:rsidR="00554C89" w:rsidRPr="00BB5241" w:rsidRDefault="00554C89" w:rsidP="00212686">
      <w:pPr>
        <w:spacing w:line="276"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825C2B" w14:paraId="50FFE0A8" w14:textId="77777777" w:rsidTr="00825C2B">
        <w:tc>
          <w:tcPr>
            <w:tcW w:w="9016" w:type="dxa"/>
          </w:tcPr>
          <w:p w14:paraId="3E697BED" w14:textId="77777777" w:rsidR="00825C2B" w:rsidRPr="00091D71" w:rsidRDefault="00825C2B" w:rsidP="00825C2B">
            <w:pPr>
              <w:pStyle w:val="Default"/>
              <w:spacing w:after="0" w:line="276" w:lineRule="auto"/>
              <w:rPr>
                <w:rFonts w:asciiTheme="majorEastAsia" w:hAnsiTheme="majorEastAsia" w:cstheme="majorEastAsia"/>
                <w:b/>
                <w:color w:val="000000" w:themeColor="text1"/>
                <w:sz w:val="20"/>
                <w:szCs w:val="20"/>
              </w:rPr>
            </w:pPr>
            <w:r w:rsidRPr="00091D71">
              <w:rPr>
                <w:rFonts w:asciiTheme="majorEastAsia" w:hAnsiTheme="majorEastAsia" w:cstheme="majorEastAsia"/>
                <w:b/>
                <w:color w:val="000000" w:themeColor="text1"/>
                <w:sz w:val="20"/>
                <w:szCs w:val="20"/>
              </w:rPr>
              <w:t>Mosquitoes:</w:t>
            </w:r>
          </w:p>
          <w:p w14:paraId="511FE0E8" w14:textId="03A69300" w:rsidR="00825C2B" w:rsidRPr="00091D71" w:rsidRDefault="00825C2B" w:rsidP="00825C2B">
            <w:pPr>
              <w:pStyle w:val="Default"/>
              <w:spacing w:after="0" w:line="276" w:lineRule="auto"/>
              <w:rPr>
                <w:rFonts w:asciiTheme="majorEastAsia" w:hAnsiTheme="majorEastAsia" w:cstheme="majorEastAsia"/>
                <w:b/>
                <w:color w:val="000000" w:themeColor="text1"/>
                <w:sz w:val="20"/>
                <w:szCs w:val="20"/>
              </w:rPr>
            </w:pPr>
            <w:r w:rsidRPr="00091D71">
              <w:rPr>
                <w:rFonts w:asciiTheme="majorEastAsia" w:hAnsiTheme="majorEastAsia" w:cstheme="majorEastAsia"/>
                <w:b/>
                <w:color w:val="000000" w:themeColor="text1"/>
                <w:sz w:val="20"/>
                <w:szCs w:val="20"/>
              </w:rPr>
              <w:t>Illustrative examples of some potential adverse effects</w:t>
            </w:r>
            <w:r w:rsidR="00932142">
              <w:rPr>
                <w:rFonts w:asciiTheme="majorEastAsia" w:hAnsiTheme="majorEastAsia" w:cstheme="majorEastAsia"/>
                <w:b/>
                <w:color w:val="000000" w:themeColor="text1"/>
                <w:sz w:val="20"/>
                <w:szCs w:val="20"/>
              </w:rPr>
              <w:t xml:space="preserve"> of living modified mosquitoes containing engineered gene drives</w:t>
            </w:r>
          </w:p>
          <w:p w14:paraId="4F03F37B" w14:textId="77777777" w:rsidR="00825C2B" w:rsidRPr="000B71E5" w:rsidRDefault="00825C2B" w:rsidP="00825C2B">
            <w:pPr>
              <w:pStyle w:val="Default"/>
              <w:spacing w:after="0" w:line="276" w:lineRule="auto"/>
              <w:rPr>
                <w:rFonts w:asciiTheme="majorEastAsia" w:hAnsiTheme="majorEastAsia" w:cstheme="majorEastAsia"/>
                <w:color w:val="000000" w:themeColor="text1"/>
                <w:sz w:val="18"/>
                <w:szCs w:val="18"/>
              </w:rPr>
            </w:pPr>
            <w:r w:rsidRPr="000B71E5">
              <w:rPr>
                <w:rFonts w:asciiTheme="majorEastAsia" w:hAnsiTheme="majorEastAsia" w:cstheme="majorEastAsia" w:hint="eastAsia"/>
                <w:color w:val="000000" w:themeColor="text1"/>
                <w:sz w:val="18"/>
                <w:szCs w:val="18"/>
              </w:rPr>
              <w:t>The illustrative examples of some potential adverse effects are provided in headings A to C below. These examples are not exhaustive and reflect elements that could be considered in the construction of a pathway to harm.</w:t>
            </w:r>
          </w:p>
          <w:p w14:paraId="65A08F4C" w14:textId="45B32F73" w:rsidR="00825C2B" w:rsidRPr="000B71E5" w:rsidRDefault="00825C2B" w:rsidP="00825C2B">
            <w:pPr>
              <w:pStyle w:val="Default"/>
              <w:spacing w:after="0" w:line="276" w:lineRule="auto"/>
              <w:rPr>
                <w:rFonts w:asciiTheme="majorEastAsia" w:hAnsiTheme="majorEastAsia" w:cstheme="majorEastAsia"/>
                <w:b/>
                <w:color w:val="000000" w:themeColor="text1"/>
                <w:sz w:val="18"/>
                <w:szCs w:val="18"/>
              </w:rPr>
            </w:pPr>
            <w:r w:rsidRPr="000B71E5">
              <w:rPr>
                <w:rFonts w:asciiTheme="majorEastAsia" w:hAnsiTheme="majorEastAsia" w:cstheme="majorEastAsia"/>
                <w:b/>
                <w:color w:val="000000" w:themeColor="text1"/>
                <w:sz w:val="18"/>
                <w:szCs w:val="18"/>
              </w:rPr>
              <w:lastRenderedPageBreak/>
              <w:t xml:space="preserve">A. </w:t>
            </w:r>
            <w:r w:rsidR="00743E72">
              <w:rPr>
                <w:rFonts w:asciiTheme="majorEastAsia" w:hAnsiTheme="majorEastAsia" w:cstheme="majorEastAsia"/>
                <w:b/>
                <w:color w:val="000000" w:themeColor="text1"/>
                <w:sz w:val="18"/>
                <w:szCs w:val="18"/>
              </w:rPr>
              <w:t>Pot</w:t>
            </w:r>
            <w:r w:rsidR="00A91511">
              <w:rPr>
                <w:rFonts w:asciiTheme="majorEastAsia" w:hAnsiTheme="majorEastAsia" w:cstheme="majorEastAsia"/>
                <w:b/>
                <w:color w:val="000000" w:themeColor="text1"/>
                <w:sz w:val="18"/>
                <w:szCs w:val="18"/>
              </w:rPr>
              <w:t>ential a</w:t>
            </w:r>
            <w:r w:rsidRPr="000B71E5">
              <w:rPr>
                <w:rFonts w:asciiTheme="majorEastAsia" w:hAnsiTheme="majorEastAsia" w:cstheme="majorEastAsia"/>
                <w:b/>
                <w:color w:val="000000" w:themeColor="text1"/>
                <w:sz w:val="18"/>
                <w:szCs w:val="18"/>
              </w:rPr>
              <w:t>dverse effects on biodiversity and ecosystem services (niche replacement, competition, disease transmission)</w:t>
            </w:r>
          </w:p>
          <w:p w14:paraId="5BA639BD" w14:textId="77777777" w:rsidR="00825C2B" w:rsidRPr="000B71E5" w:rsidRDefault="00825C2B" w:rsidP="00825C2B">
            <w:pPr>
              <w:pStyle w:val="Default"/>
              <w:spacing w:after="0" w:line="276" w:lineRule="auto"/>
              <w:rPr>
                <w:rFonts w:asciiTheme="majorEastAsia" w:hAnsiTheme="majorEastAsia" w:cstheme="majorEastAsia"/>
                <w:i/>
                <w:color w:val="000000" w:themeColor="text1"/>
                <w:sz w:val="18"/>
                <w:szCs w:val="18"/>
              </w:rPr>
            </w:pPr>
            <w:r w:rsidRPr="000B71E5">
              <w:rPr>
                <w:rFonts w:asciiTheme="majorEastAsia" w:hAnsiTheme="majorEastAsia" w:cstheme="majorEastAsia" w:hint="eastAsia"/>
                <w:i/>
                <w:color w:val="000000" w:themeColor="text1"/>
                <w:sz w:val="18"/>
                <w:szCs w:val="18"/>
              </w:rPr>
              <w:t>Competitive interactions</w:t>
            </w:r>
          </w:p>
          <w:p w14:paraId="1301ED6A" w14:textId="77777777" w:rsidR="00825C2B" w:rsidRPr="000B71E5" w:rsidRDefault="00825C2B" w:rsidP="00825C2B">
            <w:pPr>
              <w:pStyle w:val="Default"/>
              <w:spacing w:after="0" w:line="276" w:lineRule="auto"/>
              <w:rPr>
                <w:rFonts w:asciiTheme="majorEastAsia" w:hAnsiTheme="majorEastAsia" w:cstheme="majorEastAsia"/>
                <w:color w:val="000000" w:themeColor="text1"/>
                <w:sz w:val="18"/>
                <w:szCs w:val="18"/>
              </w:rPr>
            </w:pPr>
            <w:r w:rsidRPr="000B71E5">
              <w:rPr>
                <w:rFonts w:asciiTheme="majorEastAsia" w:hAnsiTheme="majorEastAsia" w:cstheme="majorEastAsia" w:hint="eastAsia"/>
                <w:color w:val="auto"/>
                <w:sz w:val="18"/>
                <w:szCs w:val="18"/>
              </w:rPr>
              <w:t xml:space="preserve">In the case of population suppression (that can eventually be partial and lead to long-term mixed populations of wild type and EGD-LMMs), where the target mosquito population is in competition with a non-target species, its niche, in particular its aquatic habitat which is a rate-limiting resource for mosquito populations, could be filled by another non-target species, in a process known as niche expansion, or niche replacement </w:t>
            </w:r>
            <w:r w:rsidRPr="000B71E5">
              <w:rPr>
                <w:rFonts w:asciiTheme="majorEastAsia" w:hAnsiTheme="majorEastAsia" w:cstheme="majorEastAsia" w:hint="eastAsia"/>
                <w:color w:val="auto"/>
                <w:sz w:val="18"/>
                <w:szCs w:val="18"/>
              </w:rPr>
              <w:fldChar w:fldCharType="begin"/>
            </w:r>
            <w:r w:rsidRPr="000B71E5">
              <w:rPr>
                <w:rFonts w:asciiTheme="majorEastAsia" w:hAnsiTheme="majorEastAsia" w:cstheme="majorEastAsia" w:hint="eastAsia"/>
                <w:color w:val="auto"/>
                <w:sz w:val="18"/>
                <w:szCs w:val="18"/>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0B71E5">
              <w:rPr>
                <w:rFonts w:asciiTheme="majorEastAsia" w:hAnsiTheme="majorEastAsia" w:cstheme="majorEastAsia" w:hint="eastAsia"/>
                <w:color w:val="auto"/>
                <w:sz w:val="18"/>
                <w:szCs w:val="18"/>
              </w:rPr>
              <w:fldChar w:fldCharType="separate"/>
            </w:r>
            <w:r w:rsidRPr="000B71E5">
              <w:rPr>
                <w:rFonts w:asciiTheme="majorEastAsia" w:hAnsiTheme="majorEastAsia" w:cstheme="majorEastAsia" w:hint="eastAsia"/>
                <w:color w:val="auto"/>
                <w:sz w:val="18"/>
                <w:szCs w:val="18"/>
              </w:rPr>
              <w:t>(</w:t>
            </w:r>
            <w:r w:rsidRPr="0098625C">
              <w:rPr>
                <w:rFonts w:asciiTheme="majorEastAsia" w:hAnsiTheme="majorEastAsia" w:cstheme="majorEastAsia" w:hint="eastAsia"/>
                <w:color w:val="auto"/>
                <w:sz w:val="18"/>
                <w:szCs w:val="18"/>
              </w:rPr>
              <w:t xml:space="preserve">Connolly </w:t>
            </w:r>
            <w:r w:rsidRPr="0098625C">
              <w:rPr>
                <w:rFonts w:asciiTheme="majorEastAsia" w:hAnsiTheme="majorEastAsia" w:cstheme="majorEastAsia" w:hint="eastAsia"/>
                <w:sz w:val="18"/>
                <w:szCs w:val="18"/>
              </w:rPr>
              <w:t>and others,</w:t>
            </w:r>
            <w:r w:rsidRPr="0098625C">
              <w:rPr>
                <w:rFonts w:asciiTheme="majorEastAsia" w:hAnsiTheme="majorEastAsia" w:cstheme="majorEastAsia" w:hint="eastAsia"/>
                <w:color w:val="auto"/>
                <w:sz w:val="18"/>
                <w:szCs w:val="18"/>
              </w:rPr>
              <w:t xml:space="preserve"> 2021)</w:t>
            </w:r>
            <w:r w:rsidRPr="000B71E5">
              <w:rPr>
                <w:rFonts w:asciiTheme="majorEastAsia" w:hAnsiTheme="majorEastAsia" w:cstheme="majorEastAsia" w:hint="eastAsia"/>
                <w:color w:val="auto"/>
                <w:sz w:val="18"/>
                <w:szCs w:val="18"/>
              </w:rPr>
              <w:fldChar w:fldCharType="end"/>
            </w:r>
            <w:r w:rsidRPr="000B71E5">
              <w:rPr>
                <w:rFonts w:asciiTheme="majorEastAsia" w:hAnsiTheme="majorEastAsia" w:cstheme="majorEastAsia" w:hint="eastAsia"/>
                <w:color w:val="auto"/>
                <w:sz w:val="18"/>
                <w:szCs w:val="18"/>
              </w:rPr>
              <w:t xml:space="preserve">. If that non-target species is in competition, or predates, or is a species that provides ecosystem services, then this could lead to a reduction in those ecosystem services. If that non-target species is another disease vector, this could lead to increased or novel disease transmission. Niche replacement of one species of </w:t>
            </w:r>
            <w:r w:rsidRPr="000B71E5">
              <w:rPr>
                <w:rFonts w:asciiTheme="majorEastAsia" w:hAnsiTheme="majorEastAsia" w:cstheme="majorEastAsia" w:hint="eastAsia"/>
                <w:i/>
                <w:color w:val="auto"/>
                <w:sz w:val="18"/>
                <w:szCs w:val="18"/>
              </w:rPr>
              <w:t>Anopheles</w:t>
            </w:r>
            <w:r w:rsidRPr="000B71E5">
              <w:rPr>
                <w:rFonts w:asciiTheme="majorEastAsia" w:hAnsiTheme="majorEastAsia" w:cstheme="majorEastAsia" w:hint="eastAsia"/>
                <w:color w:val="auto"/>
                <w:sz w:val="18"/>
                <w:szCs w:val="18"/>
              </w:rPr>
              <w:t xml:space="preserve"> with another has been observed in </w:t>
            </w:r>
            <w:proofErr w:type="gramStart"/>
            <w:r w:rsidRPr="000B71E5">
              <w:rPr>
                <w:rFonts w:asciiTheme="majorEastAsia" w:hAnsiTheme="majorEastAsia" w:cstheme="majorEastAsia" w:hint="eastAsia"/>
                <w:color w:val="auto"/>
                <w:sz w:val="18"/>
                <w:szCs w:val="18"/>
              </w:rPr>
              <w:t>a number of</w:t>
            </w:r>
            <w:proofErr w:type="gramEnd"/>
            <w:r w:rsidRPr="000B71E5">
              <w:rPr>
                <w:rFonts w:asciiTheme="majorEastAsia" w:hAnsiTheme="majorEastAsia" w:cstheme="majorEastAsia" w:hint="eastAsia"/>
                <w:color w:val="auto"/>
                <w:sz w:val="18"/>
                <w:szCs w:val="18"/>
              </w:rPr>
              <w:t xml:space="preserve"> instances when insecticide-based vector control measures have been applied </w:t>
            </w:r>
            <w:r w:rsidRPr="0098625C">
              <w:rPr>
                <w:rFonts w:asciiTheme="majorEastAsia" w:hAnsiTheme="majorEastAsia" w:cstheme="majorEastAsia" w:hint="eastAsia"/>
                <w:color w:val="auto"/>
                <w:sz w:val="18"/>
                <w:szCs w:val="18"/>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98625C">
              <w:rPr>
                <w:rFonts w:asciiTheme="majorEastAsia" w:hAnsiTheme="majorEastAsia" w:cstheme="majorEastAsia" w:hint="eastAsia"/>
                <w:color w:val="auto"/>
                <w:sz w:val="18"/>
                <w:szCs w:val="18"/>
              </w:rPr>
              <w:instrText xml:space="preserve"> ADDIN EN.CITE </w:instrText>
            </w:r>
            <w:r w:rsidRPr="0098625C">
              <w:rPr>
                <w:rFonts w:asciiTheme="majorEastAsia" w:hAnsiTheme="majorEastAsia" w:cstheme="majorEastAsia" w:hint="eastAsia"/>
                <w:color w:val="auto"/>
                <w:sz w:val="18"/>
                <w:szCs w:val="18"/>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98625C">
              <w:rPr>
                <w:rFonts w:asciiTheme="majorEastAsia" w:hAnsiTheme="majorEastAsia" w:cstheme="majorEastAsia" w:hint="eastAsia"/>
                <w:color w:val="auto"/>
                <w:sz w:val="18"/>
                <w:szCs w:val="18"/>
              </w:rPr>
              <w:instrText xml:space="preserve"> ADDIN EN.CITE.DATA </w:instrText>
            </w:r>
            <w:r w:rsidRPr="0098625C">
              <w:rPr>
                <w:rFonts w:asciiTheme="majorEastAsia" w:hAnsiTheme="majorEastAsia" w:cstheme="majorEastAsia" w:hint="eastAsia"/>
                <w:color w:val="auto"/>
                <w:sz w:val="18"/>
                <w:szCs w:val="18"/>
              </w:rPr>
            </w:r>
            <w:r w:rsidRPr="0098625C">
              <w:rPr>
                <w:rFonts w:asciiTheme="majorEastAsia" w:hAnsiTheme="majorEastAsia" w:cstheme="majorEastAsia" w:hint="eastAsia"/>
                <w:color w:val="auto"/>
                <w:sz w:val="18"/>
                <w:szCs w:val="18"/>
              </w:rPr>
              <w:fldChar w:fldCharType="end"/>
            </w:r>
            <w:r w:rsidRPr="0098625C">
              <w:rPr>
                <w:rFonts w:asciiTheme="majorEastAsia" w:hAnsiTheme="majorEastAsia" w:cstheme="majorEastAsia" w:hint="eastAsia"/>
                <w:color w:val="auto"/>
                <w:sz w:val="18"/>
                <w:szCs w:val="18"/>
              </w:rPr>
            </w:r>
            <w:r w:rsidRPr="0098625C">
              <w:rPr>
                <w:rFonts w:asciiTheme="majorEastAsia" w:hAnsiTheme="majorEastAsia" w:cstheme="majorEastAsia" w:hint="eastAsia"/>
                <w:color w:val="auto"/>
                <w:sz w:val="18"/>
                <w:szCs w:val="18"/>
              </w:rPr>
              <w:fldChar w:fldCharType="separate"/>
            </w:r>
            <w:r w:rsidRPr="0098625C">
              <w:rPr>
                <w:rFonts w:asciiTheme="majorEastAsia" w:hAnsiTheme="majorEastAsia" w:cstheme="majorEastAsia" w:hint="eastAsia"/>
                <w:color w:val="auto"/>
                <w:sz w:val="18"/>
                <w:szCs w:val="18"/>
              </w:rPr>
              <w:t>(Qureshi and Connolly, 2021)</w:t>
            </w:r>
            <w:r w:rsidRPr="0098625C">
              <w:rPr>
                <w:rFonts w:asciiTheme="majorEastAsia" w:hAnsiTheme="majorEastAsia" w:cstheme="majorEastAsia" w:hint="eastAsia"/>
                <w:color w:val="auto"/>
                <w:sz w:val="18"/>
                <w:szCs w:val="18"/>
              </w:rPr>
              <w:fldChar w:fldCharType="end"/>
            </w:r>
            <w:r w:rsidRPr="0098625C">
              <w:rPr>
                <w:rFonts w:asciiTheme="majorEastAsia" w:hAnsiTheme="majorEastAsia" w:cstheme="majorEastAsia" w:hint="eastAsia"/>
                <w:color w:val="auto"/>
                <w:sz w:val="18"/>
                <w:szCs w:val="18"/>
              </w:rPr>
              <w:t>.</w:t>
            </w:r>
          </w:p>
          <w:p w14:paraId="4BFDC89C" w14:textId="77777777" w:rsidR="00825C2B" w:rsidRPr="000B71E5" w:rsidRDefault="00825C2B" w:rsidP="00825C2B">
            <w:pPr>
              <w:pStyle w:val="Default"/>
              <w:spacing w:after="0" w:line="276" w:lineRule="auto"/>
              <w:rPr>
                <w:rFonts w:asciiTheme="majorEastAsia" w:hAnsiTheme="majorEastAsia" w:cstheme="majorEastAsia"/>
                <w:color w:val="000000" w:themeColor="text1"/>
                <w:sz w:val="18"/>
                <w:szCs w:val="18"/>
              </w:rPr>
            </w:pPr>
            <w:r w:rsidRPr="000B71E5">
              <w:rPr>
                <w:rFonts w:asciiTheme="majorEastAsia" w:hAnsiTheme="majorEastAsia" w:cstheme="majorEastAsia" w:hint="eastAsia"/>
                <w:color w:val="000000" w:themeColor="text1"/>
                <w:sz w:val="18"/>
                <w:szCs w:val="18"/>
              </w:rPr>
              <w:t>In the case of population replacement, reductions in the abundance of the species of pathogen in target mosquito populations could lead to niche expansion or replacement by non-target species of pathogens. This could potentially lead to increased or novel disease transmission.</w:t>
            </w:r>
          </w:p>
          <w:p w14:paraId="6205DEFD" w14:textId="77777777" w:rsidR="00825C2B" w:rsidRPr="000B71E5" w:rsidRDefault="00825C2B" w:rsidP="00825C2B">
            <w:pPr>
              <w:pStyle w:val="Default"/>
              <w:spacing w:after="0" w:line="276" w:lineRule="auto"/>
              <w:rPr>
                <w:rFonts w:asciiTheme="majorEastAsia" w:hAnsiTheme="majorEastAsia" w:cstheme="majorEastAsia"/>
                <w:i/>
                <w:color w:val="000000" w:themeColor="text1"/>
                <w:sz w:val="18"/>
                <w:szCs w:val="18"/>
              </w:rPr>
            </w:pPr>
            <w:r w:rsidRPr="000B71E5">
              <w:rPr>
                <w:rFonts w:asciiTheme="majorEastAsia" w:hAnsiTheme="majorEastAsia" w:cstheme="majorEastAsia" w:hint="eastAsia"/>
                <w:i/>
                <w:color w:val="000000" w:themeColor="text1"/>
                <w:sz w:val="18"/>
                <w:szCs w:val="18"/>
              </w:rPr>
              <w:t>Predator interactions</w:t>
            </w:r>
          </w:p>
          <w:p w14:paraId="16487358" w14:textId="77777777" w:rsidR="00825C2B" w:rsidRPr="000B71E5" w:rsidRDefault="00825C2B" w:rsidP="00825C2B">
            <w:pPr>
              <w:pStyle w:val="Default"/>
              <w:spacing w:line="276" w:lineRule="auto"/>
              <w:rPr>
                <w:rFonts w:asciiTheme="majorEastAsia" w:hAnsiTheme="majorEastAsia" w:cstheme="majorEastAsia"/>
                <w:color w:val="auto"/>
                <w:sz w:val="18"/>
                <w:szCs w:val="18"/>
              </w:rPr>
            </w:pPr>
            <w:r w:rsidRPr="000B71E5">
              <w:rPr>
                <w:rFonts w:asciiTheme="majorEastAsia" w:hAnsiTheme="majorEastAsia" w:cstheme="majorEastAsia" w:hint="eastAsia"/>
                <w:color w:val="auto"/>
                <w:sz w:val="18"/>
                <w:szCs w:val="18"/>
              </w:rPr>
              <w:t xml:space="preserve">Where target mosquito populations make up a substantial component of the diet of a predator, with population suppression where less prey would be available, or with both population suppression and modification where a predator could avoid consumption of target mosquito populations containing the EGD, the predator would have reduced levels of nutrition from its typical predominant source. This could lead to compensatory consumption by the predator, and consequently, reduced abundance of non-target species that contribute valuable ecosystem services, leading to reduced ecosystem services </w:t>
            </w:r>
            <w:r w:rsidRPr="0098625C">
              <w:rPr>
                <w:rFonts w:asciiTheme="majorEastAsia" w:hAnsiTheme="majorEastAsia" w:cstheme="majorEastAsia" w:hint="eastAsia"/>
                <w:color w:val="auto"/>
                <w:sz w:val="18"/>
                <w:szCs w:val="18"/>
              </w:rPr>
              <w:fldChar w:fldCharType="begin"/>
            </w:r>
            <w:r w:rsidRPr="0098625C">
              <w:rPr>
                <w:rFonts w:asciiTheme="majorEastAsia" w:hAnsiTheme="majorEastAsia" w:cstheme="majorEastAsia" w:hint="eastAsia"/>
                <w:color w:val="auto"/>
                <w:sz w:val="18"/>
                <w:szCs w:val="18"/>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98625C">
              <w:rPr>
                <w:rFonts w:asciiTheme="majorEastAsia" w:hAnsiTheme="majorEastAsia" w:cstheme="majorEastAsia" w:hint="eastAsia"/>
                <w:color w:val="auto"/>
                <w:sz w:val="18"/>
                <w:szCs w:val="18"/>
              </w:rPr>
              <w:fldChar w:fldCharType="separate"/>
            </w:r>
            <w:r w:rsidRPr="0098625C">
              <w:rPr>
                <w:rFonts w:asciiTheme="majorEastAsia" w:hAnsiTheme="majorEastAsia" w:cstheme="majorEastAsia" w:hint="eastAsia"/>
                <w:color w:val="auto"/>
                <w:sz w:val="18"/>
                <w:szCs w:val="18"/>
              </w:rPr>
              <w:t>(Connolly and others, 2021)</w:t>
            </w:r>
            <w:r w:rsidRPr="0098625C">
              <w:rPr>
                <w:rFonts w:asciiTheme="majorEastAsia" w:hAnsiTheme="majorEastAsia" w:cstheme="majorEastAsia" w:hint="eastAsia"/>
                <w:color w:val="auto"/>
                <w:sz w:val="18"/>
                <w:szCs w:val="18"/>
              </w:rPr>
              <w:fldChar w:fldCharType="end"/>
            </w:r>
            <w:r w:rsidRPr="0098625C">
              <w:rPr>
                <w:rFonts w:asciiTheme="majorEastAsia" w:hAnsiTheme="majorEastAsia" w:cstheme="majorEastAsia" w:hint="eastAsia"/>
                <w:color w:val="auto"/>
                <w:sz w:val="18"/>
                <w:szCs w:val="18"/>
              </w:rPr>
              <w:t>.</w:t>
            </w:r>
            <w:r w:rsidRPr="000B71E5">
              <w:rPr>
                <w:rFonts w:asciiTheme="majorEastAsia" w:hAnsiTheme="majorEastAsia" w:cstheme="majorEastAsia" w:hint="eastAsia"/>
                <w:color w:val="auto"/>
                <w:sz w:val="18"/>
                <w:szCs w:val="18"/>
              </w:rPr>
              <w:t xml:space="preserve"> </w:t>
            </w:r>
          </w:p>
          <w:p w14:paraId="747DABDE" w14:textId="77777777" w:rsidR="00825C2B" w:rsidRPr="000B71E5" w:rsidRDefault="00825C2B" w:rsidP="00825C2B">
            <w:pPr>
              <w:pStyle w:val="Default"/>
              <w:spacing w:line="276" w:lineRule="auto"/>
              <w:rPr>
                <w:rFonts w:asciiTheme="majorEastAsia" w:hAnsiTheme="majorEastAsia" w:cstheme="majorEastAsia"/>
                <w:sz w:val="18"/>
                <w:szCs w:val="18"/>
              </w:rPr>
            </w:pPr>
            <w:r w:rsidRPr="000B71E5">
              <w:rPr>
                <w:rFonts w:asciiTheme="majorEastAsia" w:hAnsiTheme="majorEastAsia" w:cstheme="majorEastAsia" w:hint="eastAsia"/>
                <w:color w:val="auto"/>
                <w:sz w:val="18"/>
                <w:szCs w:val="18"/>
              </w:rPr>
              <w:t>For population suppression, reduced abundance of target mosquito populations could also have indirect effects on the abundance or density of non-target species in the ecosystem with whom they share a predator, as a result of ‘apparent competiti</w:t>
            </w:r>
            <w:r w:rsidRPr="0098625C">
              <w:rPr>
                <w:rFonts w:asciiTheme="majorEastAsia" w:hAnsiTheme="majorEastAsia" w:cstheme="majorEastAsia" w:hint="eastAsia"/>
                <w:color w:val="auto"/>
                <w:sz w:val="18"/>
                <w:szCs w:val="18"/>
              </w:rPr>
              <w:t xml:space="preserve">on’ </w:t>
            </w:r>
            <w:r w:rsidRPr="000B71E5">
              <w:rPr>
                <w:rFonts w:asciiTheme="majorEastAsia" w:hAnsiTheme="majorEastAsia" w:cstheme="majorEastAsia" w:hint="eastAsia"/>
                <w:color w:val="auto"/>
                <w:sz w:val="18"/>
                <w:szCs w:val="18"/>
              </w:rPr>
              <w:fldChar w:fldCharType="begin"/>
            </w:r>
            <w:r w:rsidRPr="000B71E5">
              <w:rPr>
                <w:rFonts w:asciiTheme="majorEastAsia" w:hAnsiTheme="majorEastAsia" w:cstheme="majorEastAsia" w:hint="eastAsia"/>
                <w:color w:val="auto"/>
                <w:sz w:val="18"/>
                <w:szCs w:val="18"/>
              </w:rPr>
              <w:instrText xml:space="preserve"> ADDIN EN.CITE &lt;EndNote&gt;&lt;Cite&gt;&lt;Author&gt;Holt&lt;/Author&gt;&lt;Year&gt;2017&lt;/Year&gt;&lt;RecNum&gt;22624&lt;/RecNum&gt;&lt;DisplayText&gt;(Holt and Bonsall, 2017)&lt;/DisplayText&gt;&lt;record&gt;&lt;rec-number&gt;22624&lt;/rec-number&gt;&lt;foreign-keys&gt;&lt;key app="EN" db-id="sxd2rda5xvs0soe2z0459vtoft2tr205a0p0" timestamp="1629222039" guid="789e290e-57eb-4edf-af0b-8e9ac2bb912f"&gt;22624&lt;/key&gt;&lt;/foreign-keys&gt;&lt;ref-type name="Journal Article"&gt;17&lt;/ref-type&gt;&lt;contributors&gt;&lt;authors&gt;&lt;author&gt;Holt, Robert D.&lt;/author&gt;&lt;author&gt;Bonsall, Michael B.&lt;/author&gt;&lt;/authors&gt;&lt;/contributors&gt;&lt;titles&gt;&lt;title&gt;Apparent Competition&lt;/title&gt;&lt;secondary-title&gt;Annu Rev Ecol Evol Syst&lt;/secondary-title&gt;&lt;/titles&gt;&lt;periodical&gt;&lt;full-title&gt;Annu Rev Ecol Evol Syst&lt;/full-title&gt;&lt;/periodical&gt;&lt;pages&gt;447-471&lt;/pages&gt;&lt;volume&gt;48&lt;/volume&gt;&lt;number&gt;1&lt;/number&gt;&lt;section&gt;447&lt;/section&gt;&lt;dates&gt;&lt;year&gt;2017&lt;/year&gt;&lt;/dates&gt;&lt;isbn&gt;1543-592X&amp;#xD;1545-2069&lt;/isbn&gt;&lt;urls&gt;&lt;/urls&gt;&lt;electronic-resource-num&gt;https://doi.org/10.1146/annurev-ecolsys-110316-022628&lt;/electronic-resource-num&gt;&lt;/record&gt;&lt;/Cite&gt;&lt;/EndNote&gt;</w:instrText>
            </w:r>
            <w:r w:rsidRPr="000B71E5">
              <w:rPr>
                <w:rFonts w:asciiTheme="majorEastAsia" w:hAnsiTheme="majorEastAsia" w:cstheme="majorEastAsia" w:hint="eastAsia"/>
                <w:color w:val="auto"/>
                <w:sz w:val="18"/>
                <w:szCs w:val="18"/>
              </w:rPr>
              <w:fldChar w:fldCharType="separate"/>
            </w:r>
            <w:r w:rsidRPr="0098625C">
              <w:rPr>
                <w:rFonts w:asciiTheme="majorEastAsia" w:hAnsiTheme="majorEastAsia" w:cstheme="majorEastAsia" w:hint="eastAsia"/>
                <w:color w:val="auto"/>
                <w:sz w:val="18"/>
                <w:szCs w:val="18"/>
              </w:rPr>
              <w:t>(Holt and Bonsall, 2017)</w:t>
            </w:r>
            <w:r w:rsidRPr="000B71E5">
              <w:rPr>
                <w:rFonts w:asciiTheme="majorEastAsia" w:hAnsiTheme="majorEastAsia" w:cstheme="majorEastAsia" w:hint="eastAsia"/>
                <w:color w:val="auto"/>
                <w:sz w:val="18"/>
                <w:szCs w:val="18"/>
              </w:rPr>
              <w:fldChar w:fldCharType="end"/>
            </w:r>
            <w:r w:rsidRPr="0098625C">
              <w:rPr>
                <w:rFonts w:asciiTheme="majorEastAsia" w:hAnsiTheme="majorEastAsia" w:cstheme="majorEastAsia" w:hint="eastAsia"/>
                <w:color w:val="auto"/>
                <w:sz w:val="18"/>
                <w:szCs w:val="18"/>
              </w:rPr>
              <w:t>.</w:t>
            </w:r>
            <w:r w:rsidRPr="000B71E5">
              <w:rPr>
                <w:rFonts w:asciiTheme="majorEastAsia" w:hAnsiTheme="majorEastAsia" w:cstheme="majorEastAsia" w:hint="eastAsia"/>
                <w:color w:val="auto"/>
                <w:sz w:val="18"/>
                <w:szCs w:val="18"/>
              </w:rPr>
              <w:t xml:space="preserve"> Here, the predator consumes both the target mosquito population and another non-target species that has negative effects on biodiversity. Reduction in abundance of the target mosquito population leads to reduction in the abundance of the predator because of its reduced food resources. This reduction in the predator is also accompanied by increases in the density of the non-target species with concomitantly increased negative impacts on biodiversity. </w:t>
            </w:r>
          </w:p>
          <w:p w14:paraId="143746A2" w14:textId="77777777" w:rsidR="00825C2B" w:rsidRPr="000B71E5" w:rsidRDefault="00825C2B" w:rsidP="00825C2B">
            <w:pPr>
              <w:pStyle w:val="Default"/>
              <w:spacing w:line="276" w:lineRule="auto"/>
              <w:rPr>
                <w:rFonts w:asciiTheme="majorEastAsia" w:hAnsiTheme="majorEastAsia" w:cstheme="majorEastAsia"/>
                <w:color w:val="auto"/>
                <w:sz w:val="18"/>
                <w:szCs w:val="18"/>
              </w:rPr>
            </w:pPr>
            <w:r w:rsidRPr="000B71E5">
              <w:rPr>
                <w:rFonts w:asciiTheme="majorEastAsia" w:hAnsiTheme="majorEastAsia" w:cstheme="majorEastAsia" w:hint="eastAsia"/>
                <w:color w:val="auto"/>
                <w:sz w:val="18"/>
                <w:szCs w:val="18"/>
              </w:rPr>
              <w:t xml:space="preserve">Exposure of predators to suppression drives may however arise, when there is a failure in the drive to consistently suppress populations, e.g., if </w:t>
            </w:r>
            <w:r w:rsidRPr="000B71E5">
              <w:rPr>
                <w:rFonts w:asciiTheme="majorEastAsia" w:hAnsiTheme="majorEastAsia" w:cstheme="majorEastAsia" w:hint="eastAsia"/>
                <w:color w:val="000000" w:themeColor="text1"/>
                <w:sz w:val="18"/>
                <w:szCs w:val="18"/>
              </w:rPr>
              <w:t xml:space="preserve">chasing </w:t>
            </w:r>
            <w:r w:rsidRPr="000B71E5">
              <w:rPr>
                <w:rFonts w:asciiTheme="majorEastAsia" w:hAnsiTheme="majorEastAsia" w:cstheme="majorEastAsia" w:hint="eastAsia"/>
                <w:color w:val="auto"/>
                <w:sz w:val="18"/>
                <w:szCs w:val="18"/>
              </w:rPr>
              <w:t xml:space="preserve">dynamics occur, whereby local elimination would result in gaps in populations and wild-type rebounds to fill the localised empty niches </w:t>
            </w:r>
            <w:r w:rsidRPr="000B71E5">
              <w:rPr>
                <w:rFonts w:asciiTheme="majorEastAsia" w:hAnsiTheme="majorEastAsia" w:cstheme="majorEastAsia" w:hint="eastAsia"/>
                <w:color w:val="auto"/>
                <w:sz w:val="18"/>
                <w:szCs w:val="18"/>
              </w:rPr>
              <w:fldChar w:fldCharType="begin"/>
            </w:r>
            <w:r w:rsidRPr="000B71E5">
              <w:rPr>
                <w:rFonts w:asciiTheme="majorEastAsia" w:hAnsiTheme="majorEastAsia" w:cstheme="majorEastAsia" w:hint="eastAsia"/>
                <w:color w:val="auto"/>
                <w:sz w:val="18"/>
                <w:szCs w:val="18"/>
              </w:rPr>
              <w:instrText xml:space="preserve"> ADDIN ZOTERO_ITEM CSL_CITATION {"citationID":"WqHneYXm","properties":{"formattedCitation":"(Champer et al., 2021)","plainCitation":"(Champer et al., 2021)","noteIndex":0},"citationItems":[{"id":1616,"uris":["http://zotero.org/users/8734374/items/GRNPWZB7"],"itemData":{"id":1616,"type":"article-journal","container-title":"Molecular Ecology","DOI":"10.1111/mec.15788","ISSN":"0962-1083, 1365-294X","issue":"4","journalAbbreviation":"Mol Ecol","language":"en","page":"1086-1101","source":"DOI.org (Crossref)","title":"Suppression gene drive in continuous space can result in unstable persistence of both drive and wild</w:instrText>
            </w:r>
            <w:r w:rsidRPr="000B71E5">
              <w:rPr>
                <w:rFonts w:ascii="Cambria Math" w:hAnsi="Cambria Math" w:cs="Cambria Math"/>
                <w:color w:val="auto"/>
                <w:sz w:val="18"/>
                <w:szCs w:val="18"/>
              </w:rPr>
              <w:instrText>‐</w:instrText>
            </w:r>
            <w:r w:rsidRPr="000B71E5">
              <w:rPr>
                <w:rFonts w:asciiTheme="majorEastAsia" w:hAnsiTheme="majorEastAsia" w:cstheme="majorEastAsia" w:hint="eastAsia"/>
                <w:color w:val="auto"/>
                <w:sz w:val="18"/>
                <w:szCs w:val="18"/>
              </w:rPr>
              <w:instrText xml:space="preserve">type alleles","volume":"30","author":[{"family":"Champer","given":"Jackson"},{"family":"Kim","given":"Isabel K."},{"family":"Champer","given":"Samuel E."},{"family":"Clark","given":"Andrew G."},{"family":"Messer","given":"Philipp W."}],"issued":{"date-parts":[["2021",2]]}}}],"schema":"https://github.com/citation-style-language/schema/raw/master/csl-citation.json"} </w:instrText>
            </w:r>
            <w:r w:rsidRPr="000B71E5">
              <w:rPr>
                <w:rFonts w:asciiTheme="majorEastAsia" w:hAnsiTheme="majorEastAsia" w:cstheme="majorEastAsia" w:hint="eastAsia"/>
                <w:color w:val="auto"/>
                <w:sz w:val="18"/>
                <w:szCs w:val="18"/>
              </w:rPr>
              <w:fldChar w:fldCharType="separate"/>
            </w:r>
            <w:r w:rsidRPr="0098625C">
              <w:rPr>
                <w:rFonts w:asciiTheme="majorEastAsia" w:hAnsiTheme="majorEastAsia" w:cstheme="majorEastAsia" w:hint="eastAsia"/>
                <w:color w:val="auto"/>
                <w:sz w:val="18"/>
                <w:szCs w:val="18"/>
              </w:rPr>
              <w:t>(Champer and others, 2021</w:t>
            </w:r>
            <w:r w:rsidRPr="000B71E5">
              <w:rPr>
                <w:rFonts w:asciiTheme="majorEastAsia" w:hAnsiTheme="majorEastAsia" w:cstheme="majorEastAsia" w:hint="eastAsia"/>
                <w:color w:val="auto"/>
                <w:sz w:val="18"/>
                <w:szCs w:val="18"/>
              </w:rPr>
              <w:t>)</w:t>
            </w:r>
            <w:r w:rsidRPr="000B71E5">
              <w:rPr>
                <w:rFonts w:asciiTheme="majorEastAsia" w:hAnsiTheme="majorEastAsia" w:cstheme="majorEastAsia" w:hint="eastAsia"/>
                <w:color w:val="auto"/>
                <w:sz w:val="18"/>
                <w:szCs w:val="18"/>
              </w:rPr>
              <w:fldChar w:fldCharType="end"/>
            </w:r>
            <w:r w:rsidRPr="000B71E5">
              <w:rPr>
                <w:rFonts w:asciiTheme="majorEastAsia" w:hAnsiTheme="majorEastAsia" w:cstheme="majorEastAsia" w:hint="eastAsia"/>
                <w:color w:val="auto"/>
                <w:sz w:val="18"/>
                <w:szCs w:val="18"/>
              </w:rPr>
              <w:t xml:space="preserve">. </w:t>
            </w:r>
          </w:p>
          <w:p w14:paraId="279D6662" w14:textId="4B8E32CE" w:rsidR="00825C2B" w:rsidRPr="000B71E5" w:rsidRDefault="00825C2B" w:rsidP="00825C2B">
            <w:pPr>
              <w:pStyle w:val="Default"/>
              <w:spacing w:before="0" w:after="0" w:line="276" w:lineRule="auto"/>
              <w:rPr>
                <w:rFonts w:asciiTheme="majorEastAsia" w:hAnsiTheme="majorEastAsia" w:cstheme="majorEastAsia"/>
                <w:b/>
                <w:color w:val="000000" w:themeColor="text1"/>
                <w:sz w:val="18"/>
                <w:szCs w:val="18"/>
              </w:rPr>
            </w:pPr>
            <w:r w:rsidRPr="000B71E5">
              <w:rPr>
                <w:rFonts w:asciiTheme="majorEastAsia" w:hAnsiTheme="majorEastAsia" w:cstheme="majorEastAsia"/>
                <w:b/>
                <w:color w:val="000000" w:themeColor="text1"/>
                <w:sz w:val="18"/>
                <w:szCs w:val="18"/>
              </w:rPr>
              <w:t xml:space="preserve">B. </w:t>
            </w:r>
            <w:r w:rsidR="00D03635">
              <w:rPr>
                <w:rFonts w:asciiTheme="majorEastAsia" w:hAnsiTheme="majorEastAsia" w:cstheme="majorEastAsia"/>
                <w:b/>
                <w:color w:val="000000" w:themeColor="text1"/>
                <w:sz w:val="18"/>
                <w:szCs w:val="18"/>
              </w:rPr>
              <w:t>Potential a</w:t>
            </w:r>
            <w:r w:rsidRPr="000B71E5">
              <w:rPr>
                <w:rFonts w:asciiTheme="majorEastAsia" w:hAnsiTheme="majorEastAsia" w:cstheme="majorEastAsia"/>
                <w:b/>
                <w:color w:val="000000" w:themeColor="text1"/>
                <w:sz w:val="18"/>
                <w:szCs w:val="18"/>
              </w:rPr>
              <w:t xml:space="preserve">dverse toxic effects on water quality or human health </w:t>
            </w:r>
          </w:p>
          <w:p w14:paraId="5C6D738C" w14:textId="6EB9147B" w:rsidR="00825C2B" w:rsidRPr="000B71E5" w:rsidRDefault="00825C2B" w:rsidP="00825C2B">
            <w:pPr>
              <w:pStyle w:val="Default"/>
              <w:spacing w:line="276" w:lineRule="auto"/>
              <w:rPr>
                <w:rFonts w:asciiTheme="majorEastAsia" w:hAnsiTheme="majorEastAsia" w:cstheme="majorEastAsia"/>
                <w:color w:val="auto"/>
                <w:sz w:val="18"/>
                <w:szCs w:val="18"/>
              </w:rPr>
            </w:pPr>
            <w:r w:rsidRPr="000B71E5">
              <w:rPr>
                <w:rFonts w:asciiTheme="majorEastAsia" w:hAnsiTheme="majorEastAsia" w:cstheme="majorEastAsia" w:hint="eastAsia"/>
                <w:sz w:val="18"/>
                <w:szCs w:val="18"/>
              </w:rPr>
              <w:t>The expressed components of the EGD or newly expressed endogenous products in E</w:t>
            </w:r>
            <w:r w:rsidR="00F85ABF">
              <w:rPr>
                <w:rFonts w:asciiTheme="majorEastAsia" w:hAnsiTheme="majorEastAsia" w:cstheme="majorEastAsia"/>
                <w:sz w:val="18"/>
                <w:szCs w:val="18"/>
              </w:rPr>
              <w:t>GD</w:t>
            </w:r>
            <w:r w:rsidRPr="000B71E5">
              <w:rPr>
                <w:rFonts w:asciiTheme="majorEastAsia" w:hAnsiTheme="majorEastAsia" w:cstheme="majorEastAsia" w:hint="eastAsia"/>
                <w:sz w:val="18"/>
                <w:szCs w:val="18"/>
              </w:rPr>
              <w:t>-LMMs could cause acute or chronic toxicological effects to non-target populations. For example, a predator could eat EG</w:t>
            </w:r>
            <w:r w:rsidR="00F85ABF">
              <w:rPr>
                <w:rFonts w:asciiTheme="majorEastAsia" w:hAnsiTheme="majorEastAsia" w:cstheme="majorEastAsia"/>
                <w:sz w:val="18"/>
                <w:szCs w:val="18"/>
              </w:rPr>
              <w:t>D</w:t>
            </w:r>
            <w:r w:rsidRPr="000B71E5">
              <w:rPr>
                <w:rFonts w:asciiTheme="majorEastAsia" w:hAnsiTheme="majorEastAsia" w:cstheme="majorEastAsia" w:hint="eastAsia"/>
                <w:sz w:val="18"/>
                <w:szCs w:val="18"/>
              </w:rPr>
              <w:t xml:space="preserve">-LMMs which cause acute or chronic toxicological effects to that species, which in turn reduced its abundance, leading to a reduction in ecosystem services provided by that predator. Alternatively, the accumulation of expressed products from the EGD could lead to toxicity in detritivores, which consume detritus in aquatic mosquito habitats, leading to negative effects on water quality for aquatic flora and fauna. Increased larval or pupal mortality of EGD-LMMs in aquatic habitats could lead to the accumulation of detritus and decreased water quality for other species, including humans and other animals </w:t>
            </w:r>
            <w:r w:rsidRPr="0098625C">
              <w:rPr>
                <w:rFonts w:asciiTheme="majorEastAsia" w:hAnsiTheme="majorEastAsia" w:cstheme="majorEastAsia" w:hint="eastAsia"/>
                <w:sz w:val="18"/>
                <w:szCs w:val="18"/>
              </w:rPr>
              <w:fldChar w:fldCharType="begin"/>
            </w:r>
            <w:r w:rsidRPr="0098625C">
              <w:rPr>
                <w:rFonts w:asciiTheme="majorEastAsia" w:hAnsiTheme="majorEastAsia" w:cstheme="majorEastAsia" w:hint="eastAsia"/>
                <w:sz w:val="18"/>
                <w:szCs w:val="18"/>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98625C">
              <w:rPr>
                <w:rFonts w:asciiTheme="majorEastAsia" w:hAnsiTheme="majorEastAsia" w:cstheme="majorEastAsia" w:hint="eastAsia"/>
                <w:sz w:val="18"/>
                <w:szCs w:val="18"/>
              </w:rPr>
              <w:fldChar w:fldCharType="separate"/>
            </w:r>
            <w:r w:rsidRPr="0098625C">
              <w:rPr>
                <w:rFonts w:asciiTheme="majorEastAsia" w:hAnsiTheme="majorEastAsia" w:cstheme="majorEastAsia" w:hint="eastAsia"/>
                <w:sz w:val="18"/>
                <w:szCs w:val="18"/>
              </w:rPr>
              <w:t>(Connolly and others, 2021)</w:t>
            </w:r>
            <w:r w:rsidRPr="0098625C">
              <w:rPr>
                <w:rFonts w:asciiTheme="majorEastAsia" w:hAnsiTheme="majorEastAsia" w:cstheme="majorEastAsia" w:hint="eastAsia"/>
                <w:sz w:val="18"/>
                <w:szCs w:val="18"/>
              </w:rPr>
              <w:fldChar w:fldCharType="end"/>
            </w:r>
            <w:r w:rsidRPr="0098625C">
              <w:rPr>
                <w:rFonts w:asciiTheme="majorEastAsia" w:hAnsiTheme="majorEastAsia" w:cstheme="majorEastAsia" w:hint="eastAsia"/>
                <w:sz w:val="18"/>
                <w:szCs w:val="18"/>
              </w:rPr>
              <w:t>.</w:t>
            </w:r>
            <w:r w:rsidRPr="000B71E5">
              <w:rPr>
                <w:rFonts w:asciiTheme="majorEastAsia" w:hAnsiTheme="majorEastAsia" w:cstheme="majorEastAsia" w:hint="eastAsia"/>
                <w:sz w:val="18"/>
                <w:szCs w:val="18"/>
              </w:rPr>
              <w:t xml:space="preserve"> </w:t>
            </w:r>
          </w:p>
          <w:p w14:paraId="6DF6B9AB" w14:textId="77777777" w:rsidR="00825C2B" w:rsidRPr="000B71E5" w:rsidRDefault="00825C2B" w:rsidP="00825C2B">
            <w:pPr>
              <w:pStyle w:val="Default"/>
              <w:spacing w:after="0" w:line="276" w:lineRule="auto"/>
              <w:rPr>
                <w:rStyle w:val="identifier"/>
                <w:rFonts w:asciiTheme="majorEastAsia" w:hAnsiTheme="majorEastAsia" w:cstheme="majorEastAsia"/>
                <w:sz w:val="18"/>
                <w:szCs w:val="18"/>
              </w:rPr>
            </w:pPr>
            <w:r w:rsidRPr="000B71E5">
              <w:rPr>
                <w:rFonts w:asciiTheme="majorEastAsia" w:hAnsiTheme="majorEastAsia" w:cstheme="majorEastAsia" w:hint="eastAsia"/>
                <w:sz w:val="18"/>
                <w:szCs w:val="18"/>
              </w:rPr>
              <w:t>Apart from this direct potential toxicity, unintended alterations of the genome could lead to aberrant protein production (</w:t>
            </w:r>
            <w:r w:rsidRPr="0098625C">
              <w:rPr>
                <w:rFonts w:asciiTheme="majorEastAsia" w:hAnsiTheme="majorEastAsia" w:cstheme="majorEastAsia" w:hint="eastAsia"/>
                <w:sz w:val="18"/>
                <w:szCs w:val="18"/>
              </w:rPr>
              <w:t>Tuladhar and others, 2019</w:t>
            </w:r>
            <w:r w:rsidRPr="000B71E5">
              <w:rPr>
                <w:rFonts w:asciiTheme="majorEastAsia" w:hAnsiTheme="majorEastAsia" w:cstheme="majorEastAsia" w:hint="eastAsia"/>
                <w:sz w:val="18"/>
                <w:szCs w:val="18"/>
              </w:rPr>
              <w:t>). Moreover, as unintended effects of genome editing machineries vary depending on the genetic background, they could change over time and space (</w:t>
            </w:r>
            <w:r w:rsidRPr="0098625C">
              <w:rPr>
                <w:rFonts w:asciiTheme="majorEastAsia" w:hAnsiTheme="majorEastAsia" w:cstheme="majorEastAsia" w:hint="eastAsia"/>
                <w:sz w:val="18"/>
                <w:szCs w:val="18"/>
              </w:rPr>
              <w:t>Cancellieri and others, 2023</w:t>
            </w:r>
            <w:r w:rsidRPr="000B71E5">
              <w:rPr>
                <w:rFonts w:asciiTheme="majorEastAsia" w:hAnsiTheme="majorEastAsia" w:cstheme="majorEastAsia" w:hint="eastAsia"/>
                <w:sz w:val="18"/>
                <w:szCs w:val="18"/>
              </w:rPr>
              <w:t>) and this highlights the need to consider next-generation impacts.</w:t>
            </w:r>
          </w:p>
          <w:p w14:paraId="2D3DBFF8" w14:textId="3319EE39" w:rsidR="00825C2B" w:rsidRPr="000B71E5" w:rsidRDefault="00825C2B" w:rsidP="00825C2B">
            <w:pPr>
              <w:pStyle w:val="Default"/>
              <w:spacing w:after="0" w:line="276" w:lineRule="auto"/>
              <w:rPr>
                <w:rFonts w:asciiTheme="majorEastAsia" w:hAnsiTheme="majorEastAsia" w:cstheme="majorEastAsia"/>
                <w:b/>
                <w:color w:val="000000" w:themeColor="text1"/>
                <w:sz w:val="18"/>
                <w:szCs w:val="18"/>
              </w:rPr>
            </w:pPr>
            <w:r w:rsidRPr="000B71E5">
              <w:rPr>
                <w:rFonts w:asciiTheme="majorEastAsia" w:hAnsiTheme="majorEastAsia" w:cstheme="majorEastAsia"/>
                <w:b/>
                <w:color w:val="000000" w:themeColor="text1"/>
                <w:sz w:val="18"/>
                <w:szCs w:val="18"/>
              </w:rPr>
              <w:t xml:space="preserve">C. </w:t>
            </w:r>
            <w:r w:rsidR="00754D00" w:rsidRPr="0098625C">
              <w:rPr>
                <w:rFonts w:asciiTheme="majorEastAsia" w:hAnsiTheme="majorEastAsia" w:cstheme="majorEastAsia"/>
                <w:b/>
                <w:color w:val="000000" w:themeColor="text1"/>
                <w:sz w:val="18"/>
                <w:szCs w:val="18"/>
              </w:rPr>
              <w:t>Potential</w:t>
            </w:r>
            <w:r w:rsidR="00754D00">
              <w:rPr>
                <w:rFonts w:asciiTheme="majorEastAsia" w:hAnsiTheme="majorEastAsia" w:cstheme="majorEastAsia"/>
                <w:b/>
                <w:color w:val="000000" w:themeColor="text1"/>
                <w:sz w:val="18"/>
                <w:szCs w:val="18"/>
              </w:rPr>
              <w:t xml:space="preserve"> i</w:t>
            </w:r>
            <w:r w:rsidRPr="000B71E5">
              <w:rPr>
                <w:rFonts w:asciiTheme="majorEastAsia" w:hAnsiTheme="majorEastAsia" w:cstheme="majorEastAsia"/>
                <w:b/>
                <w:color w:val="000000" w:themeColor="text1"/>
                <w:sz w:val="18"/>
                <w:szCs w:val="18"/>
              </w:rPr>
              <w:t>ncreased human and animal disease transmission, either from increased vectorial capacity or from competitive releases of other mosquito vector species</w:t>
            </w:r>
          </w:p>
          <w:p w14:paraId="34FA67D5" w14:textId="77777777" w:rsidR="00825C2B" w:rsidRPr="000B71E5" w:rsidRDefault="00825C2B" w:rsidP="00825C2B">
            <w:pPr>
              <w:pStyle w:val="Default"/>
              <w:spacing w:line="276" w:lineRule="auto"/>
              <w:rPr>
                <w:rFonts w:asciiTheme="majorEastAsia" w:hAnsiTheme="majorEastAsia" w:cstheme="majorEastAsia"/>
                <w:sz w:val="18"/>
                <w:szCs w:val="18"/>
              </w:rPr>
            </w:pPr>
            <w:r w:rsidRPr="000B71E5">
              <w:rPr>
                <w:rFonts w:asciiTheme="majorEastAsia" w:hAnsiTheme="majorEastAsia" w:cstheme="majorEastAsia" w:hint="eastAsia"/>
                <w:sz w:val="18"/>
                <w:szCs w:val="18"/>
              </w:rPr>
              <w:t xml:space="preserve">The EGD could directly affect the vectorial capacity of the EGD-LMM by (a) affecting its vector competence for a particular pathogen, (b) causing an increase in the biting rate of the EGD-LMM on mammalian hosts, (c) </w:t>
            </w:r>
            <w:r w:rsidRPr="000B71E5">
              <w:rPr>
                <w:rFonts w:asciiTheme="majorEastAsia" w:hAnsiTheme="majorEastAsia" w:cstheme="majorEastAsia" w:hint="eastAsia"/>
                <w:sz w:val="18"/>
                <w:szCs w:val="18"/>
              </w:rPr>
              <w:lastRenderedPageBreak/>
              <w:t>extending the longevity of EGD-LMM females or (d) decreasing the extrinsic incubation period of the EGD-LMMs.</w:t>
            </w:r>
          </w:p>
          <w:p w14:paraId="056E2EF3" w14:textId="77777777" w:rsidR="00825C2B" w:rsidRPr="000B71E5" w:rsidRDefault="00825C2B" w:rsidP="00825C2B">
            <w:pPr>
              <w:pStyle w:val="Default"/>
              <w:spacing w:line="276" w:lineRule="auto"/>
              <w:rPr>
                <w:rFonts w:asciiTheme="majorEastAsia" w:hAnsiTheme="majorEastAsia" w:cstheme="majorEastAsia"/>
                <w:color w:val="auto"/>
                <w:sz w:val="18"/>
                <w:szCs w:val="18"/>
              </w:rPr>
            </w:pPr>
            <w:r w:rsidRPr="000B71E5">
              <w:rPr>
                <w:rFonts w:asciiTheme="majorEastAsia" w:hAnsiTheme="majorEastAsia" w:cstheme="majorEastAsia" w:hint="eastAsia"/>
                <w:sz w:val="18"/>
                <w:szCs w:val="18"/>
              </w:rPr>
              <w:t xml:space="preserve">The intended impact of the EGD on target mosquito populations could also cause potential adverse effects by increased or novel disease transmission. For example, in the case of population suppression, the EGD-LMMs could lead to competitive releases of a non-target species. </w:t>
            </w:r>
            <w:r w:rsidRPr="000B71E5">
              <w:rPr>
                <w:rFonts w:asciiTheme="majorEastAsia" w:hAnsiTheme="majorEastAsia" w:cstheme="majorEastAsia" w:hint="eastAsia"/>
                <w:color w:val="auto"/>
                <w:sz w:val="18"/>
                <w:szCs w:val="18"/>
              </w:rPr>
              <w:t xml:space="preserve">If that non-target species were to be another disease vector, this could lead to increased or novel disease transmission. Niche replacement of one species of Anopheles with another has been observed in </w:t>
            </w:r>
            <w:proofErr w:type="gramStart"/>
            <w:r w:rsidRPr="000B71E5">
              <w:rPr>
                <w:rFonts w:asciiTheme="majorEastAsia" w:hAnsiTheme="majorEastAsia" w:cstheme="majorEastAsia" w:hint="eastAsia"/>
                <w:color w:val="auto"/>
                <w:sz w:val="18"/>
                <w:szCs w:val="18"/>
              </w:rPr>
              <w:t>a number of</w:t>
            </w:r>
            <w:proofErr w:type="gramEnd"/>
            <w:r w:rsidRPr="000B71E5">
              <w:rPr>
                <w:rFonts w:asciiTheme="majorEastAsia" w:hAnsiTheme="majorEastAsia" w:cstheme="majorEastAsia" w:hint="eastAsia"/>
                <w:color w:val="auto"/>
                <w:sz w:val="18"/>
                <w:szCs w:val="18"/>
              </w:rPr>
              <w:t xml:space="preserve"> instances when insecticide-based vector control measures have been applied </w:t>
            </w:r>
            <w:r w:rsidRPr="000B71E5">
              <w:rPr>
                <w:rFonts w:asciiTheme="majorEastAsia" w:hAnsiTheme="majorEastAsia" w:cstheme="majorEastAsia" w:hint="eastAsia"/>
                <w:color w:val="auto"/>
                <w:sz w:val="18"/>
                <w:szCs w:val="18"/>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0B71E5">
              <w:rPr>
                <w:rFonts w:asciiTheme="majorEastAsia" w:hAnsiTheme="majorEastAsia" w:cstheme="majorEastAsia" w:hint="eastAsia"/>
                <w:color w:val="auto"/>
                <w:sz w:val="18"/>
                <w:szCs w:val="18"/>
              </w:rPr>
              <w:instrText xml:space="preserve"> ADDIN EN.CITE </w:instrText>
            </w:r>
            <w:r w:rsidRPr="000B71E5">
              <w:rPr>
                <w:rFonts w:asciiTheme="majorEastAsia" w:hAnsiTheme="majorEastAsia" w:cstheme="majorEastAsia" w:hint="eastAsia"/>
                <w:color w:val="auto"/>
                <w:sz w:val="18"/>
                <w:szCs w:val="18"/>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0B71E5">
              <w:rPr>
                <w:rFonts w:asciiTheme="majorEastAsia" w:hAnsiTheme="majorEastAsia" w:cstheme="majorEastAsia" w:hint="eastAsia"/>
                <w:color w:val="auto"/>
                <w:sz w:val="18"/>
                <w:szCs w:val="18"/>
              </w:rPr>
              <w:instrText xml:space="preserve"> ADDIN EN.CITE.DATA </w:instrText>
            </w:r>
            <w:r w:rsidRPr="000B71E5">
              <w:rPr>
                <w:rFonts w:asciiTheme="majorEastAsia" w:hAnsiTheme="majorEastAsia" w:cstheme="majorEastAsia" w:hint="eastAsia"/>
                <w:color w:val="auto"/>
                <w:sz w:val="18"/>
                <w:szCs w:val="18"/>
              </w:rPr>
            </w:r>
            <w:r w:rsidRPr="000B71E5">
              <w:rPr>
                <w:rFonts w:asciiTheme="majorEastAsia" w:hAnsiTheme="majorEastAsia" w:cstheme="majorEastAsia" w:hint="eastAsia"/>
                <w:color w:val="auto"/>
                <w:sz w:val="18"/>
                <w:szCs w:val="18"/>
              </w:rPr>
              <w:fldChar w:fldCharType="end"/>
            </w:r>
            <w:r w:rsidRPr="000B71E5">
              <w:rPr>
                <w:rFonts w:asciiTheme="majorEastAsia" w:hAnsiTheme="majorEastAsia" w:cstheme="majorEastAsia" w:hint="eastAsia"/>
                <w:color w:val="auto"/>
                <w:sz w:val="18"/>
                <w:szCs w:val="18"/>
              </w:rPr>
            </w:r>
            <w:r w:rsidRPr="000B71E5">
              <w:rPr>
                <w:rFonts w:asciiTheme="majorEastAsia" w:hAnsiTheme="majorEastAsia" w:cstheme="majorEastAsia" w:hint="eastAsia"/>
                <w:color w:val="auto"/>
                <w:sz w:val="18"/>
                <w:szCs w:val="18"/>
              </w:rPr>
              <w:fldChar w:fldCharType="separate"/>
            </w:r>
            <w:r w:rsidRPr="000B71E5">
              <w:rPr>
                <w:rFonts w:asciiTheme="majorEastAsia" w:hAnsiTheme="majorEastAsia" w:cstheme="majorEastAsia" w:hint="eastAsia"/>
                <w:color w:val="auto"/>
                <w:sz w:val="18"/>
                <w:szCs w:val="18"/>
              </w:rPr>
              <w:t>(</w:t>
            </w:r>
            <w:r w:rsidRPr="0098625C">
              <w:rPr>
                <w:rFonts w:asciiTheme="majorEastAsia" w:hAnsiTheme="majorEastAsia" w:cstheme="majorEastAsia" w:hint="eastAsia"/>
                <w:color w:val="auto"/>
                <w:sz w:val="18"/>
                <w:szCs w:val="18"/>
              </w:rPr>
              <w:t>Qureshi and Connolly, 2021</w:t>
            </w:r>
            <w:r w:rsidRPr="000B71E5">
              <w:rPr>
                <w:rFonts w:asciiTheme="majorEastAsia" w:hAnsiTheme="majorEastAsia" w:cstheme="majorEastAsia" w:hint="eastAsia"/>
                <w:color w:val="auto"/>
                <w:sz w:val="18"/>
                <w:szCs w:val="18"/>
              </w:rPr>
              <w:t>)</w:t>
            </w:r>
            <w:r w:rsidRPr="000B71E5">
              <w:rPr>
                <w:rFonts w:asciiTheme="majorEastAsia" w:hAnsiTheme="majorEastAsia" w:cstheme="majorEastAsia" w:hint="eastAsia"/>
                <w:color w:val="auto"/>
                <w:sz w:val="18"/>
                <w:szCs w:val="18"/>
              </w:rPr>
              <w:fldChar w:fldCharType="end"/>
            </w:r>
            <w:r w:rsidRPr="000B71E5">
              <w:rPr>
                <w:rFonts w:asciiTheme="majorEastAsia" w:hAnsiTheme="majorEastAsia" w:cstheme="majorEastAsia" w:hint="eastAsia"/>
                <w:color w:val="auto"/>
                <w:sz w:val="18"/>
                <w:szCs w:val="18"/>
              </w:rPr>
              <w:t xml:space="preserve">. </w:t>
            </w:r>
          </w:p>
          <w:p w14:paraId="12974A08" w14:textId="28BE3E05" w:rsidR="00825C2B" w:rsidRPr="00825C2B" w:rsidRDefault="00825C2B" w:rsidP="00825C2B">
            <w:pPr>
              <w:pStyle w:val="Default"/>
              <w:spacing w:line="276" w:lineRule="auto"/>
              <w:rPr>
                <w:rFonts w:asciiTheme="majorEastAsia" w:hAnsiTheme="majorEastAsia" w:cstheme="majorEastAsia"/>
                <w:color w:val="auto"/>
                <w:sz w:val="18"/>
                <w:szCs w:val="18"/>
              </w:rPr>
            </w:pPr>
            <w:r w:rsidRPr="000B71E5">
              <w:rPr>
                <w:rFonts w:asciiTheme="majorEastAsia" w:hAnsiTheme="majorEastAsia" w:cstheme="majorEastAsia" w:hint="eastAsia"/>
                <w:color w:val="auto"/>
                <w:sz w:val="18"/>
                <w:szCs w:val="18"/>
              </w:rPr>
              <w:t>In the case of population replacement, reductions in the abundance of the species of pathogens in target mosquito populations could lead to niche expansion or replacement by non-target species of pathogens. This could potentially lead to increased or novel disease transmission.</w:t>
            </w:r>
          </w:p>
        </w:tc>
      </w:tr>
    </w:tbl>
    <w:p w14:paraId="13116D70" w14:textId="77777777" w:rsidR="00825C2B" w:rsidRDefault="00825C2B" w:rsidP="00212686">
      <w:pPr>
        <w:spacing w:line="276"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016"/>
      </w:tblGrid>
      <w:tr w:rsidR="00825C2B" w14:paraId="3B4E29F2" w14:textId="77777777" w:rsidTr="00825C2B">
        <w:tc>
          <w:tcPr>
            <w:tcW w:w="9016" w:type="dxa"/>
          </w:tcPr>
          <w:p w14:paraId="26A1990C" w14:textId="77777777" w:rsidR="00825C2B" w:rsidRPr="000B71E5" w:rsidRDefault="00825C2B" w:rsidP="00825C2B">
            <w:pPr>
              <w:pStyle w:val="Default"/>
              <w:spacing w:before="0" w:after="0" w:line="276" w:lineRule="auto"/>
              <w:rPr>
                <w:rStyle w:val="cf01"/>
                <w:rFonts w:asciiTheme="majorEastAsia" w:hAnsiTheme="majorEastAsia" w:cstheme="majorEastAsia"/>
                <w:b/>
                <w:color w:val="000000" w:themeColor="text1"/>
              </w:rPr>
            </w:pPr>
            <w:r w:rsidRPr="000B71E5">
              <w:rPr>
                <w:rFonts w:asciiTheme="majorEastAsia" w:hAnsiTheme="majorEastAsia" w:cstheme="majorEastAsia"/>
                <w:b/>
                <w:color w:val="000000" w:themeColor="text1"/>
                <w:sz w:val="18"/>
                <w:szCs w:val="18"/>
              </w:rPr>
              <w:t xml:space="preserve">Gene flow </w:t>
            </w:r>
          </w:p>
          <w:p w14:paraId="207922ED" w14:textId="77777777" w:rsidR="00825C2B" w:rsidRPr="000B71E5" w:rsidRDefault="00825C2B" w:rsidP="00825C2B">
            <w:pPr>
              <w:pStyle w:val="Default"/>
              <w:spacing w:after="0" w:line="276" w:lineRule="auto"/>
              <w:rPr>
                <w:rFonts w:asciiTheme="majorEastAsia" w:hAnsiTheme="majorEastAsia" w:cstheme="majorEastAsia"/>
                <w:color w:val="000000" w:themeColor="text1"/>
                <w:sz w:val="18"/>
                <w:szCs w:val="18"/>
              </w:rPr>
            </w:pPr>
            <w:r w:rsidRPr="000B71E5">
              <w:rPr>
                <w:rFonts w:asciiTheme="majorEastAsia" w:hAnsiTheme="majorEastAsia" w:cstheme="majorEastAsia" w:hint="eastAsia"/>
                <w:color w:val="000000" w:themeColor="text1"/>
                <w:sz w:val="18"/>
                <w:szCs w:val="18"/>
              </w:rPr>
              <w:t xml:space="preserve">There are two main mechanisms of gene flow, which are detailed below. Other mechanisms could include, for example, predation, </w:t>
            </w:r>
            <w:proofErr w:type="gramStart"/>
            <w:r w:rsidRPr="000B71E5">
              <w:rPr>
                <w:rFonts w:asciiTheme="majorEastAsia" w:hAnsiTheme="majorEastAsia" w:cstheme="majorEastAsia" w:hint="eastAsia"/>
                <w:color w:val="000000" w:themeColor="text1"/>
                <w:sz w:val="18"/>
                <w:szCs w:val="18"/>
              </w:rPr>
              <w:t>competition</w:t>
            </w:r>
            <w:proofErr w:type="gramEnd"/>
            <w:r w:rsidRPr="000B71E5">
              <w:rPr>
                <w:rFonts w:asciiTheme="majorEastAsia" w:hAnsiTheme="majorEastAsia" w:cstheme="majorEastAsia" w:hint="eastAsia"/>
                <w:color w:val="000000" w:themeColor="text1"/>
                <w:sz w:val="18"/>
                <w:szCs w:val="18"/>
              </w:rPr>
              <w:t xml:space="preserve"> and habitat alteration.</w:t>
            </w:r>
          </w:p>
          <w:p w14:paraId="623D8F19" w14:textId="77777777" w:rsidR="00825C2B" w:rsidRPr="000B71E5" w:rsidRDefault="00825C2B" w:rsidP="00825C2B">
            <w:pPr>
              <w:pStyle w:val="Default"/>
              <w:spacing w:after="0" w:line="276" w:lineRule="auto"/>
              <w:rPr>
                <w:rFonts w:asciiTheme="majorEastAsia" w:hAnsiTheme="majorEastAsia" w:cstheme="majorEastAsia"/>
                <w:i/>
                <w:color w:val="000000" w:themeColor="text1"/>
                <w:sz w:val="18"/>
                <w:szCs w:val="18"/>
              </w:rPr>
            </w:pPr>
            <w:r w:rsidRPr="000B71E5">
              <w:rPr>
                <w:rFonts w:asciiTheme="majorEastAsia" w:hAnsiTheme="majorEastAsia" w:cstheme="majorEastAsia" w:hint="eastAsia"/>
                <w:i/>
                <w:color w:val="000000" w:themeColor="text1"/>
                <w:sz w:val="18"/>
                <w:szCs w:val="18"/>
              </w:rPr>
              <w:t>Vertical gene transfer</w:t>
            </w:r>
          </w:p>
          <w:p w14:paraId="6EA7AA57" w14:textId="739DABBF" w:rsidR="00825C2B" w:rsidRPr="000B71E5" w:rsidRDefault="00825C2B" w:rsidP="00825C2B">
            <w:pPr>
              <w:pStyle w:val="Default"/>
              <w:spacing w:line="276" w:lineRule="auto"/>
              <w:rPr>
                <w:rFonts w:asciiTheme="majorEastAsia" w:hAnsiTheme="majorEastAsia" w:cstheme="majorEastAsia"/>
                <w:color w:val="000000" w:themeColor="text1"/>
                <w:sz w:val="18"/>
                <w:szCs w:val="18"/>
              </w:rPr>
            </w:pPr>
            <w:r w:rsidRPr="000B71E5">
              <w:rPr>
                <w:rFonts w:asciiTheme="majorEastAsia" w:hAnsiTheme="majorEastAsia" w:cstheme="majorEastAsia" w:hint="eastAsia"/>
                <w:color w:val="000000" w:themeColor="text1"/>
                <w:sz w:val="18"/>
                <w:szCs w:val="18"/>
              </w:rPr>
              <w:t xml:space="preserve">Vertical gene transfer (VGT) refers to the sexual transmission of genetic material between genetically distinct populations including the movement of genes from a population into other populations of the same species or other sexually compatible species. Some mosquitoes (e.g., most malaria vectors) belong to species complexes that contain both vector and non-vector species, some combinations of which </w:t>
            </w:r>
            <w:proofErr w:type="gramStart"/>
            <w:r w:rsidRPr="000B71E5">
              <w:rPr>
                <w:rFonts w:asciiTheme="majorEastAsia" w:hAnsiTheme="majorEastAsia" w:cstheme="majorEastAsia" w:hint="eastAsia"/>
                <w:color w:val="000000" w:themeColor="text1"/>
                <w:sz w:val="18"/>
                <w:szCs w:val="18"/>
              </w:rPr>
              <w:t>are capable of producing</w:t>
            </w:r>
            <w:proofErr w:type="gramEnd"/>
            <w:r w:rsidRPr="000B71E5">
              <w:rPr>
                <w:rFonts w:asciiTheme="majorEastAsia" w:hAnsiTheme="majorEastAsia" w:cstheme="majorEastAsia" w:hint="eastAsia"/>
                <w:color w:val="000000" w:themeColor="text1"/>
                <w:sz w:val="18"/>
                <w:szCs w:val="18"/>
              </w:rPr>
              <w:t xml:space="preserve"> fertile interspecific hybrids, making VGT to sibling species biologically plausible (Connolly and others, 2023</w:t>
            </w:r>
            <w:r w:rsidR="00A768F5">
              <w:rPr>
                <w:rFonts w:asciiTheme="majorEastAsia" w:hAnsiTheme="majorEastAsia" w:cstheme="majorEastAsia"/>
                <w:color w:val="000000" w:themeColor="text1"/>
                <w:sz w:val="18"/>
                <w:szCs w:val="18"/>
              </w:rPr>
              <w:t>b</w:t>
            </w:r>
            <w:r w:rsidRPr="000B71E5">
              <w:rPr>
                <w:rFonts w:asciiTheme="majorEastAsia" w:hAnsiTheme="majorEastAsia" w:cstheme="majorEastAsia" w:hint="eastAsia"/>
                <w:color w:val="000000" w:themeColor="text1"/>
                <w:sz w:val="18"/>
                <w:szCs w:val="18"/>
              </w:rPr>
              <w:t>).</w:t>
            </w:r>
          </w:p>
          <w:p w14:paraId="313EB9E7" w14:textId="421F048C" w:rsidR="00825C2B" w:rsidRPr="000B71E5" w:rsidRDefault="00825C2B" w:rsidP="00825C2B">
            <w:pPr>
              <w:pStyle w:val="Default"/>
              <w:spacing w:line="276" w:lineRule="auto"/>
              <w:rPr>
                <w:rFonts w:asciiTheme="majorEastAsia" w:hAnsiTheme="majorEastAsia" w:cstheme="majorEastAsia"/>
                <w:color w:val="000000" w:themeColor="text1"/>
                <w:sz w:val="18"/>
                <w:szCs w:val="18"/>
              </w:rPr>
            </w:pPr>
            <w:r w:rsidRPr="000B71E5">
              <w:rPr>
                <w:rFonts w:asciiTheme="majorEastAsia" w:hAnsiTheme="majorEastAsia" w:cstheme="majorEastAsia" w:hint="eastAsia"/>
                <w:color w:val="000000" w:themeColor="text1"/>
                <w:sz w:val="18"/>
                <w:szCs w:val="18"/>
              </w:rPr>
              <w:t>Vertical gene transfer is a natural process mediated by sexual reproduction through which (trans)genes can be transferred from parents to offspring. While VGT is not an adverse effect per se, it could serve as an “exposure pathway” that lead to p</w:t>
            </w:r>
            <w:r w:rsidR="00C31482">
              <w:rPr>
                <w:rFonts w:asciiTheme="majorEastAsia" w:hAnsiTheme="majorEastAsia" w:cstheme="majorEastAsia"/>
                <w:color w:val="000000" w:themeColor="text1"/>
                <w:sz w:val="18"/>
                <w:szCs w:val="18"/>
              </w:rPr>
              <w:t>otential</w:t>
            </w:r>
            <w:r w:rsidRPr="000B71E5">
              <w:rPr>
                <w:rFonts w:asciiTheme="majorEastAsia" w:hAnsiTheme="majorEastAsia" w:cstheme="majorEastAsia" w:hint="eastAsia"/>
                <w:color w:val="000000" w:themeColor="text1"/>
                <w:sz w:val="18"/>
                <w:szCs w:val="18"/>
              </w:rPr>
              <w:t xml:space="preserve"> adverse effects. Therefore, a consideration for the risk assessment of an EGD-LMM would include the evaluation of the potential for transfer of transgenes via VGT to sexually compatible mosquitoes to result in potential adverse effects on humans, </w:t>
            </w:r>
            <w:proofErr w:type="gramStart"/>
            <w:r w:rsidRPr="000B71E5">
              <w:rPr>
                <w:rFonts w:asciiTheme="majorEastAsia" w:hAnsiTheme="majorEastAsia" w:cstheme="majorEastAsia" w:hint="eastAsia"/>
                <w:color w:val="000000" w:themeColor="text1"/>
                <w:sz w:val="18"/>
                <w:szCs w:val="18"/>
              </w:rPr>
              <w:t>animals</w:t>
            </w:r>
            <w:proofErr w:type="gramEnd"/>
            <w:r w:rsidRPr="000B71E5">
              <w:rPr>
                <w:rFonts w:asciiTheme="majorEastAsia" w:hAnsiTheme="majorEastAsia" w:cstheme="majorEastAsia" w:hint="eastAsia"/>
                <w:color w:val="000000" w:themeColor="text1"/>
                <w:sz w:val="18"/>
                <w:szCs w:val="18"/>
              </w:rPr>
              <w:t xml:space="preserve"> and the environment, relative to the comparator.</w:t>
            </w:r>
          </w:p>
          <w:p w14:paraId="4E6E94C8" w14:textId="02D2C6AF" w:rsidR="00825C2B" w:rsidRPr="000B71E5" w:rsidRDefault="00825C2B" w:rsidP="00825C2B">
            <w:pPr>
              <w:pStyle w:val="Default"/>
              <w:spacing w:line="276" w:lineRule="auto"/>
              <w:rPr>
                <w:rFonts w:asciiTheme="majorEastAsia" w:hAnsiTheme="majorEastAsia" w:cstheme="majorEastAsia"/>
                <w:color w:val="000000" w:themeColor="text1"/>
                <w:sz w:val="18"/>
                <w:szCs w:val="18"/>
              </w:rPr>
            </w:pPr>
            <w:r w:rsidRPr="000B71E5">
              <w:rPr>
                <w:rFonts w:asciiTheme="majorEastAsia" w:hAnsiTheme="majorEastAsia" w:cstheme="majorEastAsia" w:hint="eastAsia"/>
                <w:color w:val="000000" w:themeColor="text1"/>
                <w:sz w:val="18"/>
                <w:szCs w:val="18"/>
              </w:rPr>
              <w:t>A plausible consequence of the use of some EGD-LMMs in species complexes is VGT of the transgenes to both vector and non-vector sibling species. Depending on how the target organism and protection goals are defined, the potential adverse effects due to VGT may differ across the spectrum of such a complex. This would require further consideration in the risk assessment (Connolly and others, 2023</w:t>
            </w:r>
            <w:r w:rsidR="00A768F5">
              <w:rPr>
                <w:rFonts w:asciiTheme="majorEastAsia" w:hAnsiTheme="majorEastAsia" w:cstheme="majorEastAsia"/>
                <w:color w:val="000000" w:themeColor="text1"/>
                <w:sz w:val="18"/>
                <w:szCs w:val="18"/>
              </w:rPr>
              <w:t>b</w:t>
            </w:r>
            <w:r w:rsidRPr="000B71E5">
              <w:rPr>
                <w:rFonts w:asciiTheme="majorEastAsia" w:hAnsiTheme="majorEastAsia" w:cstheme="majorEastAsia" w:hint="eastAsia"/>
                <w:color w:val="000000" w:themeColor="text1"/>
                <w:sz w:val="18"/>
                <w:szCs w:val="18"/>
              </w:rPr>
              <w:t xml:space="preserve">).  </w:t>
            </w:r>
          </w:p>
          <w:p w14:paraId="034E8989" w14:textId="77777777" w:rsidR="00825C2B" w:rsidRPr="000B71E5" w:rsidRDefault="00825C2B" w:rsidP="00825C2B">
            <w:pPr>
              <w:pStyle w:val="Default"/>
              <w:spacing w:line="276" w:lineRule="auto"/>
              <w:rPr>
                <w:rFonts w:asciiTheme="majorEastAsia" w:hAnsiTheme="majorEastAsia" w:cstheme="majorEastAsia"/>
                <w:i/>
                <w:color w:val="000000" w:themeColor="text1"/>
                <w:sz w:val="18"/>
                <w:szCs w:val="18"/>
              </w:rPr>
            </w:pPr>
            <w:r w:rsidRPr="000B71E5">
              <w:rPr>
                <w:rFonts w:asciiTheme="majorEastAsia" w:hAnsiTheme="majorEastAsia" w:cstheme="majorEastAsia" w:hint="eastAsia"/>
                <w:i/>
                <w:color w:val="000000" w:themeColor="text1"/>
                <w:sz w:val="18"/>
                <w:szCs w:val="18"/>
              </w:rPr>
              <w:t>Horizontal gene transfer</w:t>
            </w:r>
          </w:p>
          <w:p w14:paraId="4BD4BC71" w14:textId="76FF0E2E" w:rsidR="00825C2B" w:rsidRDefault="00825C2B" w:rsidP="00825C2B">
            <w:pPr>
              <w:spacing w:line="276" w:lineRule="auto"/>
              <w:jc w:val="both"/>
            </w:pPr>
            <w:r w:rsidRPr="000B71E5">
              <w:rPr>
                <w:rFonts w:asciiTheme="majorEastAsia" w:hAnsiTheme="majorEastAsia" w:cstheme="majorEastAsia" w:hint="eastAsia"/>
                <w:color w:val="000000" w:themeColor="text1"/>
                <w:sz w:val="18"/>
                <w:szCs w:val="18"/>
              </w:rPr>
              <w:t>Beside vertical gene transfer, genetic material can also be naturally transferred from one species to another (Houck and others, 1991) via a phenomenon called horizontal gene transfer making its consideration relevant in the case of EGD-LMOs (</w:t>
            </w:r>
            <w:r w:rsidRPr="0098625C">
              <w:rPr>
                <w:rFonts w:asciiTheme="majorEastAsia" w:hAnsiTheme="majorEastAsia" w:cstheme="majorEastAsia" w:hint="eastAsia"/>
                <w:color w:val="000000" w:themeColor="text1"/>
                <w:sz w:val="18"/>
                <w:szCs w:val="18"/>
              </w:rPr>
              <w:t>Courtier-</w:t>
            </w:r>
            <w:proofErr w:type="spellStart"/>
            <w:r w:rsidRPr="0098625C">
              <w:rPr>
                <w:rFonts w:asciiTheme="majorEastAsia" w:hAnsiTheme="majorEastAsia" w:cstheme="majorEastAsia" w:hint="eastAsia"/>
                <w:color w:val="000000" w:themeColor="text1"/>
                <w:sz w:val="18"/>
                <w:szCs w:val="18"/>
              </w:rPr>
              <w:t>Orgogozo</w:t>
            </w:r>
            <w:proofErr w:type="spellEnd"/>
            <w:r w:rsidRPr="0098625C">
              <w:rPr>
                <w:rFonts w:asciiTheme="majorEastAsia" w:hAnsiTheme="majorEastAsia" w:cstheme="majorEastAsia" w:hint="eastAsia"/>
                <w:color w:val="000000" w:themeColor="text1"/>
                <w:sz w:val="18"/>
                <w:szCs w:val="18"/>
              </w:rPr>
              <w:t xml:space="preserve"> and others, 2018</w:t>
            </w:r>
            <w:r w:rsidRPr="000B71E5">
              <w:rPr>
                <w:rFonts w:asciiTheme="majorEastAsia" w:hAnsiTheme="majorEastAsia" w:cstheme="majorEastAsia" w:hint="eastAsia"/>
                <w:color w:val="000000" w:themeColor="text1"/>
                <w:sz w:val="18"/>
                <w:szCs w:val="18"/>
              </w:rPr>
              <w:t>).</w:t>
            </w:r>
          </w:p>
        </w:tc>
      </w:tr>
    </w:tbl>
    <w:p w14:paraId="479B4B47" w14:textId="77777777" w:rsidR="00825C2B" w:rsidRPr="00BB5241" w:rsidRDefault="00825C2B" w:rsidP="00212686">
      <w:pPr>
        <w:spacing w:line="276" w:lineRule="auto"/>
        <w:jc w:val="both"/>
        <w:rPr>
          <w:rFonts w:ascii="Times New Roman" w:hAnsi="Times New Roman" w:cs="Times New Roman"/>
        </w:rPr>
      </w:pPr>
    </w:p>
    <w:p w14:paraId="77B3313C" w14:textId="50390E59" w:rsidR="00DC2E53" w:rsidRPr="00CA0582" w:rsidRDefault="00DD7AFB" w:rsidP="00212686">
      <w:pPr>
        <w:pStyle w:val="Heading3"/>
        <w:spacing w:line="276" w:lineRule="auto"/>
        <w:rPr>
          <w:rFonts w:ascii="Times New Roman" w:hAnsi="Times New Roman" w:cs="Times New Roman"/>
          <w:b/>
          <w:bCs/>
          <w:color w:val="auto"/>
          <w:lang w:val="en-GB"/>
        </w:rPr>
      </w:pPr>
      <w:bookmarkStart w:id="52" w:name="_Toc14"/>
      <w:bookmarkStart w:id="53" w:name="_Toc161220495"/>
      <w:r w:rsidRPr="00CA0582">
        <w:rPr>
          <w:rFonts w:ascii="Times New Roman" w:hAnsi="Times New Roman" w:cs="Times New Roman"/>
          <w:b/>
          <w:bCs/>
          <w:color w:val="auto"/>
          <w:lang w:val="en-GB"/>
        </w:rPr>
        <w:t>4</w:t>
      </w:r>
      <w:r w:rsidR="005430B6" w:rsidRPr="00CA0582">
        <w:rPr>
          <w:rFonts w:ascii="Times New Roman" w:hAnsi="Times New Roman" w:cs="Times New Roman"/>
          <w:b/>
          <w:bCs/>
          <w:color w:val="auto"/>
          <w:lang w:val="en-GB"/>
        </w:rPr>
        <w:t>.1.5</w:t>
      </w:r>
      <w:r w:rsidR="00DA1916" w:rsidRPr="00CA0582">
        <w:rPr>
          <w:rFonts w:ascii="Times New Roman" w:hAnsi="Times New Roman" w:cs="Times New Roman"/>
          <w:b/>
          <w:bCs/>
          <w:color w:val="auto"/>
          <w:lang w:val="en-GB"/>
        </w:rPr>
        <w:t>.</w:t>
      </w:r>
      <w:r w:rsidR="005430B6" w:rsidRPr="00CA0582">
        <w:rPr>
          <w:rFonts w:ascii="Times New Roman" w:hAnsi="Times New Roman" w:cs="Times New Roman"/>
          <w:b/>
          <w:bCs/>
          <w:color w:val="auto"/>
          <w:lang w:val="en-GB"/>
        </w:rPr>
        <w:t xml:space="preserve"> </w:t>
      </w:r>
      <w:r w:rsidR="005D45AA" w:rsidRPr="0035771A">
        <w:rPr>
          <w:rFonts w:ascii="Times New Roman" w:hAnsi="Times New Roman" w:cs="Times New Roman"/>
          <w:b/>
          <w:bCs/>
          <w:color w:val="000000" w:themeColor="text1"/>
          <w:lang w:val="en-GB"/>
        </w:rPr>
        <w:t>Participation</w:t>
      </w:r>
      <w:r w:rsidR="0051515A" w:rsidRPr="0035771A">
        <w:rPr>
          <w:rFonts w:ascii="Times New Roman" w:hAnsi="Times New Roman" w:cs="Times New Roman"/>
          <w:b/>
          <w:bCs/>
          <w:color w:val="000000" w:themeColor="text1"/>
          <w:lang w:val="en-GB"/>
        </w:rPr>
        <w:t xml:space="preserve"> </w:t>
      </w:r>
      <w:r w:rsidR="00EA1CD2">
        <w:rPr>
          <w:rFonts w:ascii="Times New Roman" w:hAnsi="Times New Roman" w:cs="Times New Roman"/>
          <w:b/>
          <w:bCs/>
          <w:color w:val="000000" w:themeColor="text1"/>
          <w:lang w:val="en-GB"/>
        </w:rPr>
        <w:t xml:space="preserve">of </w:t>
      </w:r>
      <w:r w:rsidR="0051515A" w:rsidRPr="0035771A">
        <w:rPr>
          <w:rFonts w:ascii="Times New Roman" w:hAnsi="Times New Roman" w:cs="Times New Roman"/>
          <w:b/>
          <w:bCs/>
          <w:color w:val="000000" w:themeColor="text1"/>
          <w:lang w:val="en-GB"/>
        </w:rPr>
        <w:t>and engagement</w:t>
      </w:r>
      <w:r w:rsidR="00D95744" w:rsidRPr="0035771A">
        <w:rPr>
          <w:rFonts w:ascii="Times New Roman" w:hAnsi="Times New Roman" w:cs="Times New Roman"/>
          <w:b/>
          <w:bCs/>
          <w:color w:val="000000" w:themeColor="text1"/>
          <w:lang w:val="en-GB"/>
        </w:rPr>
        <w:t xml:space="preserve"> </w:t>
      </w:r>
      <w:r w:rsidR="00EA1CD2">
        <w:rPr>
          <w:rFonts w:ascii="Times New Roman" w:hAnsi="Times New Roman" w:cs="Times New Roman"/>
          <w:b/>
          <w:bCs/>
          <w:color w:val="000000" w:themeColor="text1"/>
          <w:lang w:val="en-GB"/>
        </w:rPr>
        <w:t>with</w:t>
      </w:r>
      <w:r w:rsidR="006608F5" w:rsidRPr="0035771A">
        <w:rPr>
          <w:rFonts w:ascii="Times New Roman" w:hAnsi="Times New Roman" w:cs="Times New Roman"/>
          <w:b/>
          <w:bCs/>
          <w:color w:val="000000" w:themeColor="text1"/>
          <w:lang w:val="en-GB"/>
        </w:rPr>
        <w:t xml:space="preserve"> </w:t>
      </w:r>
      <w:r w:rsidR="005430B6" w:rsidRPr="00CA0582">
        <w:rPr>
          <w:rFonts w:ascii="Times New Roman" w:hAnsi="Times New Roman" w:cs="Times New Roman"/>
          <w:b/>
          <w:bCs/>
          <w:color w:val="auto"/>
          <w:lang w:val="en-GB"/>
        </w:rPr>
        <w:t>stakeholders</w:t>
      </w:r>
      <w:bookmarkEnd w:id="52"/>
      <w:bookmarkEnd w:id="53"/>
      <w:r w:rsidR="00400801">
        <w:rPr>
          <w:rFonts w:ascii="Times New Roman" w:hAnsi="Times New Roman" w:cs="Times New Roman"/>
          <w:b/>
          <w:bCs/>
          <w:color w:val="auto"/>
          <w:lang w:val="en-GB"/>
        </w:rPr>
        <w:t xml:space="preserve"> </w:t>
      </w:r>
      <w:r w:rsidR="00BE5C3E" w:rsidRPr="00CA0582">
        <w:rPr>
          <w:rFonts w:ascii="Times New Roman" w:hAnsi="Times New Roman" w:cs="Times New Roman"/>
          <w:b/>
          <w:bCs/>
          <w:color w:val="auto"/>
          <w:lang w:val="en-GB"/>
        </w:rPr>
        <w:t xml:space="preserve"> </w:t>
      </w:r>
    </w:p>
    <w:p w14:paraId="4ACAABE8" w14:textId="6F0FA88F" w:rsidR="00EB7816" w:rsidRPr="00BB5241" w:rsidRDefault="005430B6" w:rsidP="00212686">
      <w:pPr>
        <w:spacing w:line="276" w:lineRule="auto"/>
        <w:jc w:val="both"/>
        <w:rPr>
          <w:rFonts w:ascii="Times New Roman" w:hAnsi="Times New Roman" w:cs="Times New Roman"/>
        </w:rPr>
      </w:pPr>
      <w:r w:rsidRPr="00BB5241">
        <w:rPr>
          <w:rFonts w:ascii="Times New Roman" w:eastAsia="Times New Roman" w:hAnsi="Times New Roman" w:cs="Times New Roman"/>
        </w:rPr>
        <w:t>New technologies, such as EGDs, are likely to raise new questions</w:t>
      </w:r>
      <w:r w:rsidR="00A22D3B" w:rsidRPr="00F117FA">
        <w:rPr>
          <w:rFonts w:ascii="Times New Roman" w:eastAsia="Times New Roman" w:hAnsi="Times New Roman" w:cs="Times New Roman"/>
          <w:color w:val="000000" w:themeColor="text1"/>
        </w:rPr>
        <w:t>, expectations</w:t>
      </w:r>
      <w:r w:rsidRPr="00F117FA">
        <w:rPr>
          <w:rFonts w:ascii="Times New Roman" w:eastAsia="Times New Roman" w:hAnsi="Times New Roman" w:cs="Times New Roman"/>
          <w:color w:val="000000" w:themeColor="text1"/>
        </w:rPr>
        <w:t xml:space="preserve"> and concerns </w:t>
      </w:r>
      <w:r w:rsidR="00FF39B0" w:rsidRPr="00F117FA">
        <w:rPr>
          <w:rFonts w:ascii="Times New Roman" w:eastAsia="Times New Roman" w:hAnsi="Times New Roman" w:cs="Times New Roman"/>
          <w:color w:val="000000" w:themeColor="text1"/>
        </w:rPr>
        <w:t xml:space="preserve">among </w:t>
      </w:r>
      <w:r w:rsidRPr="00F117FA">
        <w:rPr>
          <w:rFonts w:ascii="Times New Roman" w:eastAsia="Times New Roman" w:hAnsi="Times New Roman" w:cs="Times New Roman"/>
          <w:color w:val="000000" w:themeColor="text1"/>
        </w:rPr>
        <w:t xml:space="preserve">stakeholders, </w:t>
      </w:r>
      <w:r w:rsidR="00B614EB">
        <w:rPr>
          <w:rFonts w:ascii="Times New Roman" w:eastAsia="Times New Roman" w:hAnsi="Times New Roman" w:cs="Times New Roman"/>
          <w:color w:val="000000" w:themeColor="text1"/>
        </w:rPr>
        <w:t>indigenous peoples and local communitie</w:t>
      </w:r>
      <w:r w:rsidR="00A85ED2">
        <w:rPr>
          <w:rFonts w:ascii="Times New Roman" w:eastAsia="Times New Roman" w:hAnsi="Times New Roman" w:cs="Times New Roman"/>
          <w:color w:val="000000" w:themeColor="text1"/>
        </w:rPr>
        <w:t>s</w:t>
      </w:r>
      <w:r w:rsidRPr="00F117FA">
        <w:rPr>
          <w:rFonts w:ascii="Times New Roman" w:eastAsia="Times New Roman" w:hAnsi="Times New Roman" w:cs="Times New Roman"/>
          <w:color w:val="000000" w:themeColor="text1"/>
        </w:rPr>
        <w:t xml:space="preserve">, </w:t>
      </w:r>
      <w:r w:rsidR="00675A83" w:rsidRPr="00F117FA">
        <w:rPr>
          <w:rFonts w:ascii="Times New Roman" w:eastAsia="Times New Roman" w:hAnsi="Times New Roman" w:cs="Times New Roman"/>
          <w:color w:val="000000" w:themeColor="text1"/>
        </w:rPr>
        <w:t>whose</w:t>
      </w:r>
      <w:r w:rsidR="000C6827" w:rsidRPr="00F117FA">
        <w:rPr>
          <w:rFonts w:ascii="Times New Roman" w:eastAsia="Times New Roman" w:hAnsi="Times New Roman" w:cs="Times New Roman"/>
          <w:color w:val="000000" w:themeColor="text1"/>
        </w:rPr>
        <w:t xml:space="preserve"> </w:t>
      </w:r>
      <w:r w:rsidRPr="00F117FA">
        <w:rPr>
          <w:rFonts w:ascii="Times New Roman" w:eastAsia="Times New Roman" w:hAnsi="Times New Roman" w:cs="Times New Roman"/>
          <w:color w:val="000000" w:themeColor="text1"/>
        </w:rPr>
        <w:t>traditional knowledge, innovation, practices</w:t>
      </w:r>
      <w:r w:rsidR="00913B35" w:rsidRPr="00F117FA">
        <w:rPr>
          <w:rFonts w:ascii="Times New Roman" w:eastAsia="Times New Roman" w:hAnsi="Times New Roman" w:cs="Times New Roman"/>
          <w:color w:val="000000" w:themeColor="text1"/>
        </w:rPr>
        <w:t>,</w:t>
      </w:r>
      <w:r w:rsidRPr="00F117FA">
        <w:rPr>
          <w:rFonts w:ascii="Times New Roman" w:eastAsia="Times New Roman" w:hAnsi="Times New Roman" w:cs="Times New Roman"/>
          <w:color w:val="000000" w:themeColor="text1"/>
        </w:rPr>
        <w:t xml:space="preserve"> livelihood and use of land</w:t>
      </w:r>
      <w:r w:rsidR="00FF4D10" w:rsidRPr="00F117FA">
        <w:rPr>
          <w:rFonts w:ascii="Times New Roman" w:eastAsia="Times New Roman" w:hAnsi="Times New Roman" w:cs="Times New Roman"/>
          <w:color w:val="000000" w:themeColor="text1"/>
        </w:rPr>
        <w:t xml:space="preserve"> </w:t>
      </w:r>
      <w:r w:rsidRPr="00F117FA">
        <w:rPr>
          <w:rFonts w:ascii="Times New Roman" w:eastAsia="Times New Roman" w:hAnsi="Times New Roman" w:cs="Times New Roman"/>
          <w:color w:val="000000" w:themeColor="text1"/>
        </w:rPr>
        <w:t>and water</w:t>
      </w:r>
      <w:r w:rsidR="0051515A" w:rsidRPr="00F117FA">
        <w:rPr>
          <w:rFonts w:ascii="Times New Roman" w:eastAsia="Times New Roman" w:hAnsi="Times New Roman" w:cs="Times New Roman"/>
          <w:color w:val="000000" w:themeColor="text1"/>
        </w:rPr>
        <w:t>s</w:t>
      </w:r>
      <w:r w:rsidR="00907A32" w:rsidRPr="00F117FA">
        <w:rPr>
          <w:rFonts w:ascii="Times New Roman" w:eastAsia="Times New Roman" w:hAnsi="Times New Roman" w:cs="Times New Roman"/>
          <w:color w:val="000000" w:themeColor="text1"/>
        </w:rPr>
        <w:t xml:space="preserve"> may be impacted by the technology</w:t>
      </w:r>
      <w:r w:rsidRPr="00BB5241">
        <w:rPr>
          <w:rFonts w:ascii="Times New Roman" w:eastAsia="Times New Roman" w:hAnsi="Times New Roman" w:cs="Times New Roman"/>
        </w:rPr>
        <w:t xml:space="preserve">. Therefore, risk </w:t>
      </w:r>
      <w:r w:rsidRPr="00BB5241">
        <w:rPr>
          <w:rFonts w:ascii="Times New Roman" w:eastAsia="Times New Roman" w:hAnsi="Times New Roman" w:cs="Times New Roman"/>
        </w:rPr>
        <w:lastRenderedPageBreak/>
        <w:t xml:space="preserve">assessors should anticipate and plan for an expanded engagement process to ensure </w:t>
      </w:r>
      <w:r w:rsidR="00913B35" w:rsidRPr="00BB5241">
        <w:rPr>
          <w:rFonts w:ascii="Times New Roman" w:eastAsia="Times New Roman" w:hAnsi="Times New Roman" w:cs="Times New Roman"/>
        </w:rPr>
        <w:t xml:space="preserve">that </w:t>
      </w:r>
      <w:r w:rsidRPr="00BB5241">
        <w:rPr>
          <w:rFonts w:ascii="Times New Roman" w:eastAsia="Times New Roman" w:hAnsi="Times New Roman" w:cs="Times New Roman"/>
        </w:rPr>
        <w:t xml:space="preserve">the risk assessment has an appropriate scope </w:t>
      </w:r>
      <w:r w:rsidR="00A65215" w:rsidRPr="00BB5241">
        <w:rPr>
          <w:rFonts w:ascii="Times New Roman" w:eastAsia="Times New Roman" w:hAnsi="Times New Roman" w:cs="Times New Roman"/>
        </w:rPr>
        <w:t xml:space="preserve">and </w:t>
      </w:r>
      <w:r w:rsidR="004A2A45" w:rsidRPr="00BB5241">
        <w:rPr>
          <w:rFonts w:ascii="Times New Roman" w:eastAsia="Times New Roman" w:hAnsi="Times New Roman" w:cs="Times New Roman"/>
        </w:rPr>
        <w:t>wide input from stakeholders</w:t>
      </w:r>
      <w:r w:rsidR="0013160B">
        <w:rPr>
          <w:rFonts w:ascii="Times New Roman" w:eastAsia="Times New Roman" w:hAnsi="Times New Roman" w:cs="Times New Roman"/>
        </w:rPr>
        <w:t>.</w:t>
      </w:r>
      <w:r w:rsidR="0013160B">
        <w:rPr>
          <w:rStyle w:val="FootnoteReference"/>
          <w:rFonts w:ascii="Times New Roman" w:eastAsia="Times New Roman" w:hAnsi="Times New Roman" w:cs="Times New Roman"/>
        </w:rPr>
        <w:footnoteReference w:id="16"/>
      </w:r>
    </w:p>
    <w:p w14:paraId="485FF87F" w14:textId="7CE492FD" w:rsidR="00FD29C5" w:rsidRPr="00F117FA" w:rsidRDefault="00FD29C5" w:rsidP="00EB6ECD">
      <w:pPr>
        <w:spacing w:line="276" w:lineRule="auto"/>
        <w:jc w:val="both"/>
        <w:rPr>
          <w:rFonts w:ascii="Times New Roman" w:eastAsia="Times New Roman" w:hAnsi="Times New Roman" w:cs="Times New Roman"/>
          <w:color w:val="000000" w:themeColor="text1"/>
        </w:rPr>
      </w:pPr>
      <w:r w:rsidRPr="00F117FA">
        <w:rPr>
          <w:rFonts w:ascii="Times New Roman" w:eastAsia="Times New Roman" w:hAnsi="Times New Roman" w:cs="Times New Roman"/>
          <w:color w:val="000000" w:themeColor="text1"/>
        </w:rPr>
        <w:t>A particular stakeholder’s</w:t>
      </w:r>
      <w:r w:rsidR="003A7720" w:rsidRPr="00F117FA">
        <w:rPr>
          <w:rFonts w:ascii="Times New Roman" w:eastAsia="Times New Roman" w:hAnsi="Times New Roman" w:cs="Times New Roman"/>
          <w:color w:val="000000" w:themeColor="text1"/>
        </w:rPr>
        <w:t xml:space="preserve"> </w:t>
      </w:r>
      <w:r w:rsidRPr="00F117FA">
        <w:rPr>
          <w:rFonts w:ascii="Times New Roman" w:eastAsia="Times New Roman" w:hAnsi="Times New Roman" w:cs="Times New Roman"/>
          <w:color w:val="000000" w:themeColor="text1"/>
        </w:rPr>
        <w:t>perception of risk from the intentional release of an EGD-LMO may also depend on the stakeholder’s personal and cultural relationship with the environment, for example, whether the environment is a resource to be utilized or stewarded (</w:t>
      </w:r>
      <w:r w:rsidRPr="0098625C">
        <w:rPr>
          <w:rFonts w:ascii="Times New Roman" w:eastAsia="Times New Roman" w:hAnsi="Times New Roman" w:cs="Times New Roman"/>
          <w:color w:val="000000" w:themeColor="text1"/>
        </w:rPr>
        <w:t>Hartley and others, 2023</w:t>
      </w:r>
      <w:r w:rsidRPr="00F117FA">
        <w:rPr>
          <w:rFonts w:ascii="Times New Roman" w:eastAsia="Times New Roman" w:hAnsi="Times New Roman" w:cs="Times New Roman"/>
          <w:color w:val="000000" w:themeColor="text1"/>
        </w:rPr>
        <w:t>)</w:t>
      </w:r>
      <w:r w:rsidR="00EB6ECD" w:rsidRPr="00F117FA">
        <w:rPr>
          <w:rFonts w:ascii="Times New Roman" w:eastAsia="Times New Roman" w:hAnsi="Times New Roman" w:cs="Times New Roman"/>
          <w:color w:val="000000" w:themeColor="text1"/>
        </w:rPr>
        <w:t>.</w:t>
      </w:r>
    </w:p>
    <w:p w14:paraId="572A93E0" w14:textId="7814FDC7" w:rsidR="00EB7816" w:rsidRPr="00BB5241" w:rsidRDefault="00EB7816" w:rsidP="00212686">
      <w:pPr>
        <w:spacing w:line="276" w:lineRule="auto"/>
        <w:jc w:val="both"/>
        <w:rPr>
          <w:rFonts w:ascii="Times New Roman" w:hAnsi="Times New Roman" w:cs="Times New Roman"/>
        </w:rPr>
      </w:pPr>
      <w:r w:rsidRPr="00BB5241">
        <w:rPr>
          <w:rFonts w:ascii="Times New Roman" w:hAnsi="Times New Roman" w:cs="Times New Roman"/>
        </w:rPr>
        <w:t xml:space="preserve">Active stakeholder </w:t>
      </w:r>
      <w:r w:rsidR="00496F15" w:rsidRPr="00F117FA">
        <w:rPr>
          <w:rFonts w:ascii="Times New Roman" w:hAnsi="Times New Roman" w:cs="Times New Roman"/>
          <w:color w:val="000000" w:themeColor="text1"/>
        </w:rPr>
        <w:t xml:space="preserve">participation, including consultations and </w:t>
      </w:r>
      <w:r w:rsidRPr="00F117FA">
        <w:rPr>
          <w:rFonts w:ascii="Times New Roman" w:hAnsi="Times New Roman" w:cs="Times New Roman"/>
          <w:color w:val="000000" w:themeColor="text1"/>
        </w:rPr>
        <w:t>engagement</w:t>
      </w:r>
      <w:r w:rsidR="00496F15" w:rsidRPr="00F117FA">
        <w:rPr>
          <w:rFonts w:ascii="Times New Roman" w:hAnsi="Times New Roman" w:cs="Times New Roman"/>
          <w:color w:val="000000" w:themeColor="text1"/>
        </w:rPr>
        <w:t>,</w:t>
      </w:r>
      <w:r w:rsidRPr="00F117FA">
        <w:rPr>
          <w:rFonts w:ascii="Times New Roman" w:hAnsi="Times New Roman" w:cs="Times New Roman"/>
          <w:color w:val="000000" w:themeColor="text1"/>
        </w:rPr>
        <w:t xml:space="preserve"> on problem formulation (including the identification of </w:t>
      </w:r>
      <w:r w:rsidR="0022748E" w:rsidRPr="00F117FA">
        <w:rPr>
          <w:rFonts w:ascii="Times New Roman" w:hAnsi="Times New Roman" w:cs="Times New Roman"/>
          <w:color w:val="000000" w:themeColor="text1"/>
        </w:rPr>
        <w:t xml:space="preserve">both the </w:t>
      </w:r>
      <w:r w:rsidRPr="00F117FA">
        <w:rPr>
          <w:rFonts w:ascii="Times New Roman" w:hAnsi="Times New Roman" w:cs="Times New Roman"/>
          <w:color w:val="000000" w:themeColor="text1"/>
        </w:rPr>
        <w:t>protection goals</w:t>
      </w:r>
      <w:r w:rsidR="00501B51" w:rsidRPr="00F117FA">
        <w:rPr>
          <w:rFonts w:ascii="Times New Roman" w:hAnsi="Times New Roman" w:cs="Times New Roman"/>
          <w:color w:val="000000" w:themeColor="text1"/>
        </w:rPr>
        <w:t xml:space="preserve"> </w:t>
      </w:r>
      <w:r w:rsidR="00913B35" w:rsidRPr="00F117FA">
        <w:rPr>
          <w:rFonts w:ascii="Times New Roman" w:hAnsi="Times New Roman" w:cs="Times New Roman"/>
          <w:color w:val="000000" w:themeColor="text1"/>
        </w:rPr>
        <w:t>that are relevant for the specific case</w:t>
      </w:r>
      <w:r w:rsidR="002130A4" w:rsidRPr="00F117FA">
        <w:rPr>
          <w:rFonts w:ascii="Times New Roman" w:hAnsi="Times New Roman" w:cs="Times New Roman"/>
          <w:color w:val="000000" w:themeColor="text1"/>
        </w:rPr>
        <w:t xml:space="preserve"> and</w:t>
      </w:r>
      <w:r w:rsidR="00913B35" w:rsidRPr="00F117FA">
        <w:rPr>
          <w:rFonts w:ascii="Times New Roman" w:hAnsi="Times New Roman" w:cs="Times New Roman"/>
          <w:color w:val="000000" w:themeColor="text1"/>
        </w:rPr>
        <w:t xml:space="preserve"> </w:t>
      </w:r>
      <w:r w:rsidR="0022748E" w:rsidRPr="00BB5241">
        <w:rPr>
          <w:rFonts w:ascii="Times New Roman" w:hAnsi="Times New Roman" w:cs="Times New Roman"/>
        </w:rPr>
        <w:t>the</w:t>
      </w:r>
      <w:r w:rsidR="00913B35" w:rsidRPr="00BB5241">
        <w:rPr>
          <w:rFonts w:ascii="Times New Roman" w:hAnsi="Times New Roman" w:cs="Times New Roman"/>
        </w:rPr>
        <w:t xml:space="preserve"> </w:t>
      </w:r>
      <w:r w:rsidRPr="00BB5241">
        <w:rPr>
          <w:rFonts w:ascii="Times New Roman" w:hAnsi="Times New Roman" w:cs="Times New Roman"/>
        </w:rPr>
        <w:t xml:space="preserve">assessment endpoints) can improve the value of risk assessment, as it may help to ensure </w:t>
      </w:r>
      <w:r w:rsidRPr="00F117FA">
        <w:rPr>
          <w:rFonts w:ascii="Times New Roman" w:hAnsi="Times New Roman" w:cs="Times New Roman"/>
          <w:color w:val="000000" w:themeColor="text1"/>
        </w:rPr>
        <w:t xml:space="preserve">that </w:t>
      </w:r>
      <w:r w:rsidR="00076740" w:rsidRPr="00F117FA">
        <w:rPr>
          <w:rFonts w:ascii="Times New Roman" w:hAnsi="Times New Roman" w:cs="Times New Roman"/>
          <w:color w:val="000000" w:themeColor="text1"/>
        </w:rPr>
        <w:t xml:space="preserve">the process is </w:t>
      </w:r>
      <w:r w:rsidRPr="00F117FA">
        <w:rPr>
          <w:rFonts w:ascii="Times New Roman" w:hAnsi="Times New Roman" w:cs="Times New Roman"/>
          <w:color w:val="000000" w:themeColor="text1"/>
        </w:rPr>
        <w:t>meaningful and informative to the environmental decisions that affect them (</w:t>
      </w:r>
      <w:r w:rsidRPr="0098625C">
        <w:rPr>
          <w:rFonts w:ascii="Times New Roman" w:hAnsi="Times New Roman" w:cs="Times New Roman"/>
          <w:color w:val="000000" w:themeColor="text1"/>
        </w:rPr>
        <w:t>NASEM, 2016</w:t>
      </w:r>
      <w:r w:rsidRPr="00F117FA">
        <w:rPr>
          <w:rFonts w:ascii="Times New Roman" w:hAnsi="Times New Roman" w:cs="Times New Roman"/>
          <w:color w:val="000000" w:themeColor="text1"/>
        </w:rPr>
        <w:t>).</w:t>
      </w:r>
    </w:p>
    <w:p w14:paraId="7C4DA70E" w14:textId="1511F831" w:rsidR="00EB7816" w:rsidRPr="00BB5241" w:rsidRDefault="00EB7816" w:rsidP="00212686">
      <w:pPr>
        <w:spacing w:line="276" w:lineRule="auto"/>
        <w:jc w:val="both"/>
        <w:rPr>
          <w:rFonts w:ascii="Times New Roman" w:eastAsia="Times New Roman" w:hAnsi="Times New Roman" w:cs="Times New Roman"/>
        </w:rPr>
      </w:pPr>
      <w:r w:rsidRPr="00BB5241">
        <w:rPr>
          <w:rFonts w:ascii="Times New Roman" w:hAnsi="Times New Roman" w:cs="Times New Roman"/>
        </w:rPr>
        <w:t xml:space="preserve">Experience gained from </w:t>
      </w:r>
      <w:r w:rsidR="00987E4E" w:rsidRPr="00BB5241">
        <w:rPr>
          <w:rFonts w:ascii="Times New Roman" w:hAnsi="Times New Roman" w:cs="Times New Roman"/>
        </w:rPr>
        <w:t>consultation</w:t>
      </w:r>
      <w:r w:rsidR="001C5E45">
        <w:rPr>
          <w:rFonts w:ascii="Times New Roman" w:hAnsi="Times New Roman" w:cs="Times New Roman"/>
        </w:rPr>
        <w:t>s</w:t>
      </w:r>
      <w:r w:rsidR="008A5D3D" w:rsidRPr="00BB5241">
        <w:rPr>
          <w:rFonts w:ascii="Times New Roman" w:hAnsi="Times New Roman" w:cs="Times New Roman"/>
        </w:rPr>
        <w:t xml:space="preserve"> between developers and/or potential applicants</w:t>
      </w:r>
      <w:r w:rsidRPr="00BB5241">
        <w:rPr>
          <w:rFonts w:ascii="Times New Roman" w:hAnsi="Times New Roman" w:cs="Times New Roman"/>
        </w:rPr>
        <w:t xml:space="preserve"> and risk assessment bodies</w:t>
      </w:r>
      <w:r w:rsidR="001B7AC4" w:rsidRPr="00BB5241">
        <w:rPr>
          <w:rFonts w:ascii="Times New Roman" w:hAnsi="Times New Roman" w:cs="Times New Roman"/>
        </w:rPr>
        <w:t xml:space="preserve"> </w:t>
      </w:r>
      <w:r w:rsidR="00606791" w:rsidRPr="00BB5241">
        <w:rPr>
          <w:rFonts w:ascii="Times New Roman" w:hAnsi="Times New Roman" w:cs="Times New Roman"/>
        </w:rPr>
        <w:t>has shown</w:t>
      </w:r>
      <w:r w:rsidR="00767091">
        <w:rPr>
          <w:rFonts w:ascii="Times New Roman" w:hAnsi="Times New Roman" w:cs="Times New Roman"/>
        </w:rPr>
        <w:t xml:space="preserve"> that</w:t>
      </w:r>
      <w:r w:rsidR="00606791" w:rsidRPr="00BB5241">
        <w:rPr>
          <w:rFonts w:ascii="Times New Roman" w:hAnsi="Times New Roman" w:cs="Times New Roman"/>
        </w:rPr>
        <w:t xml:space="preserve"> </w:t>
      </w:r>
      <w:r w:rsidR="00087875" w:rsidRPr="00BB5241">
        <w:rPr>
          <w:rFonts w:ascii="Times New Roman" w:hAnsi="Times New Roman" w:cs="Times New Roman"/>
        </w:rPr>
        <w:t xml:space="preserve">this could </w:t>
      </w:r>
      <w:r w:rsidRPr="00BB5241">
        <w:rPr>
          <w:rFonts w:ascii="Times New Roman" w:hAnsi="Times New Roman" w:cs="Times New Roman"/>
        </w:rPr>
        <w:t xml:space="preserve">be </w:t>
      </w:r>
      <w:r w:rsidR="003229B8" w:rsidRPr="00BB5241">
        <w:rPr>
          <w:rFonts w:ascii="Times New Roman" w:hAnsi="Times New Roman" w:cs="Times New Roman"/>
        </w:rPr>
        <w:t xml:space="preserve">potentially </w:t>
      </w:r>
      <w:r w:rsidRPr="00BB5241">
        <w:rPr>
          <w:rFonts w:ascii="Times New Roman" w:hAnsi="Times New Roman" w:cs="Times New Roman"/>
        </w:rPr>
        <w:t xml:space="preserve">helpful to frame the problem formulation by clarifying policy goals (including protection goals), decision-making criteria and information requirements, advise on study designs and navigate the regulatory process. </w:t>
      </w:r>
      <w:r w:rsidRPr="00BB5241">
        <w:rPr>
          <w:rFonts w:ascii="Times New Roman" w:eastAsia="Times New Roman" w:hAnsi="Times New Roman" w:cs="Times New Roman"/>
        </w:rPr>
        <w:t xml:space="preserve">As the risk assessment involves an evolving technology, an early stage in the engagement process should </w:t>
      </w:r>
      <w:r w:rsidR="001439B5" w:rsidRPr="00BB5241">
        <w:rPr>
          <w:rFonts w:ascii="Times New Roman" w:eastAsia="Times New Roman" w:hAnsi="Times New Roman" w:cs="Times New Roman"/>
        </w:rPr>
        <w:t xml:space="preserve">include </w:t>
      </w:r>
      <w:r w:rsidRPr="00BB5241">
        <w:rPr>
          <w:rFonts w:ascii="Times New Roman" w:eastAsia="Times New Roman" w:hAnsi="Times New Roman" w:cs="Times New Roman"/>
        </w:rPr>
        <w:t xml:space="preserve">the development and distribution of explanatory materials to ensure that stakeholders </w:t>
      </w:r>
      <w:r w:rsidR="00DC6664">
        <w:rPr>
          <w:rFonts w:ascii="Times New Roman" w:eastAsia="Times New Roman" w:hAnsi="Times New Roman" w:cs="Times New Roman"/>
        </w:rPr>
        <w:t xml:space="preserve">and </w:t>
      </w:r>
      <w:r w:rsidR="004458BA">
        <w:rPr>
          <w:rFonts w:ascii="Times New Roman" w:eastAsia="Times New Roman" w:hAnsi="Times New Roman" w:cs="Times New Roman"/>
          <w:color w:val="000000" w:themeColor="text1"/>
        </w:rPr>
        <w:t>indigenous peoples and local communitie</w:t>
      </w:r>
      <w:r w:rsidR="004458BA" w:rsidRPr="0025725D">
        <w:rPr>
          <w:rFonts w:ascii="Times New Roman" w:hAnsi="Times New Roman" w:cs="Times New Roman"/>
          <w:color w:val="000000" w:themeColor="text1"/>
        </w:rPr>
        <w:t>s</w:t>
      </w:r>
      <w:r w:rsidR="00DC6664">
        <w:rPr>
          <w:rFonts w:ascii="Times New Roman" w:eastAsia="Times New Roman" w:hAnsi="Times New Roman" w:cs="Times New Roman"/>
        </w:rPr>
        <w:t xml:space="preserve"> </w:t>
      </w:r>
      <w:r w:rsidRPr="00BB5241">
        <w:rPr>
          <w:rFonts w:ascii="Times New Roman" w:eastAsia="Times New Roman" w:hAnsi="Times New Roman" w:cs="Times New Roman"/>
        </w:rPr>
        <w:t>have a sufficient understanding of the technology</w:t>
      </w:r>
      <w:r w:rsidR="00C32CA8" w:rsidRPr="00BB5241">
        <w:rPr>
          <w:rFonts w:ascii="Times New Roman" w:eastAsia="Times New Roman" w:hAnsi="Times New Roman" w:cs="Times New Roman"/>
        </w:rPr>
        <w:t>, its potential risks</w:t>
      </w:r>
      <w:r w:rsidRPr="00BB5241">
        <w:rPr>
          <w:rFonts w:ascii="Times New Roman" w:eastAsia="Times New Roman" w:hAnsi="Times New Roman" w:cs="Times New Roman"/>
        </w:rPr>
        <w:t xml:space="preserve"> and how it will function in the environment. </w:t>
      </w:r>
    </w:p>
    <w:p w14:paraId="4A0EADA9" w14:textId="56487D40" w:rsidR="00EB7816" w:rsidRPr="00BB5241" w:rsidRDefault="00EB7816" w:rsidP="00212686">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Regulators </w:t>
      </w:r>
      <w:r w:rsidR="005458E7" w:rsidRPr="00BB5241">
        <w:rPr>
          <w:rFonts w:ascii="Times New Roman" w:eastAsia="Times New Roman" w:hAnsi="Times New Roman" w:cs="Times New Roman"/>
        </w:rPr>
        <w:t xml:space="preserve">and/or other government officials </w:t>
      </w:r>
      <w:r w:rsidRPr="00BB5241">
        <w:rPr>
          <w:rFonts w:ascii="Times New Roman" w:eastAsia="Times New Roman" w:hAnsi="Times New Roman" w:cs="Times New Roman"/>
        </w:rPr>
        <w:t xml:space="preserve">should use a wide variety of </w:t>
      </w:r>
      <w:r w:rsidR="005A381F" w:rsidRPr="00BB5241">
        <w:rPr>
          <w:rFonts w:ascii="Times New Roman" w:eastAsia="Times New Roman" w:hAnsi="Times New Roman" w:cs="Times New Roman"/>
        </w:rPr>
        <w:t xml:space="preserve">appropriate </w:t>
      </w:r>
      <w:r w:rsidRPr="00BB5241">
        <w:rPr>
          <w:rFonts w:ascii="Times New Roman" w:eastAsia="Times New Roman" w:hAnsi="Times New Roman" w:cs="Times New Roman"/>
        </w:rPr>
        <w:t>engagement methods and media to ensure that information is made available to</w:t>
      </w:r>
      <w:r w:rsidR="003538CC" w:rsidRPr="00BB5241">
        <w:rPr>
          <w:rFonts w:ascii="Times New Roman" w:eastAsia="Times New Roman" w:hAnsi="Times New Roman" w:cs="Times New Roman"/>
        </w:rPr>
        <w:t xml:space="preserve"> interested </w:t>
      </w:r>
      <w:r w:rsidR="003538CC" w:rsidRPr="001237EF">
        <w:rPr>
          <w:rFonts w:ascii="Times New Roman" w:eastAsia="Times New Roman" w:hAnsi="Times New Roman" w:cs="Times New Roman"/>
          <w:color w:val="000000" w:themeColor="text1"/>
        </w:rPr>
        <w:t>stakeholder</w:t>
      </w:r>
      <w:r w:rsidR="00276051" w:rsidRPr="00810E23">
        <w:rPr>
          <w:rFonts w:ascii="Times New Roman" w:eastAsia="Times New Roman" w:hAnsi="Times New Roman" w:cs="Times New Roman"/>
          <w:color w:val="000000" w:themeColor="text1"/>
        </w:rPr>
        <w:t>s</w:t>
      </w:r>
      <w:r w:rsidR="003538CC" w:rsidRPr="00810E23">
        <w:rPr>
          <w:rFonts w:ascii="Times New Roman" w:eastAsia="Times New Roman" w:hAnsi="Times New Roman" w:cs="Times New Roman"/>
          <w:color w:val="000000" w:themeColor="text1"/>
        </w:rPr>
        <w:t>,</w:t>
      </w:r>
      <w:r w:rsidR="003538CC" w:rsidRPr="001237EF">
        <w:rPr>
          <w:rFonts w:ascii="Times New Roman" w:eastAsia="Times New Roman" w:hAnsi="Times New Roman" w:cs="Times New Roman"/>
          <w:b/>
          <w:bCs/>
          <w:color w:val="000000" w:themeColor="text1"/>
        </w:rPr>
        <w:t xml:space="preserve"> </w:t>
      </w:r>
      <w:r w:rsidR="00B614EB">
        <w:rPr>
          <w:rFonts w:ascii="Times New Roman" w:eastAsia="Times New Roman" w:hAnsi="Times New Roman" w:cs="Times New Roman"/>
          <w:color w:val="000000" w:themeColor="text1"/>
        </w:rPr>
        <w:t>indigenous peoples and local communitie</w:t>
      </w:r>
      <w:r w:rsidR="00810E23">
        <w:rPr>
          <w:rFonts w:ascii="Times New Roman" w:eastAsia="Times New Roman" w:hAnsi="Times New Roman" w:cs="Times New Roman"/>
        </w:rPr>
        <w:t>s</w:t>
      </w:r>
      <w:r w:rsidRPr="00BB5241">
        <w:rPr>
          <w:rFonts w:ascii="Times New Roman" w:eastAsia="Times New Roman" w:hAnsi="Times New Roman" w:cs="Times New Roman"/>
        </w:rPr>
        <w:t xml:space="preserve"> and other groups</w:t>
      </w:r>
      <w:r w:rsidR="003538CC" w:rsidRPr="00BB5241">
        <w:rPr>
          <w:rFonts w:ascii="Times New Roman" w:eastAsia="Times New Roman" w:hAnsi="Times New Roman" w:cs="Times New Roman"/>
        </w:rPr>
        <w:t>,</w:t>
      </w:r>
      <w:r w:rsidRPr="00BB5241">
        <w:rPr>
          <w:rFonts w:ascii="Times New Roman" w:eastAsia="Times New Roman" w:hAnsi="Times New Roman" w:cs="Times New Roman"/>
        </w:rPr>
        <w:t xml:space="preserve"> in ways that are </w:t>
      </w:r>
      <w:r w:rsidR="00F56BBD" w:rsidRPr="00BB5241">
        <w:rPr>
          <w:rFonts w:ascii="Times New Roman" w:eastAsia="Times New Roman" w:hAnsi="Times New Roman" w:cs="Times New Roman"/>
        </w:rPr>
        <w:t>sufficient,</w:t>
      </w:r>
      <w:r w:rsidR="004422DB" w:rsidRPr="00BB5241">
        <w:rPr>
          <w:rFonts w:ascii="Times New Roman" w:eastAsia="Times New Roman" w:hAnsi="Times New Roman" w:cs="Times New Roman"/>
        </w:rPr>
        <w:t xml:space="preserve"> accurate,</w:t>
      </w:r>
      <w:r w:rsidR="00F56BBD" w:rsidRPr="00BB5241">
        <w:rPr>
          <w:rFonts w:ascii="Times New Roman" w:eastAsia="Times New Roman" w:hAnsi="Times New Roman" w:cs="Times New Roman"/>
        </w:rPr>
        <w:t xml:space="preserve"> easy to understand, </w:t>
      </w:r>
      <w:r w:rsidRPr="00BB5241">
        <w:rPr>
          <w:rFonts w:ascii="Times New Roman" w:eastAsia="Times New Roman" w:hAnsi="Times New Roman" w:cs="Times New Roman"/>
        </w:rPr>
        <w:t>accessible and culturally appropriate (</w:t>
      </w:r>
      <w:r w:rsidRPr="0098625C">
        <w:rPr>
          <w:rFonts w:ascii="Times New Roman" w:eastAsia="Times New Roman" w:hAnsi="Times New Roman" w:cs="Times New Roman"/>
        </w:rPr>
        <w:t>Kokotovich and others, 2022</w:t>
      </w:r>
      <w:r w:rsidR="0022748E" w:rsidRPr="00BB5241">
        <w:rPr>
          <w:rFonts w:ascii="Times New Roman" w:eastAsia="Times New Roman" w:hAnsi="Times New Roman" w:cs="Times New Roman"/>
        </w:rPr>
        <w:t>).</w:t>
      </w:r>
    </w:p>
    <w:p w14:paraId="207B4E89" w14:textId="62A9456B" w:rsidR="00DC2E53" w:rsidRPr="00BB5241" w:rsidRDefault="00DD7AFB" w:rsidP="00212686">
      <w:pPr>
        <w:pStyle w:val="Heading2"/>
        <w:spacing w:line="276" w:lineRule="auto"/>
        <w:rPr>
          <w:rFonts w:ascii="Times New Roman" w:hAnsi="Times New Roman" w:cs="Times New Roman"/>
          <w:b/>
          <w:bCs/>
          <w:color w:val="auto"/>
          <w:sz w:val="24"/>
          <w:szCs w:val="24"/>
          <w:lang w:val="en-GB"/>
        </w:rPr>
      </w:pPr>
      <w:bookmarkStart w:id="54" w:name="_Toc15"/>
      <w:bookmarkStart w:id="55" w:name="_Toc161220496"/>
      <w:r w:rsidRPr="421B232A">
        <w:rPr>
          <w:rFonts w:ascii="Times New Roman" w:hAnsi="Times New Roman" w:cs="Times New Roman"/>
          <w:b/>
          <w:bCs/>
          <w:color w:val="auto"/>
          <w:sz w:val="24"/>
          <w:szCs w:val="24"/>
          <w:lang w:val="en-GB"/>
        </w:rPr>
        <w:t>4</w:t>
      </w:r>
      <w:r w:rsidR="005430B6" w:rsidRPr="421B232A">
        <w:rPr>
          <w:rFonts w:ascii="Times New Roman" w:hAnsi="Times New Roman" w:cs="Times New Roman"/>
          <w:b/>
          <w:bCs/>
          <w:color w:val="auto"/>
          <w:sz w:val="24"/>
          <w:szCs w:val="24"/>
          <w:lang w:val="en-GB"/>
        </w:rPr>
        <w:t>.2</w:t>
      </w:r>
      <w:r w:rsidR="005467F6" w:rsidRPr="421B232A">
        <w:rPr>
          <w:rFonts w:ascii="Times New Roman" w:hAnsi="Times New Roman" w:cs="Times New Roman"/>
          <w:b/>
          <w:bCs/>
          <w:color w:val="auto"/>
          <w:sz w:val="24"/>
          <w:szCs w:val="24"/>
          <w:lang w:val="en-GB"/>
        </w:rPr>
        <w:t>.</w:t>
      </w:r>
      <w:r w:rsidR="005430B6" w:rsidRPr="421B232A">
        <w:rPr>
          <w:rFonts w:ascii="Times New Roman" w:hAnsi="Times New Roman" w:cs="Times New Roman"/>
          <w:b/>
          <w:bCs/>
          <w:color w:val="auto"/>
          <w:sz w:val="24"/>
          <w:szCs w:val="24"/>
          <w:lang w:val="en-GB"/>
        </w:rPr>
        <w:t xml:space="preserve"> Testing risk hypotheses to characterize (overall) risk(s)</w:t>
      </w:r>
      <w:bookmarkEnd w:id="54"/>
      <w:bookmarkEnd w:id="55"/>
    </w:p>
    <w:p w14:paraId="3580A3E7" w14:textId="18BCD4D2" w:rsidR="00DC2E53" w:rsidRPr="00F117FA" w:rsidRDefault="005430B6" w:rsidP="00212686">
      <w:pPr>
        <w:pStyle w:val="Default"/>
        <w:spacing w:line="276" w:lineRule="auto"/>
        <w:rPr>
          <w:color w:val="000000" w:themeColor="text1"/>
          <w:sz w:val="22"/>
          <w:szCs w:val="22"/>
          <w:highlight w:val="white"/>
        </w:rPr>
      </w:pPr>
      <w:r w:rsidRPr="00BB5241">
        <w:rPr>
          <w:color w:val="auto"/>
          <w:sz w:val="22"/>
          <w:szCs w:val="22"/>
        </w:rPr>
        <w:t xml:space="preserve">With risk hypothesis testing, the risk assessment moves from problem formulation to risk characterisation </w:t>
      </w:r>
      <w:proofErr w:type="gramStart"/>
      <w:r w:rsidR="005572D2" w:rsidRPr="00BB5241">
        <w:rPr>
          <w:color w:val="auto"/>
          <w:sz w:val="22"/>
          <w:szCs w:val="22"/>
        </w:rPr>
        <w:t xml:space="preserve">in order </w:t>
      </w:r>
      <w:r w:rsidRPr="00BB5241">
        <w:rPr>
          <w:color w:val="auto"/>
          <w:sz w:val="22"/>
          <w:szCs w:val="22"/>
        </w:rPr>
        <w:t>to</w:t>
      </w:r>
      <w:proofErr w:type="gramEnd"/>
      <w:r w:rsidRPr="00BB5241">
        <w:rPr>
          <w:color w:val="auto"/>
          <w:sz w:val="22"/>
          <w:szCs w:val="22"/>
        </w:rPr>
        <w:t xml:space="preserve"> estimate the overall risk posed by the </w:t>
      </w:r>
      <w:r w:rsidR="00767091">
        <w:rPr>
          <w:color w:val="auto"/>
          <w:sz w:val="22"/>
          <w:szCs w:val="22"/>
        </w:rPr>
        <w:t>EGD-</w:t>
      </w:r>
      <w:r w:rsidRPr="00BB5241">
        <w:rPr>
          <w:color w:val="auto"/>
          <w:sz w:val="22"/>
          <w:szCs w:val="22"/>
        </w:rPr>
        <w:t xml:space="preserve">LMO based on the evaluation of the likelihood and consequences of the identified adverse effects being realized. This is achieved through the testing </w:t>
      </w:r>
      <w:r w:rsidR="007D2F2E" w:rsidRPr="00BB5241">
        <w:rPr>
          <w:color w:val="auto"/>
          <w:sz w:val="22"/>
          <w:szCs w:val="22"/>
        </w:rPr>
        <w:t xml:space="preserve">of </w:t>
      </w:r>
      <w:r w:rsidRPr="00BB5241">
        <w:rPr>
          <w:color w:val="auto"/>
          <w:sz w:val="22"/>
          <w:szCs w:val="22"/>
        </w:rPr>
        <w:t xml:space="preserve">the risk hypotheses of the </w:t>
      </w:r>
      <w:r w:rsidR="00DC36D6" w:rsidRPr="0098625C">
        <w:rPr>
          <w:color w:val="auto"/>
          <w:sz w:val="22"/>
          <w:szCs w:val="22"/>
        </w:rPr>
        <w:t>plausible</w:t>
      </w:r>
      <w:r w:rsidR="00DC36D6">
        <w:rPr>
          <w:color w:val="auto"/>
          <w:sz w:val="22"/>
          <w:szCs w:val="22"/>
        </w:rPr>
        <w:t xml:space="preserve"> </w:t>
      </w:r>
      <w:r w:rsidRPr="00BB5241">
        <w:rPr>
          <w:color w:val="auto"/>
          <w:sz w:val="22"/>
          <w:szCs w:val="22"/>
        </w:rPr>
        <w:t xml:space="preserve">pathways to harm, as they enable </w:t>
      </w:r>
      <w:r w:rsidR="00C572B7" w:rsidRPr="00BB5241">
        <w:rPr>
          <w:color w:val="auto"/>
          <w:sz w:val="22"/>
          <w:szCs w:val="22"/>
        </w:rPr>
        <w:t>the</w:t>
      </w:r>
      <w:r w:rsidRPr="00BB5241">
        <w:rPr>
          <w:color w:val="auto"/>
          <w:sz w:val="22"/>
          <w:szCs w:val="22"/>
        </w:rPr>
        <w:t xml:space="preserve"> </w:t>
      </w:r>
      <w:r w:rsidR="00C572B7" w:rsidRPr="00BB5241">
        <w:rPr>
          <w:color w:val="auto"/>
          <w:sz w:val="22"/>
          <w:szCs w:val="22"/>
        </w:rPr>
        <w:t xml:space="preserve">characterization </w:t>
      </w:r>
      <w:r w:rsidRPr="00BB5241">
        <w:rPr>
          <w:color w:val="auto"/>
          <w:sz w:val="22"/>
          <w:szCs w:val="22"/>
        </w:rPr>
        <w:t>and analys</w:t>
      </w:r>
      <w:r w:rsidR="00604AEC" w:rsidRPr="00BB5241">
        <w:rPr>
          <w:color w:val="auto"/>
          <w:sz w:val="22"/>
          <w:szCs w:val="22"/>
        </w:rPr>
        <w:t>e</w:t>
      </w:r>
      <w:r w:rsidR="00C572B7" w:rsidRPr="00BB5241">
        <w:rPr>
          <w:color w:val="auto"/>
          <w:sz w:val="22"/>
          <w:szCs w:val="22"/>
        </w:rPr>
        <w:t>s of</w:t>
      </w:r>
      <w:r w:rsidRPr="00BB5241">
        <w:rPr>
          <w:color w:val="auto"/>
          <w:sz w:val="22"/>
          <w:szCs w:val="22"/>
        </w:rPr>
        <w:t xml:space="preserve"> potential adverse effects</w:t>
      </w:r>
      <w:r w:rsidR="007D2F2E" w:rsidRPr="00BB5241">
        <w:rPr>
          <w:color w:val="auto"/>
          <w:sz w:val="22"/>
          <w:szCs w:val="22"/>
        </w:rPr>
        <w:t xml:space="preserve"> being realized</w:t>
      </w:r>
      <w:r w:rsidRPr="00BB5241">
        <w:rPr>
          <w:color w:val="auto"/>
          <w:sz w:val="22"/>
          <w:szCs w:val="22"/>
        </w:rPr>
        <w:t xml:space="preserve">, their likelihood and consequences and </w:t>
      </w:r>
      <w:r w:rsidR="00C060B8" w:rsidRPr="00BB5241">
        <w:rPr>
          <w:color w:val="auto"/>
          <w:sz w:val="22"/>
          <w:szCs w:val="22"/>
        </w:rPr>
        <w:t xml:space="preserve">combine </w:t>
      </w:r>
      <w:r w:rsidRPr="00BB5241">
        <w:rPr>
          <w:color w:val="auto"/>
          <w:sz w:val="22"/>
          <w:szCs w:val="22"/>
        </w:rPr>
        <w:t>them into an estimation of the overall risk, taking into consideration any relevant uncertainty that was identifi</w:t>
      </w:r>
      <w:r w:rsidRPr="0098625C">
        <w:rPr>
          <w:color w:val="auto"/>
          <w:sz w:val="22"/>
          <w:szCs w:val="22"/>
        </w:rPr>
        <w:t xml:space="preserve">ed in each of the steps of the </w:t>
      </w:r>
      <w:r w:rsidR="00CB69CF" w:rsidRPr="0098625C">
        <w:rPr>
          <w:color w:val="auto"/>
          <w:sz w:val="22"/>
          <w:szCs w:val="22"/>
        </w:rPr>
        <w:t>plausible</w:t>
      </w:r>
      <w:r w:rsidRPr="0098625C">
        <w:rPr>
          <w:color w:val="auto"/>
          <w:sz w:val="22"/>
          <w:szCs w:val="22"/>
        </w:rPr>
        <w:t xml:space="preserve"> pathway to harm and how it could affect the estimation of the overall risk of the EGD-LMO. Risk matrices, risk indices or models are typically used for this purpose</w:t>
      </w:r>
      <w:r w:rsidR="451EBC6C" w:rsidRPr="0098625C">
        <w:rPr>
          <w:b/>
          <w:color w:val="FF0000"/>
          <w:sz w:val="22"/>
          <w:szCs w:val="22"/>
        </w:rPr>
        <w:t xml:space="preserve"> </w:t>
      </w:r>
      <w:r w:rsidR="451EBC6C" w:rsidRPr="0098625C">
        <w:rPr>
          <w:color w:val="000000" w:themeColor="text1"/>
          <w:sz w:val="22"/>
          <w:szCs w:val="22"/>
        </w:rPr>
        <w:t xml:space="preserve">(see table </w:t>
      </w:r>
      <w:r w:rsidR="00E156A2" w:rsidRPr="0098625C">
        <w:rPr>
          <w:color w:val="000000" w:themeColor="text1"/>
          <w:sz w:val="22"/>
          <w:szCs w:val="22"/>
        </w:rPr>
        <w:t>4</w:t>
      </w:r>
      <w:r w:rsidR="451EBC6C" w:rsidRPr="0098625C">
        <w:rPr>
          <w:color w:val="000000" w:themeColor="text1"/>
          <w:sz w:val="22"/>
          <w:szCs w:val="22"/>
        </w:rPr>
        <w:t xml:space="preserve"> below)</w:t>
      </w:r>
      <w:r w:rsidR="3570E4CA" w:rsidRPr="0098625C">
        <w:rPr>
          <w:color w:val="000000" w:themeColor="text1"/>
          <w:sz w:val="22"/>
          <w:szCs w:val="22"/>
        </w:rPr>
        <w:t xml:space="preserve">. </w:t>
      </w:r>
    </w:p>
    <w:p w14:paraId="0AB95425" w14:textId="67765048" w:rsidR="00DC2E53" w:rsidRPr="00BB5241" w:rsidRDefault="005430B6" w:rsidP="00A13943">
      <w:pPr>
        <w:pStyle w:val="Default"/>
        <w:spacing w:line="276" w:lineRule="auto"/>
        <w:rPr>
          <w:highlight w:val="white"/>
        </w:rPr>
      </w:pPr>
      <w:r w:rsidRPr="00BB5241">
        <w:rPr>
          <w:color w:val="auto"/>
          <w:sz w:val="22"/>
          <w:szCs w:val="22"/>
          <w:highlight w:val="white"/>
        </w:rPr>
        <w:t xml:space="preserve">Likelihood </w:t>
      </w:r>
      <w:r w:rsidR="00874DB3" w:rsidRPr="00BB5241">
        <w:rPr>
          <w:color w:val="auto"/>
          <w:sz w:val="22"/>
          <w:szCs w:val="22"/>
          <w:highlight w:val="white"/>
        </w:rPr>
        <w:t xml:space="preserve">should </w:t>
      </w:r>
      <w:r w:rsidRPr="00BB5241">
        <w:rPr>
          <w:color w:val="auto"/>
          <w:sz w:val="22"/>
          <w:szCs w:val="22"/>
          <w:highlight w:val="white"/>
        </w:rPr>
        <w:t>be expressed quantitatively</w:t>
      </w:r>
      <w:r w:rsidR="001260C9" w:rsidRPr="00BB5241">
        <w:rPr>
          <w:color w:val="auto"/>
          <w:sz w:val="22"/>
          <w:szCs w:val="22"/>
          <w:highlight w:val="white"/>
        </w:rPr>
        <w:t>,</w:t>
      </w:r>
      <w:r w:rsidR="00E20F1F" w:rsidRPr="00BB5241">
        <w:rPr>
          <w:color w:val="auto"/>
          <w:sz w:val="22"/>
          <w:szCs w:val="22"/>
          <w:highlight w:val="white"/>
        </w:rPr>
        <w:t xml:space="preserve"> for example as a percentage,</w:t>
      </w:r>
      <w:r w:rsidRPr="00BB5241">
        <w:rPr>
          <w:color w:val="auto"/>
          <w:sz w:val="22"/>
          <w:szCs w:val="22"/>
          <w:highlight w:val="white"/>
        </w:rPr>
        <w:t xml:space="preserve"> or</w:t>
      </w:r>
      <w:r w:rsidR="00B21C07" w:rsidRPr="00BB5241">
        <w:rPr>
          <w:color w:val="000000" w:themeColor="text1"/>
          <w:sz w:val="22"/>
          <w:szCs w:val="22"/>
          <w:highlight w:val="white"/>
        </w:rPr>
        <w:t xml:space="preserve">, </w:t>
      </w:r>
      <w:r w:rsidR="00874DB3" w:rsidRPr="00BB5241">
        <w:rPr>
          <w:color w:val="000000" w:themeColor="text1"/>
          <w:sz w:val="22"/>
          <w:szCs w:val="22"/>
          <w:highlight w:val="white"/>
        </w:rPr>
        <w:t>if this is not possible</w:t>
      </w:r>
      <w:r w:rsidR="00B21C07" w:rsidRPr="00BB5241">
        <w:rPr>
          <w:color w:val="000000" w:themeColor="text1"/>
          <w:sz w:val="22"/>
          <w:szCs w:val="22"/>
          <w:highlight w:val="white"/>
        </w:rPr>
        <w:t>,</w:t>
      </w:r>
      <w:r w:rsidR="00874DB3" w:rsidRPr="00BB5241">
        <w:rPr>
          <w:color w:val="000000" w:themeColor="text1"/>
          <w:sz w:val="22"/>
          <w:szCs w:val="22"/>
          <w:highlight w:val="white"/>
        </w:rPr>
        <w:t xml:space="preserve"> </w:t>
      </w:r>
      <w:r w:rsidRPr="00BB5241">
        <w:rPr>
          <w:color w:val="auto"/>
          <w:sz w:val="22"/>
          <w:szCs w:val="22"/>
          <w:highlight w:val="white"/>
        </w:rPr>
        <w:t xml:space="preserve">qualitatively. For example, qualitative terms could include </w:t>
      </w:r>
      <w:r w:rsidR="009C0DAD" w:rsidRPr="00BB5241">
        <w:rPr>
          <w:color w:val="auto"/>
          <w:sz w:val="22"/>
          <w:szCs w:val="22"/>
          <w:highlight w:val="white"/>
        </w:rPr>
        <w:t>“highly likely”, “likely”, “unlikely”, and “highly unlikely”</w:t>
      </w:r>
      <w:r w:rsidRPr="00BB5241">
        <w:rPr>
          <w:color w:val="auto"/>
          <w:sz w:val="22"/>
          <w:szCs w:val="22"/>
          <w:highlight w:val="white"/>
        </w:rPr>
        <w:t>.</w:t>
      </w:r>
      <w:r w:rsidR="003A37F2" w:rsidRPr="00BB5241">
        <w:rPr>
          <w:color w:val="auto"/>
          <w:sz w:val="22"/>
          <w:szCs w:val="22"/>
          <w:highlight w:val="white"/>
        </w:rPr>
        <w:t xml:space="preserve"> </w:t>
      </w:r>
      <w:r w:rsidRPr="00BB5241">
        <w:rPr>
          <w:color w:val="auto"/>
          <w:sz w:val="22"/>
          <w:szCs w:val="22"/>
          <w:highlight w:val="white"/>
        </w:rPr>
        <w:t xml:space="preserve">The evaluation of the consequence of </w:t>
      </w:r>
      <w:r w:rsidR="00BA2212">
        <w:rPr>
          <w:color w:val="auto"/>
          <w:sz w:val="22"/>
          <w:szCs w:val="22"/>
          <w:highlight w:val="white"/>
        </w:rPr>
        <w:t xml:space="preserve">the potential </w:t>
      </w:r>
      <w:r w:rsidRPr="00BB5241">
        <w:rPr>
          <w:color w:val="auto"/>
          <w:sz w:val="22"/>
          <w:szCs w:val="22"/>
          <w:highlight w:val="white"/>
        </w:rPr>
        <w:t>adverse effects may be expressed qualitatively or quantitatively. For instance, qualitative terms</w:t>
      </w:r>
      <w:r w:rsidR="00ED0EB6" w:rsidRPr="00BB5241">
        <w:rPr>
          <w:color w:val="auto"/>
          <w:sz w:val="22"/>
          <w:szCs w:val="22"/>
          <w:highlight w:val="white"/>
        </w:rPr>
        <w:t xml:space="preserve">, such </w:t>
      </w:r>
      <w:r w:rsidRPr="00BB5241">
        <w:rPr>
          <w:color w:val="auto"/>
          <w:sz w:val="22"/>
          <w:szCs w:val="22"/>
          <w:highlight w:val="white"/>
        </w:rPr>
        <w:t>as “major”, “intermediate”, “minor” or “marginal”</w:t>
      </w:r>
      <w:r w:rsidR="00ED0EB6" w:rsidRPr="00BB5241">
        <w:rPr>
          <w:color w:val="auto"/>
          <w:sz w:val="22"/>
          <w:szCs w:val="22"/>
          <w:highlight w:val="white"/>
        </w:rPr>
        <w:t>,</w:t>
      </w:r>
      <w:r w:rsidRPr="00BB5241">
        <w:rPr>
          <w:color w:val="auto"/>
          <w:sz w:val="22"/>
          <w:szCs w:val="22"/>
          <w:highlight w:val="white"/>
        </w:rPr>
        <w:t xml:space="preserve"> may be used.</w:t>
      </w:r>
    </w:p>
    <w:p w14:paraId="61B5D8C0" w14:textId="356AC9FB" w:rsidR="007217DF" w:rsidRDefault="005430B6" w:rsidP="007716C8">
      <w:pPr>
        <w:pStyle w:val="NormalWeb"/>
        <w:spacing w:line="276" w:lineRule="auto"/>
        <w:rPr>
          <w:highlight w:val="white"/>
          <w:lang w:val="en-GB"/>
        </w:rPr>
      </w:pPr>
      <w:r w:rsidRPr="4644E7B5">
        <w:rPr>
          <w:highlight w:val="white"/>
          <w:lang w:val="en-GB"/>
        </w:rPr>
        <w:t xml:space="preserve">A </w:t>
      </w:r>
      <w:r w:rsidR="00344AAF" w:rsidRPr="4644E7B5">
        <w:rPr>
          <w:highlight w:val="white"/>
          <w:lang w:val="en-GB"/>
        </w:rPr>
        <w:t>characterization</w:t>
      </w:r>
      <w:r w:rsidRPr="4644E7B5">
        <w:rPr>
          <w:highlight w:val="white"/>
          <w:lang w:val="en-GB"/>
        </w:rPr>
        <w:t xml:space="preserve"> of the risk may</w:t>
      </w:r>
      <w:r w:rsidR="00344AAF" w:rsidRPr="4644E7B5">
        <w:rPr>
          <w:highlight w:val="white"/>
          <w:lang w:val="en-GB"/>
        </w:rPr>
        <w:t xml:space="preserve"> also</w:t>
      </w:r>
      <w:r w:rsidRPr="4644E7B5">
        <w:rPr>
          <w:highlight w:val="white"/>
          <w:lang w:val="en-GB"/>
        </w:rPr>
        <w:t xml:space="preserve"> be expressed </w:t>
      </w:r>
      <w:r w:rsidR="00344AAF" w:rsidRPr="4644E7B5">
        <w:rPr>
          <w:highlight w:val="white"/>
          <w:lang w:val="en-GB"/>
        </w:rPr>
        <w:t>quantitatively</w:t>
      </w:r>
      <w:r w:rsidR="00F81400" w:rsidRPr="4644E7B5">
        <w:rPr>
          <w:highlight w:val="white"/>
          <w:lang w:val="en-GB"/>
        </w:rPr>
        <w:t>,</w:t>
      </w:r>
      <w:r w:rsidR="00344AAF" w:rsidRPr="4644E7B5">
        <w:rPr>
          <w:highlight w:val="white"/>
          <w:lang w:val="en-GB"/>
        </w:rPr>
        <w:t xml:space="preserve"> </w:t>
      </w:r>
      <w:r w:rsidRPr="4644E7B5">
        <w:rPr>
          <w:highlight w:val="white"/>
          <w:lang w:val="en-GB"/>
        </w:rPr>
        <w:t>or</w:t>
      </w:r>
      <w:r w:rsidR="00F81400" w:rsidRPr="4644E7B5">
        <w:rPr>
          <w:highlight w:val="white"/>
          <w:lang w:val="en-GB"/>
        </w:rPr>
        <w:t>,</w:t>
      </w:r>
      <w:r w:rsidRPr="4644E7B5">
        <w:rPr>
          <w:highlight w:val="white"/>
          <w:lang w:val="en-GB"/>
        </w:rPr>
        <w:t xml:space="preserve"> </w:t>
      </w:r>
      <w:r w:rsidR="00344AAF" w:rsidRPr="4644E7B5">
        <w:rPr>
          <w:color w:val="000000" w:themeColor="text1"/>
          <w:highlight w:val="white"/>
          <w:lang w:val="en-GB"/>
        </w:rPr>
        <w:t>if this is not possible</w:t>
      </w:r>
      <w:r w:rsidR="00F81400" w:rsidRPr="4644E7B5">
        <w:rPr>
          <w:color w:val="000000" w:themeColor="text1"/>
          <w:highlight w:val="white"/>
          <w:lang w:val="en-GB"/>
        </w:rPr>
        <w:t>,</w:t>
      </w:r>
      <w:r w:rsidR="00344AAF" w:rsidRPr="4644E7B5">
        <w:rPr>
          <w:highlight w:val="white"/>
          <w:lang w:val="en-GB"/>
        </w:rPr>
        <w:t xml:space="preserve"> qualitatively</w:t>
      </w:r>
      <w:r w:rsidRPr="4644E7B5">
        <w:rPr>
          <w:highlight w:val="white"/>
          <w:lang w:val="en-GB"/>
        </w:rPr>
        <w:t>. Qualitative terms such as “high”, “</w:t>
      </w:r>
      <w:r w:rsidR="00954A62" w:rsidRPr="4644E7B5">
        <w:rPr>
          <w:highlight w:val="white"/>
          <w:lang w:val="en-GB"/>
        </w:rPr>
        <w:t>moderate</w:t>
      </w:r>
      <w:r w:rsidRPr="4644E7B5">
        <w:rPr>
          <w:highlight w:val="white"/>
          <w:lang w:val="en-GB"/>
        </w:rPr>
        <w:t xml:space="preserve">”, “low”, “negligible” </w:t>
      </w:r>
      <w:r w:rsidR="00AD1F87" w:rsidRPr="4644E7B5">
        <w:rPr>
          <w:highlight w:val="white"/>
          <w:lang w:val="en-GB"/>
        </w:rPr>
        <w:t xml:space="preserve">may be used if they are </w:t>
      </w:r>
      <w:r w:rsidR="003D3CB7" w:rsidRPr="0098625C">
        <w:rPr>
          <w:lang w:val="en-GB"/>
        </w:rPr>
        <w:lastRenderedPageBreak/>
        <w:t xml:space="preserve">defined </w:t>
      </w:r>
      <w:r w:rsidR="00AD1F87" w:rsidRPr="0098625C">
        <w:rPr>
          <w:lang w:val="en-GB"/>
        </w:rPr>
        <w:t>in detail</w:t>
      </w:r>
      <w:r w:rsidR="002A608C" w:rsidRPr="0098625C">
        <w:rPr>
          <w:lang w:val="en-GB"/>
        </w:rPr>
        <w:t>,</w:t>
      </w:r>
      <w:r w:rsidR="00AD1F87" w:rsidRPr="0098625C">
        <w:rPr>
          <w:lang w:val="en-GB"/>
        </w:rPr>
        <w:t xml:space="preserve"> together with </w:t>
      </w:r>
      <w:r w:rsidR="00EA5020" w:rsidRPr="0098625C">
        <w:rPr>
          <w:color w:val="000000" w:themeColor="text1"/>
          <w:lang w:val="en-GB"/>
        </w:rPr>
        <w:t xml:space="preserve">the </w:t>
      </w:r>
      <w:r w:rsidR="00AD1F87" w:rsidRPr="0098625C">
        <w:rPr>
          <w:color w:val="000000" w:themeColor="text1"/>
          <w:lang w:val="en-GB"/>
        </w:rPr>
        <w:t xml:space="preserve">uncertainties </w:t>
      </w:r>
      <w:r w:rsidR="007B3D66" w:rsidRPr="0098625C">
        <w:rPr>
          <w:color w:val="000000" w:themeColor="text1"/>
          <w:lang w:val="en-GB"/>
        </w:rPr>
        <w:t xml:space="preserve">that </w:t>
      </w:r>
      <w:r w:rsidR="00AD1F87" w:rsidRPr="0098625C">
        <w:rPr>
          <w:color w:val="000000" w:themeColor="text1"/>
          <w:lang w:val="en-GB"/>
        </w:rPr>
        <w:t xml:space="preserve">are </w:t>
      </w:r>
      <w:r w:rsidR="00EA5020" w:rsidRPr="0098625C">
        <w:rPr>
          <w:color w:val="000000" w:themeColor="text1"/>
          <w:lang w:val="en-GB"/>
        </w:rPr>
        <w:t>associated</w:t>
      </w:r>
      <w:r w:rsidR="00606871" w:rsidRPr="0098625C">
        <w:rPr>
          <w:color w:val="000000" w:themeColor="text1"/>
          <w:lang w:val="en-GB"/>
        </w:rPr>
        <w:t xml:space="preserve"> </w:t>
      </w:r>
      <w:r w:rsidR="00EA5020" w:rsidRPr="0098625C">
        <w:rPr>
          <w:color w:val="000000" w:themeColor="text1"/>
          <w:lang w:val="en-GB"/>
        </w:rPr>
        <w:t xml:space="preserve">with </w:t>
      </w:r>
      <w:r w:rsidR="00606871" w:rsidRPr="0098625C">
        <w:rPr>
          <w:color w:val="000000" w:themeColor="text1"/>
          <w:lang w:val="en-GB"/>
        </w:rPr>
        <w:t>the particular risk assessment</w:t>
      </w:r>
      <w:r w:rsidR="16843121" w:rsidRPr="0098625C">
        <w:rPr>
          <w:color w:val="000000" w:themeColor="text1"/>
          <w:lang w:val="en-GB"/>
        </w:rPr>
        <w:t xml:space="preserve"> (Mastrandrea and others, 2011; Spiegelhalter and Hauke, 2011)</w:t>
      </w:r>
      <w:r w:rsidR="35CA0C93" w:rsidRPr="0098625C">
        <w:rPr>
          <w:color w:val="000000" w:themeColor="text1"/>
          <w:lang w:val="en-GB"/>
        </w:rPr>
        <w:t>.</w:t>
      </w:r>
      <w:r w:rsidR="00AD1F87" w:rsidRPr="0098625C">
        <w:rPr>
          <w:color w:val="000000" w:themeColor="text1"/>
          <w:lang w:val="en-GB"/>
        </w:rPr>
        <w:t xml:space="preserve"> </w:t>
      </w:r>
      <w:r w:rsidR="00AD1F87" w:rsidRPr="0098625C">
        <w:rPr>
          <w:lang w:val="en-GB"/>
        </w:rPr>
        <w:t>A description of the risk characterization always needs to include the assumptions o</w:t>
      </w:r>
      <w:r w:rsidR="00CA3D20" w:rsidRPr="0098625C">
        <w:rPr>
          <w:lang w:val="en-GB"/>
        </w:rPr>
        <w:t>f</w:t>
      </w:r>
      <w:r w:rsidR="00AD1F87" w:rsidRPr="0098625C">
        <w:rPr>
          <w:lang w:val="en-GB"/>
        </w:rPr>
        <w:t xml:space="preserve"> certain scenarios or provide a range of estimates rather than a single number or ordinal value</w:t>
      </w:r>
      <w:r w:rsidR="00CA3D20" w:rsidRPr="0098625C">
        <w:rPr>
          <w:lang w:val="en-GB"/>
        </w:rPr>
        <w:t xml:space="preserve"> that </w:t>
      </w:r>
      <w:r w:rsidR="00711B9B" w:rsidRPr="0098625C">
        <w:rPr>
          <w:lang w:val="en-GB"/>
        </w:rPr>
        <w:t xml:space="preserve">has </w:t>
      </w:r>
      <w:r w:rsidRPr="0098625C">
        <w:rPr>
          <w:lang w:val="en-GB"/>
        </w:rPr>
        <w:t xml:space="preserve">been used to </w:t>
      </w:r>
      <w:r w:rsidRPr="4644E7B5">
        <w:rPr>
          <w:highlight w:val="white"/>
          <w:lang w:val="en-GB"/>
        </w:rPr>
        <w:t>characterize the overall risk of an EGD-LMO</w:t>
      </w:r>
      <w:r w:rsidR="00344AAF" w:rsidRPr="4644E7B5">
        <w:rPr>
          <w:highlight w:val="white"/>
          <w:lang w:val="en-GB"/>
        </w:rPr>
        <w:t xml:space="preserve">. </w:t>
      </w:r>
    </w:p>
    <w:p w14:paraId="5A2F1F6D" w14:textId="77777777" w:rsidR="00591F9F" w:rsidRPr="00BB5241" w:rsidRDefault="00591F9F" w:rsidP="007716C8">
      <w:pPr>
        <w:pStyle w:val="NormalWeb"/>
        <w:spacing w:line="276" w:lineRule="auto"/>
        <w:rPr>
          <w:highlight w:val="white"/>
          <w:lang w:val="en-GB"/>
        </w:rPr>
      </w:pPr>
    </w:p>
    <w:p w14:paraId="5DC70FD9" w14:textId="1F2F2F2C" w:rsidR="001E769C" w:rsidRDefault="00B51BDC" w:rsidP="001E769C">
      <w:pPr>
        <w:pStyle w:val="NormalWeb"/>
        <w:keepNext/>
        <w:spacing w:line="276" w:lineRule="auto"/>
        <w:rPr>
          <w:b/>
          <w:bCs/>
          <w:highlight w:val="white"/>
          <w:lang w:val="en-GB"/>
        </w:rPr>
      </w:pPr>
      <w:r w:rsidRPr="4644E7B5">
        <w:rPr>
          <w:b/>
          <w:bCs/>
          <w:highlight w:val="white"/>
          <w:lang w:val="en-GB"/>
        </w:rPr>
        <w:t xml:space="preserve">Table </w:t>
      </w:r>
      <w:r w:rsidR="00E156A2">
        <w:rPr>
          <w:b/>
          <w:bCs/>
          <w:highlight w:val="white"/>
          <w:lang w:val="en-GB"/>
        </w:rPr>
        <w:t>4</w:t>
      </w:r>
    </w:p>
    <w:p w14:paraId="6E2F7E97" w14:textId="38B7CFE0" w:rsidR="007217DF" w:rsidRPr="001E769C" w:rsidRDefault="00136A56" w:rsidP="001E769C">
      <w:pPr>
        <w:pStyle w:val="NormalWeb"/>
        <w:keepNext/>
        <w:spacing w:line="276" w:lineRule="auto"/>
        <w:rPr>
          <w:highlight w:val="white"/>
          <w:lang w:val="en-GB"/>
        </w:rPr>
      </w:pPr>
      <w:r w:rsidRPr="001E769C">
        <w:rPr>
          <w:color w:val="000000" w:themeColor="text1"/>
          <w:lang w:val="en-GB"/>
        </w:rPr>
        <w:t xml:space="preserve">Example </w:t>
      </w:r>
      <w:r w:rsidR="008F3171" w:rsidRPr="001E769C">
        <w:rPr>
          <w:color w:val="000000" w:themeColor="text1"/>
          <w:lang w:val="en-GB"/>
        </w:rPr>
        <w:t xml:space="preserve">of a </w:t>
      </w:r>
      <w:r w:rsidRPr="001E769C">
        <w:rPr>
          <w:color w:val="000000" w:themeColor="text1"/>
          <w:lang w:val="en-GB"/>
        </w:rPr>
        <w:t>r</w:t>
      </w:r>
      <w:r w:rsidR="00B51BDC" w:rsidRPr="001E769C">
        <w:rPr>
          <w:color w:val="000000" w:themeColor="text1"/>
          <w:lang w:val="en-GB"/>
        </w:rPr>
        <w:t xml:space="preserve">isk </w:t>
      </w:r>
      <w:r w:rsidR="00B51BDC" w:rsidRPr="001E769C">
        <w:rPr>
          <w:lang w:val="en-GB"/>
        </w:rPr>
        <w:t xml:space="preserve">matrix used to estimate the level of </w:t>
      </w:r>
      <w:proofErr w:type="gramStart"/>
      <w:r w:rsidR="00B51BDC" w:rsidRPr="001E769C">
        <w:rPr>
          <w:lang w:val="en-GB"/>
        </w:rPr>
        <w:t>risk</w:t>
      </w:r>
      <w:proofErr w:type="gramEnd"/>
    </w:p>
    <w:tbl>
      <w:tblPr>
        <w:tblW w:w="9273" w:type="dxa"/>
        <w:tblInd w:w="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913"/>
        <w:gridCol w:w="1556"/>
        <w:gridCol w:w="121"/>
        <w:gridCol w:w="1706"/>
        <w:gridCol w:w="1848"/>
        <w:gridCol w:w="1565"/>
        <w:gridCol w:w="1564"/>
      </w:tblGrid>
      <w:tr w:rsidR="00095588" w:rsidRPr="00BB5241" w14:paraId="5727201B" w14:textId="77777777" w:rsidTr="00BA0151">
        <w:trPr>
          <w:cantSplit/>
          <w:trHeight w:val="330"/>
        </w:trPr>
        <w:tc>
          <w:tcPr>
            <w:tcW w:w="2590" w:type="dxa"/>
            <w:gridSpan w:val="3"/>
            <w:vMerge w:val="restart"/>
            <w:shd w:val="clear" w:color="auto" w:fill="FFFFFF" w:themeFill="background1"/>
            <w:tcMar>
              <w:top w:w="80" w:type="dxa"/>
              <w:left w:w="80" w:type="dxa"/>
              <w:bottom w:w="80" w:type="dxa"/>
              <w:right w:w="80" w:type="dxa"/>
            </w:tcMar>
          </w:tcPr>
          <w:p w14:paraId="132172F2" w14:textId="77777777" w:rsidR="00095588" w:rsidRPr="00BB5241" w:rsidRDefault="00095588" w:rsidP="00554C89">
            <w:pPr>
              <w:pStyle w:val="tabletext"/>
              <w:keepNext/>
              <w:spacing w:line="276" w:lineRule="auto"/>
              <w:jc w:val="center"/>
              <w:rPr>
                <w:rStyle w:val="Bold"/>
                <w:rFonts w:ascii="Times New Roman" w:hAnsi="Times New Roman" w:cs="Times New Roman"/>
                <w:bCs/>
                <w:color w:val="auto"/>
              </w:rPr>
            </w:pPr>
          </w:p>
        </w:tc>
        <w:tc>
          <w:tcPr>
            <w:tcW w:w="6683" w:type="dxa"/>
            <w:gridSpan w:val="4"/>
            <w:shd w:val="clear" w:color="auto" w:fill="FFFFFF" w:themeFill="background1"/>
            <w:tcMar>
              <w:top w:w="80" w:type="dxa"/>
              <w:left w:w="80" w:type="dxa"/>
              <w:bottom w:w="80" w:type="dxa"/>
              <w:right w:w="80" w:type="dxa"/>
            </w:tcMar>
          </w:tcPr>
          <w:p w14:paraId="762DD3E6" w14:textId="5F37F270"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 xml:space="preserve">CONSEQUENCE ASSESSMENT </w:t>
            </w:r>
          </w:p>
        </w:tc>
      </w:tr>
      <w:tr w:rsidR="00095588" w:rsidRPr="00BB5241" w14:paraId="4CD5509C" w14:textId="77777777" w:rsidTr="00095588">
        <w:trPr>
          <w:trHeight w:val="330"/>
        </w:trPr>
        <w:tc>
          <w:tcPr>
            <w:tcW w:w="2590" w:type="dxa"/>
            <w:gridSpan w:val="3"/>
            <w:vMerge/>
            <w:shd w:val="clear" w:color="auto" w:fill="FFFFFF" w:themeFill="background1"/>
            <w:tcMar>
              <w:top w:w="80" w:type="dxa"/>
              <w:left w:w="80" w:type="dxa"/>
              <w:bottom w:w="80" w:type="dxa"/>
              <w:right w:w="80" w:type="dxa"/>
            </w:tcMar>
            <w:textDirection w:val="btLr"/>
            <w:vAlign w:val="center"/>
          </w:tcPr>
          <w:p w14:paraId="03BFD93B" w14:textId="77777777" w:rsidR="00095588" w:rsidRPr="00BB5241" w:rsidRDefault="00095588" w:rsidP="00554C89">
            <w:pPr>
              <w:pStyle w:val="tabletext"/>
              <w:keepNext/>
              <w:spacing w:line="276" w:lineRule="auto"/>
              <w:jc w:val="center"/>
              <w:rPr>
                <w:rStyle w:val="Bold"/>
                <w:rFonts w:ascii="Times New Roman" w:hAnsi="Times New Roman" w:cs="Times New Roman"/>
                <w:bCs/>
                <w:color w:val="auto"/>
              </w:rPr>
            </w:pPr>
          </w:p>
        </w:tc>
        <w:tc>
          <w:tcPr>
            <w:tcW w:w="1706" w:type="dxa"/>
            <w:shd w:val="clear" w:color="auto" w:fill="auto"/>
            <w:tcMar>
              <w:top w:w="80" w:type="dxa"/>
              <w:left w:w="80" w:type="dxa"/>
              <w:bottom w:w="80" w:type="dxa"/>
              <w:right w:w="80" w:type="dxa"/>
            </w:tcMar>
          </w:tcPr>
          <w:p w14:paraId="2FC322FF" w14:textId="05435927"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Marginal</w:t>
            </w:r>
          </w:p>
        </w:tc>
        <w:tc>
          <w:tcPr>
            <w:tcW w:w="1848" w:type="dxa"/>
            <w:shd w:val="clear" w:color="auto" w:fill="auto"/>
            <w:tcMar>
              <w:top w:w="80" w:type="dxa"/>
              <w:left w:w="80" w:type="dxa"/>
              <w:bottom w:w="80" w:type="dxa"/>
              <w:right w:w="80" w:type="dxa"/>
            </w:tcMar>
          </w:tcPr>
          <w:p w14:paraId="6C2258F1" w14:textId="2073AD77" w:rsidR="00095588" w:rsidRPr="00BB5241" w:rsidRDefault="00095588" w:rsidP="00554C89">
            <w:pPr>
              <w:pStyle w:val="tabletext"/>
              <w:keepNext/>
              <w:spacing w:line="276" w:lineRule="auto"/>
              <w:jc w:val="center"/>
              <w:rPr>
                <w:rFonts w:ascii="Times New Roman" w:hAnsi="Times New Roman" w:cs="Times New Roman"/>
                <w:color w:val="FFFFFF" w:themeColor="background1"/>
              </w:rPr>
            </w:pPr>
            <w:r w:rsidRPr="00BB5241">
              <w:rPr>
                <w:rStyle w:val="Bold"/>
                <w:rFonts w:ascii="Times New Roman" w:hAnsi="Times New Roman" w:cs="Times New Roman"/>
                <w:bCs/>
                <w:color w:val="auto"/>
              </w:rPr>
              <w:t>Minor</w:t>
            </w:r>
          </w:p>
        </w:tc>
        <w:tc>
          <w:tcPr>
            <w:tcW w:w="1565" w:type="dxa"/>
            <w:shd w:val="clear" w:color="auto" w:fill="auto"/>
            <w:tcMar>
              <w:top w:w="80" w:type="dxa"/>
              <w:left w:w="80" w:type="dxa"/>
              <w:bottom w:w="80" w:type="dxa"/>
              <w:right w:w="80" w:type="dxa"/>
            </w:tcMar>
          </w:tcPr>
          <w:p w14:paraId="7CBAFA40" w14:textId="10D263A8" w:rsidR="00095588" w:rsidRPr="00BB5241" w:rsidRDefault="00095588" w:rsidP="00554C89">
            <w:pPr>
              <w:pStyle w:val="tabletext"/>
              <w:keepNext/>
              <w:spacing w:line="276" w:lineRule="auto"/>
              <w:jc w:val="center"/>
              <w:rPr>
                <w:rFonts w:ascii="Times New Roman" w:hAnsi="Times New Roman" w:cs="Times New Roman"/>
                <w:color w:val="FFFFFF" w:themeColor="background1"/>
              </w:rPr>
            </w:pPr>
            <w:r w:rsidRPr="00BB5241">
              <w:rPr>
                <w:rStyle w:val="Bold"/>
                <w:rFonts w:ascii="Times New Roman" w:hAnsi="Times New Roman" w:cs="Times New Roman"/>
                <w:bCs/>
                <w:color w:val="auto"/>
              </w:rPr>
              <w:t>Intermediate</w:t>
            </w:r>
          </w:p>
        </w:tc>
        <w:tc>
          <w:tcPr>
            <w:tcW w:w="1564" w:type="dxa"/>
            <w:shd w:val="clear" w:color="auto" w:fill="auto"/>
            <w:tcMar>
              <w:top w:w="80" w:type="dxa"/>
              <w:left w:w="80" w:type="dxa"/>
              <w:bottom w:w="80" w:type="dxa"/>
              <w:right w:w="80" w:type="dxa"/>
            </w:tcMar>
          </w:tcPr>
          <w:p w14:paraId="2C1F6E40" w14:textId="7245EB0F"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Major</w:t>
            </w:r>
          </w:p>
        </w:tc>
      </w:tr>
      <w:tr w:rsidR="00095588" w:rsidRPr="00BB5241" w14:paraId="489287E4" w14:textId="77777777" w:rsidTr="00BE246A">
        <w:trPr>
          <w:trHeight w:hRule="exact" w:val="113"/>
        </w:trPr>
        <w:tc>
          <w:tcPr>
            <w:tcW w:w="2590" w:type="dxa"/>
            <w:gridSpan w:val="3"/>
            <w:vMerge/>
            <w:shd w:val="clear" w:color="auto" w:fill="FFFFFF" w:themeFill="background1"/>
            <w:tcMar>
              <w:top w:w="80" w:type="dxa"/>
              <w:left w:w="80" w:type="dxa"/>
              <w:bottom w:w="80" w:type="dxa"/>
              <w:right w:w="80" w:type="dxa"/>
            </w:tcMar>
            <w:textDirection w:val="btLr"/>
            <w:vAlign w:val="center"/>
          </w:tcPr>
          <w:p w14:paraId="58FBD607" w14:textId="77777777" w:rsidR="00095588" w:rsidRPr="00BB5241" w:rsidRDefault="00095588" w:rsidP="00554C89">
            <w:pPr>
              <w:pStyle w:val="tabletext"/>
              <w:keepNext/>
              <w:spacing w:line="276" w:lineRule="auto"/>
              <w:jc w:val="center"/>
              <w:rPr>
                <w:rFonts w:ascii="Times New Roman" w:hAnsi="Times New Roman" w:cs="Times New Roman"/>
                <w:color w:val="auto"/>
              </w:rPr>
            </w:pPr>
          </w:p>
        </w:tc>
        <w:tc>
          <w:tcPr>
            <w:tcW w:w="6683" w:type="dxa"/>
            <w:gridSpan w:val="4"/>
            <w:shd w:val="clear" w:color="auto" w:fill="auto"/>
            <w:tcMar>
              <w:top w:w="80" w:type="dxa"/>
              <w:left w:w="80" w:type="dxa"/>
              <w:bottom w:w="80" w:type="dxa"/>
              <w:right w:w="80" w:type="dxa"/>
            </w:tcMar>
          </w:tcPr>
          <w:p w14:paraId="703551DD" w14:textId="77777777" w:rsidR="00095588" w:rsidRPr="00BB5241" w:rsidRDefault="00095588" w:rsidP="00554C89">
            <w:pPr>
              <w:pStyle w:val="tabletext"/>
              <w:keepNext/>
              <w:spacing w:line="276" w:lineRule="auto"/>
              <w:jc w:val="center"/>
              <w:rPr>
                <w:rFonts w:ascii="Times New Roman" w:hAnsi="Times New Roman" w:cs="Times New Roman"/>
                <w:color w:val="auto"/>
              </w:rPr>
            </w:pPr>
          </w:p>
        </w:tc>
      </w:tr>
      <w:tr w:rsidR="00095588" w:rsidRPr="00BB5241" w14:paraId="47D27A17" w14:textId="77777777" w:rsidTr="00591F9F">
        <w:trPr>
          <w:trHeight w:val="330"/>
        </w:trPr>
        <w:tc>
          <w:tcPr>
            <w:tcW w:w="913" w:type="dxa"/>
            <w:vMerge w:val="restart"/>
            <w:shd w:val="clear" w:color="auto" w:fill="FFFFFF" w:themeFill="background1"/>
            <w:tcMar>
              <w:top w:w="80" w:type="dxa"/>
              <w:left w:w="80" w:type="dxa"/>
              <w:bottom w:w="80" w:type="dxa"/>
              <w:right w:w="80" w:type="dxa"/>
            </w:tcMar>
            <w:textDirection w:val="btLr"/>
            <w:vAlign w:val="center"/>
          </w:tcPr>
          <w:p w14:paraId="130787E6" w14:textId="77777777"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LIKELIHOOD ASSESSMENT</w:t>
            </w:r>
          </w:p>
        </w:tc>
        <w:tc>
          <w:tcPr>
            <w:tcW w:w="1556" w:type="dxa"/>
            <w:shd w:val="clear" w:color="auto" w:fill="FFFFFF" w:themeFill="background1"/>
            <w:tcMar>
              <w:top w:w="80" w:type="dxa"/>
              <w:left w:w="80" w:type="dxa"/>
              <w:bottom w:w="80" w:type="dxa"/>
              <w:right w:w="80" w:type="dxa"/>
            </w:tcMar>
          </w:tcPr>
          <w:p w14:paraId="22F53F19" w14:textId="77777777"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Highly likely</w:t>
            </w:r>
          </w:p>
        </w:tc>
        <w:tc>
          <w:tcPr>
            <w:tcW w:w="121" w:type="dxa"/>
            <w:vMerge w:val="restart"/>
            <w:shd w:val="clear" w:color="auto" w:fill="auto"/>
          </w:tcPr>
          <w:p w14:paraId="1F35CC40" w14:textId="77777777" w:rsidR="00095588" w:rsidRPr="00BB5241"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358272EE" w14:textId="71FD586A"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Low</w:t>
            </w:r>
          </w:p>
        </w:tc>
        <w:tc>
          <w:tcPr>
            <w:tcW w:w="1848" w:type="dxa"/>
            <w:shd w:val="clear" w:color="auto" w:fill="404040" w:themeFill="text1" w:themeFillTint="BF"/>
            <w:tcMar>
              <w:top w:w="80" w:type="dxa"/>
              <w:left w:w="80" w:type="dxa"/>
              <w:bottom w:w="80" w:type="dxa"/>
              <w:right w:w="80" w:type="dxa"/>
            </w:tcMar>
          </w:tcPr>
          <w:p w14:paraId="687FEDEC" w14:textId="77777777" w:rsidR="00095588" w:rsidRPr="00BB5241" w:rsidRDefault="00095588" w:rsidP="00554C89">
            <w:pPr>
              <w:pStyle w:val="tabletext"/>
              <w:keepN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Moderate</w:t>
            </w:r>
          </w:p>
        </w:tc>
        <w:tc>
          <w:tcPr>
            <w:tcW w:w="1565" w:type="dxa"/>
            <w:shd w:val="clear" w:color="auto" w:fill="000000" w:themeFill="text1"/>
            <w:tcMar>
              <w:top w:w="80" w:type="dxa"/>
              <w:left w:w="80" w:type="dxa"/>
              <w:bottom w:w="80" w:type="dxa"/>
              <w:right w:w="80" w:type="dxa"/>
            </w:tcMar>
          </w:tcPr>
          <w:p w14:paraId="0ED7724B" w14:textId="77777777" w:rsidR="00095588" w:rsidRPr="00BB5241" w:rsidRDefault="00095588" w:rsidP="00554C89">
            <w:pPr>
              <w:pStyle w:val="tabletext"/>
              <w:keepN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High</w:t>
            </w:r>
          </w:p>
        </w:tc>
        <w:tc>
          <w:tcPr>
            <w:tcW w:w="1564" w:type="dxa"/>
            <w:shd w:val="clear" w:color="auto" w:fill="000000" w:themeFill="text1"/>
            <w:tcMar>
              <w:top w:w="80" w:type="dxa"/>
              <w:left w:w="80" w:type="dxa"/>
              <w:bottom w:w="80" w:type="dxa"/>
              <w:right w:w="80" w:type="dxa"/>
            </w:tcMar>
          </w:tcPr>
          <w:p w14:paraId="7A486EE0" w14:textId="77777777"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High</w:t>
            </w:r>
          </w:p>
        </w:tc>
      </w:tr>
      <w:tr w:rsidR="00095588" w:rsidRPr="00BB5241" w14:paraId="78CF4993" w14:textId="77777777" w:rsidTr="00BA0151">
        <w:trPr>
          <w:cantSplit/>
          <w:trHeight w:val="330"/>
        </w:trPr>
        <w:tc>
          <w:tcPr>
            <w:tcW w:w="913" w:type="dxa"/>
            <w:vMerge/>
            <w:shd w:val="clear" w:color="auto" w:fill="FFFFFF" w:themeFill="background1"/>
          </w:tcPr>
          <w:p w14:paraId="70A2A1CA" w14:textId="77777777" w:rsidR="00095588" w:rsidRPr="00BB5241" w:rsidRDefault="00095588" w:rsidP="00554C89">
            <w:pPr>
              <w:pStyle w:val="NoParagraphStyle"/>
              <w:keepNext/>
              <w:spacing w:line="276" w:lineRule="auto"/>
              <w:textAlignment w:val="auto"/>
              <w:rPr>
                <w:rFonts w:ascii="Times New Roman" w:hAnsi="Times New Roman" w:cs="Times New Roman"/>
                <w:color w:val="auto"/>
              </w:rPr>
            </w:pPr>
          </w:p>
        </w:tc>
        <w:tc>
          <w:tcPr>
            <w:tcW w:w="1556" w:type="dxa"/>
            <w:shd w:val="clear" w:color="auto" w:fill="FFFFFF" w:themeFill="background1"/>
            <w:tcMar>
              <w:top w:w="80" w:type="dxa"/>
              <w:left w:w="80" w:type="dxa"/>
              <w:bottom w:w="80" w:type="dxa"/>
              <w:right w:w="80" w:type="dxa"/>
            </w:tcMar>
          </w:tcPr>
          <w:p w14:paraId="2A25AFA1" w14:textId="77777777"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Likely</w:t>
            </w:r>
          </w:p>
        </w:tc>
        <w:tc>
          <w:tcPr>
            <w:tcW w:w="121" w:type="dxa"/>
            <w:vMerge/>
            <w:shd w:val="clear" w:color="auto" w:fill="auto"/>
          </w:tcPr>
          <w:p w14:paraId="324F8E9E" w14:textId="77777777" w:rsidR="00095588" w:rsidRPr="00BB5241"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02CF870A" w14:textId="6DE982E5"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Low</w:t>
            </w:r>
          </w:p>
        </w:tc>
        <w:tc>
          <w:tcPr>
            <w:tcW w:w="1848" w:type="dxa"/>
            <w:shd w:val="clear" w:color="auto" w:fill="AEAAAA" w:themeFill="background2" w:themeFillShade="BF"/>
            <w:tcMar>
              <w:top w:w="80" w:type="dxa"/>
              <w:left w:w="80" w:type="dxa"/>
              <w:bottom w:w="80" w:type="dxa"/>
              <w:right w:w="80" w:type="dxa"/>
            </w:tcMar>
          </w:tcPr>
          <w:p w14:paraId="6E7C2C0C" w14:textId="77777777"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Low</w:t>
            </w:r>
          </w:p>
        </w:tc>
        <w:tc>
          <w:tcPr>
            <w:tcW w:w="1565" w:type="dxa"/>
            <w:shd w:val="clear" w:color="auto" w:fill="404040" w:themeFill="text1" w:themeFillTint="BF"/>
            <w:tcMar>
              <w:top w:w="80" w:type="dxa"/>
              <w:left w:w="80" w:type="dxa"/>
              <w:bottom w:w="80" w:type="dxa"/>
              <w:right w:w="80" w:type="dxa"/>
            </w:tcMar>
          </w:tcPr>
          <w:p w14:paraId="2CB2C904" w14:textId="77777777" w:rsidR="00095588" w:rsidRPr="00BB5241" w:rsidRDefault="00095588" w:rsidP="00554C89">
            <w:pPr>
              <w:pStyle w:val="tabletext"/>
              <w:keepN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Moderate</w:t>
            </w:r>
          </w:p>
        </w:tc>
        <w:tc>
          <w:tcPr>
            <w:tcW w:w="1564" w:type="dxa"/>
            <w:shd w:val="clear" w:color="auto" w:fill="000000" w:themeFill="text1"/>
            <w:tcMar>
              <w:top w:w="80" w:type="dxa"/>
              <w:left w:w="80" w:type="dxa"/>
              <w:bottom w:w="80" w:type="dxa"/>
              <w:right w:w="80" w:type="dxa"/>
            </w:tcMar>
          </w:tcPr>
          <w:p w14:paraId="61D66436" w14:textId="77777777"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High</w:t>
            </w:r>
          </w:p>
        </w:tc>
      </w:tr>
      <w:tr w:rsidR="00095588" w:rsidRPr="00BB5241" w14:paraId="5815611D" w14:textId="77777777" w:rsidTr="00BA0151">
        <w:trPr>
          <w:cantSplit/>
          <w:trHeight w:val="330"/>
        </w:trPr>
        <w:tc>
          <w:tcPr>
            <w:tcW w:w="913" w:type="dxa"/>
            <w:vMerge/>
            <w:shd w:val="clear" w:color="auto" w:fill="FFFFFF" w:themeFill="background1"/>
          </w:tcPr>
          <w:p w14:paraId="43468410" w14:textId="77777777" w:rsidR="00095588" w:rsidRPr="00BB5241" w:rsidRDefault="00095588" w:rsidP="00554C89">
            <w:pPr>
              <w:pStyle w:val="NoParagraphStyle"/>
              <w:keepNext/>
              <w:spacing w:line="276" w:lineRule="auto"/>
              <w:textAlignment w:val="auto"/>
              <w:rPr>
                <w:rFonts w:ascii="Times New Roman" w:hAnsi="Times New Roman" w:cs="Times New Roman"/>
                <w:color w:val="auto"/>
              </w:rPr>
            </w:pPr>
          </w:p>
        </w:tc>
        <w:tc>
          <w:tcPr>
            <w:tcW w:w="1556" w:type="dxa"/>
            <w:shd w:val="clear" w:color="auto" w:fill="FFFFFF" w:themeFill="background1"/>
            <w:tcMar>
              <w:top w:w="80" w:type="dxa"/>
              <w:left w:w="80" w:type="dxa"/>
              <w:bottom w:w="80" w:type="dxa"/>
              <w:right w:w="80" w:type="dxa"/>
            </w:tcMar>
          </w:tcPr>
          <w:p w14:paraId="034536CD" w14:textId="77777777"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Unlikely</w:t>
            </w:r>
          </w:p>
        </w:tc>
        <w:tc>
          <w:tcPr>
            <w:tcW w:w="121" w:type="dxa"/>
            <w:vMerge/>
            <w:shd w:val="clear" w:color="auto" w:fill="auto"/>
          </w:tcPr>
          <w:p w14:paraId="0F671938" w14:textId="77777777" w:rsidR="00095588" w:rsidRPr="00BB5241"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115419E9" w14:textId="311F0DF4"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Negligible</w:t>
            </w:r>
          </w:p>
        </w:tc>
        <w:tc>
          <w:tcPr>
            <w:tcW w:w="1848" w:type="dxa"/>
            <w:shd w:val="clear" w:color="auto" w:fill="AEAAAA" w:themeFill="background2" w:themeFillShade="BF"/>
            <w:tcMar>
              <w:top w:w="80" w:type="dxa"/>
              <w:left w:w="80" w:type="dxa"/>
              <w:bottom w:w="80" w:type="dxa"/>
              <w:right w:w="80" w:type="dxa"/>
            </w:tcMar>
          </w:tcPr>
          <w:p w14:paraId="6272C567" w14:textId="77777777"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Low</w:t>
            </w:r>
          </w:p>
        </w:tc>
        <w:tc>
          <w:tcPr>
            <w:tcW w:w="1565" w:type="dxa"/>
            <w:shd w:val="clear" w:color="auto" w:fill="404040" w:themeFill="text1" w:themeFillTint="BF"/>
            <w:tcMar>
              <w:top w:w="80" w:type="dxa"/>
              <w:left w:w="80" w:type="dxa"/>
              <w:bottom w:w="80" w:type="dxa"/>
              <w:right w:w="80" w:type="dxa"/>
            </w:tcMar>
          </w:tcPr>
          <w:p w14:paraId="680BF561" w14:textId="77777777" w:rsidR="00095588" w:rsidRPr="00BB5241" w:rsidRDefault="00095588" w:rsidP="00554C89">
            <w:pPr>
              <w:pStyle w:val="tabletext"/>
              <w:keepN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Moderate</w:t>
            </w:r>
          </w:p>
        </w:tc>
        <w:tc>
          <w:tcPr>
            <w:tcW w:w="1564" w:type="dxa"/>
            <w:shd w:val="clear" w:color="auto" w:fill="404040" w:themeFill="text1" w:themeFillTint="BF"/>
            <w:tcMar>
              <w:top w:w="80" w:type="dxa"/>
              <w:left w:w="80" w:type="dxa"/>
              <w:bottom w:w="80" w:type="dxa"/>
              <w:right w:w="80" w:type="dxa"/>
            </w:tcMar>
          </w:tcPr>
          <w:p w14:paraId="2DD178D5" w14:textId="77777777" w:rsidR="00095588" w:rsidRPr="00BB5241" w:rsidRDefault="00095588" w:rsidP="00554C89">
            <w:pPr>
              <w:pStyle w:val="tabletext"/>
              <w:keepN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Moderate</w:t>
            </w:r>
          </w:p>
        </w:tc>
      </w:tr>
      <w:tr w:rsidR="00095588" w:rsidRPr="00BB5241" w14:paraId="7EA9FABD" w14:textId="77777777" w:rsidTr="00BA0151">
        <w:trPr>
          <w:cantSplit/>
          <w:trHeight w:val="330"/>
        </w:trPr>
        <w:tc>
          <w:tcPr>
            <w:tcW w:w="913" w:type="dxa"/>
            <w:vMerge/>
            <w:shd w:val="clear" w:color="auto" w:fill="FFFFFF" w:themeFill="background1"/>
          </w:tcPr>
          <w:p w14:paraId="473B784A" w14:textId="77777777" w:rsidR="00095588" w:rsidRPr="00BB5241" w:rsidRDefault="00095588" w:rsidP="00554C89">
            <w:pPr>
              <w:pStyle w:val="NoParagraphStyle"/>
              <w:keepNext/>
              <w:spacing w:line="276" w:lineRule="auto"/>
              <w:textAlignment w:val="auto"/>
              <w:rPr>
                <w:rFonts w:ascii="Times New Roman" w:hAnsi="Times New Roman" w:cs="Times New Roman"/>
                <w:color w:val="auto"/>
              </w:rPr>
            </w:pPr>
          </w:p>
        </w:tc>
        <w:tc>
          <w:tcPr>
            <w:tcW w:w="1556" w:type="dxa"/>
            <w:shd w:val="clear" w:color="auto" w:fill="FFFFFF" w:themeFill="background1"/>
            <w:tcMar>
              <w:top w:w="80" w:type="dxa"/>
              <w:left w:w="80" w:type="dxa"/>
              <w:bottom w:w="80" w:type="dxa"/>
              <w:right w:w="80" w:type="dxa"/>
            </w:tcMar>
          </w:tcPr>
          <w:p w14:paraId="4F829828" w14:textId="77777777"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Highly unlikely</w:t>
            </w:r>
          </w:p>
        </w:tc>
        <w:tc>
          <w:tcPr>
            <w:tcW w:w="121" w:type="dxa"/>
            <w:vMerge/>
            <w:shd w:val="clear" w:color="auto" w:fill="auto"/>
          </w:tcPr>
          <w:p w14:paraId="6F178C6D" w14:textId="77777777" w:rsidR="00095588" w:rsidRPr="00BB5241" w:rsidRDefault="00095588" w:rsidP="00554C89">
            <w:pPr>
              <w:pStyle w:val="tabletext"/>
              <w:keepN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6014183C" w14:textId="013F2914"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Negligible</w:t>
            </w:r>
          </w:p>
        </w:tc>
        <w:tc>
          <w:tcPr>
            <w:tcW w:w="1848" w:type="dxa"/>
            <w:shd w:val="clear" w:color="auto" w:fill="FFFFFF" w:themeFill="background1"/>
            <w:tcMar>
              <w:top w:w="80" w:type="dxa"/>
              <w:left w:w="80" w:type="dxa"/>
              <w:bottom w:w="80" w:type="dxa"/>
              <w:right w:w="80" w:type="dxa"/>
            </w:tcMar>
          </w:tcPr>
          <w:p w14:paraId="7DF2B09A" w14:textId="77777777"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Negligible</w:t>
            </w:r>
          </w:p>
        </w:tc>
        <w:tc>
          <w:tcPr>
            <w:tcW w:w="1565" w:type="dxa"/>
            <w:shd w:val="clear" w:color="auto" w:fill="AEAAAA" w:themeFill="background2" w:themeFillShade="BF"/>
            <w:tcMar>
              <w:top w:w="80" w:type="dxa"/>
              <w:left w:w="80" w:type="dxa"/>
              <w:bottom w:w="80" w:type="dxa"/>
              <w:right w:w="80" w:type="dxa"/>
            </w:tcMar>
          </w:tcPr>
          <w:p w14:paraId="626DF8FB" w14:textId="77777777"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Low</w:t>
            </w:r>
          </w:p>
        </w:tc>
        <w:tc>
          <w:tcPr>
            <w:tcW w:w="1564" w:type="dxa"/>
            <w:shd w:val="clear" w:color="auto" w:fill="404040" w:themeFill="text1" w:themeFillTint="BF"/>
            <w:tcMar>
              <w:top w:w="80" w:type="dxa"/>
              <w:left w:w="80" w:type="dxa"/>
              <w:bottom w:w="80" w:type="dxa"/>
              <w:right w:w="80" w:type="dxa"/>
            </w:tcMar>
          </w:tcPr>
          <w:p w14:paraId="2FF5AAE6" w14:textId="77777777" w:rsidR="00095588" w:rsidRPr="00BB5241" w:rsidRDefault="00095588" w:rsidP="00554C89">
            <w:pPr>
              <w:pStyle w:val="tabletext"/>
              <w:keepN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Moderate</w:t>
            </w:r>
          </w:p>
        </w:tc>
      </w:tr>
      <w:tr w:rsidR="00095588" w:rsidRPr="00BB5241" w14:paraId="626C60DB" w14:textId="77777777" w:rsidTr="00BA0151">
        <w:trPr>
          <w:cantSplit/>
          <w:trHeight w:val="330"/>
        </w:trPr>
        <w:tc>
          <w:tcPr>
            <w:tcW w:w="2590" w:type="dxa"/>
            <w:gridSpan w:val="3"/>
            <w:shd w:val="clear" w:color="auto" w:fill="FFFFFF" w:themeFill="background1"/>
            <w:tcMar>
              <w:top w:w="80" w:type="dxa"/>
              <w:left w:w="80" w:type="dxa"/>
              <w:bottom w:w="80" w:type="dxa"/>
              <w:right w:w="80" w:type="dxa"/>
            </w:tcMar>
          </w:tcPr>
          <w:p w14:paraId="5B9B8D2D" w14:textId="77777777" w:rsidR="00095588" w:rsidRPr="00BB5241" w:rsidRDefault="00095588" w:rsidP="00554C89">
            <w:pPr>
              <w:pStyle w:val="tabletext"/>
              <w:keepNext/>
              <w:spacing w:line="276" w:lineRule="auto"/>
              <w:jc w:val="center"/>
              <w:rPr>
                <w:rStyle w:val="Bold"/>
                <w:rFonts w:ascii="Times New Roman" w:hAnsi="Times New Roman" w:cs="Times New Roman"/>
                <w:bCs/>
                <w:color w:val="auto"/>
              </w:rPr>
            </w:pPr>
          </w:p>
        </w:tc>
        <w:tc>
          <w:tcPr>
            <w:tcW w:w="6683" w:type="dxa"/>
            <w:gridSpan w:val="4"/>
            <w:shd w:val="clear" w:color="auto" w:fill="FFFFFF" w:themeFill="background1"/>
            <w:tcMar>
              <w:top w:w="80" w:type="dxa"/>
              <w:left w:w="80" w:type="dxa"/>
              <w:bottom w:w="80" w:type="dxa"/>
              <w:right w:w="80" w:type="dxa"/>
            </w:tcMar>
          </w:tcPr>
          <w:p w14:paraId="3C674FC7" w14:textId="005C9CA4" w:rsidR="00095588" w:rsidRPr="00BB5241" w:rsidRDefault="00095588" w:rsidP="00554C89">
            <w:pPr>
              <w:pStyle w:val="tabletext"/>
              <w:keepN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LEVEL OF RISK</w:t>
            </w:r>
          </w:p>
        </w:tc>
      </w:tr>
    </w:tbl>
    <w:p w14:paraId="25918E43" w14:textId="77777777" w:rsidR="003A78BB" w:rsidRDefault="003A78BB" w:rsidP="00BE4756">
      <w:pPr>
        <w:spacing w:line="276" w:lineRule="auto"/>
        <w:jc w:val="both"/>
        <w:rPr>
          <w:rFonts w:ascii="Times New Roman" w:eastAsia="Times New Roman" w:hAnsi="Times New Roman" w:cs="Times New Roman"/>
        </w:rPr>
      </w:pPr>
    </w:p>
    <w:p w14:paraId="032E6A5D" w14:textId="284D9AFC" w:rsidR="00BE4756" w:rsidRPr="00BB5241" w:rsidRDefault="00BE4756" w:rsidP="00BE4756">
      <w:pPr>
        <w:spacing w:line="276" w:lineRule="auto"/>
        <w:jc w:val="both"/>
        <w:rPr>
          <w:rFonts w:ascii="Times New Roman" w:hAnsi="Times New Roman" w:cs="Times New Roman"/>
        </w:rPr>
      </w:pPr>
      <w:r w:rsidRPr="00BB5241">
        <w:rPr>
          <w:rFonts w:ascii="Times New Roman" w:eastAsia="Times New Roman" w:hAnsi="Times New Roman" w:cs="Times New Roman"/>
        </w:rPr>
        <w:t>Some risk hypotheses, despite being relevant for the assigned protection goals and assessment endpoints, may be difficult to test, or testing using available information may not produce desired reliability regarding the likelihood of a particular step in a pathway to harm. As part of the risk assessment, such uncertainty may be addressed and reduced through an iterative and tiered-based testing approach, by consideration of multiple lines of evidence (including modelling predictions) in a weight of evidence approach, and/or by new studies being undertaken (</w:t>
      </w:r>
      <w:r w:rsidRPr="008632B3">
        <w:rPr>
          <w:rFonts w:ascii="Times New Roman" w:eastAsia="Times New Roman" w:hAnsi="Times New Roman" w:cs="Times New Roman"/>
        </w:rPr>
        <w:t>NASEM, 2016; Hayes and others, 2018</w:t>
      </w:r>
      <w:r w:rsidR="001D498D" w:rsidRPr="008632B3">
        <w:rPr>
          <w:rFonts w:ascii="Times New Roman" w:eastAsia="Times New Roman" w:hAnsi="Times New Roman" w:cs="Times New Roman"/>
        </w:rPr>
        <w:t>b</w:t>
      </w:r>
      <w:r w:rsidRPr="008632B3">
        <w:rPr>
          <w:rFonts w:ascii="Times New Roman" w:eastAsia="Times New Roman" w:hAnsi="Times New Roman" w:cs="Times New Roman"/>
        </w:rPr>
        <w:t>; James and others, 2018; EFSA, 2020; Romeis and others, 2020; WHO, 2021</w:t>
      </w:r>
      <w:r w:rsidR="00E25734">
        <w:rPr>
          <w:rFonts w:ascii="Times New Roman" w:eastAsia="Times New Roman" w:hAnsi="Times New Roman" w:cs="Times New Roman"/>
        </w:rPr>
        <w:t>b</w:t>
      </w:r>
      <w:r w:rsidRPr="008632B3">
        <w:rPr>
          <w:rFonts w:ascii="Times New Roman" w:eastAsia="Times New Roman" w:hAnsi="Times New Roman" w:cs="Times New Roman"/>
        </w:rPr>
        <w:t>). In</w:t>
      </w:r>
      <w:r w:rsidRPr="00BB5241">
        <w:rPr>
          <w:rFonts w:ascii="Times New Roman" w:eastAsia="Times New Roman" w:hAnsi="Times New Roman" w:cs="Times New Roman"/>
        </w:rPr>
        <w:t xml:space="preserve"> general, some degree of uncertainty </w:t>
      </w:r>
      <w:r w:rsidR="00E223EF" w:rsidRPr="00BB5241">
        <w:rPr>
          <w:rFonts w:ascii="Times New Roman" w:eastAsia="Times New Roman" w:hAnsi="Times New Roman" w:cs="Times New Roman"/>
        </w:rPr>
        <w:t xml:space="preserve">may </w:t>
      </w:r>
      <w:r w:rsidR="00D05A2B" w:rsidRPr="00BB5241">
        <w:rPr>
          <w:rFonts w:ascii="Times New Roman" w:eastAsia="Times New Roman" w:hAnsi="Times New Roman" w:cs="Times New Roman"/>
        </w:rPr>
        <w:t xml:space="preserve">still need </w:t>
      </w:r>
      <w:r w:rsidRPr="00BB5241">
        <w:rPr>
          <w:rFonts w:ascii="Times New Roman" w:eastAsia="Times New Roman" w:hAnsi="Times New Roman" w:cs="Times New Roman"/>
        </w:rPr>
        <w:t>t</w:t>
      </w:r>
      <w:r w:rsidR="00D05A2B" w:rsidRPr="00BB5241">
        <w:rPr>
          <w:rFonts w:ascii="Times New Roman" w:eastAsia="Times New Roman" w:hAnsi="Times New Roman" w:cs="Times New Roman"/>
        </w:rPr>
        <w:t>o</w:t>
      </w:r>
      <w:r w:rsidRPr="00BB5241">
        <w:rPr>
          <w:rFonts w:ascii="Times New Roman" w:eastAsia="Times New Roman" w:hAnsi="Times New Roman" w:cs="Times New Roman"/>
        </w:rPr>
        <w:t xml:space="preserve"> be addressed by risk managers and decision makers.</w:t>
      </w:r>
    </w:p>
    <w:p w14:paraId="2BD8DC0E" w14:textId="0F7C9135" w:rsidR="00DC2E53" w:rsidRPr="00CA0582" w:rsidRDefault="00DD7AFB" w:rsidP="00212686">
      <w:pPr>
        <w:pStyle w:val="Heading3"/>
        <w:spacing w:line="276" w:lineRule="auto"/>
        <w:rPr>
          <w:rFonts w:ascii="Times New Roman" w:hAnsi="Times New Roman" w:cs="Times New Roman"/>
          <w:color w:val="auto"/>
          <w:lang w:val="en-GB"/>
        </w:rPr>
      </w:pPr>
      <w:bookmarkStart w:id="56" w:name="_Toc16"/>
      <w:bookmarkStart w:id="57" w:name="_Toc161220497"/>
      <w:r w:rsidRPr="00CA0582">
        <w:rPr>
          <w:rFonts w:ascii="Times New Roman" w:eastAsia="Times New Roman" w:hAnsi="Times New Roman" w:cs="Times New Roman"/>
          <w:b/>
          <w:bCs/>
          <w:color w:val="auto"/>
          <w:lang w:val="en-GB"/>
        </w:rPr>
        <w:t>4</w:t>
      </w:r>
      <w:r w:rsidR="005430B6" w:rsidRPr="00CA0582">
        <w:rPr>
          <w:rFonts w:ascii="Times New Roman" w:eastAsia="Times New Roman" w:hAnsi="Times New Roman" w:cs="Times New Roman"/>
          <w:b/>
          <w:bCs/>
          <w:color w:val="auto"/>
          <w:lang w:val="en-GB"/>
        </w:rPr>
        <w:t>.2.1</w:t>
      </w:r>
      <w:r w:rsidR="005467F6" w:rsidRPr="00CA0582">
        <w:rPr>
          <w:rFonts w:ascii="Times New Roman" w:eastAsia="Times New Roman" w:hAnsi="Times New Roman" w:cs="Times New Roman"/>
          <w:b/>
          <w:bCs/>
          <w:color w:val="auto"/>
          <w:lang w:val="en-GB"/>
        </w:rPr>
        <w:t>.</w:t>
      </w:r>
      <w:r w:rsidR="005430B6" w:rsidRPr="00CA0582">
        <w:rPr>
          <w:rFonts w:ascii="Times New Roman" w:eastAsia="Times New Roman" w:hAnsi="Times New Roman" w:cs="Times New Roman"/>
          <w:b/>
          <w:bCs/>
          <w:color w:val="auto"/>
          <w:lang w:val="en-GB"/>
        </w:rPr>
        <w:t xml:space="preserve"> </w:t>
      </w:r>
      <w:r w:rsidR="00AA4C74" w:rsidRPr="00591F9F">
        <w:rPr>
          <w:rFonts w:ascii="Times New Roman" w:eastAsia="Times New Roman" w:hAnsi="Times New Roman" w:cs="Times New Roman"/>
          <w:b/>
          <w:bCs/>
          <w:color w:val="000000" w:themeColor="text1"/>
          <w:lang w:val="en-GB"/>
        </w:rPr>
        <w:t>So</w:t>
      </w:r>
      <w:r w:rsidR="005430B6" w:rsidRPr="00591F9F">
        <w:rPr>
          <w:rFonts w:ascii="Times New Roman" w:eastAsia="Times New Roman" w:hAnsi="Times New Roman" w:cs="Times New Roman"/>
          <w:b/>
          <w:bCs/>
          <w:color w:val="000000" w:themeColor="text1"/>
          <w:lang w:val="en-GB"/>
        </w:rPr>
        <w:t>urces</w:t>
      </w:r>
      <w:bookmarkEnd w:id="56"/>
      <w:r w:rsidR="006D0AD9" w:rsidRPr="00591F9F">
        <w:rPr>
          <w:rFonts w:ascii="Times New Roman" w:eastAsia="Times New Roman" w:hAnsi="Times New Roman" w:cs="Times New Roman"/>
          <w:b/>
          <w:bCs/>
          <w:color w:val="000000" w:themeColor="text1"/>
          <w:lang w:val="en-GB"/>
        </w:rPr>
        <w:t xml:space="preserve"> and </w:t>
      </w:r>
      <w:r w:rsidR="008A270B" w:rsidRPr="00591F9F">
        <w:rPr>
          <w:rFonts w:ascii="Times New Roman" w:eastAsia="Times New Roman" w:hAnsi="Times New Roman" w:cs="Times New Roman"/>
          <w:b/>
          <w:bCs/>
          <w:color w:val="000000" w:themeColor="text1"/>
          <w:lang w:val="en-GB"/>
        </w:rPr>
        <w:t>quality</w:t>
      </w:r>
      <w:r w:rsidR="00AA4C74" w:rsidRPr="00591F9F">
        <w:rPr>
          <w:rFonts w:ascii="Times New Roman" w:eastAsia="Times New Roman" w:hAnsi="Times New Roman" w:cs="Times New Roman"/>
          <w:b/>
          <w:bCs/>
          <w:color w:val="000000" w:themeColor="text1"/>
          <w:lang w:val="en-GB"/>
        </w:rPr>
        <w:t xml:space="preserve"> of information</w:t>
      </w:r>
      <w:bookmarkEnd w:id="57"/>
    </w:p>
    <w:p w14:paraId="52C800F1" w14:textId="71DCE702" w:rsidR="00DC2E53" w:rsidRPr="00BB5241" w:rsidRDefault="00340831" w:rsidP="001322D6">
      <w:pPr>
        <w:pStyle w:val="Default"/>
        <w:spacing w:line="276" w:lineRule="auto"/>
        <w:rPr>
          <w:color w:val="auto"/>
          <w:sz w:val="22"/>
          <w:szCs w:val="22"/>
        </w:rPr>
      </w:pPr>
      <w:r w:rsidRPr="00BB5241">
        <w:rPr>
          <w:rFonts w:eastAsia="Times New Roman"/>
          <w:color w:val="auto"/>
          <w:sz w:val="22"/>
          <w:szCs w:val="22"/>
        </w:rPr>
        <w:t>The testing of risk hypotheses uses information from various sources, including, but not limited to</w:t>
      </w:r>
      <w:r w:rsidR="005430B6" w:rsidRPr="00BB5241">
        <w:rPr>
          <w:rFonts w:eastAsia="Times New Roman"/>
          <w:color w:val="auto"/>
          <w:sz w:val="22"/>
          <w:szCs w:val="22"/>
        </w:rPr>
        <w:t xml:space="preserve">, using existing information, </w:t>
      </w:r>
      <w:r w:rsidR="00AC3B5F" w:rsidRPr="00BB5241">
        <w:rPr>
          <w:rFonts w:eastAsia="Times New Roman"/>
          <w:color w:val="auto"/>
          <w:sz w:val="22"/>
          <w:szCs w:val="22"/>
        </w:rPr>
        <w:t>previous risk assessment, information submitted</w:t>
      </w:r>
      <w:r w:rsidR="00291ABA" w:rsidRPr="00BB5241">
        <w:rPr>
          <w:rFonts w:eastAsia="Times New Roman"/>
          <w:color w:val="auto"/>
          <w:sz w:val="22"/>
          <w:szCs w:val="22"/>
        </w:rPr>
        <w:t xml:space="preserve"> in applications by developers, </w:t>
      </w:r>
      <w:r w:rsidR="005430B6" w:rsidRPr="00BB5241">
        <w:rPr>
          <w:color w:val="auto"/>
          <w:sz w:val="22"/>
          <w:szCs w:val="22"/>
        </w:rPr>
        <w:t xml:space="preserve">peer-reviewed literature, </w:t>
      </w:r>
      <w:r w:rsidR="005430B6" w:rsidRPr="00BB5241">
        <w:rPr>
          <w:rFonts w:eastAsia="Times New Roman"/>
          <w:color w:val="auto"/>
          <w:sz w:val="22"/>
          <w:szCs w:val="22"/>
        </w:rPr>
        <w:t xml:space="preserve">modelling, new empirical investigations, </w:t>
      </w:r>
      <w:r w:rsidR="005430B6" w:rsidRPr="00BB5241">
        <w:rPr>
          <w:color w:val="auto"/>
          <w:sz w:val="22"/>
          <w:szCs w:val="22"/>
        </w:rPr>
        <w:t>expert opinions</w:t>
      </w:r>
      <w:r w:rsidR="005430B6" w:rsidRPr="00591F9F">
        <w:rPr>
          <w:color w:val="000000" w:themeColor="text1"/>
          <w:sz w:val="22"/>
          <w:szCs w:val="22"/>
        </w:rPr>
        <w:t xml:space="preserve">, </w:t>
      </w:r>
      <w:r w:rsidR="00B614EB" w:rsidRPr="00B614EB">
        <w:rPr>
          <w:rFonts w:eastAsia="Times New Roman"/>
          <w:color w:val="000000" w:themeColor="text1"/>
          <w:sz w:val="22"/>
          <w:szCs w:val="22"/>
        </w:rPr>
        <w:t>indigenous peoples and local communitie</w:t>
      </w:r>
      <w:r w:rsidR="00D17187" w:rsidRPr="00B614EB">
        <w:rPr>
          <w:color w:val="000000" w:themeColor="text1"/>
          <w:sz w:val="22"/>
          <w:szCs w:val="22"/>
        </w:rPr>
        <w:t>s</w:t>
      </w:r>
      <w:r w:rsidR="00D17187" w:rsidRPr="00591F9F">
        <w:rPr>
          <w:color w:val="000000" w:themeColor="text1"/>
          <w:sz w:val="22"/>
          <w:szCs w:val="22"/>
        </w:rPr>
        <w:t xml:space="preserve">, </w:t>
      </w:r>
      <w:r w:rsidR="005430B6" w:rsidRPr="00591F9F">
        <w:rPr>
          <w:color w:val="000000" w:themeColor="text1"/>
          <w:sz w:val="22"/>
          <w:szCs w:val="22"/>
        </w:rPr>
        <w:t>indigenous and traditional knowledge</w:t>
      </w:r>
      <w:r w:rsidR="00D17187" w:rsidRPr="00591F9F">
        <w:rPr>
          <w:color w:val="000000" w:themeColor="text1"/>
          <w:sz w:val="22"/>
          <w:szCs w:val="22"/>
        </w:rPr>
        <w:t>, innovation and practices</w:t>
      </w:r>
      <w:r w:rsidR="003746EC" w:rsidRPr="00591F9F">
        <w:rPr>
          <w:color w:val="000000" w:themeColor="text1"/>
          <w:sz w:val="22"/>
          <w:szCs w:val="22"/>
        </w:rPr>
        <w:t>,</w:t>
      </w:r>
      <w:r w:rsidR="005430B6" w:rsidRPr="00591F9F">
        <w:rPr>
          <w:color w:val="000000" w:themeColor="text1"/>
          <w:sz w:val="22"/>
          <w:szCs w:val="22"/>
        </w:rPr>
        <w:t xml:space="preserve"> </w:t>
      </w:r>
      <w:r w:rsidR="005430B6" w:rsidRPr="00BB5241">
        <w:rPr>
          <w:rFonts w:eastAsia="Times New Roman"/>
          <w:color w:val="auto"/>
          <w:sz w:val="22"/>
          <w:szCs w:val="22"/>
        </w:rPr>
        <w:t>or any combination thereof.</w:t>
      </w:r>
      <w:r w:rsidR="0003595F" w:rsidRPr="00BB5241">
        <w:rPr>
          <w:rFonts w:eastAsia="Times New Roman"/>
          <w:color w:val="auto"/>
          <w:sz w:val="22"/>
          <w:szCs w:val="22"/>
        </w:rPr>
        <w:t xml:space="preserve"> </w:t>
      </w:r>
      <w:r w:rsidR="005430B6" w:rsidRPr="00BB5241">
        <w:rPr>
          <w:color w:val="auto"/>
          <w:sz w:val="22"/>
          <w:szCs w:val="22"/>
        </w:rPr>
        <w:t>Information required for testing the risk hypotheses</w:t>
      </w:r>
      <w:r w:rsidR="0003595F" w:rsidRPr="00BB5241">
        <w:rPr>
          <w:color w:val="auto"/>
          <w:sz w:val="22"/>
          <w:szCs w:val="22"/>
        </w:rPr>
        <w:t xml:space="preserve"> is likely to be specific for different species, traits </w:t>
      </w:r>
      <w:r w:rsidR="00BE5747">
        <w:rPr>
          <w:color w:val="auto"/>
          <w:sz w:val="22"/>
          <w:szCs w:val="22"/>
        </w:rPr>
        <w:t>and/</w:t>
      </w:r>
      <w:r w:rsidR="0003595F" w:rsidRPr="00BB5241">
        <w:rPr>
          <w:color w:val="auto"/>
          <w:sz w:val="22"/>
          <w:szCs w:val="22"/>
        </w:rPr>
        <w:t>or environments</w:t>
      </w:r>
      <w:r w:rsidR="003A24D0">
        <w:rPr>
          <w:color w:val="auto"/>
          <w:sz w:val="22"/>
          <w:szCs w:val="22"/>
        </w:rPr>
        <w:t>, and</w:t>
      </w:r>
      <w:r w:rsidR="005430B6" w:rsidRPr="00BB5241">
        <w:rPr>
          <w:color w:val="auto"/>
          <w:sz w:val="22"/>
          <w:szCs w:val="22"/>
        </w:rPr>
        <w:t xml:space="preserve"> it will</w:t>
      </w:r>
      <w:r w:rsidR="0003595F" w:rsidRPr="00BB5241">
        <w:rPr>
          <w:color w:val="auto"/>
          <w:sz w:val="22"/>
          <w:szCs w:val="22"/>
        </w:rPr>
        <w:t xml:space="preserve"> </w:t>
      </w:r>
      <w:r w:rsidR="005430B6" w:rsidRPr="00BB5241">
        <w:rPr>
          <w:color w:val="auto"/>
          <w:sz w:val="22"/>
          <w:szCs w:val="22"/>
        </w:rPr>
        <w:t>vary dependent on the risk hypothesis and measurement endpoints.</w:t>
      </w:r>
    </w:p>
    <w:p w14:paraId="28450373" w14:textId="10858D5C" w:rsidR="00642637" w:rsidRPr="00BB5241" w:rsidRDefault="005430B6" w:rsidP="00243ACF">
      <w:pPr>
        <w:spacing w:line="276" w:lineRule="auto"/>
        <w:jc w:val="both"/>
        <w:rPr>
          <w:rFonts w:ascii="Times New Roman" w:hAnsi="Times New Roman" w:cs="Times New Roman"/>
        </w:rPr>
      </w:pPr>
      <w:r w:rsidRPr="00BB5241">
        <w:rPr>
          <w:rFonts w:ascii="Times New Roman" w:hAnsi="Times New Roman" w:cs="Times New Roman"/>
        </w:rPr>
        <w:t>Reliability</w:t>
      </w:r>
      <w:r w:rsidR="003A24D0">
        <w:rPr>
          <w:rFonts w:ascii="Times New Roman" w:hAnsi="Times New Roman" w:cs="Times New Roman"/>
        </w:rPr>
        <w:t xml:space="preserve"> of data</w:t>
      </w:r>
      <w:r w:rsidRPr="00BB5241">
        <w:rPr>
          <w:rFonts w:ascii="Times New Roman" w:hAnsi="Times New Roman" w:cs="Times New Roman"/>
        </w:rPr>
        <w:t xml:space="preserve"> is based on the methods by which the information was obtained, </w:t>
      </w:r>
      <w:r w:rsidR="00E64237" w:rsidRPr="00BB5241">
        <w:rPr>
          <w:rFonts w:ascii="Times New Roman" w:hAnsi="Times New Roman" w:cs="Times New Roman"/>
        </w:rPr>
        <w:t>especially</w:t>
      </w:r>
      <w:r w:rsidRPr="00BB5241">
        <w:rPr>
          <w:rFonts w:ascii="Times New Roman" w:hAnsi="Times New Roman" w:cs="Times New Roman"/>
        </w:rPr>
        <w:t xml:space="preserve"> the suitability of the experimental methods to provide findings that are clear and plausible. </w:t>
      </w:r>
      <w:r w:rsidR="00C30D40" w:rsidRPr="00BB5241">
        <w:rPr>
          <w:rFonts w:ascii="Times New Roman" w:hAnsi="Times New Roman" w:cs="Times New Roman"/>
        </w:rPr>
        <w:t>R</w:t>
      </w:r>
      <w:r w:rsidRPr="00BB5241">
        <w:rPr>
          <w:rFonts w:ascii="Times New Roman" w:hAnsi="Times New Roman" w:cs="Times New Roman"/>
        </w:rPr>
        <w:t xml:space="preserve">eliable information </w:t>
      </w:r>
      <w:r w:rsidR="00C30D40" w:rsidRPr="00BB5241">
        <w:rPr>
          <w:rFonts w:ascii="Times New Roman" w:hAnsi="Times New Roman" w:cs="Times New Roman"/>
        </w:rPr>
        <w:t xml:space="preserve">can be </w:t>
      </w:r>
      <w:r w:rsidRPr="00BB5241">
        <w:rPr>
          <w:rFonts w:ascii="Times New Roman" w:hAnsi="Times New Roman" w:cs="Times New Roman"/>
        </w:rPr>
        <w:t xml:space="preserve">obtained </w:t>
      </w:r>
      <w:r w:rsidR="00C30D40" w:rsidRPr="00BB5241">
        <w:rPr>
          <w:rFonts w:ascii="Times New Roman" w:hAnsi="Times New Roman" w:cs="Times New Roman"/>
        </w:rPr>
        <w:t xml:space="preserve">by </w:t>
      </w:r>
      <w:r w:rsidRPr="00BB5241">
        <w:rPr>
          <w:rFonts w:ascii="Times New Roman" w:hAnsi="Times New Roman" w:cs="Times New Roman"/>
        </w:rPr>
        <w:t>using internationally recognised standards and test guidelines</w:t>
      </w:r>
      <w:r w:rsidR="008A1DA0" w:rsidRPr="00BB5241">
        <w:rPr>
          <w:rFonts w:ascii="Times New Roman" w:hAnsi="Times New Roman" w:cs="Times New Roman"/>
        </w:rPr>
        <w:t>.</w:t>
      </w:r>
      <w:r w:rsidRPr="00BB5241">
        <w:rPr>
          <w:rFonts w:ascii="Times New Roman" w:hAnsi="Times New Roman" w:cs="Times New Roman"/>
        </w:rPr>
        <w:t xml:space="preserve"> </w:t>
      </w:r>
      <w:r w:rsidR="00FD61C2" w:rsidRPr="00BB5241">
        <w:rPr>
          <w:rFonts w:ascii="Times New Roman" w:hAnsi="Times New Roman" w:cs="Times New Roman"/>
        </w:rPr>
        <w:t>P</w:t>
      </w:r>
      <w:r w:rsidRPr="00BB5241">
        <w:rPr>
          <w:rFonts w:ascii="Times New Roman" w:hAnsi="Times New Roman" w:cs="Times New Roman"/>
        </w:rPr>
        <w:t xml:space="preserve">eer-reviewed data may also be a </w:t>
      </w:r>
      <w:r w:rsidR="00BA5DA2" w:rsidRPr="00BB5241">
        <w:rPr>
          <w:rFonts w:ascii="Times New Roman" w:hAnsi="Times New Roman" w:cs="Times New Roman"/>
        </w:rPr>
        <w:t>source of reliable information.</w:t>
      </w:r>
      <w:r w:rsidR="00243ACF" w:rsidRPr="00BB5241">
        <w:rPr>
          <w:rFonts w:ascii="Times New Roman" w:hAnsi="Times New Roman" w:cs="Times New Roman"/>
        </w:rPr>
        <w:t xml:space="preserve"> </w:t>
      </w:r>
      <w:r w:rsidR="006C65EA" w:rsidRPr="00BB5241">
        <w:rPr>
          <w:rFonts w:ascii="Times New Roman" w:hAnsi="Times New Roman" w:cs="Times New Roman"/>
        </w:rPr>
        <w:t xml:space="preserve">It is therefore important to determine the </w:t>
      </w:r>
      <w:r w:rsidR="006C65EA" w:rsidRPr="00BB5241">
        <w:rPr>
          <w:rFonts w:ascii="Times New Roman" w:hAnsi="Times New Roman" w:cs="Times New Roman"/>
        </w:rPr>
        <w:lastRenderedPageBreak/>
        <w:t>r</w:t>
      </w:r>
      <w:r w:rsidR="004D6323" w:rsidRPr="00BB5241">
        <w:rPr>
          <w:rFonts w:ascii="Times New Roman" w:hAnsi="Times New Roman" w:cs="Times New Roman"/>
        </w:rPr>
        <w:t>isk of bias, which refers to the likelihood that features of the study design or conduct of the study will give misleading results</w:t>
      </w:r>
      <w:r w:rsidR="00DF1FF1" w:rsidRPr="00BB5241">
        <w:rPr>
          <w:rFonts w:ascii="Times New Roman" w:hAnsi="Times New Roman" w:cs="Times New Roman"/>
        </w:rPr>
        <w:t>. </w:t>
      </w:r>
      <w:r w:rsidR="004D6323" w:rsidRPr="00BB5241">
        <w:rPr>
          <w:rFonts w:ascii="Times New Roman" w:hAnsi="Times New Roman" w:cs="Times New Roman"/>
        </w:rPr>
        <w:t xml:space="preserve">The introduction of bias into studies can be due to methodological insufficiencies to </w:t>
      </w:r>
      <w:r w:rsidR="00244D64" w:rsidRPr="00BB5241">
        <w:rPr>
          <w:rFonts w:ascii="Times New Roman" w:hAnsi="Times New Roman" w:cs="Times New Roman"/>
        </w:rPr>
        <w:t>prevent</w:t>
      </w:r>
      <w:r w:rsidR="004D6323" w:rsidRPr="00BB5241">
        <w:rPr>
          <w:rFonts w:ascii="Times New Roman" w:hAnsi="Times New Roman" w:cs="Times New Roman"/>
        </w:rPr>
        <w:t xml:space="preserve"> biases related to vested interests such as financial interests, academic interests, industry </w:t>
      </w:r>
      <w:r w:rsidR="00BC741E" w:rsidRPr="00BB5241">
        <w:rPr>
          <w:rFonts w:ascii="Times New Roman" w:hAnsi="Times New Roman" w:cs="Times New Roman"/>
        </w:rPr>
        <w:t xml:space="preserve">and interest group </w:t>
      </w:r>
      <w:r w:rsidR="004D6323" w:rsidRPr="00BB5241">
        <w:rPr>
          <w:rFonts w:ascii="Times New Roman" w:hAnsi="Times New Roman" w:cs="Times New Roman"/>
        </w:rPr>
        <w:t xml:space="preserve">influence, or other biases related to the generation of </w:t>
      </w:r>
      <w:r w:rsidR="00642637" w:rsidRPr="00BB5241">
        <w:rPr>
          <w:rFonts w:ascii="Times New Roman" w:hAnsi="Times New Roman" w:cs="Times New Roman"/>
        </w:rPr>
        <w:t xml:space="preserve">the data. </w:t>
      </w:r>
    </w:p>
    <w:p w14:paraId="081D71C1" w14:textId="2F0AB478" w:rsidR="00DC2E53" w:rsidRPr="00BB5241" w:rsidRDefault="005430B6" w:rsidP="00C773DE">
      <w:pPr>
        <w:spacing w:line="276" w:lineRule="auto"/>
        <w:jc w:val="both"/>
        <w:rPr>
          <w:rFonts w:ascii="Times New Roman" w:hAnsi="Times New Roman" w:cs="Times New Roman"/>
        </w:rPr>
      </w:pPr>
      <w:r w:rsidRPr="00BB5241">
        <w:rPr>
          <w:rFonts w:ascii="Times New Roman" w:hAnsi="Times New Roman" w:cs="Times New Roman"/>
        </w:rPr>
        <w:t>Relevance relates to the ability of the information to test the risk hypothes</w:t>
      </w:r>
      <w:r w:rsidR="007C0310">
        <w:rPr>
          <w:rFonts w:ascii="Times New Roman" w:hAnsi="Times New Roman" w:cs="Times New Roman"/>
        </w:rPr>
        <w:t>e</w:t>
      </w:r>
      <w:r w:rsidRPr="00BB5241">
        <w:rPr>
          <w:rFonts w:ascii="Times New Roman" w:hAnsi="Times New Roman" w:cs="Times New Roman"/>
        </w:rPr>
        <w:t>s, and thus</w:t>
      </w:r>
      <w:r w:rsidRPr="00BB5241">
        <w:rPr>
          <w:rFonts w:ascii="Times New Roman" w:eastAsia="Times New Roman" w:hAnsi="Times New Roman" w:cs="Times New Roman"/>
        </w:rPr>
        <w:t xml:space="preserve"> the extent to which information and/or tests </w:t>
      </w:r>
      <w:r w:rsidR="00FB41ED" w:rsidRPr="00BB5241">
        <w:rPr>
          <w:rFonts w:ascii="Times New Roman" w:eastAsia="Times New Roman" w:hAnsi="Times New Roman" w:cs="Times New Roman"/>
        </w:rPr>
        <w:t xml:space="preserve">are </w:t>
      </w:r>
      <w:r w:rsidRPr="00BB5241">
        <w:rPr>
          <w:rFonts w:ascii="Times New Roman" w:eastAsia="Times New Roman" w:hAnsi="Times New Roman" w:cs="Times New Roman"/>
        </w:rPr>
        <w:t xml:space="preserve">appropriate for a particular </w:t>
      </w:r>
      <w:r w:rsidRPr="0098625C">
        <w:rPr>
          <w:rFonts w:ascii="Times New Roman" w:eastAsia="Times New Roman" w:hAnsi="Times New Roman" w:cs="Times New Roman"/>
        </w:rPr>
        <w:t>hazard</w:t>
      </w:r>
      <w:r w:rsidRPr="00BB5241">
        <w:rPr>
          <w:rFonts w:ascii="Times New Roman" w:eastAsia="Times New Roman" w:hAnsi="Times New Roman" w:cs="Times New Roman"/>
        </w:rPr>
        <w:t xml:space="preserve"> identification or risk characterization</w:t>
      </w:r>
      <w:r w:rsidRPr="00BB5241">
        <w:rPr>
          <w:rFonts w:ascii="Times New Roman" w:hAnsi="Times New Roman" w:cs="Times New Roman"/>
        </w:rPr>
        <w:t xml:space="preserve">. Information is considered relevant if it is linked to protection goals, assessment endpoints, </w:t>
      </w:r>
      <w:r w:rsidR="0022748E" w:rsidRPr="00BB5241">
        <w:rPr>
          <w:rFonts w:ascii="Times New Roman" w:hAnsi="Times New Roman" w:cs="Times New Roman"/>
        </w:rPr>
        <w:t xml:space="preserve">and </w:t>
      </w:r>
      <w:r w:rsidRPr="00BB5241">
        <w:rPr>
          <w:rFonts w:ascii="Times New Roman" w:hAnsi="Times New Roman" w:cs="Times New Roman"/>
        </w:rPr>
        <w:t xml:space="preserve">the identification and evaluation of potential adverse effects of the EGD-LMO. Information that is considered relevant to a risk assessment will vary from </w:t>
      </w:r>
      <w:r w:rsidR="001C52C2" w:rsidRPr="00BB5241">
        <w:rPr>
          <w:rFonts w:ascii="Times New Roman" w:hAnsi="Times New Roman" w:cs="Times New Roman"/>
        </w:rPr>
        <w:t>case-to-case</w:t>
      </w:r>
      <w:r w:rsidRPr="00BB5241">
        <w:rPr>
          <w:rFonts w:ascii="Times New Roman" w:hAnsi="Times New Roman" w:cs="Times New Roman"/>
        </w:rPr>
        <w:t xml:space="preserve"> </w:t>
      </w:r>
      <w:r w:rsidR="008A1DA0" w:rsidRPr="00BB5241">
        <w:rPr>
          <w:rFonts w:ascii="Times New Roman" w:hAnsi="Times New Roman" w:cs="Times New Roman"/>
        </w:rPr>
        <w:t xml:space="preserve">depending </w:t>
      </w:r>
      <w:r w:rsidRPr="00BB5241">
        <w:rPr>
          <w:rFonts w:ascii="Times New Roman" w:hAnsi="Times New Roman" w:cs="Times New Roman"/>
        </w:rPr>
        <w:t xml:space="preserve">on the </w:t>
      </w:r>
      <w:r w:rsidR="00215019" w:rsidRPr="00BB5241">
        <w:rPr>
          <w:rFonts w:ascii="Times New Roman" w:hAnsi="Times New Roman" w:cs="Times New Roman"/>
        </w:rPr>
        <w:t xml:space="preserve">organism being modified, the trait, </w:t>
      </w:r>
      <w:r w:rsidRPr="00BB5241">
        <w:rPr>
          <w:rFonts w:ascii="Times New Roman" w:hAnsi="Times New Roman" w:cs="Times New Roman"/>
        </w:rPr>
        <w:t>nature of the modification of the EGD-LMO, on its intended use, intended receiving environment, and</w:t>
      </w:r>
      <w:r w:rsidR="00501BD0">
        <w:rPr>
          <w:rFonts w:ascii="Times New Roman" w:hAnsi="Times New Roman" w:cs="Times New Roman"/>
        </w:rPr>
        <w:t>/or</w:t>
      </w:r>
      <w:r w:rsidRPr="00BB5241">
        <w:rPr>
          <w:rFonts w:ascii="Times New Roman" w:hAnsi="Times New Roman" w:cs="Times New Roman"/>
        </w:rPr>
        <w:t xml:space="preserve"> on the scale and duration of the environmental introduction</w:t>
      </w:r>
      <w:r w:rsidR="00C773DE" w:rsidRPr="00BB5241">
        <w:rPr>
          <w:rFonts w:ascii="Times New Roman" w:hAnsi="Times New Roman" w:cs="Times New Roman"/>
        </w:rPr>
        <w:t>.</w:t>
      </w:r>
    </w:p>
    <w:p w14:paraId="6CA1A11F" w14:textId="740BC1BA" w:rsidR="00DC2E53" w:rsidRPr="00BB5241" w:rsidRDefault="005430B6" w:rsidP="00212686">
      <w:pPr>
        <w:pStyle w:val="Default"/>
        <w:spacing w:line="276" w:lineRule="auto"/>
        <w:rPr>
          <w:color w:val="auto"/>
        </w:rPr>
      </w:pPr>
      <w:r w:rsidRPr="00BB5241">
        <w:rPr>
          <w:color w:val="auto"/>
          <w:sz w:val="22"/>
          <w:szCs w:val="22"/>
        </w:rPr>
        <w:t>In some regulatory frameworks, the criteria for evaluating the quality of scientific information are set out in policies developed by the competent authorities. Furthermore, risk assessors will bring professional expertise and will be capable of making determinations on the quality and relevance of information using their own experience</w:t>
      </w:r>
      <w:r w:rsidR="00A4372E" w:rsidRPr="00BB5241">
        <w:rPr>
          <w:color w:val="auto"/>
          <w:sz w:val="22"/>
          <w:szCs w:val="22"/>
        </w:rPr>
        <w:t xml:space="preserve"> and/or that of recognised scientific experts</w:t>
      </w:r>
      <w:r w:rsidR="00FF0799" w:rsidRPr="00BB5241">
        <w:rPr>
          <w:color w:val="auto"/>
          <w:sz w:val="22"/>
          <w:szCs w:val="22"/>
        </w:rPr>
        <w:t xml:space="preserve">, according to national </w:t>
      </w:r>
      <w:r w:rsidR="00926D0E" w:rsidRPr="00BB5241">
        <w:rPr>
          <w:color w:val="auto"/>
          <w:sz w:val="22"/>
          <w:szCs w:val="22"/>
        </w:rPr>
        <w:t>policies</w:t>
      </w:r>
      <w:r w:rsidRPr="00BB5241">
        <w:rPr>
          <w:color w:val="auto"/>
          <w:sz w:val="22"/>
          <w:szCs w:val="22"/>
        </w:rPr>
        <w:t xml:space="preserve">. </w:t>
      </w:r>
    </w:p>
    <w:p w14:paraId="0FAF2251" w14:textId="03D0FBEC" w:rsidR="00DC2E53" w:rsidRPr="00BB5241" w:rsidRDefault="005430B6" w:rsidP="00212686">
      <w:pPr>
        <w:pStyle w:val="Default"/>
        <w:spacing w:line="276" w:lineRule="auto"/>
        <w:rPr>
          <w:color w:val="auto"/>
          <w:sz w:val="22"/>
          <w:szCs w:val="22"/>
        </w:rPr>
      </w:pPr>
      <w:r w:rsidRPr="00BB5241">
        <w:rPr>
          <w:color w:val="auto"/>
          <w:sz w:val="22"/>
          <w:szCs w:val="22"/>
        </w:rPr>
        <w:t>If sufficient relevant and reliable data are available to test the risk hypothes</w:t>
      </w:r>
      <w:r w:rsidR="002A5EDD">
        <w:rPr>
          <w:color w:val="auto"/>
          <w:sz w:val="22"/>
          <w:szCs w:val="22"/>
        </w:rPr>
        <w:t>e</w:t>
      </w:r>
      <w:r w:rsidRPr="00BB5241">
        <w:rPr>
          <w:color w:val="auto"/>
          <w:sz w:val="22"/>
          <w:szCs w:val="22"/>
        </w:rPr>
        <w:t xml:space="preserve">s, the risk assessor may conclude that there are adequate data to complete the risk assessment. </w:t>
      </w:r>
      <w:r w:rsidR="008054E4" w:rsidRPr="00BB5241">
        <w:rPr>
          <w:color w:val="auto"/>
          <w:sz w:val="22"/>
          <w:szCs w:val="22"/>
        </w:rPr>
        <w:t>Data can be judged as adequate if they are technically suitable to be included into the analysis and allow testing the hypothes</w:t>
      </w:r>
      <w:r w:rsidR="002A5EDD">
        <w:rPr>
          <w:color w:val="auto"/>
          <w:sz w:val="22"/>
          <w:szCs w:val="22"/>
        </w:rPr>
        <w:t>e</w:t>
      </w:r>
      <w:r w:rsidR="008054E4" w:rsidRPr="00BB5241">
        <w:rPr>
          <w:color w:val="auto"/>
          <w:sz w:val="22"/>
          <w:szCs w:val="22"/>
        </w:rPr>
        <w:t xml:space="preserve">s with the desired certainty. </w:t>
      </w:r>
      <w:r w:rsidRPr="00BB5241">
        <w:rPr>
          <w:color w:val="auto"/>
          <w:sz w:val="22"/>
          <w:szCs w:val="22"/>
        </w:rPr>
        <w:t>If further data are required, because existing data either inadequately corroborate the hypothes</w:t>
      </w:r>
      <w:r w:rsidR="006A4168">
        <w:rPr>
          <w:color w:val="auto"/>
          <w:sz w:val="22"/>
          <w:szCs w:val="22"/>
        </w:rPr>
        <w:t>e</w:t>
      </w:r>
      <w:r w:rsidRPr="00BB5241">
        <w:rPr>
          <w:color w:val="auto"/>
          <w:sz w:val="22"/>
          <w:szCs w:val="22"/>
        </w:rPr>
        <w:t xml:space="preserve">s of </w:t>
      </w:r>
      <w:r w:rsidR="00F741A5">
        <w:rPr>
          <w:color w:val="auto"/>
          <w:sz w:val="22"/>
          <w:szCs w:val="22"/>
        </w:rPr>
        <w:t xml:space="preserve">the </w:t>
      </w:r>
      <w:r w:rsidR="003A78BB">
        <w:rPr>
          <w:color w:val="auto"/>
          <w:sz w:val="22"/>
          <w:szCs w:val="22"/>
        </w:rPr>
        <w:t>identified</w:t>
      </w:r>
      <w:r w:rsidR="00F741A5" w:rsidRPr="00BB5241">
        <w:rPr>
          <w:color w:val="auto"/>
          <w:sz w:val="22"/>
          <w:szCs w:val="22"/>
        </w:rPr>
        <w:t xml:space="preserve"> </w:t>
      </w:r>
      <w:r w:rsidRPr="00BB5241">
        <w:rPr>
          <w:color w:val="auto"/>
          <w:sz w:val="22"/>
          <w:szCs w:val="22"/>
        </w:rPr>
        <w:t>risk or reject it, then the same criteria used to evaluate existing data may be used to design new studies (</w:t>
      </w:r>
      <w:r w:rsidRPr="0098625C">
        <w:rPr>
          <w:color w:val="auto"/>
          <w:sz w:val="22"/>
          <w:szCs w:val="22"/>
        </w:rPr>
        <w:t>Raybould, 2020</w:t>
      </w:r>
      <w:r w:rsidRPr="00BB5241">
        <w:rPr>
          <w:color w:val="auto"/>
          <w:sz w:val="22"/>
          <w:szCs w:val="22"/>
        </w:rPr>
        <w:t>).</w:t>
      </w:r>
    </w:p>
    <w:p w14:paraId="4CC4413C" w14:textId="77777777" w:rsidR="00DC2E53" w:rsidRPr="00BB5241" w:rsidRDefault="005430B6" w:rsidP="00212686">
      <w:pPr>
        <w:pStyle w:val="Default"/>
        <w:spacing w:line="276" w:lineRule="auto"/>
        <w:rPr>
          <w:rFonts w:eastAsia="Times New Roman"/>
          <w:color w:val="auto"/>
          <w:sz w:val="22"/>
          <w:szCs w:val="22"/>
        </w:rPr>
      </w:pPr>
      <w:r w:rsidRPr="00BB5241">
        <w:rPr>
          <w:color w:val="auto"/>
          <w:sz w:val="22"/>
          <w:szCs w:val="22"/>
        </w:rPr>
        <w:t xml:space="preserve">Information derived from experimental </w:t>
      </w:r>
      <w:r w:rsidRPr="00BB5241">
        <w:rPr>
          <w:rFonts w:eastAsia="Times New Roman"/>
          <w:color w:val="auto"/>
          <w:sz w:val="22"/>
          <w:szCs w:val="22"/>
        </w:rPr>
        <w:t xml:space="preserve">studies that are not directly applicable, fully conclusive, or of lower reliability may at times still be useful as supporting evidence as part of a weight of evidence approach that can contribute to understanding risk. </w:t>
      </w:r>
    </w:p>
    <w:p w14:paraId="20078366" w14:textId="7A001A10" w:rsidR="00DC2E53" w:rsidRPr="00BB5241" w:rsidRDefault="005430B6" w:rsidP="00212686">
      <w:pPr>
        <w:pStyle w:val="Default"/>
        <w:spacing w:line="276" w:lineRule="auto"/>
        <w:rPr>
          <w:color w:val="auto"/>
          <w:sz w:val="22"/>
          <w:szCs w:val="22"/>
        </w:rPr>
      </w:pPr>
      <w:r w:rsidRPr="00BB5241">
        <w:rPr>
          <w:rFonts w:eastAsia="Times New Roman"/>
          <w:color w:val="auto"/>
          <w:sz w:val="22"/>
          <w:szCs w:val="22"/>
        </w:rPr>
        <w:t>A prerequisite for the appraisal of evidence is that the i</w:t>
      </w:r>
      <w:r w:rsidRPr="00BB5241">
        <w:rPr>
          <w:color w:val="auto"/>
          <w:sz w:val="22"/>
          <w:szCs w:val="22"/>
        </w:rPr>
        <w:t>nformation should be reported in a</w:t>
      </w:r>
      <w:r w:rsidR="007D7EC8" w:rsidRPr="00BB5241">
        <w:rPr>
          <w:color w:val="auto"/>
          <w:sz w:val="22"/>
          <w:szCs w:val="22"/>
        </w:rPr>
        <w:t xml:space="preserve"> sufficiently</w:t>
      </w:r>
      <w:r w:rsidRPr="00BB5241">
        <w:rPr>
          <w:color w:val="auto"/>
          <w:sz w:val="22"/>
          <w:szCs w:val="22"/>
        </w:rPr>
        <w:t xml:space="preserve"> detailed and transparent manner.</w:t>
      </w:r>
    </w:p>
    <w:p w14:paraId="641E5817" w14:textId="218A0A92" w:rsidR="002F1105" w:rsidRPr="00CA0582" w:rsidRDefault="002F1105" w:rsidP="002F1105">
      <w:pPr>
        <w:pStyle w:val="Heading3"/>
        <w:spacing w:line="276" w:lineRule="auto"/>
        <w:rPr>
          <w:rFonts w:ascii="Times New Roman" w:eastAsia="Times New Roman" w:hAnsi="Times New Roman" w:cs="Times New Roman"/>
          <w:b/>
          <w:bCs/>
          <w:color w:val="auto"/>
          <w:lang w:val="en-GB"/>
        </w:rPr>
      </w:pPr>
      <w:bookmarkStart w:id="58" w:name="_Toc161220498"/>
      <w:r w:rsidRPr="00CA0582">
        <w:rPr>
          <w:rFonts w:ascii="Times New Roman" w:eastAsia="Times New Roman" w:hAnsi="Times New Roman" w:cs="Times New Roman"/>
          <w:b/>
          <w:bCs/>
          <w:color w:val="auto"/>
          <w:lang w:val="en-GB"/>
        </w:rPr>
        <w:t>4.2.2. Modelling</w:t>
      </w:r>
      <w:bookmarkEnd w:id="58"/>
    </w:p>
    <w:p w14:paraId="4AC8B55D" w14:textId="37235C45" w:rsidR="00D2358D" w:rsidRPr="00BB5241" w:rsidRDefault="00D2358D" w:rsidP="00D2358D">
      <w:pPr>
        <w:pStyle w:val="Default"/>
        <w:spacing w:line="276" w:lineRule="auto"/>
        <w:rPr>
          <w:sz w:val="22"/>
          <w:szCs w:val="22"/>
        </w:rPr>
      </w:pPr>
      <w:r w:rsidRPr="421B232A">
        <w:rPr>
          <w:color w:val="auto"/>
          <w:sz w:val="22"/>
          <w:szCs w:val="22"/>
        </w:rPr>
        <w:t xml:space="preserve">Models will likely play an important role in the assessment of EGD-LMOs because they can be used to predict the effects of specific EGD-LMOs inside and outside laboratory conditions, and at </w:t>
      </w:r>
      <w:proofErr w:type="spellStart"/>
      <w:r w:rsidRPr="421B232A">
        <w:rPr>
          <w:color w:val="auto"/>
          <w:sz w:val="22"/>
          <w:szCs w:val="22"/>
        </w:rPr>
        <w:t>spati</w:t>
      </w:r>
      <w:r w:rsidR="006A4168">
        <w:rPr>
          <w:color w:val="auto"/>
          <w:sz w:val="22"/>
          <w:szCs w:val="22"/>
        </w:rPr>
        <w:t>o</w:t>
      </w:r>
      <w:proofErr w:type="spellEnd"/>
      <w:r w:rsidRPr="421B232A">
        <w:rPr>
          <w:color w:val="auto"/>
          <w:sz w:val="22"/>
          <w:szCs w:val="22"/>
        </w:rPr>
        <w:t xml:space="preserve">-temporal scales that are too large to study empirically prior to their </w:t>
      </w:r>
      <w:r w:rsidR="00CC34C8" w:rsidRPr="421B232A">
        <w:rPr>
          <w:color w:val="auto"/>
          <w:sz w:val="22"/>
          <w:szCs w:val="22"/>
        </w:rPr>
        <w:t>intentional</w:t>
      </w:r>
      <w:r w:rsidRPr="421B232A">
        <w:rPr>
          <w:color w:val="auto"/>
          <w:sz w:val="22"/>
          <w:szCs w:val="22"/>
        </w:rPr>
        <w:t xml:space="preserve"> release </w:t>
      </w:r>
      <w:r w:rsidRPr="421B232A">
        <w:rPr>
          <w:sz w:val="22"/>
          <w:szCs w:val="22"/>
        </w:rPr>
        <w:t>(Golnar and others, 2021). Information gathered at one step within a phased release-strategy, can be used by modellers to predict outcomes in the next step and thereby help direct experimental studies and monitoring strategies within an iterative process of model-driven data collection and data-driven model prediction (</w:t>
      </w:r>
      <w:proofErr w:type="spellStart"/>
      <w:r w:rsidRPr="0098625C">
        <w:rPr>
          <w:sz w:val="22"/>
          <w:szCs w:val="22"/>
        </w:rPr>
        <w:t>Restif</w:t>
      </w:r>
      <w:proofErr w:type="spellEnd"/>
      <w:r w:rsidRPr="0098625C">
        <w:rPr>
          <w:sz w:val="22"/>
          <w:szCs w:val="22"/>
        </w:rPr>
        <w:t xml:space="preserve"> </w:t>
      </w:r>
      <w:r w:rsidR="00F741A5" w:rsidRPr="0098625C">
        <w:rPr>
          <w:sz w:val="22"/>
          <w:szCs w:val="22"/>
        </w:rPr>
        <w:t>and others</w:t>
      </w:r>
      <w:r w:rsidR="00D87730" w:rsidRPr="0098625C">
        <w:rPr>
          <w:sz w:val="22"/>
          <w:szCs w:val="22"/>
        </w:rPr>
        <w:t xml:space="preserve">, </w:t>
      </w:r>
      <w:r w:rsidRPr="0098625C">
        <w:rPr>
          <w:sz w:val="22"/>
          <w:szCs w:val="22"/>
        </w:rPr>
        <w:t>2012</w:t>
      </w:r>
      <w:r w:rsidRPr="421B232A">
        <w:rPr>
          <w:sz w:val="22"/>
          <w:szCs w:val="22"/>
        </w:rPr>
        <w:t xml:space="preserve">). </w:t>
      </w:r>
      <w:r w:rsidRPr="421B232A">
        <w:rPr>
          <w:color w:val="auto"/>
          <w:sz w:val="22"/>
          <w:szCs w:val="22"/>
        </w:rPr>
        <w:t xml:space="preserve">Using outcomes observed at one step (e.g., physically confined laboratory) to predict outcomes in the next step (e.g., small-scale field trial), however, inevitably introduces uncertainty which should be acknowledged and wherever possible accounted for </w:t>
      </w:r>
      <w:r w:rsidRPr="421B232A">
        <w:rPr>
          <w:rFonts w:eastAsia="Times New Roman"/>
          <w:color w:val="auto"/>
          <w:sz w:val="22"/>
          <w:szCs w:val="22"/>
        </w:rPr>
        <w:t>(</w:t>
      </w:r>
      <w:proofErr w:type="spellStart"/>
      <w:r w:rsidRPr="0098625C">
        <w:rPr>
          <w:rFonts w:eastAsia="Times New Roman"/>
          <w:color w:val="auto"/>
          <w:sz w:val="22"/>
          <w:szCs w:val="22"/>
        </w:rPr>
        <w:t>Ickowicz</w:t>
      </w:r>
      <w:proofErr w:type="spellEnd"/>
      <w:r w:rsidRPr="0098625C">
        <w:rPr>
          <w:rFonts w:eastAsia="Times New Roman"/>
          <w:color w:val="auto"/>
          <w:sz w:val="22"/>
          <w:szCs w:val="22"/>
        </w:rPr>
        <w:t xml:space="preserve"> and others, 2021)</w:t>
      </w:r>
      <w:r w:rsidRPr="0098625C">
        <w:rPr>
          <w:color w:val="auto"/>
          <w:sz w:val="22"/>
          <w:szCs w:val="22"/>
        </w:rPr>
        <w:t>.</w:t>
      </w:r>
      <w:r w:rsidRPr="421B232A">
        <w:rPr>
          <w:color w:val="auto"/>
          <w:sz w:val="22"/>
          <w:szCs w:val="22"/>
        </w:rPr>
        <w:t xml:space="preserve"> </w:t>
      </w:r>
    </w:p>
    <w:p w14:paraId="3B258E70" w14:textId="778A3C4D" w:rsidR="47D3DB5E" w:rsidRPr="00591F9F" w:rsidRDefault="47D3DB5E" w:rsidP="421B232A">
      <w:pPr>
        <w:pStyle w:val="Default"/>
        <w:spacing w:line="276" w:lineRule="auto"/>
        <w:rPr>
          <w:color w:val="000000" w:themeColor="text1"/>
          <w:sz w:val="22"/>
          <w:szCs w:val="22"/>
        </w:rPr>
      </w:pPr>
      <w:r w:rsidRPr="00591F9F">
        <w:rPr>
          <w:color w:val="000000" w:themeColor="text1"/>
          <w:sz w:val="22"/>
          <w:szCs w:val="22"/>
        </w:rPr>
        <w:t xml:space="preserve">In the risk assessment of EGD-LMO, challenges that </w:t>
      </w:r>
      <w:r w:rsidR="00F7444E" w:rsidRPr="00591F9F">
        <w:rPr>
          <w:color w:val="000000" w:themeColor="text1"/>
          <w:sz w:val="22"/>
          <w:szCs w:val="22"/>
        </w:rPr>
        <w:t xml:space="preserve">may </w:t>
      </w:r>
      <w:r w:rsidRPr="00591F9F">
        <w:rPr>
          <w:color w:val="000000" w:themeColor="text1"/>
          <w:sz w:val="22"/>
          <w:szCs w:val="22"/>
        </w:rPr>
        <w:t>arise from assessing long term evolutionary change, their potential consequences in the target organism including those in different genetic backgrounds and the prediction of off-target effects in wild populations may</w:t>
      </w:r>
      <w:r w:rsidR="00514EBE" w:rsidRPr="00591F9F">
        <w:rPr>
          <w:color w:val="000000" w:themeColor="text1"/>
          <w:sz w:val="22"/>
          <w:szCs w:val="22"/>
        </w:rPr>
        <w:t xml:space="preserve"> </w:t>
      </w:r>
      <w:r w:rsidRPr="00591F9F">
        <w:rPr>
          <w:color w:val="000000" w:themeColor="text1"/>
          <w:sz w:val="22"/>
          <w:szCs w:val="22"/>
        </w:rPr>
        <w:t>be addressed by modelling</w:t>
      </w:r>
      <w:r w:rsidR="002076F6" w:rsidRPr="00591F9F">
        <w:rPr>
          <w:color w:val="000000" w:themeColor="text1"/>
          <w:sz w:val="22"/>
          <w:szCs w:val="22"/>
        </w:rPr>
        <w:t>.</w:t>
      </w:r>
    </w:p>
    <w:p w14:paraId="10E28F7F" w14:textId="5064D493" w:rsidR="00D2358D" w:rsidRPr="00BB5241" w:rsidRDefault="00D2358D" w:rsidP="00D2358D">
      <w:pPr>
        <w:pStyle w:val="Default"/>
        <w:spacing w:line="276" w:lineRule="auto"/>
        <w:rPr>
          <w:sz w:val="22"/>
          <w:szCs w:val="22"/>
        </w:rPr>
      </w:pPr>
      <w:r w:rsidRPr="00BB5241">
        <w:rPr>
          <w:color w:val="auto"/>
          <w:sz w:val="22"/>
          <w:szCs w:val="22"/>
        </w:rPr>
        <w:lastRenderedPageBreak/>
        <w:t xml:space="preserve">Models can help to address uncertainty by highlighting how different model structures, or variation in model parameters, influence risk predictions, and thereby delineate the drivers of (un)acceptable outcomes for specific assessment endpoints. Models may enable analyst to: (1) identify parameters that have the most influence on the persistence, spread and effects of the EGD; (2) test and refine risk hypotheses; (3) simulate outcomes under different future scenarios, to help </w:t>
      </w:r>
      <w:r w:rsidRPr="00BB5241">
        <w:rPr>
          <w:rFonts w:eastAsia="Times New Roman"/>
          <w:color w:val="auto"/>
          <w:sz w:val="22"/>
          <w:szCs w:val="22"/>
        </w:rPr>
        <w:t>anticipate long-term evolutionary and ecosystem effects</w:t>
      </w:r>
      <w:r w:rsidRPr="00BB5241">
        <w:rPr>
          <w:color w:val="auto"/>
          <w:sz w:val="22"/>
          <w:szCs w:val="22"/>
        </w:rPr>
        <w:t xml:space="preserve">. In this </w:t>
      </w:r>
      <w:r w:rsidRPr="008632B3">
        <w:rPr>
          <w:color w:val="auto"/>
          <w:sz w:val="22"/>
          <w:szCs w:val="22"/>
        </w:rPr>
        <w:t xml:space="preserve">manner, models can be used to potentially </w:t>
      </w:r>
      <w:r w:rsidRPr="008632B3">
        <w:rPr>
          <w:rFonts w:eastAsia="Times New Roman"/>
          <w:color w:val="auto"/>
          <w:sz w:val="22"/>
          <w:szCs w:val="22"/>
        </w:rPr>
        <w:t xml:space="preserve">predict the behaviour and risks of EGD-LMOs, </w:t>
      </w:r>
      <w:r w:rsidRPr="008632B3">
        <w:rPr>
          <w:color w:val="auto"/>
          <w:sz w:val="22"/>
          <w:szCs w:val="22"/>
        </w:rPr>
        <w:t xml:space="preserve">guide post-release environmental monitoring efforts and </w:t>
      </w:r>
      <w:r w:rsidRPr="008632B3">
        <w:rPr>
          <w:sz w:val="22"/>
          <w:szCs w:val="22"/>
        </w:rPr>
        <w:t>contribute to the weight of evidence in a risk assessment (EFSA, 2020; Golnar and others, 2021; WHO, 2021</w:t>
      </w:r>
      <w:r w:rsidR="00E25734">
        <w:rPr>
          <w:sz w:val="22"/>
          <w:szCs w:val="22"/>
        </w:rPr>
        <w:t>b</w:t>
      </w:r>
      <w:r w:rsidRPr="008632B3">
        <w:rPr>
          <w:sz w:val="22"/>
          <w:szCs w:val="22"/>
        </w:rPr>
        <w:t>).</w:t>
      </w:r>
    </w:p>
    <w:p w14:paraId="5EA7C564" w14:textId="7DD28EC3" w:rsidR="00D2358D" w:rsidRPr="00BB5241" w:rsidRDefault="00D2358D" w:rsidP="00D2358D">
      <w:pPr>
        <w:pStyle w:val="Default"/>
        <w:spacing w:line="276" w:lineRule="auto"/>
        <w:rPr>
          <w:color w:val="auto"/>
          <w:sz w:val="22"/>
          <w:szCs w:val="22"/>
        </w:rPr>
      </w:pPr>
      <w:r w:rsidRPr="4644E7B5">
        <w:rPr>
          <w:rFonts w:eastAsia="Times New Roman"/>
          <w:color w:val="auto"/>
          <w:sz w:val="22"/>
          <w:szCs w:val="22"/>
        </w:rPr>
        <w:t>A key contribution of modelling is its ability to predict the population dynamics of EG</w:t>
      </w:r>
      <w:r w:rsidR="006214DA">
        <w:rPr>
          <w:rFonts w:eastAsia="Times New Roman"/>
          <w:color w:val="auto"/>
          <w:sz w:val="22"/>
          <w:szCs w:val="22"/>
        </w:rPr>
        <w:t>D</w:t>
      </w:r>
      <w:r w:rsidRPr="4644E7B5">
        <w:rPr>
          <w:rFonts w:eastAsia="Times New Roman"/>
          <w:color w:val="auto"/>
          <w:sz w:val="22"/>
          <w:szCs w:val="22"/>
        </w:rPr>
        <w:t>-LMOs in the field (</w:t>
      </w:r>
      <w:r w:rsidRPr="0098625C">
        <w:rPr>
          <w:rFonts w:eastAsia="Times New Roman"/>
          <w:color w:val="auto"/>
          <w:sz w:val="22"/>
          <w:szCs w:val="22"/>
        </w:rPr>
        <w:t xml:space="preserve">Eckhoff </w:t>
      </w:r>
      <w:r w:rsidR="00F741A5" w:rsidRPr="0098625C">
        <w:rPr>
          <w:rFonts w:eastAsia="Times New Roman"/>
          <w:color w:val="auto"/>
          <w:sz w:val="22"/>
          <w:szCs w:val="22"/>
        </w:rPr>
        <w:t>and others,</w:t>
      </w:r>
      <w:r w:rsidRPr="0098625C">
        <w:rPr>
          <w:rFonts w:eastAsia="Times New Roman"/>
          <w:color w:val="auto"/>
          <w:sz w:val="22"/>
          <w:szCs w:val="22"/>
        </w:rPr>
        <w:t xml:space="preserve"> 2017</w:t>
      </w:r>
      <w:r w:rsidRPr="4644E7B5">
        <w:rPr>
          <w:rFonts w:eastAsia="Times New Roman"/>
          <w:color w:val="auto"/>
          <w:sz w:val="22"/>
          <w:szCs w:val="22"/>
        </w:rPr>
        <w:t xml:space="preserve">; </w:t>
      </w:r>
      <w:r w:rsidRPr="0098625C">
        <w:rPr>
          <w:rFonts w:eastAsia="Times New Roman"/>
          <w:color w:val="auto"/>
          <w:sz w:val="22"/>
          <w:szCs w:val="22"/>
        </w:rPr>
        <w:t xml:space="preserve">North </w:t>
      </w:r>
      <w:r w:rsidR="00F741A5" w:rsidRPr="0098625C">
        <w:rPr>
          <w:rFonts w:eastAsia="Times New Roman"/>
          <w:color w:val="auto"/>
          <w:sz w:val="22"/>
          <w:szCs w:val="22"/>
        </w:rPr>
        <w:t>and others,</w:t>
      </w:r>
      <w:r w:rsidR="00395A83" w:rsidRPr="0098625C">
        <w:rPr>
          <w:rFonts w:eastAsia="Times New Roman"/>
          <w:color w:val="auto"/>
          <w:sz w:val="22"/>
          <w:szCs w:val="22"/>
        </w:rPr>
        <w:t xml:space="preserve"> </w:t>
      </w:r>
      <w:r w:rsidRPr="0098625C">
        <w:rPr>
          <w:rFonts w:eastAsia="Times New Roman"/>
          <w:color w:val="auto"/>
          <w:sz w:val="22"/>
          <w:szCs w:val="22"/>
        </w:rPr>
        <w:t xml:space="preserve">2019; North </w:t>
      </w:r>
      <w:r w:rsidR="00F741A5" w:rsidRPr="0098625C">
        <w:rPr>
          <w:rFonts w:eastAsia="Times New Roman"/>
          <w:color w:val="auto"/>
          <w:sz w:val="22"/>
          <w:szCs w:val="22"/>
        </w:rPr>
        <w:t>and others,</w:t>
      </w:r>
      <w:r w:rsidR="00395A83" w:rsidRPr="0098625C">
        <w:rPr>
          <w:rFonts w:eastAsia="Times New Roman"/>
          <w:color w:val="auto"/>
          <w:sz w:val="22"/>
          <w:szCs w:val="22"/>
        </w:rPr>
        <w:t xml:space="preserve"> </w:t>
      </w:r>
      <w:r w:rsidRPr="0098625C">
        <w:rPr>
          <w:rFonts w:eastAsia="Times New Roman"/>
          <w:color w:val="auto"/>
          <w:sz w:val="22"/>
          <w:szCs w:val="22"/>
        </w:rPr>
        <w:t>2020</w:t>
      </w:r>
      <w:r w:rsidRPr="4644E7B5">
        <w:rPr>
          <w:rFonts w:eastAsia="Times New Roman"/>
          <w:color w:val="auto"/>
          <w:sz w:val="22"/>
          <w:szCs w:val="22"/>
        </w:rPr>
        <w:t>; Sanchez and others, 2020</w:t>
      </w:r>
      <w:r w:rsidR="00D71DCD">
        <w:rPr>
          <w:rFonts w:eastAsia="Times New Roman"/>
          <w:color w:val="auto"/>
          <w:sz w:val="22"/>
          <w:szCs w:val="22"/>
        </w:rPr>
        <w:t>b</w:t>
      </w:r>
      <w:r w:rsidRPr="4644E7B5">
        <w:rPr>
          <w:rFonts w:eastAsia="Times New Roman"/>
          <w:color w:val="auto"/>
          <w:sz w:val="22"/>
          <w:szCs w:val="22"/>
        </w:rPr>
        <w:t xml:space="preserve">; </w:t>
      </w:r>
      <w:r w:rsidRPr="0098625C">
        <w:rPr>
          <w:rFonts w:eastAsia="Times New Roman"/>
          <w:color w:val="auto"/>
          <w:sz w:val="22"/>
          <w:szCs w:val="22"/>
        </w:rPr>
        <w:t xml:space="preserve">Beeton </w:t>
      </w:r>
      <w:r w:rsidR="00F741A5" w:rsidRPr="0098625C">
        <w:rPr>
          <w:rFonts w:eastAsia="Times New Roman"/>
          <w:color w:val="auto"/>
          <w:sz w:val="22"/>
          <w:szCs w:val="22"/>
        </w:rPr>
        <w:t>and others,</w:t>
      </w:r>
      <w:r w:rsidR="002C513B" w:rsidRPr="0098625C">
        <w:rPr>
          <w:rFonts w:eastAsia="Times New Roman"/>
          <w:color w:val="auto"/>
          <w:sz w:val="22"/>
          <w:szCs w:val="22"/>
        </w:rPr>
        <w:t xml:space="preserve"> </w:t>
      </w:r>
      <w:r w:rsidRPr="0098625C">
        <w:rPr>
          <w:rFonts w:eastAsia="Times New Roman"/>
          <w:color w:val="auto"/>
          <w:sz w:val="22"/>
          <w:szCs w:val="22"/>
        </w:rPr>
        <w:t>2022</w:t>
      </w:r>
      <w:r w:rsidRPr="00591F9F">
        <w:rPr>
          <w:rFonts w:eastAsia="Times New Roman"/>
          <w:color w:val="000000" w:themeColor="text1"/>
          <w:sz w:val="22"/>
          <w:szCs w:val="22"/>
        </w:rPr>
        <w:t>)</w:t>
      </w:r>
      <w:r w:rsidR="718FFBAC" w:rsidRPr="00591F9F">
        <w:rPr>
          <w:rFonts w:eastAsia="Times New Roman"/>
          <w:color w:val="000000" w:themeColor="text1"/>
          <w:sz w:val="22"/>
          <w:szCs w:val="22"/>
        </w:rPr>
        <w:t xml:space="preserve"> and to address some of the challenges arising from potential evolutionary effects in the target organisms (</w:t>
      </w:r>
      <w:r w:rsidR="718FFBAC" w:rsidRPr="0098625C">
        <w:rPr>
          <w:rFonts w:eastAsia="Times New Roman"/>
          <w:color w:val="000000" w:themeColor="text1"/>
          <w:sz w:val="22"/>
          <w:szCs w:val="22"/>
        </w:rPr>
        <w:t>Morozov, 2013</w:t>
      </w:r>
      <w:r w:rsidR="718FFBAC" w:rsidRPr="00591F9F">
        <w:rPr>
          <w:rFonts w:eastAsia="Times New Roman"/>
          <w:color w:val="000000" w:themeColor="text1"/>
          <w:sz w:val="22"/>
          <w:szCs w:val="22"/>
        </w:rPr>
        <w:t>)</w:t>
      </w:r>
      <w:r w:rsidRPr="00591F9F">
        <w:rPr>
          <w:rFonts w:eastAsia="Times New Roman"/>
          <w:color w:val="000000" w:themeColor="text1"/>
          <w:sz w:val="22"/>
          <w:szCs w:val="22"/>
        </w:rPr>
        <w:t xml:space="preserve">. </w:t>
      </w:r>
      <w:r w:rsidRPr="4644E7B5">
        <w:rPr>
          <w:rFonts w:eastAsia="Times New Roman"/>
          <w:color w:val="auto"/>
          <w:sz w:val="22"/>
          <w:szCs w:val="22"/>
        </w:rPr>
        <w:t xml:space="preserve">By considering parameters such as reproductive rates, dispersion patterns and genetic interactions, models may provide insights into the spread and persistence of the EGD-LMO within target populations and environments. Moreover, modelling could allow for the assessment of potential ecological and evolutionary impacts. By simulating interactions between the EGD-LMO and non-target species, as well as potential disruptions to ecosystems, models can quantify the risks and uncertainties associated with these potential impacts </w:t>
      </w:r>
      <w:r w:rsidRPr="0098625C">
        <w:rPr>
          <w:rFonts w:eastAsia="Times New Roman"/>
          <w:color w:val="auto"/>
          <w:sz w:val="22"/>
          <w:szCs w:val="22"/>
        </w:rPr>
        <w:t>(Golnar and others, 2021)</w:t>
      </w:r>
      <w:r w:rsidRPr="4644E7B5">
        <w:rPr>
          <w:rFonts w:eastAsia="Times New Roman"/>
          <w:color w:val="auto"/>
          <w:sz w:val="22"/>
          <w:szCs w:val="22"/>
        </w:rPr>
        <w:t xml:space="preserve">. Furthermore, through simulations that incorporate various intervention approaches, such as different EGD mechanisms or parameter variations, models help identify optimal strategies that </w:t>
      </w:r>
      <w:r w:rsidR="00856DD1" w:rsidRPr="4644E7B5">
        <w:rPr>
          <w:rFonts w:eastAsia="Times New Roman"/>
          <w:color w:val="auto"/>
          <w:sz w:val="22"/>
          <w:szCs w:val="22"/>
        </w:rPr>
        <w:t xml:space="preserve">may </w:t>
      </w:r>
      <w:r w:rsidRPr="4644E7B5">
        <w:rPr>
          <w:rFonts w:eastAsia="Times New Roman"/>
          <w:color w:val="auto"/>
          <w:sz w:val="22"/>
          <w:szCs w:val="22"/>
        </w:rPr>
        <w:t>minimize risks while also considering effectiveness</w:t>
      </w:r>
      <w:r w:rsidR="00957756" w:rsidRPr="4644E7B5">
        <w:rPr>
          <w:rFonts w:eastAsia="Times New Roman"/>
          <w:color w:val="auto"/>
          <w:sz w:val="22"/>
          <w:szCs w:val="22"/>
        </w:rPr>
        <w:t xml:space="preserve"> of the EGD system</w:t>
      </w:r>
      <w:r w:rsidRPr="4644E7B5">
        <w:rPr>
          <w:rFonts w:eastAsia="Times New Roman"/>
          <w:color w:val="auto"/>
          <w:sz w:val="22"/>
          <w:szCs w:val="22"/>
        </w:rPr>
        <w:t xml:space="preserve"> </w:t>
      </w:r>
      <w:r w:rsidRPr="0098625C">
        <w:rPr>
          <w:rFonts w:eastAsia="Times New Roman"/>
          <w:color w:val="auto"/>
          <w:sz w:val="22"/>
          <w:szCs w:val="22"/>
        </w:rPr>
        <w:t>(Connolly and others, 2021</w:t>
      </w:r>
      <w:r w:rsidRPr="4644E7B5">
        <w:rPr>
          <w:rFonts w:eastAsia="Times New Roman"/>
          <w:color w:val="auto"/>
          <w:sz w:val="22"/>
          <w:szCs w:val="22"/>
        </w:rPr>
        <w:t xml:space="preserve">; </w:t>
      </w:r>
      <w:r w:rsidR="00F741A5" w:rsidRPr="0098625C">
        <w:rPr>
          <w:rFonts w:eastAsia="Times New Roman"/>
          <w:color w:val="auto"/>
          <w:sz w:val="22"/>
          <w:szCs w:val="22"/>
        </w:rPr>
        <w:t>Zapletal and others, 202</w:t>
      </w:r>
      <w:r w:rsidR="00D17C85" w:rsidRPr="0098625C">
        <w:rPr>
          <w:rFonts w:eastAsia="Times New Roman"/>
          <w:color w:val="auto"/>
          <w:sz w:val="22"/>
          <w:szCs w:val="22"/>
        </w:rPr>
        <w:t>0</w:t>
      </w:r>
      <w:r w:rsidR="00F741A5" w:rsidRPr="4644E7B5">
        <w:rPr>
          <w:rFonts w:eastAsia="Times New Roman"/>
          <w:color w:val="auto"/>
          <w:sz w:val="22"/>
          <w:szCs w:val="22"/>
        </w:rPr>
        <w:t xml:space="preserve">; </w:t>
      </w:r>
      <w:r w:rsidRPr="0098625C">
        <w:rPr>
          <w:rFonts w:eastAsia="Times New Roman"/>
          <w:color w:val="auto"/>
          <w:sz w:val="22"/>
          <w:szCs w:val="22"/>
        </w:rPr>
        <w:t>Devos and others, 2022b</w:t>
      </w:r>
      <w:r w:rsidRPr="4644E7B5">
        <w:rPr>
          <w:rFonts w:eastAsia="Times New Roman"/>
          <w:color w:val="auto"/>
          <w:sz w:val="22"/>
          <w:szCs w:val="22"/>
        </w:rPr>
        <w:t>). This information could then support decision-making processes and assist in the development of risk management plans.</w:t>
      </w:r>
    </w:p>
    <w:p w14:paraId="3FC5B6BC" w14:textId="19A2ADEB" w:rsidR="00F867EB" w:rsidRPr="00BB5241" w:rsidRDefault="00D2358D" w:rsidP="00212686">
      <w:pPr>
        <w:pStyle w:val="Default"/>
        <w:spacing w:line="276" w:lineRule="auto"/>
        <w:rPr>
          <w:color w:val="auto"/>
          <w:sz w:val="22"/>
          <w:szCs w:val="22"/>
        </w:rPr>
      </w:pPr>
      <w:r w:rsidRPr="421B232A">
        <w:rPr>
          <w:color w:val="auto"/>
          <w:sz w:val="22"/>
          <w:szCs w:val="22"/>
        </w:rPr>
        <w:t xml:space="preserve">When modelling the spread of an EGD-LMO, care should be taken to include – on a case-by-case basis – all relevant ecological processes. Realistic model predictions </w:t>
      </w:r>
      <w:r w:rsidRPr="421B232A">
        <w:rPr>
          <w:rFonts w:eastAsia="Times New Roman"/>
          <w:color w:val="auto"/>
          <w:sz w:val="22"/>
          <w:szCs w:val="22"/>
        </w:rPr>
        <w:t>may require a range of ecological considerations such as confinement by interaction with other species, long-range migration,</w:t>
      </w:r>
      <w:r w:rsidRPr="421B232A">
        <w:rPr>
          <w:color w:val="auto"/>
          <w:sz w:val="22"/>
          <w:szCs w:val="22"/>
        </w:rPr>
        <w:t xml:space="preserve"> habitat heterogeneity over space</w:t>
      </w:r>
      <w:r w:rsidRPr="421B232A">
        <w:rPr>
          <w:rFonts w:eastAsia="Times New Roman"/>
          <w:color w:val="auto"/>
          <w:sz w:val="22"/>
          <w:szCs w:val="22"/>
        </w:rPr>
        <w:t xml:space="preserve">, mating complexity, </w:t>
      </w:r>
      <w:proofErr w:type="gramStart"/>
      <w:r w:rsidRPr="421B232A">
        <w:rPr>
          <w:rFonts w:eastAsia="Times New Roman"/>
          <w:color w:val="auto"/>
          <w:sz w:val="22"/>
          <w:szCs w:val="22"/>
        </w:rPr>
        <w:t>aestivation</w:t>
      </w:r>
      <w:proofErr w:type="gramEnd"/>
      <w:r w:rsidRPr="421B232A">
        <w:rPr>
          <w:rFonts w:eastAsia="Times New Roman"/>
          <w:color w:val="auto"/>
          <w:sz w:val="22"/>
          <w:szCs w:val="22"/>
        </w:rPr>
        <w:t xml:space="preserve"> and local population structure to be included </w:t>
      </w:r>
      <w:r w:rsidRPr="0098625C">
        <w:rPr>
          <w:rFonts w:eastAsia="Times New Roman"/>
          <w:color w:val="auto"/>
          <w:sz w:val="22"/>
          <w:szCs w:val="22"/>
        </w:rPr>
        <w:t>(</w:t>
      </w:r>
      <w:proofErr w:type="spellStart"/>
      <w:r w:rsidRPr="0098625C">
        <w:rPr>
          <w:rFonts w:eastAsia="Times New Roman"/>
          <w:color w:val="auto"/>
          <w:sz w:val="22"/>
          <w:szCs w:val="22"/>
        </w:rPr>
        <w:t>Frieß</w:t>
      </w:r>
      <w:proofErr w:type="spellEnd"/>
      <w:r w:rsidRPr="0098625C">
        <w:rPr>
          <w:rFonts w:eastAsia="Times New Roman"/>
          <w:color w:val="auto"/>
          <w:sz w:val="22"/>
          <w:szCs w:val="22"/>
        </w:rPr>
        <w:t xml:space="preserve"> </w:t>
      </w:r>
      <w:r w:rsidR="00856DD1" w:rsidRPr="0098625C">
        <w:rPr>
          <w:rFonts w:eastAsia="Times New Roman"/>
          <w:color w:val="auto"/>
          <w:sz w:val="22"/>
          <w:szCs w:val="22"/>
        </w:rPr>
        <w:t>and others,</w:t>
      </w:r>
      <w:r w:rsidR="00510040" w:rsidRPr="0098625C">
        <w:rPr>
          <w:rFonts w:eastAsia="Times New Roman"/>
          <w:color w:val="auto"/>
          <w:sz w:val="22"/>
          <w:szCs w:val="22"/>
        </w:rPr>
        <w:t xml:space="preserve"> </w:t>
      </w:r>
      <w:r w:rsidRPr="0098625C">
        <w:rPr>
          <w:rFonts w:eastAsia="Times New Roman"/>
          <w:color w:val="auto"/>
          <w:sz w:val="22"/>
          <w:szCs w:val="22"/>
        </w:rPr>
        <w:t>2023; Combs and others, 2023</w:t>
      </w:r>
      <w:r w:rsidRPr="421B232A">
        <w:rPr>
          <w:rFonts w:eastAsia="Times New Roman"/>
          <w:color w:val="auto"/>
          <w:sz w:val="22"/>
          <w:szCs w:val="22"/>
        </w:rPr>
        <w:t xml:space="preserve">; </w:t>
      </w:r>
      <w:r w:rsidRPr="0098625C">
        <w:rPr>
          <w:rFonts w:eastAsia="Times New Roman"/>
          <w:color w:val="auto"/>
          <w:sz w:val="22"/>
          <w:szCs w:val="22"/>
        </w:rPr>
        <w:t>Kim</w:t>
      </w:r>
      <w:r w:rsidR="00190897" w:rsidRPr="0098625C">
        <w:rPr>
          <w:rFonts w:eastAsia="Times New Roman"/>
          <w:color w:val="auto"/>
          <w:sz w:val="22"/>
          <w:szCs w:val="22"/>
        </w:rPr>
        <w:t xml:space="preserve"> </w:t>
      </w:r>
      <w:r w:rsidR="00856DD1" w:rsidRPr="0098625C">
        <w:rPr>
          <w:rFonts w:eastAsia="Times New Roman"/>
          <w:color w:val="auto"/>
          <w:sz w:val="22"/>
          <w:szCs w:val="22"/>
        </w:rPr>
        <w:t>and others,</w:t>
      </w:r>
      <w:r w:rsidRPr="0098625C">
        <w:rPr>
          <w:rFonts w:eastAsia="Times New Roman"/>
          <w:color w:val="auto"/>
          <w:sz w:val="22"/>
          <w:szCs w:val="22"/>
        </w:rPr>
        <w:t xml:space="preserve"> 2023</w:t>
      </w:r>
      <w:r w:rsidRPr="421B232A">
        <w:rPr>
          <w:rFonts w:eastAsia="Times New Roman"/>
          <w:color w:val="auto"/>
          <w:sz w:val="22"/>
          <w:szCs w:val="22"/>
        </w:rPr>
        <w:t xml:space="preserve">; </w:t>
      </w:r>
      <w:r w:rsidRPr="0098625C">
        <w:rPr>
          <w:rFonts w:eastAsia="Times New Roman"/>
          <w:color w:val="auto"/>
          <w:sz w:val="22"/>
          <w:szCs w:val="22"/>
        </w:rPr>
        <w:t xml:space="preserve">Olejarz </w:t>
      </w:r>
      <w:r w:rsidR="00856DD1" w:rsidRPr="0098625C">
        <w:rPr>
          <w:rFonts w:eastAsia="Times New Roman"/>
          <w:color w:val="auto"/>
          <w:sz w:val="22"/>
          <w:szCs w:val="22"/>
        </w:rPr>
        <w:t xml:space="preserve">and </w:t>
      </w:r>
      <w:r w:rsidRPr="0098625C">
        <w:rPr>
          <w:rFonts w:eastAsia="Times New Roman"/>
          <w:color w:val="auto"/>
          <w:sz w:val="22"/>
          <w:szCs w:val="22"/>
        </w:rPr>
        <w:t>Nowack</w:t>
      </w:r>
      <w:r w:rsidR="00510040" w:rsidRPr="0098625C">
        <w:rPr>
          <w:rFonts w:eastAsia="Times New Roman"/>
          <w:color w:val="auto"/>
          <w:sz w:val="22"/>
          <w:szCs w:val="22"/>
        </w:rPr>
        <w:t>,</w:t>
      </w:r>
      <w:r w:rsidRPr="0098625C">
        <w:rPr>
          <w:rFonts w:eastAsia="Times New Roman"/>
          <w:color w:val="auto"/>
          <w:sz w:val="22"/>
          <w:szCs w:val="22"/>
        </w:rPr>
        <w:t xml:space="preserve"> 202</w:t>
      </w:r>
      <w:r w:rsidR="00AD0D1D" w:rsidRPr="0098625C">
        <w:rPr>
          <w:rFonts w:eastAsia="Times New Roman"/>
          <w:color w:val="auto"/>
          <w:sz w:val="22"/>
          <w:szCs w:val="22"/>
        </w:rPr>
        <w:t>4</w:t>
      </w:r>
      <w:r w:rsidRPr="0098625C">
        <w:rPr>
          <w:rFonts w:eastAsia="Times New Roman"/>
          <w:color w:val="auto"/>
          <w:sz w:val="22"/>
          <w:szCs w:val="22"/>
        </w:rPr>
        <w:t>;</w:t>
      </w:r>
      <w:r w:rsidRPr="421B232A">
        <w:rPr>
          <w:rFonts w:eastAsia="Times New Roman"/>
          <w:color w:val="auto"/>
          <w:sz w:val="22"/>
          <w:szCs w:val="22"/>
        </w:rPr>
        <w:t xml:space="preserve"> </w:t>
      </w:r>
      <w:r w:rsidRPr="0098625C">
        <w:rPr>
          <w:rFonts w:eastAsia="Times New Roman"/>
          <w:color w:val="auto"/>
          <w:sz w:val="22"/>
          <w:szCs w:val="22"/>
        </w:rPr>
        <w:t>Verma</w:t>
      </w:r>
      <w:r w:rsidR="008D2A0E" w:rsidRPr="0098625C">
        <w:rPr>
          <w:rFonts w:eastAsia="Times New Roman"/>
          <w:color w:val="auto"/>
          <w:sz w:val="22"/>
          <w:szCs w:val="22"/>
        </w:rPr>
        <w:t xml:space="preserve"> and others</w:t>
      </w:r>
      <w:r w:rsidR="00A75149" w:rsidRPr="0098625C">
        <w:rPr>
          <w:rFonts w:eastAsia="Times New Roman"/>
          <w:color w:val="auto"/>
          <w:sz w:val="22"/>
          <w:szCs w:val="22"/>
        </w:rPr>
        <w:t>,</w:t>
      </w:r>
      <w:r w:rsidRPr="0098625C">
        <w:rPr>
          <w:rFonts w:eastAsia="Times New Roman"/>
          <w:color w:val="auto"/>
          <w:sz w:val="22"/>
          <w:szCs w:val="22"/>
        </w:rPr>
        <w:t xml:space="preserve"> 2023</w:t>
      </w:r>
      <w:r w:rsidRPr="421B232A">
        <w:rPr>
          <w:rFonts w:eastAsia="Times New Roman"/>
          <w:color w:val="auto"/>
          <w:sz w:val="22"/>
          <w:szCs w:val="22"/>
        </w:rPr>
        <w:t>)</w:t>
      </w:r>
      <w:r w:rsidRPr="421B232A">
        <w:rPr>
          <w:rFonts w:eastAsia="Times New Roman"/>
          <w:b/>
          <w:bCs/>
          <w:color w:val="auto"/>
          <w:sz w:val="22"/>
          <w:szCs w:val="22"/>
        </w:rPr>
        <w:t xml:space="preserve">. </w:t>
      </w:r>
      <w:r w:rsidRPr="421B232A">
        <w:rPr>
          <w:color w:val="auto"/>
          <w:sz w:val="22"/>
          <w:szCs w:val="22"/>
        </w:rPr>
        <w:t xml:space="preserve">Furthermore, to date most models have focussed on the spread of different EGDs to assess and predict EGD effectiveness, rather than how the EGD-LMO effects the environment. </w:t>
      </w:r>
      <w:r w:rsidRPr="421B232A">
        <w:rPr>
          <w:rFonts w:eastAsia="Times New Roman"/>
          <w:color w:val="auto"/>
          <w:sz w:val="22"/>
          <w:szCs w:val="22"/>
        </w:rPr>
        <w:t>Additional modelling may therefore be needed to predict population dynamics of biodiversity potentially affected by the EGD-LMO (</w:t>
      </w:r>
      <w:proofErr w:type="spellStart"/>
      <w:r w:rsidRPr="0098625C">
        <w:rPr>
          <w:rFonts w:eastAsia="Times New Roman"/>
          <w:color w:val="auto"/>
          <w:sz w:val="22"/>
          <w:szCs w:val="22"/>
        </w:rPr>
        <w:t>Frieß</w:t>
      </w:r>
      <w:proofErr w:type="spellEnd"/>
      <w:r w:rsidRPr="0098625C">
        <w:rPr>
          <w:rFonts w:eastAsia="Times New Roman"/>
          <w:color w:val="auto"/>
          <w:sz w:val="22"/>
          <w:szCs w:val="22"/>
        </w:rPr>
        <w:t xml:space="preserve"> </w:t>
      </w:r>
      <w:r w:rsidR="00856DD1" w:rsidRPr="0098625C">
        <w:rPr>
          <w:rFonts w:eastAsia="Times New Roman"/>
          <w:color w:val="auto"/>
          <w:sz w:val="22"/>
          <w:szCs w:val="22"/>
        </w:rPr>
        <w:t>and others,</w:t>
      </w:r>
      <w:r w:rsidRPr="0098625C">
        <w:rPr>
          <w:rFonts w:eastAsia="Times New Roman"/>
          <w:color w:val="auto"/>
          <w:sz w:val="22"/>
          <w:szCs w:val="22"/>
        </w:rPr>
        <w:t xml:space="preserve"> 2023).</w:t>
      </w:r>
      <w:r w:rsidRPr="421B232A">
        <w:rPr>
          <w:rFonts w:eastAsia="Times New Roman"/>
          <w:color w:val="auto"/>
          <w:sz w:val="22"/>
          <w:szCs w:val="22"/>
        </w:rPr>
        <w:t xml:space="preserve"> </w:t>
      </w:r>
      <w:r w:rsidR="37FA6B44" w:rsidRPr="421B232A">
        <w:rPr>
          <w:rFonts w:eastAsia="Times New Roman"/>
          <w:color w:val="auto"/>
          <w:sz w:val="22"/>
          <w:szCs w:val="22"/>
        </w:rPr>
        <w:t>See</w:t>
      </w:r>
      <w:r w:rsidR="00F867EB" w:rsidRPr="421B232A">
        <w:rPr>
          <w:rFonts w:eastAsia="Times New Roman"/>
          <w:color w:val="auto"/>
          <w:sz w:val="22"/>
          <w:szCs w:val="22"/>
        </w:rPr>
        <w:t xml:space="preserve"> </w:t>
      </w:r>
      <w:r w:rsidR="00F867EB" w:rsidRPr="421B232A">
        <w:rPr>
          <w:color w:val="auto"/>
          <w:sz w:val="22"/>
          <w:szCs w:val="22"/>
        </w:rPr>
        <w:t xml:space="preserve">additional information in </w:t>
      </w:r>
      <w:r w:rsidR="00856DD1" w:rsidRPr="421B232A">
        <w:rPr>
          <w:color w:val="auto"/>
          <w:sz w:val="22"/>
          <w:szCs w:val="22"/>
        </w:rPr>
        <w:t>a</w:t>
      </w:r>
      <w:r w:rsidR="00F867EB" w:rsidRPr="421B232A">
        <w:rPr>
          <w:color w:val="auto"/>
          <w:sz w:val="22"/>
          <w:szCs w:val="22"/>
        </w:rPr>
        <w:t>nnex</w:t>
      </w:r>
      <w:r w:rsidR="00E307D3" w:rsidRPr="421B232A">
        <w:rPr>
          <w:color w:val="auto"/>
          <w:sz w:val="22"/>
          <w:szCs w:val="22"/>
        </w:rPr>
        <w:t xml:space="preserve"> </w:t>
      </w:r>
      <w:r w:rsidR="00F867EB" w:rsidRPr="421B232A">
        <w:rPr>
          <w:color w:val="auto"/>
          <w:sz w:val="22"/>
          <w:szCs w:val="22"/>
        </w:rPr>
        <w:t>I.</w:t>
      </w:r>
    </w:p>
    <w:p w14:paraId="5A5498B0" w14:textId="43F23079" w:rsidR="008138B3" w:rsidRPr="00B83561" w:rsidRDefault="008138B3" w:rsidP="421B232A">
      <w:pPr>
        <w:spacing w:line="276" w:lineRule="auto"/>
        <w:jc w:val="both"/>
        <w:rPr>
          <w:rFonts w:ascii="Times New Roman" w:hAnsi="Times New Roman" w:cs="Times New Roman"/>
          <w:color w:val="000000" w:themeColor="text1"/>
        </w:rPr>
      </w:pPr>
      <w:r w:rsidRPr="00B83561">
        <w:rPr>
          <w:rFonts w:ascii="Times New Roman" w:hAnsi="Times New Roman" w:cs="Times New Roman"/>
          <w:color w:val="000000" w:themeColor="text1"/>
        </w:rPr>
        <w:t>Models use assumptions to simplify real world systems to help understand and predict outcomes in what would otherwise be overwhelmingly complex situations. These assumptions, together with the use of inappropriate parameter values, may limit the model’s ability to accurately predict outcomes or re-create the full patterns of behaviour of a system’s individual components. The accuracy of model predictions can be tested by comparing them to independent data, that is observed outcomes that were not used to train or parameterise the model. It is important that the assumptions used to guide the structure of the model and its parameters values are clearly documented so that users can gauge its limitations and the circumstances under which the model may or may not be fit for purpose. An interdisciplinary approach, including mathematical or statistical training, however, may be required to fully appreciate the limits or utility of a model. Users should also be aware that certain types of models can require significant computational resources to run which may limit their application under certain circumstances, such as real time decision support</w:t>
      </w:r>
      <w:r w:rsidR="00B83561" w:rsidRPr="00B83561">
        <w:rPr>
          <w:rFonts w:ascii="Times New Roman" w:hAnsi="Times New Roman" w:cs="Times New Roman"/>
          <w:color w:val="000000" w:themeColor="text1"/>
        </w:rPr>
        <w:t>.</w:t>
      </w:r>
    </w:p>
    <w:p w14:paraId="27F65B4F" w14:textId="4EC2483C" w:rsidR="00DC2E53" w:rsidRPr="00CA0582" w:rsidRDefault="00DD7AFB" w:rsidP="00212686">
      <w:pPr>
        <w:pStyle w:val="Heading3"/>
        <w:spacing w:line="276" w:lineRule="auto"/>
        <w:rPr>
          <w:rFonts w:ascii="Times New Roman" w:eastAsia="Times New Roman" w:hAnsi="Times New Roman" w:cs="Times New Roman"/>
          <w:b/>
          <w:bCs/>
          <w:color w:val="auto"/>
          <w:lang w:val="en-GB"/>
        </w:rPr>
      </w:pPr>
      <w:bookmarkStart w:id="59" w:name="_Toc18"/>
      <w:bookmarkStart w:id="60" w:name="_Toc161220499"/>
      <w:r w:rsidRPr="00CA0582">
        <w:rPr>
          <w:rFonts w:ascii="Times New Roman" w:eastAsia="Times New Roman" w:hAnsi="Times New Roman" w:cs="Times New Roman"/>
          <w:b/>
          <w:bCs/>
          <w:color w:val="auto"/>
          <w:lang w:val="en-GB"/>
        </w:rPr>
        <w:lastRenderedPageBreak/>
        <w:t>4</w:t>
      </w:r>
      <w:r w:rsidR="005430B6" w:rsidRPr="00CA0582">
        <w:rPr>
          <w:rFonts w:ascii="Times New Roman" w:eastAsia="Times New Roman" w:hAnsi="Times New Roman" w:cs="Times New Roman"/>
          <w:b/>
          <w:bCs/>
          <w:color w:val="auto"/>
          <w:lang w:val="en-GB"/>
        </w:rPr>
        <w:t>.2.</w:t>
      </w:r>
      <w:r w:rsidR="002F1105" w:rsidRPr="00CA0582">
        <w:rPr>
          <w:rFonts w:ascii="Times New Roman" w:eastAsia="Times New Roman" w:hAnsi="Times New Roman" w:cs="Times New Roman"/>
          <w:b/>
          <w:bCs/>
          <w:color w:val="auto"/>
          <w:lang w:val="en-GB"/>
        </w:rPr>
        <w:t>3</w:t>
      </w:r>
      <w:r w:rsidR="005467F6" w:rsidRPr="00CA0582">
        <w:rPr>
          <w:rFonts w:ascii="Times New Roman" w:eastAsia="Times New Roman" w:hAnsi="Times New Roman" w:cs="Times New Roman"/>
          <w:b/>
          <w:bCs/>
          <w:color w:val="auto"/>
          <w:lang w:val="en-GB"/>
        </w:rPr>
        <w:t>.</w:t>
      </w:r>
      <w:r w:rsidR="005430B6" w:rsidRPr="00CA0582">
        <w:rPr>
          <w:rFonts w:ascii="Times New Roman" w:eastAsia="Times New Roman" w:hAnsi="Times New Roman" w:cs="Times New Roman"/>
          <w:b/>
          <w:bCs/>
          <w:color w:val="auto"/>
          <w:lang w:val="en-GB"/>
        </w:rPr>
        <w:t xml:space="preserve"> Comparators</w:t>
      </w:r>
      <w:bookmarkEnd w:id="59"/>
      <w:bookmarkEnd w:id="60"/>
      <w:r w:rsidR="00AD1F87" w:rsidRPr="00CA0582">
        <w:rPr>
          <w:rFonts w:ascii="Times New Roman" w:eastAsia="Times New Roman" w:hAnsi="Times New Roman" w:cs="Times New Roman"/>
          <w:b/>
          <w:bCs/>
          <w:color w:val="auto"/>
          <w:lang w:val="en-GB"/>
        </w:rPr>
        <w:t xml:space="preserve"> </w:t>
      </w:r>
    </w:p>
    <w:tbl>
      <w:tblPr>
        <w:tblStyle w:val="TableGrid"/>
        <w:tblW w:w="0" w:type="auto"/>
        <w:tblLook w:val="04A0" w:firstRow="1" w:lastRow="0" w:firstColumn="1" w:lastColumn="0" w:noHBand="0" w:noVBand="1"/>
      </w:tblPr>
      <w:tblGrid>
        <w:gridCol w:w="5040"/>
        <w:gridCol w:w="3976"/>
      </w:tblGrid>
      <w:tr w:rsidR="00554C89" w:rsidRPr="00554C89" w14:paraId="05C12A9D" w14:textId="77777777" w:rsidTr="00F83A9F">
        <w:trPr>
          <w:trHeight w:val="5300"/>
        </w:trPr>
        <w:tc>
          <w:tcPr>
            <w:tcW w:w="5040" w:type="dxa"/>
            <w:vMerge w:val="restart"/>
            <w:tcBorders>
              <w:top w:val="nil"/>
              <w:left w:val="nil"/>
            </w:tcBorders>
          </w:tcPr>
          <w:p w14:paraId="084DD263" w14:textId="485363A9" w:rsidR="00554C89" w:rsidRPr="00554C89" w:rsidRDefault="00CA326C" w:rsidP="00554C89">
            <w:pPr>
              <w:pStyle w:val="Default"/>
              <w:spacing w:line="276" w:lineRule="auto"/>
              <w:rPr>
                <w:color w:val="auto"/>
                <w:sz w:val="22"/>
                <w:szCs w:val="22"/>
              </w:rPr>
            </w:pPr>
            <w:r w:rsidRPr="00BB5241">
              <w:t xml:space="preserve"> </w:t>
            </w:r>
            <w:r w:rsidR="00554C89" w:rsidRPr="00554C89">
              <w:rPr>
                <w:color w:val="auto"/>
                <w:sz w:val="22"/>
                <w:szCs w:val="22"/>
              </w:rPr>
              <w:t xml:space="preserve">When testing risk hypothesis, a comparative approach is often used, whereby the level of risk is estimated through comparison, most often with a non-LMO counterpart or parental organism that has a history of (safe) use for humans and/or animals and/or familiarity for the environment. A comparative approach is aimed at identifying the phenotypic and genotypic changes that may lead to </w:t>
            </w:r>
            <w:r w:rsidR="00294C7A">
              <w:rPr>
                <w:color w:val="auto"/>
                <w:sz w:val="22"/>
                <w:szCs w:val="22"/>
              </w:rPr>
              <w:t xml:space="preserve">potential </w:t>
            </w:r>
            <w:r w:rsidR="00554C89" w:rsidRPr="00554C89">
              <w:rPr>
                <w:color w:val="auto"/>
                <w:sz w:val="22"/>
                <w:szCs w:val="22"/>
              </w:rPr>
              <w:t>adverse effects, and changes in the nature and levels of risk associated to the LMO. The differences identified between a particular LMO, and a comparator provide a starting point for determining if the intentional release of the LMO might result in potential adverse effects on the environment. When a relevant difference is identified between the LMO and a comparator, it is evaluated to determine if it is significant and has biological relevance related to protection goals.</w:t>
            </w:r>
          </w:p>
          <w:p w14:paraId="2C8CE008" w14:textId="77777777" w:rsidR="00554C89" w:rsidRPr="00554C89" w:rsidRDefault="00554C89" w:rsidP="00554C89">
            <w:pPr>
              <w:pStyle w:val="Default"/>
              <w:spacing w:line="276" w:lineRule="auto"/>
              <w:rPr>
                <w:color w:val="auto"/>
                <w:sz w:val="22"/>
                <w:szCs w:val="22"/>
              </w:rPr>
            </w:pPr>
            <w:r w:rsidRPr="00554C89">
              <w:rPr>
                <w:color w:val="auto"/>
                <w:sz w:val="22"/>
                <w:szCs w:val="22"/>
              </w:rPr>
              <w:t>The choice of comparators can have large effects on the relevance, interpretation and conclusions drawn from the risk assessment process. Therefore, comparators should be selected based on their capacity to generate information that is consistent and relevant for the risk assessment. Typically, the LMO is compared to a non-LMO with a genotype that is as closely related as possible to the LMO. However, there is no single concept of an appropriate comparator that is agreed upon internationally (</w:t>
            </w:r>
            <w:r w:rsidRPr="0098625C">
              <w:rPr>
                <w:color w:val="auto"/>
                <w:sz w:val="22"/>
                <w:szCs w:val="22"/>
              </w:rPr>
              <w:t>OECD, 2023</w:t>
            </w:r>
            <w:r w:rsidRPr="00554C89">
              <w:rPr>
                <w:color w:val="auto"/>
                <w:sz w:val="22"/>
                <w:szCs w:val="22"/>
              </w:rPr>
              <w:t xml:space="preserve">). In some instances, where the regulatory framework permits, an appropriate comparator may be another LMO. Furthermore, more than one comparator may be used in a risk assessment. For a given intentional release of an EGD-LMO, there may be a range of relevant comparators (such as the non-EGD-LMO of the same species with a genetic background as close as possible and relevant to that of the EGD-LMO, the target organism, or other disease vector/pest control systems) to inform a risk assessment and contextualize risks. </w:t>
            </w:r>
          </w:p>
          <w:p w14:paraId="337B51FF" w14:textId="6CEED266" w:rsidR="00554C89" w:rsidRPr="00554C89" w:rsidRDefault="00554C89" w:rsidP="00554C89">
            <w:pPr>
              <w:pStyle w:val="Default"/>
              <w:spacing w:line="276" w:lineRule="auto"/>
              <w:rPr>
                <w:color w:val="auto"/>
                <w:sz w:val="22"/>
                <w:szCs w:val="22"/>
              </w:rPr>
            </w:pPr>
            <w:r w:rsidRPr="00554C89">
              <w:rPr>
                <w:color w:val="auto"/>
                <w:sz w:val="22"/>
                <w:szCs w:val="22"/>
              </w:rPr>
              <w:t xml:space="preserve">Different comparators may be relevant for different component properties of an EGD-LMO. Thus, more emphasis may need to be given to the purpose of risk assessment studies and comparisons when selecting relevant comparators. Given that some EGD-LMOs will operate at an ecosystem level, the definition of the </w:t>
            </w:r>
            <w:r w:rsidRPr="00554C89">
              <w:rPr>
                <w:color w:val="auto"/>
                <w:sz w:val="22"/>
                <w:szCs w:val="22"/>
              </w:rPr>
              <w:lastRenderedPageBreak/>
              <w:t xml:space="preserve">comparator may need to be broadened from endpoints that solely consider genetic and phenotypic changes to those that can be indicative of potentially harmful ecosystem impacts. At the population and system level, multiple comparators may be needed to allow robust comparisons across a range of factors that are not sufficiently covered by any single comparator (EFSA, 2022). </w:t>
            </w:r>
          </w:p>
          <w:p w14:paraId="1D057B3B" w14:textId="77777777" w:rsidR="00554C89" w:rsidRPr="00554C89" w:rsidRDefault="00554C89" w:rsidP="00554C89">
            <w:pPr>
              <w:pStyle w:val="Default"/>
              <w:spacing w:line="276" w:lineRule="auto"/>
              <w:rPr>
                <w:color w:val="auto"/>
                <w:sz w:val="22"/>
                <w:szCs w:val="22"/>
              </w:rPr>
            </w:pPr>
            <w:r w:rsidRPr="00554C89">
              <w:rPr>
                <w:color w:val="auto"/>
                <w:sz w:val="22"/>
                <w:szCs w:val="22"/>
              </w:rPr>
              <w:t>The choice of comparators will depend on the risk hypothesis to be tested and other factors, such as the availability of appropriate comparators and specific regulatory requirements (</w:t>
            </w:r>
            <w:r w:rsidRPr="0098625C">
              <w:rPr>
                <w:color w:val="auto"/>
                <w:sz w:val="22"/>
                <w:szCs w:val="22"/>
              </w:rPr>
              <w:t>OECD, 2023).</w:t>
            </w:r>
            <w:r w:rsidRPr="00554C89">
              <w:rPr>
                <w:color w:val="auto"/>
                <w:sz w:val="22"/>
                <w:szCs w:val="22"/>
              </w:rPr>
              <w:t xml:space="preserve"> </w:t>
            </w:r>
            <w:proofErr w:type="gramStart"/>
            <w:r w:rsidRPr="00554C89">
              <w:rPr>
                <w:color w:val="auto"/>
                <w:sz w:val="22"/>
                <w:szCs w:val="22"/>
              </w:rPr>
              <w:t>For EGD-LMOs targeting non-domesticated or wild species, there</w:t>
            </w:r>
            <w:proofErr w:type="gramEnd"/>
            <w:r w:rsidRPr="00554C89">
              <w:rPr>
                <w:color w:val="auto"/>
                <w:sz w:val="22"/>
                <w:szCs w:val="22"/>
              </w:rPr>
              <w:t xml:space="preserve"> may be limited information available on potential comparators. Further, decades of experience and research on invasive species and biological control agents have provided insight into the complexities, dynamics and effects that new organisms in ecosystem may have and the </w:t>
            </w:r>
            <w:proofErr w:type="gramStart"/>
            <w:r w:rsidRPr="00554C89">
              <w:rPr>
                <w:color w:val="auto"/>
                <w:sz w:val="22"/>
                <w:szCs w:val="22"/>
              </w:rPr>
              <w:t>often low</w:t>
            </w:r>
            <w:proofErr w:type="gramEnd"/>
            <w:r w:rsidRPr="00554C89">
              <w:rPr>
                <w:color w:val="auto"/>
                <w:sz w:val="22"/>
                <w:szCs w:val="22"/>
              </w:rPr>
              <w:t xml:space="preserve"> predictability of these effects.</w:t>
            </w:r>
          </w:p>
          <w:p w14:paraId="30654D41" w14:textId="7160AD82" w:rsidR="00554C89" w:rsidRDefault="00554C89" w:rsidP="00554C89">
            <w:pPr>
              <w:pStyle w:val="Default"/>
              <w:spacing w:line="276" w:lineRule="auto"/>
              <w:rPr>
                <w:color w:val="auto"/>
                <w:sz w:val="22"/>
                <w:szCs w:val="22"/>
              </w:rPr>
            </w:pPr>
            <w:r w:rsidRPr="00554C89">
              <w:rPr>
                <w:color w:val="auto"/>
                <w:sz w:val="22"/>
                <w:szCs w:val="22"/>
              </w:rPr>
              <w:t xml:space="preserve">It is important to consider that an alternative to the comparative approach may become necessary when considering EGD-LMOs where appropriate comparators do not exist. In such situations, the characterization of an EGD-LMO may be </w:t>
            </w:r>
            <w:proofErr w:type="gramStart"/>
            <w:r w:rsidRPr="00554C89">
              <w:rPr>
                <w:color w:val="auto"/>
                <w:sz w:val="22"/>
                <w:szCs w:val="22"/>
              </w:rPr>
              <w:t>similar to</w:t>
            </w:r>
            <w:proofErr w:type="gramEnd"/>
            <w:r w:rsidRPr="00554C89">
              <w:rPr>
                <w:color w:val="auto"/>
                <w:sz w:val="22"/>
                <w:szCs w:val="22"/>
              </w:rPr>
              <w:t xml:space="preserve"> that carried out for alien species, where the whole organism is considered a novel genotype in the receiving environment. </w:t>
            </w:r>
          </w:p>
        </w:tc>
        <w:tc>
          <w:tcPr>
            <w:tcW w:w="3976" w:type="dxa"/>
            <w:tcBorders>
              <w:bottom w:val="single" w:sz="4" w:space="0" w:color="000000"/>
            </w:tcBorders>
          </w:tcPr>
          <w:p w14:paraId="5FB6BF1A" w14:textId="3245BAB7" w:rsidR="00825C2B" w:rsidRDefault="00825C2B" w:rsidP="00F03831">
            <w:pPr>
              <w:pStyle w:val="Default"/>
              <w:spacing w:after="0" w:line="276" w:lineRule="auto"/>
              <w:rPr>
                <w:rFonts w:asciiTheme="majorEastAsia" w:hAnsiTheme="majorEastAsia" w:cstheme="majorEastAsia"/>
                <w:b/>
                <w:color w:val="auto"/>
                <w:sz w:val="18"/>
                <w:szCs w:val="18"/>
              </w:rPr>
            </w:pPr>
            <w:r>
              <w:rPr>
                <w:rFonts w:asciiTheme="majorEastAsia" w:hAnsiTheme="majorEastAsia" w:cstheme="majorEastAsia"/>
                <w:b/>
                <w:color w:val="auto"/>
                <w:sz w:val="18"/>
                <w:szCs w:val="18"/>
              </w:rPr>
              <w:lastRenderedPageBreak/>
              <w:t>Mosquitoes:</w:t>
            </w:r>
          </w:p>
          <w:p w14:paraId="31E01958" w14:textId="1CA77817" w:rsidR="00554C89" w:rsidRPr="000B71E5" w:rsidRDefault="00554C89" w:rsidP="00554C89">
            <w:pPr>
              <w:pStyle w:val="Default"/>
              <w:spacing w:line="276" w:lineRule="auto"/>
              <w:rPr>
                <w:rFonts w:asciiTheme="majorEastAsia" w:hAnsiTheme="majorEastAsia" w:cstheme="majorEastAsia"/>
                <w:b/>
                <w:color w:val="auto"/>
                <w:sz w:val="18"/>
                <w:szCs w:val="18"/>
              </w:rPr>
            </w:pPr>
            <w:r w:rsidRPr="000B71E5">
              <w:rPr>
                <w:rFonts w:asciiTheme="majorEastAsia" w:hAnsiTheme="majorEastAsia" w:cstheme="majorEastAsia" w:hint="eastAsia"/>
                <w:b/>
                <w:color w:val="auto"/>
                <w:sz w:val="18"/>
                <w:szCs w:val="18"/>
              </w:rPr>
              <w:t xml:space="preserve">Choice of comparators for </w:t>
            </w:r>
            <w:r w:rsidR="003649B2">
              <w:rPr>
                <w:rFonts w:asciiTheme="majorEastAsia" w:hAnsiTheme="majorEastAsia" w:cstheme="majorEastAsia"/>
                <w:b/>
                <w:color w:val="auto"/>
                <w:sz w:val="18"/>
                <w:szCs w:val="18"/>
              </w:rPr>
              <w:t>living modified mosquitoes containing engineered gene drives</w:t>
            </w:r>
          </w:p>
          <w:p w14:paraId="4C553387" w14:textId="77777777" w:rsidR="00554C89" w:rsidRPr="000B71E5" w:rsidRDefault="00554C89" w:rsidP="00554C89">
            <w:pPr>
              <w:pStyle w:val="Default"/>
              <w:spacing w:line="276" w:lineRule="auto"/>
              <w:rPr>
                <w:rFonts w:asciiTheme="majorEastAsia" w:hAnsiTheme="majorEastAsia" w:cstheme="majorEastAsia"/>
                <w:color w:val="auto"/>
                <w:sz w:val="18"/>
                <w:szCs w:val="18"/>
              </w:rPr>
            </w:pPr>
            <w:r w:rsidRPr="000B71E5">
              <w:rPr>
                <w:rFonts w:asciiTheme="majorEastAsia" w:hAnsiTheme="majorEastAsia" w:cstheme="majorEastAsia"/>
                <w:color w:val="auto"/>
                <w:sz w:val="18"/>
                <w:szCs w:val="18"/>
              </w:rPr>
              <w:t>The mosquito line/strain used as a recipient organism for transformation may serve as a comparator for the risk assessment of EGD in Anopheles mosquitoes. Where successive passages are used to develop a strain of the EGD-LMM, the parental LM strain may be used as an additional comparator (</w:t>
            </w:r>
            <w:r w:rsidRPr="0098625C">
              <w:rPr>
                <w:rFonts w:asciiTheme="majorEastAsia" w:hAnsiTheme="majorEastAsia" w:cstheme="majorEastAsia"/>
                <w:color w:val="auto"/>
                <w:sz w:val="18"/>
                <w:szCs w:val="18"/>
              </w:rPr>
              <w:t>Connolly and others, 2021</w:t>
            </w:r>
            <w:r w:rsidRPr="000B71E5">
              <w:rPr>
                <w:rFonts w:asciiTheme="majorEastAsia" w:hAnsiTheme="majorEastAsia" w:cstheme="majorEastAsia"/>
                <w:color w:val="auto"/>
                <w:sz w:val="18"/>
                <w:szCs w:val="18"/>
              </w:rPr>
              <w:t xml:space="preserve">). </w:t>
            </w:r>
          </w:p>
          <w:p w14:paraId="7BA68E9E" w14:textId="77777777" w:rsidR="00554C89" w:rsidRPr="000B71E5" w:rsidRDefault="00554C89" w:rsidP="00554C89">
            <w:pPr>
              <w:pStyle w:val="Default"/>
              <w:spacing w:line="276" w:lineRule="auto"/>
              <w:rPr>
                <w:rFonts w:asciiTheme="majorEastAsia" w:hAnsiTheme="majorEastAsia" w:cstheme="majorEastAsia"/>
                <w:color w:val="auto"/>
                <w:sz w:val="18"/>
                <w:szCs w:val="18"/>
              </w:rPr>
            </w:pPr>
            <w:r w:rsidRPr="000B71E5">
              <w:rPr>
                <w:rFonts w:asciiTheme="majorEastAsia" w:hAnsiTheme="majorEastAsia" w:cstheme="majorEastAsia"/>
                <w:color w:val="auto"/>
                <w:sz w:val="18"/>
                <w:szCs w:val="18"/>
              </w:rPr>
              <w:t xml:space="preserve">As technologies for genetic modification continue to advance and as the range of organisms subject to genetic modification grows, risk assessors should consider the need to expand their concept of what constitutes a useful comparator for the risk assessment. To date, the focus has been on comparator organisms, but there may also be a need for comparator activities. For example, EGD-LMM designed for malaria control have modes of action that do not have exact comparators outside the realm of genetic modification, such as species suppression or species replacement. </w:t>
            </w:r>
          </w:p>
          <w:p w14:paraId="3FBA35AA" w14:textId="77777777" w:rsidR="00554C89" w:rsidRPr="000B71E5" w:rsidRDefault="00554C89" w:rsidP="00554C89">
            <w:pPr>
              <w:pStyle w:val="Default"/>
              <w:spacing w:line="276" w:lineRule="auto"/>
              <w:rPr>
                <w:rFonts w:asciiTheme="majorEastAsia" w:hAnsiTheme="majorEastAsia" w:cstheme="majorEastAsia"/>
                <w:color w:val="auto"/>
                <w:sz w:val="18"/>
                <w:szCs w:val="18"/>
              </w:rPr>
            </w:pPr>
            <w:r w:rsidRPr="000B71E5">
              <w:rPr>
                <w:rFonts w:asciiTheme="majorEastAsia" w:hAnsiTheme="majorEastAsia" w:cstheme="majorEastAsia"/>
                <w:color w:val="auto"/>
                <w:sz w:val="18"/>
                <w:szCs w:val="18"/>
              </w:rPr>
              <w:t xml:space="preserve">However, there are comparator activities, such as large-scale insecticide applications, the release of Wolbachia-infected, self-limiting mosquitoes, or the release of a predator species, which may generate information that is consistent and relevant to the risk assessment process of EGD-LMMs and could be considered by risk assessors. Such comparators may provide information on the impacts of intended aims of population suppression or modification. However, there are limitations in the use of such comparators </w:t>
            </w:r>
            <w:proofErr w:type="gramStart"/>
            <w:r w:rsidRPr="000B71E5">
              <w:rPr>
                <w:rFonts w:asciiTheme="majorEastAsia" w:hAnsiTheme="majorEastAsia" w:cstheme="majorEastAsia"/>
                <w:color w:val="auto"/>
                <w:sz w:val="18"/>
                <w:szCs w:val="18"/>
              </w:rPr>
              <w:t>with regard to</w:t>
            </w:r>
            <w:proofErr w:type="gramEnd"/>
            <w:r w:rsidRPr="000B71E5">
              <w:rPr>
                <w:rFonts w:asciiTheme="majorEastAsia" w:hAnsiTheme="majorEastAsia" w:cstheme="majorEastAsia"/>
                <w:color w:val="auto"/>
                <w:sz w:val="18"/>
                <w:szCs w:val="18"/>
              </w:rPr>
              <w:t xml:space="preserve"> addressing unintended impacts. For example, pesticide application may provide information on impacts of population reduction, but not on risk of exposure of non-target organisms to suppression drives. Similarly, Wolbachia applications may provide certain relevant insights but are limited in relevance when </w:t>
            </w:r>
            <w:proofErr w:type="gramStart"/>
            <w:r w:rsidRPr="000B71E5">
              <w:rPr>
                <w:rFonts w:asciiTheme="majorEastAsia" w:hAnsiTheme="majorEastAsia" w:cstheme="majorEastAsia"/>
                <w:color w:val="auto"/>
                <w:sz w:val="18"/>
                <w:szCs w:val="18"/>
              </w:rPr>
              <w:t>taking into account</w:t>
            </w:r>
            <w:proofErr w:type="gramEnd"/>
            <w:r w:rsidRPr="000B71E5">
              <w:rPr>
                <w:rFonts w:asciiTheme="majorEastAsia" w:hAnsiTheme="majorEastAsia" w:cstheme="majorEastAsia"/>
                <w:color w:val="auto"/>
                <w:sz w:val="18"/>
                <w:szCs w:val="18"/>
              </w:rPr>
              <w:t xml:space="preserve"> that Wolbachia is a high-threshold approach. Moreover, it does not allow for assessing issues such as the potential risk of pathogen evolution in response to a population modification drive. Such comparators are also not relevant in assessment of next-generation effects of gene drive technologies and the </w:t>
            </w:r>
            <w:r w:rsidRPr="000B71E5">
              <w:rPr>
                <w:rFonts w:asciiTheme="majorEastAsia" w:hAnsiTheme="majorEastAsia" w:cstheme="majorEastAsia"/>
                <w:color w:val="auto"/>
                <w:sz w:val="18"/>
                <w:szCs w:val="18"/>
              </w:rPr>
              <w:lastRenderedPageBreak/>
              <w:t xml:space="preserve">potential for evolutionary responses post-release. </w:t>
            </w:r>
          </w:p>
          <w:p w14:paraId="35BC42FF" w14:textId="224712A4" w:rsidR="00554C89" w:rsidRPr="000B71E5" w:rsidRDefault="00554C89" w:rsidP="00554C89">
            <w:pPr>
              <w:pStyle w:val="Default"/>
              <w:spacing w:line="276" w:lineRule="auto"/>
              <w:rPr>
                <w:rFonts w:asciiTheme="majorEastAsia" w:hAnsiTheme="majorEastAsia" w:cstheme="majorEastAsia"/>
                <w:color w:val="auto"/>
                <w:sz w:val="18"/>
                <w:szCs w:val="18"/>
              </w:rPr>
            </w:pPr>
            <w:r w:rsidRPr="000B71E5">
              <w:rPr>
                <w:rFonts w:asciiTheme="majorEastAsia" w:hAnsiTheme="majorEastAsia" w:cstheme="majorEastAsia"/>
                <w:color w:val="auto"/>
                <w:sz w:val="18"/>
                <w:szCs w:val="18"/>
              </w:rPr>
              <w:t>Depending on the intended outcome of the EGD-LMM application and focus of the comparison, relevant comparators may include: (1) the LMM (without an EGD) of the same species with a genetic background that is as close as possible to that of the EGD-LMM; (2) the target (non-modified) organism; and (3) other disease vector/pest control systems (e.g., species-specific genetic control methods involving the release of insects, insecticides, insecticide treated bed-nets) to enable comparisons at both the organismal and (management) systems level.</w:t>
            </w:r>
            <w:r w:rsidR="003111BD">
              <w:rPr>
                <w:rFonts w:asciiTheme="majorEastAsia" w:hAnsiTheme="majorEastAsia" w:cstheme="majorEastAsia"/>
                <w:color w:val="auto"/>
                <w:sz w:val="18"/>
                <w:szCs w:val="18"/>
              </w:rPr>
              <w:t xml:space="preserve"> </w:t>
            </w:r>
          </w:p>
          <w:p w14:paraId="395179F9" w14:textId="230DFBEC" w:rsidR="00554C89" w:rsidRPr="000B71E5" w:rsidRDefault="00554C89" w:rsidP="00554C89">
            <w:pPr>
              <w:pStyle w:val="Default"/>
              <w:spacing w:line="276" w:lineRule="auto"/>
              <w:rPr>
                <w:rFonts w:asciiTheme="majorEastAsia" w:hAnsiTheme="majorEastAsia" w:cstheme="majorEastAsia"/>
                <w:color w:val="auto"/>
                <w:sz w:val="18"/>
                <w:szCs w:val="18"/>
              </w:rPr>
            </w:pPr>
            <w:r w:rsidRPr="000B71E5">
              <w:rPr>
                <w:rFonts w:asciiTheme="majorEastAsia" w:hAnsiTheme="majorEastAsia" w:cstheme="majorEastAsia"/>
                <w:color w:val="auto"/>
                <w:sz w:val="18"/>
                <w:szCs w:val="18"/>
              </w:rPr>
              <w:t>The selection of comparators may need to consider issues relevant to offspring of the EGD-LMM and include comparisons with heterozygotes and homozygotes of the EGD-LMM, where relevant.</w:t>
            </w:r>
          </w:p>
        </w:tc>
      </w:tr>
      <w:tr w:rsidR="00AD08FA" w:rsidRPr="00554C89" w14:paraId="717D9D02" w14:textId="77777777" w:rsidTr="00F83A9F">
        <w:trPr>
          <w:trHeight w:val="1250"/>
        </w:trPr>
        <w:tc>
          <w:tcPr>
            <w:tcW w:w="5040" w:type="dxa"/>
            <w:vMerge/>
            <w:tcBorders>
              <w:left w:val="nil"/>
              <w:bottom w:val="nil"/>
              <w:right w:val="nil"/>
            </w:tcBorders>
          </w:tcPr>
          <w:p w14:paraId="7FD727A8" w14:textId="77777777" w:rsidR="00AD08FA" w:rsidRPr="00BB5241" w:rsidRDefault="00AD08FA" w:rsidP="00554C89">
            <w:pPr>
              <w:pStyle w:val="Default"/>
              <w:spacing w:line="276" w:lineRule="auto"/>
            </w:pPr>
          </w:p>
        </w:tc>
        <w:tc>
          <w:tcPr>
            <w:tcW w:w="3976" w:type="dxa"/>
            <w:tcBorders>
              <w:left w:val="nil"/>
              <w:bottom w:val="nil"/>
              <w:right w:val="nil"/>
            </w:tcBorders>
          </w:tcPr>
          <w:p w14:paraId="7C194BCB" w14:textId="77777777" w:rsidR="00AD08FA" w:rsidRPr="000B71E5" w:rsidRDefault="00AD08FA" w:rsidP="00554C89">
            <w:pPr>
              <w:pStyle w:val="Default"/>
              <w:spacing w:line="276" w:lineRule="auto"/>
              <w:rPr>
                <w:rFonts w:asciiTheme="majorEastAsia" w:hAnsiTheme="majorEastAsia" w:cstheme="majorEastAsia"/>
                <w:b/>
                <w:color w:val="auto"/>
                <w:sz w:val="18"/>
                <w:szCs w:val="18"/>
              </w:rPr>
            </w:pPr>
          </w:p>
        </w:tc>
      </w:tr>
    </w:tbl>
    <w:p w14:paraId="057DE43A" w14:textId="77777777" w:rsidR="00554C89" w:rsidRDefault="00554C89" w:rsidP="4644E7B5">
      <w:pPr>
        <w:pStyle w:val="Default"/>
        <w:spacing w:line="276" w:lineRule="auto"/>
        <w:rPr>
          <w:color w:val="auto"/>
          <w:sz w:val="22"/>
          <w:szCs w:val="22"/>
        </w:rPr>
      </w:pPr>
    </w:p>
    <w:tbl>
      <w:tblPr>
        <w:tblStyle w:val="TableGrid"/>
        <w:tblW w:w="0" w:type="auto"/>
        <w:tblLook w:val="04A0" w:firstRow="1" w:lastRow="0" w:firstColumn="1" w:lastColumn="0" w:noHBand="0" w:noVBand="1"/>
      </w:tblPr>
      <w:tblGrid>
        <w:gridCol w:w="9016"/>
      </w:tblGrid>
      <w:tr w:rsidR="00E55252" w:rsidRPr="000B71E5" w14:paraId="717F35CA" w14:textId="77777777" w:rsidTr="00F051A1">
        <w:trPr>
          <w:trHeight w:val="8720"/>
        </w:trPr>
        <w:tc>
          <w:tcPr>
            <w:tcW w:w="9016" w:type="dxa"/>
          </w:tcPr>
          <w:p w14:paraId="551033BA" w14:textId="77777777" w:rsidR="004307C9" w:rsidRDefault="004307C9" w:rsidP="004307C9">
            <w:pPr>
              <w:pStyle w:val="Default"/>
              <w:pageBreakBefore/>
              <w:spacing w:after="0" w:line="276" w:lineRule="auto"/>
              <w:rPr>
                <w:rFonts w:asciiTheme="majorEastAsia" w:hAnsiTheme="majorEastAsia" w:cstheme="majorEastAsia"/>
                <w:b/>
                <w:color w:val="000000" w:themeColor="text1"/>
                <w:sz w:val="18"/>
                <w:szCs w:val="18"/>
              </w:rPr>
            </w:pPr>
            <w:r>
              <w:rPr>
                <w:rFonts w:asciiTheme="majorEastAsia" w:hAnsiTheme="majorEastAsia" w:cstheme="majorEastAsia"/>
                <w:b/>
                <w:color w:val="000000" w:themeColor="text1"/>
                <w:sz w:val="18"/>
                <w:szCs w:val="18"/>
              </w:rPr>
              <w:lastRenderedPageBreak/>
              <w:t>Mosquitoes:</w:t>
            </w:r>
          </w:p>
          <w:p w14:paraId="046AD24E" w14:textId="1AD0BDDB" w:rsidR="00E55252" w:rsidRPr="000B71E5" w:rsidRDefault="00E55252" w:rsidP="00E55252">
            <w:pPr>
              <w:pStyle w:val="Default"/>
              <w:pageBreakBefore/>
              <w:spacing w:line="276" w:lineRule="auto"/>
              <w:rPr>
                <w:rFonts w:asciiTheme="majorEastAsia" w:hAnsiTheme="majorEastAsia" w:cstheme="majorEastAsia"/>
                <w:sz w:val="18"/>
                <w:szCs w:val="18"/>
              </w:rPr>
            </w:pPr>
            <w:r w:rsidRPr="000B71E5">
              <w:rPr>
                <w:rFonts w:asciiTheme="majorEastAsia" w:hAnsiTheme="majorEastAsia" w:cstheme="majorEastAsia"/>
                <w:b/>
                <w:color w:val="000000" w:themeColor="text1"/>
                <w:sz w:val="18"/>
                <w:szCs w:val="18"/>
              </w:rPr>
              <w:t>Stepwise testing</w:t>
            </w:r>
          </w:p>
          <w:p w14:paraId="3AF7E111" w14:textId="275296AD" w:rsidR="00E55252" w:rsidRPr="000B71E5" w:rsidRDefault="00E55252" w:rsidP="00E55252">
            <w:pPr>
              <w:pStyle w:val="Default"/>
              <w:spacing w:line="276" w:lineRule="auto"/>
              <w:rPr>
                <w:rFonts w:asciiTheme="majorEastAsia" w:hAnsiTheme="majorEastAsia" w:cstheme="majorEastAsia"/>
                <w:sz w:val="18"/>
                <w:szCs w:val="18"/>
              </w:rPr>
            </w:pPr>
            <w:r w:rsidRPr="000B71E5">
              <w:rPr>
                <w:rFonts w:asciiTheme="majorEastAsia" w:hAnsiTheme="majorEastAsia" w:cstheme="majorEastAsia"/>
                <w:sz w:val="18"/>
                <w:szCs w:val="18"/>
              </w:rPr>
              <w:t xml:space="preserve">The stepwise testing approach may leave some uncertainty before open field testing or field implementation of </w:t>
            </w:r>
            <w:r w:rsidR="003F6931">
              <w:rPr>
                <w:rFonts w:asciiTheme="majorEastAsia" w:hAnsiTheme="majorEastAsia" w:cstheme="majorEastAsia"/>
                <w:sz w:val="18"/>
                <w:szCs w:val="18"/>
              </w:rPr>
              <w:t xml:space="preserve">some </w:t>
            </w:r>
            <w:r w:rsidR="00383D78">
              <w:rPr>
                <w:rFonts w:asciiTheme="majorEastAsia" w:hAnsiTheme="majorEastAsia" w:cstheme="majorEastAsia"/>
                <w:sz w:val="18"/>
                <w:szCs w:val="18"/>
              </w:rPr>
              <w:t xml:space="preserve">LMOs, including </w:t>
            </w:r>
            <w:r w:rsidR="004307C9">
              <w:rPr>
                <w:rFonts w:asciiTheme="majorEastAsia" w:hAnsiTheme="majorEastAsia" w:cstheme="majorEastAsia"/>
                <w:sz w:val="18"/>
                <w:szCs w:val="18"/>
              </w:rPr>
              <w:t xml:space="preserve">some </w:t>
            </w:r>
            <w:r w:rsidRPr="000B71E5">
              <w:rPr>
                <w:rFonts w:asciiTheme="majorEastAsia" w:hAnsiTheme="majorEastAsia" w:cstheme="majorEastAsia"/>
                <w:sz w:val="18"/>
                <w:szCs w:val="18"/>
              </w:rPr>
              <w:t xml:space="preserve">EGD-LMMs, as it may be challenging to collect data from experimental systems that would be fully applicable to field conditions. Mathematical modelling may help to fill this gap in data. Moreover, greater use of models to address the long temporal scale and wide spatial scale of specific EGD-LMM applications, and monitoring may be needed. </w:t>
            </w:r>
          </w:p>
          <w:p w14:paraId="52820ABD" w14:textId="607D05B1" w:rsidR="00E55252" w:rsidRPr="000B71E5" w:rsidRDefault="00E55252" w:rsidP="00E55252">
            <w:pPr>
              <w:pStyle w:val="Default"/>
              <w:spacing w:after="0" w:line="276" w:lineRule="auto"/>
              <w:rPr>
                <w:rFonts w:asciiTheme="majorEastAsia" w:hAnsiTheme="majorEastAsia" w:cstheme="majorEastAsia"/>
                <w:sz w:val="18"/>
                <w:szCs w:val="18"/>
              </w:rPr>
            </w:pPr>
            <w:r w:rsidRPr="000B71E5">
              <w:rPr>
                <w:rFonts w:asciiTheme="majorEastAsia" w:hAnsiTheme="majorEastAsia" w:cstheme="majorEastAsia"/>
                <w:color w:val="auto"/>
                <w:sz w:val="18"/>
                <w:szCs w:val="18"/>
              </w:rPr>
              <w:t>The WHO framework (WHO</w:t>
            </w:r>
            <w:r w:rsidR="0098625C">
              <w:rPr>
                <w:rFonts w:asciiTheme="majorEastAsia" w:hAnsiTheme="majorEastAsia" w:cstheme="majorEastAsia"/>
                <w:color w:val="auto"/>
                <w:sz w:val="18"/>
                <w:szCs w:val="18"/>
              </w:rPr>
              <w:t>,</w:t>
            </w:r>
            <w:r w:rsidRPr="000B71E5">
              <w:rPr>
                <w:rFonts w:asciiTheme="majorEastAsia" w:hAnsiTheme="majorEastAsia" w:cstheme="majorEastAsia"/>
                <w:color w:val="auto"/>
                <w:sz w:val="18"/>
                <w:szCs w:val="18"/>
              </w:rPr>
              <w:t xml:space="preserve"> 2021</w:t>
            </w:r>
            <w:r w:rsidR="00E25734">
              <w:rPr>
                <w:rFonts w:asciiTheme="majorEastAsia" w:hAnsiTheme="majorEastAsia" w:cstheme="majorEastAsia"/>
                <w:color w:val="auto"/>
                <w:sz w:val="18"/>
                <w:szCs w:val="18"/>
              </w:rPr>
              <w:t>b</w:t>
            </w:r>
            <w:r w:rsidRPr="000B71E5">
              <w:rPr>
                <w:rFonts w:asciiTheme="majorEastAsia" w:hAnsiTheme="majorEastAsia" w:cstheme="majorEastAsia"/>
                <w:color w:val="auto"/>
                <w:sz w:val="18"/>
                <w:szCs w:val="18"/>
              </w:rPr>
              <w:t xml:space="preserve">, section 1.5; also see annex III of the present document) advocates a phased testing approach for LMMs: </w:t>
            </w:r>
          </w:p>
          <w:p w14:paraId="61E2CC06" w14:textId="77777777" w:rsidR="00E55252" w:rsidRPr="000B71E5" w:rsidRDefault="00E55252" w:rsidP="00E55252">
            <w:pPr>
              <w:pStyle w:val="ListParagraph"/>
              <w:numPr>
                <w:ilvl w:val="0"/>
                <w:numId w:val="52"/>
              </w:numPr>
              <w:spacing w:line="276" w:lineRule="auto"/>
              <w:rPr>
                <w:rFonts w:asciiTheme="majorEastAsia" w:hAnsiTheme="majorEastAsia" w:cstheme="majorEastAsia"/>
                <w:sz w:val="18"/>
                <w:szCs w:val="18"/>
              </w:rPr>
            </w:pPr>
            <w:r w:rsidRPr="000B71E5">
              <w:rPr>
                <w:rFonts w:asciiTheme="majorEastAsia" w:hAnsiTheme="majorEastAsia" w:cstheme="majorEastAsia"/>
                <w:sz w:val="18"/>
                <w:szCs w:val="18"/>
              </w:rPr>
              <w:t xml:space="preserve">Phase 1: Small-scale laboratory studies for efficacy and safety testing, followed by testing in larger population cages in an indoor setting; </w:t>
            </w:r>
          </w:p>
          <w:p w14:paraId="54B9FA70" w14:textId="4B11E6A8" w:rsidR="00E55252" w:rsidRPr="000B71E5" w:rsidRDefault="00E55252" w:rsidP="00E55252">
            <w:pPr>
              <w:pStyle w:val="ListParagraph"/>
              <w:numPr>
                <w:ilvl w:val="0"/>
                <w:numId w:val="52"/>
              </w:numPr>
              <w:spacing w:line="276" w:lineRule="auto"/>
              <w:rPr>
                <w:rFonts w:asciiTheme="majorEastAsia" w:hAnsiTheme="majorEastAsia" w:cstheme="majorEastAsia"/>
                <w:sz w:val="18"/>
                <w:szCs w:val="18"/>
              </w:rPr>
            </w:pPr>
            <w:r w:rsidRPr="000B71E5">
              <w:rPr>
                <w:rFonts w:asciiTheme="majorEastAsia" w:hAnsiTheme="majorEastAsia" w:cstheme="majorEastAsia"/>
                <w:sz w:val="18"/>
                <w:szCs w:val="18"/>
              </w:rPr>
              <w:t xml:space="preserve">Phase 2: Leading to physically-, ecologically- or </w:t>
            </w:r>
            <w:proofErr w:type="gramStart"/>
            <w:r w:rsidRPr="000B71E5">
              <w:rPr>
                <w:rFonts w:asciiTheme="majorEastAsia" w:hAnsiTheme="majorEastAsia" w:cstheme="majorEastAsia"/>
                <w:sz w:val="18"/>
                <w:szCs w:val="18"/>
              </w:rPr>
              <w:t>genetically-confined</w:t>
            </w:r>
            <w:proofErr w:type="gramEnd"/>
            <w:r w:rsidRPr="000B71E5">
              <w:rPr>
                <w:rFonts w:asciiTheme="majorEastAsia" w:hAnsiTheme="majorEastAsia" w:cstheme="majorEastAsia"/>
                <w:sz w:val="18"/>
                <w:szCs w:val="18"/>
              </w:rPr>
              <w:t xml:space="preserve"> field trials, or small-scale isolated releases</w:t>
            </w:r>
            <w:r w:rsidR="00737DE8">
              <w:rPr>
                <w:rFonts w:asciiTheme="majorEastAsia" w:hAnsiTheme="majorEastAsia" w:cstheme="majorEastAsia"/>
                <w:sz w:val="18"/>
                <w:szCs w:val="18"/>
              </w:rPr>
              <w:t>;</w:t>
            </w:r>
            <w:r w:rsidRPr="000B71E5">
              <w:rPr>
                <w:rFonts w:asciiTheme="majorEastAsia" w:hAnsiTheme="majorEastAsia" w:cstheme="majorEastAsia"/>
                <w:sz w:val="18"/>
                <w:szCs w:val="18"/>
              </w:rPr>
              <w:t xml:space="preserve"> </w:t>
            </w:r>
          </w:p>
          <w:p w14:paraId="7DC988FA" w14:textId="77777777" w:rsidR="00E55252" w:rsidRPr="000B71E5" w:rsidRDefault="00E55252" w:rsidP="00E55252">
            <w:pPr>
              <w:pStyle w:val="ListParagraph"/>
              <w:numPr>
                <w:ilvl w:val="0"/>
                <w:numId w:val="52"/>
              </w:numPr>
              <w:spacing w:line="276" w:lineRule="auto"/>
              <w:rPr>
                <w:rFonts w:asciiTheme="majorEastAsia" w:hAnsiTheme="majorEastAsia" w:cstheme="majorEastAsia"/>
                <w:sz w:val="18"/>
                <w:szCs w:val="18"/>
              </w:rPr>
            </w:pPr>
            <w:r w:rsidRPr="000B71E5">
              <w:rPr>
                <w:rFonts w:asciiTheme="majorEastAsia" w:hAnsiTheme="majorEastAsia" w:cstheme="majorEastAsia"/>
                <w:sz w:val="18"/>
                <w:szCs w:val="18"/>
              </w:rPr>
              <w:t xml:space="preserve">Phase 3: Staged open-field releases; and </w:t>
            </w:r>
          </w:p>
          <w:p w14:paraId="3798ED69" w14:textId="77777777" w:rsidR="00E55252" w:rsidRPr="000B71E5" w:rsidRDefault="00E55252" w:rsidP="00E55252">
            <w:pPr>
              <w:pStyle w:val="ListParagraph"/>
              <w:numPr>
                <w:ilvl w:val="0"/>
                <w:numId w:val="52"/>
              </w:numPr>
              <w:spacing w:line="276" w:lineRule="auto"/>
              <w:rPr>
                <w:rFonts w:asciiTheme="majorEastAsia" w:hAnsiTheme="majorEastAsia" w:cstheme="majorEastAsia"/>
                <w:sz w:val="18"/>
                <w:szCs w:val="18"/>
              </w:rPr>
            </w:pPr>
            <w:r w:rsidRPr="000B71E5">
              <w:rPr>
                <w:rFonts w:asciiTheme="majorEastAsia" w:hAnsiTheme="majorEastAsia" w:cstheme="majorEastAsia"/>
                <w:sz w:val="18"/>
                <w:szCs w:val="18"/>
              </w:rPr>
              <w:t xml:space="preserve">Phase 4: Post-implementation surveillance. </w:t>
            </w:r>
          </w:p>
          <w:p w14:paraId="00D8A21A" w14:textId="3A562818" w:rsidR="00E55252" w:rsidRPr="000B71E5" w:rsidRDefault="00E55252" w:rsidP="00E55252">
            <w:pPr>
              <w:pStyle w:val="Default"/>
              <w:spacing w:line="276" w:lineRule="auto"/>
              <w:rPr>
                <w:rFonts w:asciiTheme="majorEastAsia" w:hAnsiTheme="majorEastAsia" w:cstheme="majorEastAsia"/>
                <w:color w:val="auto"/>
                <w:sz w:val="18"/>
                <w:szCs w:val="18"/>
              </w:rPr>
            </w:pPr>
            <w:r w:rsidRPr="000B71E5">
              <w:rPr>
                <w:rFonts w:asciiTheme="majorEastAsia" w:hAnsiTheme="majorEastAsia" w:cstheme="majorEastAsia"/>
                <w:color w:val="auto"/>
                <w:sz w:val="18"/>
                <w:szCs w:val="18"/>
              </w:rPr>
              <w:t xml:space="preserve">The WHO recognises that the characteristics of persistence and spread for self-sustaining, non-localizing, low-threshold EGD-LMMs </w:t>
            </w:r>
            <w:r w:rsidRPr="000B71E5">
              <w:rPr>
                <w:rFonts w:asciiTheme="majorEastAsia" w:hAnsiTheme="majorEastAsia" w:cstheme="majorEastAsia"/>
                <w:color w:val="000000" w:themeColor="text1"/>
                <w:sz w:val="18"/>
                <w:szCs w:val="18"/>
              </w:rPr>
              <w:t>could</w:t>
            </w:r>
            <w:r w:rsidRPr="000B71E5">
              <w:rPr>
                <w:rFonts w:asciiTheme="majorEastAsia" w:hAnsiTheme="majorEastAsia" w:cstheme="majorEastAsia"/>
                <w:color w:val="auto"/>
                <w:sz w:val="18"/>
                <w:szCs w:val="18"/>
              </w:rPr>
              <w:t xml:space="preserve"> make it difficult to distinguish the specific transition between Phases 2 through 4 (WHO </w:t>
            </w:r>
            <w:r w:rsidRPr="008632B3">
              <w:rPr>
                <w:rFonts w:asciiTheme="majorEastAsia" w:hAnsiTheme="majorEastAsia" w:cstheme="majorEastAsia"/>
                <w:color w:val="auto"/>
                <w:sz w:val="18"/>
                <w:szCs w:val="18"/>
              </w:rPr>
              <w:t>2021</w:t>
            </w:r>
            <w:r w:rsidR="00E25734">
              <w:rPr>
                <w:rFonts w:asciiTheme="majorEastAsia" w:hAnsiTheme="majorEastAsia" w:cstheme="majorEastAsia"/>
                <w:color w:val="auto"/>
                <w:sz w:val="18"/>
                <w:szCs w:val="18"/>
              </w:rPr>
              <w:t>b</w:t>
            </w:r>
            <w:r w:rsidRPr="008632B3">
              <w:rPr>
                <w:rFonts w:asciiTheme="majorEastAsia" w:hAnsiTheme="majorEastAsia" w:cstheme="majorEastAsia"/>
                <w:color w:val="auto"/>
                <w:sz w:val="18"/>
                <w:szCs w:val="18"/>
              </w:rPr>
              <w:t>, section 1.5.1). Moreover, for self-sustaining, non-localizing, low-threshold EGD-LMMs the WHO does not consider phase 2 semi-field testing to be a required step in the development pathway (WHO</w:t>
            </w:r>
            <w:r w:rsidR="0098625C" w:rsidRPr="008632B3">
              <w:rPr>
                <w:rFonts w:asciiTheme="majorEastAsia" w:hAnsiTheme="majorEastAsia" w:cstheme="majorEastAsia"/>
                <w:color w:val="auto"/>
                <w:sz w:val="18"/>
                <w:szCs w:val="18"/>
              </w:rPr>
              <w:t>,</w:t>
            </w:r>
            <w:r w:rsidRPr="008632B3">
              <w:rPr>
                <w:rFonts w:asciiTheme="majorEastAsia" w:hAnsiTheme="majorEastAsia" w:cstheme="majorEastAsia"/>
                <w:color w:val="auto"/>
                <w:sz w:val="18"/>
                <w:szCs w:val="18"/>
              </w:rPr>
              <w:t xml:space="preserve"> 2021</w:t>
            </w:r>
            <w:r w:rsidR="00E25734">
              <w:rPr>
                <w:rFonts w:asciiTheme="majorEastAsia" w:hAnsiTheme="majorEastAsia" w:cstheme="majorEastAsia"/>
                <w:color w:val="auto"/>
                <w:sz w:val="18"/>
                <w:szCs w:val="18"/>
              </w:rPr>
              <w:t>b</w:t>
            </w:r>
            <w:r w:rsidRPr="008632B3">
              <w:rPr>
                <w:rFonts w:asciiTheme="majorEastAsia" w:hAnsiTheme="majorEastAsia" w:cstheme="majorEastAsia"/>
                <w:color w:val="auto"/>
                <w:sz w:val="18"/>
                <w:szCs w:val="18"/>
              </w:rPr>
              <w:t>, section 3.8.2). This means that the data obtained in phase 1 or 2 becomes a major driver for the decision to proceed to field testing or release (WHO</w:t>
            </w:r>
            <w:r w:rsidR="0098625C" w:rsidRPr="008632B3">
              <w:rPr>
                <w:rFonts w:asciiTheme="majorEastAsia" w:hAnsiTheme="majorEastAsia" w:cstheme="majorEastAsia"/>
                <w:color w:val="auto"/>
                <w:sz w:val="18"/>
                <w:szCs w:val="18"/>
              </w:rPr>
              <w:t>,</w:t>
            </w:r>
            <w:r w:rsidRPr="008632B3">
              <w:rPr>
                <w:rFonts w:asciiTheme="majorEastAsia" w:hAnsiTheme="majorEastAsia" w:cstheme="majorEastAsia"/>
                <w:color w:val="auto"/>
                <w:sz w:val="18"/>
                <w:szCs w:val="18"/>
              </w:rPr>
              <w:t xml:space="preserve"> 2021</w:t>
            </w:r>
            <w:r w:rsidR="00E25734">
              <w:rPr>
                <w:rFonts w:asciiTheme="majorEastAsia" w:hAnsiTheme="majorEastAsia" w:cstheme="majorEastAsia"/>
                <w:color w:val="auto"/>
                <w:sz w:val="18"/>
                <w:szCs w:val="18"/>
              </w:rPr>
              <w:t>b</w:t>
            </w:r>
            <w:r w:rsidRPr="008632B3">
              <w:rPr>
                <w:rFonts w:asciiTheme="majorEastAsia" w:hAnsiTheme="majorEastAsia" w:cstheme="majorEastAsia"/>
                <w:color w:val="auto"/>
                <w:sz w:val="18"/>
                <w:szCs w:val="18"/>
              </w:rPr>
              <w:t>, section 3). The WHO recommends that initial small-scale releases of EGD-LMMs should focus on the assessment of the biological function and activities of the EGD-LMMs, including their potential effects on native mosquitoes and the local ecosystem. While noting that absolute ecological containment cannot be guaranteed for EGD-LMMs, it advises that initial small-scale releases should aim for some level of isolation. (WHO</w:t>
            </w:r>
            <w:r w:rsidR="0098625C" w:rsidRPr="008632B3">
              <w:rPr>
                <w:rFonts w:asciiTheme="majorEastAsia" w:hAnsiTheme="majorEastAsia" w:cstheme="majorEastAsia"/>
                <w:color w:val="auto"/>
                <w:sz w:val="18"/>
                <w:szCs w:val="18"/>
              </w:rPr>
              <w:t>,</w:t>
            </w:r>
            <w:r w:rsidRPr="008632B3">
              <w:rPr>
                <w:rFonts w:asciiTheme="majorEastAsia" w:hAnsiTheme="majorEastAsia" w:cstheme="majorEastAsia"/>
                <w:color w:val="auto"/>
                <w:sz w:val="18"/>
                <w:szCs w:val="18"/>
              </w:rPr>
              <w:t xml:space="preserve"> 2021</w:t>
            </w:r>
            <w:r w:rsidR="00E25734">
              <w:rPr>
                <w:rFonts w:asciiTheme="majorEastAsia" w:hAnsiTheme="majorEastAsia" w:cstheme="majorEastAsia"/>
                <w:color w:val="auto"/>
                <w:sz w:val="18"/>
                <w:szCs w:val="18"/>
              </w:rPr>
              <w:t>b</w:t>
            </w:r>
            <w:r w:rsidRPr="008632B3">
              <w:rPr>
                <w:rFonts w:asciiTheme="majorEastAsia" w:hAnsiTheme="majorEastAsia" w:cstheme="majorEastAsia"/>
                <w:color w:val="auto"/>
                <w:sz w:val="18"/>
                <w:szCs w:val="18"/>
              </w:rPr>
              <w:t xml:space="preserve">, section 1.5.1). </w:t>
            </w:r>
          </w:p>
          <w:p w14:paraId="0B23A50A" w14:textId="08930F85" w:rsidR="00E55252" w:rsidRPr="000B71E5" w:rsidRDefault="00E55252" w:rsidP="00E55252">
            <w:pPr>
              <w:pStyle w:val="Default"/>
              <w:spacing w:line="276" w:lineRule="auto"/>
              <w:rPr>
                <w:rFonts w:asciiTheme="majorEastAsia" w:hAnsiTheme="majorEastAsia" w:cstheme="majorEastAsia"/>
                <w:sz w:val="18"/>
                <w:szCs w:val="18"/>
              </w:rPr>
            </w:pPr>
            <w:r w:rsidRPr="000B71E5">
              <w:rPr>
                <w:rFonts w:asciiTheme="majorEastAsia" w:hAnsiTheme="majorEastAsia" w:cstheme="majorEastAsia"/>
                <w:color w:val="auto"/>
                <w:sz w:val="18"/>
                <w:szCs w:val="18"/>
              </w:rPr>
              <w:t>Gathering relevant data for self-sustaining and low threshold (independent) EGDs in open release trials may be challenging due to their spatially and temporally unrestricted nature and the inability for be recalled. Since self-sustaining EGDs are designed for widespread and long-standing control, spatially and/or temporally restricting their spread would not necessarily be in keeping with the intended outcome of their intentional release. Therefore, the utility of prior field testing of a related self-limiting strain may be considered as an intermediate step to reduce uncertainties in risk assessment (e.g</w:t>
            </w:r>
            <w:r w:rsidRPr="0098625C">
              <w:rPr>
                <w:rFonts w:asciiTheme="majorEastAsia" w:hAnsiTheme="majorEastAsia" w:cstheme="majorEastAsia"/>
                <w:color w:val="auto"/>
                <w:sz w:val="18"/>
                <w:szCs w:val="18"/>
              </w:rPr>
              <w:t>., Benedict and Robinson, 2003; James and others, 2018</w:t>
            </w:r>
            <w:r w:rsidRPr="000B71E5">
              <w:rPr>
                <w:rFonts w:asciiTheme="majorEastAsia" w:hAnsiTheme="majorEastAsia" w:cstheme="majorEastAsia"/>
                <w:color w:val="auto"/>
                <w:sz w:val="18"/>
                <w:szCs w:val="18"/>
              </w:rPr>
              <w:t>). Self-limiting EGD systems may enable localised and temporally restricted spread of the genetic modification of interest, resembling other self-limiting approaches for disease vector/pest control.</w:t>
            </w:r>
          </w:p>
        </w:tc>
      </w:tr>
    </w:tbl>
    <w:p w14:paraId="39F1FA63" w14:textId="2EDEB44F" w:rsidR="00DC2E53" w:rsidRPr="00CA0582" w:rsidRDefault="00DD7AFB" w:rsidP="00212686">
      <w:pPr>
        <w:pStyle w:val="Heading3"/>
        <w:spacing w:line="276" w:lineRule="auto"/>
        <w:rPr>
          <w:rFonts w:ascii="Times New Roman" w:eastAsia="Times New Roman" w:hAnsi="Times New Roman" w:cs="Times New Roman"/>
          <w:b/>
          <w:bCs/>
          <w:color w:val="auto"/>
          <w:lang w:val="en-GB"/>
        </w:rPr>
      </w:pPr>
      <w:bookmarkStart w:id="61" w:name="_Toc19"/>
      <w:bookmarkStart w:id="62" w:name="_Toc161220500"/>
      <w:r w:rsidRPr="12D14FCC">
        <w:rPr>
          <w:rFonts w:ascii="Times New Roman" w:eastAsia="Times New Roman" w:hAnsi="Times New Roman" w:cs="Times New Roman"/>
          <w:b/>
          <w:bCs/>
          <w:color w:val="auto"/>
          <w:lang w:val="en-GB"/>
        </w:rPr>
        <w:t>4</w:t>
      </w:r>
      <w:r w:rsidR="005430B6" w:rsidRPr="12D14FCC">
        <w:rPr>
          <w:rFonts w:ascii="Times New Roman" w:eastAsia="Times New Roman" w:hAnsi="Times New Roman" w:cs="Times New Roman"/>
          <w:b/>
          <w:bCs/>
          <w:color w:val="auto"/>
          <w:lang w:val="en-GB"/>
        </w:rPr>
        <w:t>.2.</w:t>
      </w:r>
      <w:r w:rsidR="002F1105" w:rsidRPr="12D14FCC">
        <w:rPr>
          <w:rFonts w:ascii="Times New Roman" w:eastAsia="Times New Roman" w:hAnsi="Times New Roman" w:cs="Times New Roman"/>
          <w:b/>
          <w:bCs/>
          <w:color w:val="auto"/>
          <w:lang w:val="en-GB"/>
        </w:rPr>
        <w:t>4</w:t>
      </w:r>
      <w:r w:rsidR="005467F6" w:rsidRPr="12D14FCC">
        <w:rPr>
          <w:rFonts w:ascii="Times New Roman" w:eastAsia="Times New Roman" w:hAnsi="Times New Roman" w:cs="Times New Roman"/>
          <w:b/>
          <w:bCs/>
          <w:color w:val="auto"/>
          <w:lang w:val="en-GB"/>
        </w:rPr>
        <w:t>.</w:t>
      </w:r>
      <w:r w:rsidR="005430B6" w:rsidRPr="12D14FCC">
        <w:rPr>
          <w:rFonts w:ascii="Times New Roman" w:eastAsia="Times New Roman" w:hAnsi="Times New Roman" w:cs="Times New Roman"/>
          <w:b/>
          <w:bCs/>
          <w:color w:val="auto"/>
          <w:lang w:val="en-GB"/>
        </w:rPr>
        <w:t xml:space="preserve"> Tiered-based </w:t>
      </w:r>
      <w:proofErr w:type="gramStart"/>
      <w:r w:rsidR="005430B6" w:rsidRPr="12D14FCC">
        <w:rPr>
          <w:rFonts w:ascii="Times New Roman" w:eastAsia="Times New Roman" w:hAnsi="Times New Roman" w:cs="Times New Roman"/>
          <w:b/>
          <w:bCs/>
          <w:color w:val="auto"/>
          <w:lang w:val="en-GB"/>
        </w:rPr>
        <w:t>testing</w:t>
      </w:r>
      <w:bookmarkEnd w:id="61"/>
      <w:bookmarkEnd w:id="62"/>
      <w:proofErr w:type="gramEnd"/>
    </w:p>
    <w:p w14:paraId="620BFB85" w14:textId="4A50F2EB" w:rsidR="007075F7" w:rsidRPr="00BB5241" w:rsidRDefault="00C3785D" w:rsidP="00212686">
      <w:pPr>
        <w:spacing w:line="276" w:lineRule="auto"/>
        <w:jc w:val="both"/>
        <w:rPr>
          <w:rFonts w:ascii="Times New Roman" w:eastAsia="Times New Roman" w:hAnsi="Times New Roman" w:cs="Times New Roman"/>
          <w:highlight w:val="white"/>
        </w:rPr>
      </w:pPr>
      <w:r w:rsidRPr="00BB5241">
        <w:rPr>
          <w:rFonts w:ascii="Times New Roman" w:eastAsia="Times New Roman" w:hAnsi="Times New Roman" w:cs="Times New Roman"/>
        </w:rPr>
        <w:t>Tiered testing starts by testing conservative risk hypothesis (in which the likelihood of detecting potential hazards is high) and only moves to more realistic tests if trigger values are exceeded</w:t>
      </w:r>
      <w:r w:rsidRPr="0098625C" w:rsidDel="00C3785D">
        <w:rPr>
          <w:rFonts w:ascii="Times New Roman" w:eastAsia="Times New Roman" w:hAnsi="Times New Roman" w:cs="Times New Roman"/>
        </w:rPr>
        <w:t xml:space="preserve"> </w:t>
      </w:r>
      <w:r w:rsidR="005430B6" w:rsidRPr="0098625C">
        <w:rPr>
          <w:rFonts w:ascii="Times New Roman" w:eastAsia="Times New Roman" w:hAnsi="Times New Roman" w:cs="Times New Roman"/>
        </w:rPr>
        <w:t>(</w:t>
      </w:r>
      <w:r w:rsidR="00D00187" w:rsidRPr="0098625C">
        <w:rPr>
          <w:rFonts w:ascii="Times New Roman" w:eastAsia="Times New Roman" w:hAnsi="Times New Roman" w:cs="Times New Roman"/>
        </w:rPr>
        <w:t xml:space="preserve">Romeis and others, 2008; </w:t>
      </w:r>
      <w:proofErr w:type="spellStart"/>
      <w:r w:rsidR="4F8E0DE1" w:rsidRPr="0098625C">
        <w:rPr>
          <w:rFonts w:ascii="Times New Roman" w:eastAsia="Times New Roman" w:hAnsi="Times New Roman" w:cs="Times New Roman"/>
          <w:color w:val="000000" w:themeColor="text1"/>
        </w:rPr>
        <w:t>Sanvido</w:t>
      </w:r>
      <w:proofErr w:type="spellEnd"/>
      <w:r w:rsidR="4F8E0DE1" w:rsidRPr="0098625C">
        <w:rPr>
          <w:rFonts w:ascii="Times New Roman" w:eastAsia="Times New Roman" w:hAnsi="Times New Roman" w:cs="Times New Roman"/>
          <w:color w:val="000000" w:themeColor="text1"/>
        </w:rPr>
        <w:t xml:space="preserve"> and others, 2012</w:t>
      </w:r>
      <w:r w:rsidR="3570E4CA" w:rsidRPr="0098625C">
        <w:rPr>
          <w:rFonts w:ascii="Times New Roman" w:eastAsia="Times New Roman" w:hAnsi="Times New Roman" w:cs="Times New Roman"/>
        </w:rPr>
        <w:t>).</w:t>
      </w:r>
      <w:r w:rsidR="005430B6" w:rsidRPr="0098625C">
        <w:rPr>
          <w:rFonts w:ascii="Times New Roman" w:eastAsia="Times New Roman" w:hAnsi="Times New Roman" w:cs="Times New Roman"/>
        </w:rPr>
        <w:t xml:space="preserve"> According to the tiered approach, information collected in lower tiers directs the extent and nature of any experimentation conducted in higher tiers: hazards are evaluated within different tiers that progress from worst-case exposure scenario conditions, framed in highly</w:t>
      </w:r>
      <w:r w:rsidR="00FC4DC8" w:rsidRPr="0098625C">
        <w:rPr>
          <w:rFonts w:ascii="Times New Roman" w:eastAsia="Times New Roman" w:hAnsi="Times New Roman" w:cs="Times New Roman"/>
        </w:rPr>
        <w:t xml:space="preserve"> </w:t>
      </w:r>
      <w:r w:rsidR="005430B6" w:rsidRPr="0098625C">
        <w:rPr>
          <w:rFonts w:ascii="Times New Roman" w:eastAsia="Times New Roman" w:hAnsi="Times New Roman" w:cs="Times New Roman"/>
        </w:rPr>
        <w:t>controlled laboratory environments, to more realistic scenarios under semi-field or field conditions. Progression to larger-scale experiments in higher tiers aims to provide increasingly refined estimates of exposure. Within each tier, all relevant information is gathered to determine whether</w:t>
      </w:r>
      <w:r w:rsidR="005430B6" w:rsidRPr="0098625C">
        <w:rPr>
          <w:rFonts w:ascii="Times New Roman" w:eastAsia="Times New Roman" w:hAnsi="Times New Roman" w:cs="Times New Roman"/>
          <w:strike/>
        </w:rPr>
        <w:t xml:space="preserve"> </w:t>
      </w:r>
      <w:r w:rsidR="005430B6" w:rsidRPr="0098625C">
        <w:rPr>
          <w:rFonts w:ascii="Times New Roman" w:eastAsia="Times New Roman" w:hAnsi="Times New Roman" w:cs="Times New Roman"/>
        </w:rPr>
        <w:t>there is enough evidence to conclude the risk assessment at that tier. The conclusion can only be made if any residual uncertainty has been defined; otherwise</w:t>
      </w:r>
      <w:r w:rsidR="008A1DA0" w:rsidRPr="0098625C">
        <w:rPr>
          <w:rFonts w:ascii="Times New Roman" w:eastAsia="Times New Roman" w:hAnsi="Times New Roman" w:cs="Times New Roman"/>
        </w:rPr>
        <w:t>,</w:t>
      </w:r>
      <w:r w:rsidR="005430B6" w:rsidRPr="0098625C">
        <w:rPr>
          <w:rFonts w:ascii="Times New Roman" w:eastAsia="Times New Roman" w:hAnsi="Times New Roman" w:cs="Times New Roman"/>
        </w:rPr>
        <w:t xml:space="preserve"> additional investigations to generate further information at </w:t>
      </w:r>
      <w:r w:rsidR="007F0521" w:rsidRPr="0098625C">
        <w:rPr>
          <w:rFonts w:ascii="Times New Roman" w:eastAsia="Times New Roman" w:hAnsi="Times New Roman" w:cs="Times New Roman"/>
        </w:rPr>
        <w:t>(</w:t>
      </w:r>
      <w:r w:rsidR="005430B6" w:rsidRPr="0098625C">
        <w:rPr>
          <w:rFonts w:ascii="Times New Roman" w:eastAsia="Times New Roman" w:hAnsi="Times New Roman" w:cs="Times New Roman"/>
        </w:rPr>
        <w:t>a</w:t>
      </w:r>
      <w:r w:rsidR="007F0521" w:rsidRPr="0098625C">
        <w:rPr>
          <w:rFonts w:ascii="Times New Roman" w:eastAsia="Times New Roman" w:hAnsi="Times New Roman" w:cs="Times New Roman"/>
        </w:rPr>
        <w:t>)</w:t>
      </w:r>
      <w:r w:rsidR="005430B6" w:rsidRPr="0098625C">
        <w:rPr>
          <w:rFonts w:ascii="Times New Roman" w:eastAsia="Times New Roman" w:hAnsi="Times New Roman" w:cs="Times New Roman"/>
        </w:rPr>
        <w:t xml:space="preserve"> higher tier(s) are conducted. Should potential hazards be detected in early tier tests or if unacceptable uncertainties concerning possible hazards remain, additional information is required to confirm whether the observed effect might still be detected at more realistic rates and routes of exposure (Devos and others, 2019)</w:t>
      </w:r>
      <w:r w:rsidR="005430B6" w:rsidRPr="00BB5241">
        <w:rPr>
          <w:rFonts w:ascii="Times New Roman" w:hAnsi="Times New Roman" w:cs="Times New Roman"/>
        </w:rPr>
        <w:t xml:space="preserve">. </w:t>
      </w:r>
    </w:p>
    <w:p w14:paraId="3AEEAB92" w14:textId="03235FB5" w:rsidR="00DC2E53" w:rsidRPr="00CA0582" w:rsidRDefault="00DD7AFB" w:rsidP="00212686">
      <w:pPr>
        <w:pStyle w:val="Heading3"/>
        <w:spacing w:line="276" w:lineRule="auto"/>
        <w:rPr>
          <w:rFonts w:ascii="Times New Roman" w:eastAsia="Times New Roman" w:hAnsi="Times New Roman" w:cs="Times New Roman"/>
          <w:b/>
          <w:bCs/>
          <w:color w:val="auto"/>
          <w:lang w:val="en-GB"/>
        </w:rPr>
      </w:pPr>
      <w:bookmarkStart w:id="63" w:name="_Toc20"/>
      <w:bookmarkStart w:id="64" w:name="_Toc161220501"/>
      <w:r w:rsidRPr="00CA0582">
        <w:rPr>
          <w:rFonts w:ascii="Times New Roman" w:eastAsia="Times New Roman" w:hAnsi="Times New Roman" w:cs="Times New Roman"/>
          <w:b/>
          <w:bCs/>
          <w:color w:val="auto"/>
          <w:lang w:val="en-GB"/>
        </w:rPr>
        <w:lastRenderedPageBreak/>
        <w:t>4</w:t>
      </w:r>
      <w:r w:rsidR="005430B6" w:rsidRPr="00CA0582">
        <w:rPr>
          <w:rFonts w:ascii="Times New Roman" w:eastAsia="Times New Roman" w:hAnsi="Times New Roman" w:cs="Times New Roman"/>
          <w:b/>
          <w:bCs/>
          <w:color w:val="auto"/>
          <w:lang w:val="en-GB"/>
        </w:rPr>
        <w:t>.</w:t>
      </w:r>
      <w:r w:rsidR="002F1105" w:rsidRPr="00CA0582">
        <w:rPr>
          <w:rFonts w:ascii="Times New Roman" w:eastAsia="Times New Roman" w:hAnsi="Times New Roman" w:cs="Times New Roman"/>
          <w:b/>
          <w:bCs/>
          <w:color w:val="auto"/>
          <w:lang w:val="en-GB"/>
        </w:rPr>
        <w:t>2.5</w:t>
      </w:r>
      <w:r w:rsidR="005467F6" w:rsidRPr="00CA0582">
        <w:rPr>
          <w:rFonts w:ascii="Times New Roman" w:eastAsia="Times New Roman" w:hAnsi="Times New Roman" w:cs="Times New Roman"/>
          <w:b/>
          <w:bCs/>
          <w:color w:val="auto"/>
          <w:lang w:val="en-GB"/>
        </w:rPr>
        <w:t>.</w:t>
      </w:r>
      <w:r w:rsidR="005430B6" w:rsidRPr="00CA0582">
        <w:rPr>
          <w:rFonts w:ascii="Times New Roman" w:eastAsia="Times New Roman" w:hAnsi="Times New Roman" w:cs="Times New Roman"/>
          <w:b/>
          <w:bCs/>
          <w:color w:val="auto"/>
          <w:lang w:val="en-GB"/>
        </w:rPr>
        <w:t xml:space="preserve"> Limits of concern</w:t>
      </w:r>
      <w:bookmarkEnd w:id="63"/>
      <w:bookmarkEnd w:id="64"/>
      <w:r w:rsidR="008F7430" w:rsidRPr="00CA0582">
        <w:rPr>
          <w:rFonts w:ascii="Times New Roman" w:eastAsia="Times New Roman" w:hAnsi="Times New Roman" w:cs="Times New Roman"/>
          <w:b/>
          <w:bCs/>
          <w:color w:val="auto"/>
          <w:lang w:val="en-GB"/>
        </w:rPr>
        <w:t xml:space="preserve"> </w:t>
      </w:r>
    </w:p>
    <w:p w14:paraId="7138C1F9" w14:textId="59C9806B" w:rsidR="00DC2E53" w:rsidRPr="00BB5241" w:rsidRDefault="005430B6" w:rsidP="00212686">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highlight w:val="white"/>
        </w:rPr>
        <w:t>A comprehensive</w:t>
      </w:r>
      <w:r w:rsidRPr="00BB5241">
        <w:rPr>
          <w:rFonts w:ascii="Times New Roman" w:eastAsia="Times New Roman" w:hAnsi="Times New Roman" w:cs="Times New Roman"/>
        </w:rPr>
        <w:t xml:space="preserve"> </w:t>
      </w:r>
      <w:r w:rsidRPr="00BB5241">
        <w:rPr>
          <w:rFonts w:ascii="Times New Roman" w:eastAsia="Times New Roman" w:hAnsi="Times New Roman" w:cs="Times New Roman"/>
          <w:highlight w:val="white"/>
        </w:rPr>
        <w:t xml:space="preserve">and consistent progression from one tier to another requires </w:t>
      </w:r>
      <w:r w:rsidRPr="00BB5241">
        <w:rPr>
          <w:rFonts w:ascii="Times New Roman" w:eastAsia="Times New Roman" w:hAnsi="Times New Roman" w:cs="Times New Roman"/>
        </w:rPr>
        <w:t>the definition of limits of concern that either trigger additional studies (if the initial assessment indicates a potential for harm) or a decision to stop further testing (</w:t>
      </w:r>
      <w:r w:rsidRPr="0098625C">
        <w:rPr>
          <w:rFonts w:ascii="Times New Roman" w:eastAsia="Times New Roman" w:hAnsi="Times New Roman" w:cs="Times New Roman"/>
        </w:rPr>
        <w:t>Raybould, 2011</w:t>
      </w:r>
      <w:r w:rsidRPr="00BB5241">
        <w:rPr>
          <w:rFonts w:ascii="Times New Roman" w:eastAsia="Times New Roman" w:hAnsi="Times New Roman" w:cs="Times New Roman"/>
        </w:rPr>
        <w:t>). Limits of concern may be set conservatively and categorically (more, few, no more than, no less than, etc.) early in the risk assessment</w:t>
      </w:r>
      <w:r w:rsidR="00A917A3">
        <w:rPr>
          <w:rFonts w:ascii="Times New Roman" w:eastAsia="Times New Roman" w:hAnsi="Times New Roman" w:cs="Times New Roman"/>
        </w:rPr>
        <w:t>.</w:t>
      </w:r>
      <w:r w:rsidRPr="00BB5241">
        <w:rPr>
          <w:rFonts w:ascii="Times New Roman" w:eastAsia="Times New Roman" w:hAnsi="Times New Roman" w:cs="Times New Roman"/>
        </w:rPr>
        <w:t xml:space="preserve"> </w:t>
      </w:r>
      <w:r w:rsidR="00A917A3">
        <w:rPr>
          <w:rFonts w:ascii="Times New Roman" w:eastAsia="Times New Roman" w:hAnsi="Times New Roman" w:cs="Times New Roman"/>
        </w:rPr>
        <w:t>T</w:t>
      </w:r>
      <w:r w:rsidRPr="00BB5241">
        <w:rPr>
          <w:rFonts w:ascii="Times New Roman" w:eastAsia="Times New Roman" w:hAnsi="Times New Roman" w:cs="Times New Roman"/>
        </w:rPr>
        <w:t>hey are only set precisely (quantitatively) if a conservative assessment indicates the potential for harm. Limits of concern are directly related to whether the studies are performed in the laboratory or in the field. For laboratory studies, limits of concern are conservative trigger values (i.e.</w:t>
      </w:r>
      <w:r w:rsidR="002124F0" w:rsidRPr="00BB5241">
        <w:rPr>
          <w:rFonts w:ascii="Times New Roman" w:eastAsia="Times New Roman" w:hAnsi="Times New Roman" w:cs="Times New Roman"/>
        </w:rPr>
        <w:t>,</w:t>
      </w:r>
      <w:r w:rsidRPr="00BB5241">
        <w:rPr>
          <w:rFonts w:ascii="Times New Roman" w:eastAsia="Times New Roman" w:hAnsi="Times New Roman" w:cs="Times New Roman"/>
        </w:rPr>
        <w:t xml:space="preserve"> low values) which if exceeded indicate potential harm and the need for exposure assessments and determination of field-scale effects (</w:t>
      </w:r>
      <w:r w:rsidRPr="0098625C">
        <w:rPr>
          <w:rFonts w:ascii="Times New Roman" w:eastAsia="Times New Roman" w:hAnsi="Times New Roman" w:cs="Times New Roman"/>
        </w:rPr>
        <w:t>Raybould, 2011</w:t>
      </w:r>
      <w:r w:rsidRPr="00BB5241">
        <w:rPr>
          <w:rFonts w:ascii="Times New Roman" w:eastAsia="Times New Roman" w:hAnsi="Times New Roman" w:cs="Times New Roman"/>
        </w:rPr>
        <w:t>). For field studies, the lower limit will usually be defined by a threshold effect, i.e., the lowest effect to cause environmental harm (</w:t>
      </w:r>
      <w:r w:rsidRPr="0098625C">
        <w:rPr>
          <w:rFonts w:ascii="Times New Roman" w:eastAsia="Times New Roman" w:hAnsi="Times New Roman" w:cs="Times New Roman"/>
        </w:rPr>
        <w:t>Perry and others, 2009</w:t>
      </w:r>
      <w:r w:rsidRPr="00BB5241">
        <w:rPr>
          <w:rFonts w:ascii="Times New Roman" w:eastAsia="Times New Roman" w:hAnsi="Times New Roman" w:cs="Times New Roman"/>
        </w:rPr>
        <w:t xml:space="preserve">). Knowing in advance the size of the effect to be determined is crucial because this </w:t>
      </w:r>
      <w:r w:rsidRPr="000962E0">
        <w:rPr>
          <w:rFonts w:ascii="Times New Roman" w:eastAsia="Times New Roman" w:hAnsi="Times New Roman" w:cs="Times New Roman"/>
        </w:rPr>
        <w:t xml:space="preserve">information will enable an assessment of the ability of the study to detect harm. Limits of concern are estimated from literature data, </w:t>
      </w:r>
      <w:proofErr w:type="gramStart"/>
      <w:r w:rsidRPr="000962E0">
        <w:rPr>
          <w:rFonts w:ascii="Times New Roman" w:eastAsia="Times New Roman" w:hAnsi="Times New Roman" w:cs="Times New Roman"/>
        </w:rPr>
        <w:t>modelling</w:t>
      </w:r>
      <w:proofErr w:type="gramEnd"/>
      <w:r w:rsidRPr="000962E0">
        <w:rPr>
          <w:rFonts w:ascii="Times New Roman" w:eastAsia="Times New Roman" w:hAnsi="Times New Roman" w:cs="Times New Roman"/>
        </w:rPr>
        <w:t xml:space="preserve"> and existing knowledge (Perry and others, 2009</w:t>
      </w:r>
      <w:r w:rsidR="00EE1310" w:rsidRPr="000962E0">
        <w:rPr>
          <w:rFonts w:ascii="Times New Roman" w:eastAsia="Times New Roman" w:hAnsi="Times New Roman" w:cs="Times New Roman"/>
          <w:color w:val="000000" w:themeColor="text1"/>
        </w:rPr>
        <w:t xml:space="preserve">; </w:t>
      </w:r>
      <w:r w:rsidR="00585602" w:rsidRPr="000962E0">
        <w:rPr>
          <w:rFonts w:ascii="Times New Roman" w:eastAsia="Times New Roman" w:hAnsi="Times New Roman" w:cs="Times New Roman"/>
          <w:color w:val="000000" w:themeColor="text1"/>
        </w:rPr>
        <w:t>Dolezel and others, 2017, 2018</w:t>
      </w:r>
      <w:r w:rsidRPr="000962E0">
        <w:rPr>
          <w:rFonts w:ascii="Times New Roman" w:eastAsia="Times New Roman" w:hAnsi="Times New Roman" w:cs="Times New Roman"/>
        </w:rPr>
        <w:t>).</w:t>
      </w:r>
      <w:r w:rsidRPr="00BB5241">
        <w:rPr>
          <w:rFonts w:ascii="Times New Roman" w:eastAsia="Times New Roman" w:hAnsi="Times New Roman" w:cs="Times New Roman"/>
        </w:rPr>
        <w:t xml:space="preserve"> </w:t>
      </w:r>
    </w:p>
    <w:p w14:paraId="7ADF342E" w14:textId="3417D553" w:rsidR="00DC2E53" w:rsidRPr="00CA0582" w:rsidRDefault="00DD7AFB" w:rsidP="00212686">
      <w:pPr>
        <w:pStyle w:val="Heading3"/>
        <w:spacing w:line="276" w:lineRule="auto"/>
        <w:rPr>
          <w:rFonts w:ascii="Times New Roman" w:eastAsia="Times New Roman" w:hAnsi="Times New Roman" w:cs="Times New Roman"/>
          <w:b/>
          <w:bCs/>
          <w:color w:val="auto"/>
          <w:lang w:val="en-GB"/>
        </w:rPr>
      </w:pPr>
      <w:bookmarkStart w:id="65" w:name="_Toc22"/>
      <w:bookmarkStart w:id="66" w:name="_Toc161220502"/>
      <w:r w:rsidRPr="12D14FCC">
        <w:rPr>
          <w:rFonts w:ascii="Times New Roman" w:eastAsia="Times New Roman" w:hAnsi="Times New Roman" w:cs="Times New Roman"/>
          <w:b/>
          <w:bCs/>
          <w:color w:val="auto"/>
          <w:lang w:val="en-GB"/>
        </w:rPr>
        <w:t>4</w:t>
      </w:r>
      <w:r w:rsidR="005430B6" w:rsidRPr="12D14FCC">
        <w:rPr>
          <w:rFonts w:ascii="Times New Roman" w:eastAsia="Times New Roman" w:hAnsi="Times New Roman" w:cs="Times New Roman"/>
          <w:b/>
          <w:bCs/>
          <w:color w:val="auto"/>
          <w:lang w:val="en-GB"/>
        </w:rPr>
        <w:t>.</w:t>
      </w:r>
      <w:r w:rsidR="002F1105" w:rsidRPr="12D14FCC">
        <w:rPr>
          <w:rFonts w:ascii="Times New Roman" w:eastAsia="Times New Roman" w:hAnsi="Times New Roman" w:cs="Times New Roman"/>
          <w:b/>
          <w:bCs/>
          <w:color w:val="auto"/>
          <w:lang w:val="en-GB"/>
        </w:rPr>
        <w:t>2.</w:t>
      </w:r>
      <w:r w:rsidR="00CA0582" w:rsidRPr="12D14FCC">
        <w:rPr>
          <w:rFonts w:ascii="Times New Roman" w:eastAsia="Times New Roman" w:hAnsi="Times New Roman" w:cs="Times New Roman"/>
          <w:b/>
          <w:bCs/>
          <w:color w:val="auto"/>
          <w:lang w:val="en-GB"/>
        </w:rPr>
        <w:t>6</w:t>
      </w:r>
      <w:r w:rsidR="005467F6" w:rsidRPr="12D14FCC">
        <w:rPr>
          <w:rFonts w:ascii="Times New Roman" w:eastAsia="Times New Roman" w:hAnsi="Times New Roman" w:cs="Times New Roman"/>
          <w:b/>
          <w:bCs/>
          <w:color w:val="auto"/>
          <w:lang w:val="en-GB"/>
        </w:rPr>
        <w:t>.</w:t>
      </w:r>
      <w:r w:rsidR="005430B6" w:rsidRPr="12D14FCC">
        <w:rPr>
          <w:rFonts w:ascii="Times New Roman" w:eastAsia="Times New Roman" w:hAnsi="Times New Roman" w:cs="Times New Roman"/>
          <w:b/>
          <w:bCs/>
          <w:color w:val="auto"/>
          <w:lang w:val="en-GB"/>
        </w:rPr>
        <w:t xml:space="preserve"> Weight of evidence</w:t>
      </w:r>
      <w:bookmarkEnd w:id="65"/>
      <w:bookmarkEnd w:id="66"/>
    </w:p>
    <w:p w14:paraId="55C5BF76" w14:textId="0A7FD12D" w:rsidR="00305F0A" w:rsidRPr="00D47BE7" w:rsidRDefault="00263382" w:rsidP="00D47BE7">
      <w:pPr>
        <w:spacing w:line="276" w:lineRule="auto"/>
        <w:jc w:val="both"/>
        <w:rPr>
          <w:rFonts w:ascii="Times New Roman" w:eastAsia="Times New Roman" w:hAnsi="Times New Roman" w:cs="Times New Roman"/>
          <w:highlight w:val="white"/>
        </w:rPr>
      </w:pPr>
      <w:bookmarkStart w:id="67" w:name="_Toc159015811"/>
      <w:bookmarkStart w:id="68" w:name="_Toc159410309"/>
      <w:r w:rsidRPr="00D47BE7">
        <w:rPr>
          <w:rFonts w:ascii="Times New Roman" w:eastAsia="Times New Roman" w:hAnsi="Times New Roman" w:cs="Times New Roman"/>
          <w:highlight w:val="white"/>
        </w:rPr>
        <w:t xml:space="preserve">The weight of evidence approach can be defined as a </w:t>
      </w:r>
      <w:r w:rsidRPr="00315D12">
        <w:rPr>
          <w:rFonts w:ascii="Times New Roman" w:eastAsia="Times New Roman" w:hAnsi="Times New Roman" w:cs="Times New Roman"/>
        </w:rPr>
        <w:t xml:space="preserve">process in which </w:t>
      </w:r>
      <w:r w:rsidR="00761035" w:rsidRPr="00315D12">
        <w:rPr>
          <w:rFonts w:ascii="Times New Roman" w:eastAsia="Times New Roman" w:hAnsi="Times New Roman" w:cs="Times New Roman"/>
        </w:rPr>
        <w:t>information</w:t>
      </w:r>
      <w:r w:rsidRPr="00315D12">
        <w:rPr>
          <w:rFonts w:ascii="Times New Roman" w:eastAsia="Times New Roman" w:hAnsi="Times New Roman" w:cs="Times New Roman"/>
        </w:rPr>
        <w:t xml:space="preserve"> is integrated to determine the relative support for possible answers to a question</w:t>
      </w:r>
      <w:r w:rsidR="00F214F9" w:rsidRPr="00315D12">
        <w:rPr>
          <w:rFonts w:ascii="Times New Roman" w:eastAsia="Times New Roman" w:hAnsi="Times New Roman" w:cs="Times New Roman"/>
        </w:rPr>
        <w:t xml:space="preserve"> (EFSA, 2017)</w:t>
      </w:r>
      <w:r w:rsidRPr="00315D12">
        <w:rPr>
          <w:rFonts w:ascii="Times New Roman" w:eastAsia="Times New Roman" w:hAnsi="Times New Roman" w:cs="Times New Roman"/>
        </w:rPr>
        <w:t xml:space="preserve">. </w:t>
      </w:r>
      <w:r w:rsidR="00FD59A2" w:rsidRPr="00315D12">
        <w:rPr>
          <w:rFonts w:ascii="Times New Roman" w:eastAsia="Times New Roman" w:hAnsi="Times New Roman" w:cs="Times New Roman"/>
        </w:rPr>
        <w:t>Concretely</w:t>
      </w:r>
      <w:r w:rsidR="00FD59A2" w:rsidRPr="00D47BE7">
        <w:rPr>
          <w:rFonts w:ascii="Times New Roman" w:eastAsia="Times New Roman" w:hAnsi="Times New Roman" w:cs="Times New Roman"/>
          <w:highlight w:val="white"/>
        </w:rPr>
        <w:t xml:space="preserve">, it means </w:t>
      </w:r>
      <w:r w:rsidR="00A917A3" w:rsidRPr="00D47BE7">
        <w:rPr>
          <w:rFonts w:ascii="Times New Roman" w:eastAsia="Times New Roman" w:hAnsi="Times New Roman" w:cs="Times New Roman"/>
          <w:highlight w:val="white"/>
        </w:rPr>
        <w:t>using</w:t>
      </w:r>
      <w:r w:rsidR="00684847" w:rsidRPr="00D47BE7">
        <w:rPr>
          <w:rFonts w:ascii="Times New Roman" w:eastAsia="Times New Roman" w:hAnsi="Times New Roman" w:cs="Times New Roman"/>
          <w:highlight w:val="white"/>
        </w:rPr>
        <w:t xml:space="preserve"> </w:t>
      </w:r>
      <w:r w:rsidR="009648C9" w:rsidRPr="00D47BE7">
        <w:rPr>
          <w:rFonts w:ascii="Times New Roman" w:eastAsia="Times New Roman" w:hAnsi="Times New Roman" w:cs="Times New Roman"/>
          <w:highlight w:val="white"/>
        </w:rPr>
        <w:t xml:space="preserve">a combination of information </w:t>
      </w:r>
      <w:r w:rsidR="005202AF" w:rsidRPr="00D47BE7">
        <w:rPr>
          <w:rFonts w:ascii="Times New Roman" w:eastAsia="Times New Roman" w:hAnsi="Times New Roman" w:cs="Times New Roman"/>
          <w:highlight w:val="white"/>
        </w:rPr>
        <w:t xml:space="preserve">derived </w:t>
      </w:r>
      <w:r w:rsidR="009648C9" w:rsidRPr="00D47BE7">
        <w:rPr>
          <w:rFonts w:ascii="Times New Roman" w:eastAsia="Times New Roman" w:hAnsi="Times New Roman" w:cs="Times New Roman"/>
          <w:highlight w:val="white"/>
        </w:rPr>
        <w:t>from several independent sources to give sufficient evidence to fulfil an information requirement.</w:t>
      </w:r>
      <w:r w:rsidR="00CC3843" w:rsidRPr="00D47BE7">
        <w:rPr>
          <w:rFonts w:ascii="Times New Roman" w:eastAsia="Times New Roman" w:hAnsi="Times New Roman" w:cs="Times New Roman"/>
          <w:highlight w:val="white"/>
        </w:rPr>
        <w:t xml:space="preserve"> </w:t>
      </w:r>
      <w:r w:rsidR="009648C9" w:rsidRPr="00D47BE7">
        <w:rPr>
          <w:rFonts w:ascii="Times New Roman" w:eastAsia="Times New Roman" w:hAnsi="Times New Roman" w:cs="Times New Roman"/>
          <w:highlight w:val="white"/>
        </w:rPr>
        <w:t xml:space="preserve">This approach is </w:t>
      </w:r>
      <w:r w:rsidR="00C5061E" w:rsidRPr="00D47BE7">
        <w:rPr>
          <w:rFonts w:ascii="Times New Roman" w:eastAsia="Times New Roman" w:hAnsi="Times New Roman" w:cs="Times New Roman"/>
          <w:highlight w:val="white"/>
        </w:rPr>
        <w:t xml:space="preserve">helpful, </w:t>
      </w:r>
      <w:r w:rsidR="009648C9" w:rsidRPr="00D47BE7">
        <w:rPr>
          <w:rFonts w:ascii="Times New Roman" w:eastAsia="Times New Roman" w:hAnsi="Times New Roman" w:cs="Times New Roman"/>
          <w:highlight w:val="white"/>
        </w:rPr>
        <w:t>when</w:t>
      </w:r>
      <w:r w:rsidR="00C5061E" w:rsidRPr="00D47BE7">
        <w:rPr>
          <w:rFonts w:ascii="Times New Roman" w:eastAsia="Times New Roman" w:hAnsi="Times New Roman" w:cs="Times New Roman"/>
          <w:highlight w:val="white"/>
        </w:rPr>
        <w:t xml:space="preserve">: (1) </w:t>
      </w:r>
      <w:r w:rsidR="009648C9" w:rsidRPr="00D47BE7">
        <w:rPr>
          <w:rFonts w:ascii="Times New Roman" w:eastAsia="Times New Roman" w:hAnsi="Times New Roman" w:cs="Times New Roman"/>
          <w:highlight w:val="white"/>
        </w:rPr>
        <w:t>the information from a single piece of evidence alone is not sufficient to fulfil an information requirement</w:t>
      </w:r>
      <w:r w:rsidR="00DA5097" w:rsidRPr="00D47BE7">
        <w:rPr>
          <w:rFonts w:ascii="Times New Roman" w:eastAsia="Times New Roman" w:hAnsi="Times New Roman" w:cs="Times New Roman"/>
          <w:highlight w:val="white"/>
        </w:rPr>
        <w:t xml:space="preserve">; and (2) </w:t>
      </w:r>
      <w:r w:rsidR="009648C9" w:rsidRPr="00D47BE7">
        <w:rPr>
          <w:rFonts w:ascii="Times New Roman" w:eastAsia="Times New Roman" w:hAnsi="Times New Roman" w:cs="Times New Roman"/>
          <w:highlight w:val="white"/>
        </w:rPr>
        <w:t>individual studies</w:t>
      </w:r>
      <w:r w:rsidR="00AE76EE" w:rsidRPr="00D47BE7">
        <w:rPr>
          <w:rFonts w:ascii="Times New Roman" w:eastAsia="Times New Roman" w:hAnsi="Times New Roman" w:cs="Times New Roman"/>
          <w:highlight w:val="white"/>
        </w:rPr>
        <w:t xml:space="preserve"> u</w:t>
      </w:r>
      <w:r w:rsidR="009575A5" w:rsidRPr="00D47BE7">
        <w:rPr>
          <w:rFonts w:ascii="Times New Roman" w:eastAsia="Times New Roman" w:hAnsi="Times New Roman" w:cs="Times New Roman"/>
          <w:highlight w:val="white"/>
        </w:rPr>
        <w:t>s</w:t>
      </w:r>
      <w:r w:rsidR="00AE76EE" w:rsidRPr="00D47BE7">
        <w:rPr>
          <w:rFonts w:ascii="Times New Roman" w:eastAsia="Times New Roman" w:hAnsi="Times New Roman" w:cs="Times New Roman"/>
          <w:highlight w:val="white"/>
        </w:rPr>
        <w:t>ing similar methodologies</w:t>
      </w:r>
      <w:r w:rsidR="009648C9" w:rsidRPr="00D47BE7">
        <w:rPr>
          <w:rFonts w:ascii="Times New Roman" w:eastAsia="Times New Roman" w:hAnsi="Times New Roman" w:cs="Times New Roman"/>
          <w:highlight w:val="white"/>
        </w:rPr>
        <w:t xml:space="preserve"> provide different or conflicting conclusions.</w:t>
      </w:r>
      <w:r w:rsidR="00CC3843" w:rsidRPr="00D47BE7">
        <w:rPr>
          <w:rFonts w:ascii="Times New Roman" w:eastAsia="Times New Roman" w:hAnsi="Times New Roman" w:cs="Times New Roman"/>
          <w:highlight w:val="white"/>
        </w:rPr>
        <w:t xml:space="preserve"> </w:t>
      </w:r>
      <w:r w:rsidR="009648C9" w:rsidRPr="00D47BE7">
        <w:rPr>
          <w:rFonts w:ascii="Times New Roman" w:eastAsia="Times New Roman" w:hAnsi="Times New Roman" w:cs="Times New Roman"/>
          <w:highlight w:val="white"/>
        </w:rPr>
        <w:t>The weight give</w:t>
      </w:r>
      <w:r w:rsidR="00E95026" w:rsidRPr="00D47BE7">
        <w:rPr>
          <w:rFonts w:ascii="Times New Roman" w:eastAsia="Times New Roman" w:hAnsi="Times New Roman" w:cs="Times New Roman"/>
          <w:highlight w:val="white"/>
        </w:rPr>
        <w:t>n</w:t>
      </w:r>
      <w:r w:rsidR="009648C9" w:rsidRPr="00D47BE7">
        <w:rPr>
          <w:rFonts w:ascii="Times New Roman" w:eastAsia="Times New Roman" w:hAnsi="Times New Roman" w:cs="Times New Roman"/>
          <w:highlight w:val="white"/>
        </w:rPr>
        <w:t xml:space="preserve"> to the available evidence depends on factors such as the quality of the data, consistency of results, </w:t>
      </w:r>
      <w:r w:rsidR="004E20B3" w:rsidRPr="00D47BE7">
        <w:rPr>
          <w:rFonts w:ascii="Times New Roman" w:eastAsia="Times New Roman" w:hAnsi="Times New Roman" w:cs="Times New Roman"/>
          <w:highlight w:val="white"/>
        </w:rPr>
        <w:t xml:space="preserve">epistemic uncertainty and variability, </w:t>
      </w:r>
      <w:r w:rsidR="009648C9" w:rsidRPr="00D47BE7">
        <w:rPr>
          <w:rFonts w:ascii="Times New Roman" w:eastAsia="Times New Roman" w:hAnsi="Times New Roman" w:cs="Times New Roman"/>
          <w:highlight w:val="white"/>
        </w:rPr>
        <w:t>nature and severity of effects and relevance of the information.</w:t>
      </w:r>
      <w:r w:rsidR="00CC3843" w:rsidRPr="00D47BE7">
        <w:rPr>
          <w:rFonts w:ascii="Times New Roman" w:eastAsia="Times New Roman" w:hAnsi="Times New Roman" w:cs="Times New Roman"/>
          <w:highlight w:val="white"/>
        </w:rPr>
        <w:t xml:space="preserve"> </w:t>
      </w:r>
      <w:r w:rsidR="009648C9" w:rsidRPr="00D47BE7">
        <w:rPr>
          <w:rFonts w:ascii="Times New Roman" w:eastAsia="Times New Roman" w:hAnsi="Times New Roman" w:cs="Times New Roman"/>
          <w:highlight w:val="white"/>
        </w:rPr>
        <w:t xml:space="preserve">The weight of evidence approach requires </w:t>
      </w:r>
      <w:r w:rsidR="00DA5097" w:rsidRPr="00D47BE7">
        <w:rPr>
          <w:rFonts w:ascii="Times New Roman" w:eastAsia="Times New Roman" w:hAnsi="Times New Roman" w:cs="Times New Roman"/>
          <w:highlight w:val="white"/>
        </w:rPr>
        <w:t xml:space="preserve">the </w:t>
      </w:r>
      <w:r w:rsidR="009648C9" w:rsidRPr="00D47BE7">
        <w:rPr>
          <w:rFonts w:ascii="Times New Roman" w:eastAsia="Times New Roman" w:hAnsi="Times New Roman" w:cs="Times New Roman"/>
          <w:highlight w:val="white"/>
        </w:rPr>
        <w:t>use of scientific judgment and, therefore, it is essential to provide adequate and reliable documentation.</w:t>
      </w:r>
      <w:bookmarkEnd w:id="67"/>
      <w:bookmarkEnd w:id="68"/>
      <w:r w:rsidR="00CC3843" w:rsidRPr="00D47BE7">
        <w:rPr>
          <w:rFonts w:ascii="Times New Roman" w:eastAsia="Times New Roman" w:hAnsi="Times New Roman" w:cs="Times New Roman"/>
          <w:highlight w:val="white"/>
        </w:rPr>
        <w:t xml:space="preserve"> </w:t>
      </w:r>
      <w:bookmarkStart w:id="69" w:name="_Toc23"/>
    </w:p>
    <w:p w14:paraId="63694453" w14:textId="04A1F0DF" w:rsidR="00DC2E53" w:rsidRPr="00CA0582" w:rsidRDefault="00DD7AFB" w:rsidP="00212686">
      <w:pPr>
        <w:pStyle w:val="Heading3"/>
        <w:spacing w:line="276" w:lineRule="auto"/>
        <w:rPr>
          <w:rFonts w:ascii="Times New Roman" w:eastAsia="Times New Roman" w:hAnsi="Times New Roman" w:cs="Times New Roman"/>
          <w:b/>
          <w:bCs/>
          <w:color w:val="auto"/>
          <w:lang w:val="en-GB"/>
        </w:rPr>
      </w:pPr>
      <w:bookmarkStart w:id="70" w:name="_Toc161220503"/>
      <w:r w:rsidRPr="00CA0582">
        <w:rPr>
          <w:rFonts w:ascii="Times New Roman" w:eastAsia="Times New Roman" w:hAnsi="Times New Roman" w:cs="Times New Roman"/>
          <w:b/>
          <w:bCs/>
          <w:color w:val="auto"/>
          <w:lang w:val="en-GB"/>
        </w:rPr>
        <w:t>4</w:t>
      </w:r>
      <w:r w:rsidR="005430B6" w:rsidRPr="00CA0582">
        <w:rPr>
          <w:rFonts w:ascii="Times New Roman" w:eastAsia="Times New Roman" w:hAnsi="Times New Roman" w:cs="Times New Roman"/>
          <w:b/>
          <w:bCs/>
          <w:color w:val="auto"/>
          <w:lang w:val="en-GB"/>
        </w:rPr>
        <w:t>.</w:t>
      </w:r>
      <w:r w:rsidR="002F1105" w:rsidRPr="00CA0582">
        <w:rPr>
          <w:rFonts w:ascii="Times New Roman" w:eastAsia="Times New Roman" w:hAnsi="Times New Roman" w:cs="Times New Roman"/>
          <w:b/>
          <w:bCs/>
          <w:color w:val="auto"/>
          <w:lang w:val="en-GB"/>
        </w:rPr>
        <w:t>2.</w:t>
      </w:r>
      <w:r w:rsidR="00CA0582" w:rsidRPr="00CA0582">
        <w:rPr>
          <w:rFonts w:ascii="Times New Roman" w:eastAsia="Times New Roman" w:hAnsi="Times New Roman" w:cs="Times New Roman"/>
          <w:b/>
          <w:bCs/>
          <w:color w:val="auto"/>
          <w:lang w:val="en-GB"/>
        </w:rPr>
        <w:t>7</w:t>
      </w:r>
      <w:r w:rsidR="006020C0" w:rsidRPr="00CA0582">
        <w:rPr>
          <w:rFonts w:ascii="Times New Roman" w:eastAsia="Times New Roman" w:hAnsi="Times New Roman" w:cs="Times New Roman"/>
          <w:b/>
          <w:bCs/>
          <w:color w:val="auto"/>
          <w:lang w:val="en-GB"/>
        </w:rPr>
        <w:t>.</w:t>
      </w:r>
      <w:r w:rsidR="005430B6" w:rsidRPr="00CA0582">
        <w:rPr>
          <w:rFonts w:ascii="Times New Roman" w:eastAsia="Times New Roman" w:hAnsi="Times New Roman" w:cs="Times New Roman"/>
          <w:b/>
          <w:bCs/>
          <w:color w:val="auto"/>
          <w:lang w:val="en-GB"/>
        </w:rPr>
        <w:t xml:space="preserve"> Uncertainties</w:t>
      </w:r>
      <w:bookmarkEnd w:id="69"/>
      <w:bookmarkEnd w:id="70"/>
    </w:p>
    <w:p w14:paraId="373FB9E8" w14:textId="53C87E59" w:rsidR="00DC2E53" w:rsidRPr="00BB5241" w:rsidRDefault="005430B6" w:rsidP="00510EBB">
      <w:pPr>
        <w:pStyle w:val="Para1"/>
        <w:numPr>
          <w:ilvl w:val="0"/>
          <w:numId w:val="0"/>
        </w:numPr>
        <w:spacing w:before="0" w:after="160" w:line="276" w:lineRule="auto"/>
      </w:pPr>
      <w:r w:rsidRPr="00503108">
        <w:rPr>
          <w:szCs w:val="22"/>
          <w14:ligatures w14:val="standardContextual"/>
        </w:rPr>
        <w:t xml:space="preserve">Uncertainty is an inherent element of scientific analysis and </w:t>
      </w:r>
      <w:r w:rsidRPr="00BB5241">
        <w:t>risk assessment, and it is especially important in risk assessment involving technologies, such as EGD-LMO</w:t>
      </w:r>
      <w:r w:rsidR="0065671D" w:rsidRPr="00BB5241">
        <w:t xml:space="preserve"> application</w:t>
      </w:r>
      <w:r w:rsidRPr="00BB5241">
        <w:t xml:space="preserve">s. The proposed </w:t>
      </w:r>
      <w:r w:rsidR="0005274F" w:rsidRPr="00BB5241">
        <w:t xml:space="preserve">intentional </w:t>
      </w:r>
      <w:r w:rsidRPr="00BB5241">
        <w:t>release of EGD-LMOs is likely to raise questions of uncertainty and unpredictability, including questions regarding their potential unintended effects on biodiversity</w:t>
      </w:r>
      <w:r w:rsidR="004C7C81" w:rsidRPr="00BB5241">
        <w:t>.</w:t>
      </w:r>
      <w:r w:rsidR="004C7C81" w:rsidRPr="00BB5241" w:rsidDel="004C7C81">
        <w:t xml:space="preserve"> </w:t>
      </w:r>
      <w:r w:rsidRPr="00BB5241">
        <w:t>Consequently, caution and a</w:t>
      </w:r>
      <w:r w:rsidR="005A17C9" w:rsidRPr="00BB5241">
        <w:t>n</w:t>
      </w:r>
      <w:r w:rsidRPr="00BB5241">
        <w:t xml:space="preserve"> </w:t>
      </w:r>
      <w:r w:rsidRPr="00315D12">
        <w:t xml:space="preserve">assessment of uncertainty are imperative for the effective </w:t>
      </w:r>
      <w:r w:rsidR="00FF10C1" w:rsidRPr="00315D12">
        <w:t xml:space="preserve">risk assessment </w:t>
      </w:r>
      <w:r w:rsidRPr="00315D12">
        <w:t>of EGD-LMOs (</w:t>
      </w:r>
      <w:r w:rsidR="00A917A3" w:rsidRPr="00315D12">
        <w:t>Devos and others, 2021</w:t>
      </w:r>
      <w:r w:rsidR="00315D12" w:rsidRPr="00315D12">
        <w:t>b</w:t>
      </w:r>
      <w:r w:rsidR="00A917A3" w:rsidRPr="00315D12">
        <w:t xml:space="preserve">; </w:t>
      </w:r>
      <w:r w:rsidRPr="00315D12">
        <w:t>Connolly</w:t>
      </w:r>
      <w:r w:rsidRPr="0098625C">
        <w:t xml:space="preserve"> and others, 2022;</w:t>
      </w:r>
      <w:r w:rsidRPr="00BB5241">
        <w:t xml:space="preserve"> </w:t>
      </w:r>
      <w:r w:rsidRPr="0098625C">
        <w:t>Rabitz and others, 2022</w:t>
      </w:r>
      <w:r w:rsidRPr="00BB5241">
        <w:t>).</w:t>
      </w:r>
    </w:p>
    <w:p w14:paraId="71C78DF7" w14:textId="1F5FED77" w:rsidR="00B71682" w:rsidRPr="00BB5241" w:rsidRDefault="00B71682" w:rsidP="00B71682">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Uncertainty in risk assessment arises in the language, input data, </w:t>
      </w:r>
      <w:proofErr w:type="gramStart"/>
      <w:r w:rsidRPr="00BB5241">
        <w:rPr>
          <w:rFonts w:ascii="Times New Roman" w:eastAsia="Times New Roman" w:hAnsi="Times New Roman" w:cs="Times New Roman"/>
        </w:rPr>
        <w:t>models</w:t>
      </w:r>
      <w:proofErr w:type="gramEnd"/>
      <w:r w:rsidRPr="00BB5241">
        <w:rPr>
          <w:rFonts w:ascii="Times New Roman" w:eastAsia="Times New Roman" w:hAnsi="Times New Roman" w:cs="Times New Roman"/>
        </w:rPr>
        <w:t xml:space="preserve"> and parameters of the assessment. It may also arise in the context of the problem and in the values, </w:t>
      </w:r>
      <w:proofErr w:type="gramStart"/>
      <w:r w:rsidRPr="00BB5241">
        <w:rPr>
          <w:rFonts w:ascii="Times New Roman" w:eastAsia="Times New Roman" w:hAnsi="Times New Roman" w:cs="Times New Roman"/>
        </w:rPr>
        <w:t>intentions</w:t>
      </w:r>
      <w:proofErr w:type="gramEnd"/>
      <w:r w:rsidRPr="00BB5241">
        <w:rPr>
          <w:rFonts w:ascii="Times New Roman" w:eastAsia="Times New Roman" w:hAnsi="Times New Roman" w:cs="Times New Roman"/>
        </w:rPr>
        <w:t xml:space="preserve"> and behaviour of human beings. </w:t>
      </w:r>
      <w:r w:rsidR="00AD12B7" w:rsidRPr="00BB5241">
        <w:rPr>
          <w:rFonts w:ascii="Times New Roman" w:eastAsia="Times New Roman" w:hAnsi="Times New Roman" w:cs="Times New Roman"/>
        </w:rPr>
        <w:t>Risk assessors can encounter t</w:t>
      </w:r>
      <w:r w:rsidRPr="00BB5241">
        <w:rPr>
          <w:rFonts w:ascii="Times New Roman" w:eastAsia="Times New Roman" w:hAnsi="Times New Roman" w:cs="Times New Roman"/>
        </w:rPr>
        <w:t>hree types of uncertainty:</w:t>
      </w:r>
    </w:p>
    <w:p w14:paraId="0F9E3BAA" w14:textId="6CE28B03" w:rsidR="00B71682" w:rsidRPr="00BB5241" w:rsidRDefault="00B71682" w:rsidP="00510EBB">
      <w:pPr>
        <w:pStyle w:val="ListParagraph"/>
        <w:numPr>
          <w:ilvl w:val="0"/>
          <w:numId w:val="29"/>
        </w:numPr>
        <w:spacing w:line="276" w:lineRule="auto"/>
        <w:rPr>
          <w:rFonts w:ascii="Times New Roman" w:eastAsia="Times New Roman" w:hAnsi="Times New Roman"/>
        </w:rPr>
      </w:pPr>
      <w:r w:rsidRPr="00BB5241">
        <w:rPr>
          <w:rFonts w:ascii="Times New Roman" w:eastAsia="Times New Roman" w:hAnsi="Times New Roman"/>
        </w:rPr>
        <w:t>Linguistic uncertainty: the uncertainty created by language that is either deliberately or inadvertently imprecise</w:t>
      </w:r>
      <w:r w:rsidR="005371AD" w:rsidRPr="00BB5241">
        <w:rPr>
          <w:rFonts w:ascii="Times New Roman" w:eastAsia="Times New Roman" w:hAnsi="Times New Roman"/>
        </w:rPr>
        <w:t>;</w:t>
      </w:r>
    </w:p>
    <w:p w14:paraId="446390D8" w14:textId="0056076B" w:rsidR="00B71682" w:rsidRPr="00BB5241" w:rsidRDefault="00B71682" w:rsidP="00510EBB">
      <w:pPr>
        <w:pStyle w:val="ListParagraph"/>
        <w:numPr>
          <w:ilvl w:val="0"/>
          <w:numId w:val="29"/>
        </w:numPr>
        <w:spacing w:line="276" w:lineRule="auto"/>
        <w:rPr>
          <w:rFonts w:ascii="Times New Roman" w:eastAsia="Times New Roman" w:hAnsi="Times New Roman"/>
        </w:rPr>
      </w:pPr>
      <w:r w:rsidRPr="00BB5241">
        <w:rPr>
          <w:rFonts w:ascii="Times New Roman" w:eastAsia="Times New Roman" w:hAnsi="Times New Roman"/>
        </w:rPr>
        <w:t>Epistemic uncertainty: the uncertainty created by imperfect knowledge about something that is in principle knowable, and therefore in principle reducible with additional research and observation</w:t>
      </w:r>
      <w:r w:rsidR="005371AD" w:rsidRPr="00BB5241">
        <w:rPr>
          <w:rFonts w:ascii="Times New Roman" w:eastAsia="Times New Roman" w:hAnsi="Times New Roman"/>
        </w:rPr>
        <w:t>;</w:t>
      </w:r>
    </w:p>
    <w:p w14:paraId="3AB88F20" w14:textId="77777777" w:rsidR="00B71682" w:rsidRPr="00BB5241" w:rsidRDefault="00B71682" w:rsidP="00510EBB">
      <w:pPr>
        <w:pStyle w:val="ListParagraph"/>
        <w:numPr>
          <w:ilvl w:val="0"/>
          <w:numId w:val="29"/>
        </w:numPr>
        <w:spacing w:line="276" w:lineRule="auto"/>
        <w:rPr>
          <w:rFonts w:ascii="Times New Roman" w:eastAsia="Times New Roman" w:hAnsi="Times New Roman"/>
        </w:rPr>
      </w:pPr>
      <w:r w:rsidRPr="00BB5241">
        <w:rPr>
          <w:rFonts w:ascii="Times New Roman" w:eastAsia="Times New Roman" w:hAnsi="Times New Roman"/>
        </w:rPr>
        <w:t xml:space="preserve">Variability: the uncertainty caused by randomness that is often associated with the inherent diversity or heterogeneity in a population over space and time. </w:t>
      </w:r>
    </w:p>
    <w:p w14:paraId="735AED52" w14:textId="087BA8B3" w:rsidR="000A4A8C" w:rsidRPr="00BB5241" w:rsidRDefault="000A216C" w:rsidP="00212686">
      <w:pPr>
        <w:pStyle w:val="Default"/>
        <w:spacing w:line="276" w:lineRule="auto"/>
        <w:rPr>
          <w:rFonts w:eastAsia="Times New Roman"/>
          <w:color w:val="auto"/>
          <w:sz w:val="22"/>
          <w:szCs w:val="22"/>
        </w:rPr>
      </w:pPr>
      <w:r w:rsidRPr="00BB5241">
        <w:rPr>
          <w:rFonts w:eastAsia="Times New Roman"/>
          <w:color w:val="auto"/>
          <w:sz w:val="22"/>
          <w:szCs w:val="22"/>
        </w:rPr>
        <w:t>E</w:t>
      </w:r>
      <w:r w:rsidR="005430B6" w:rsidRPr="00BB5241">
        <w:rPr>
          <w:rFonts w:eastAsia="Times New Roman"/>
          <w:color w:val="auto"/>
          <w:sz w:val="22"/>
          <w:szCs w:val="22"/>
        </w:rPr>
        <w:t xml:space="preserve">ach identified uncertainty </w:t>
      </w:r>
      <w:r w:rsidR="002D34C8" w:rsidRPr="00BB5241">
        <w:rPr>
          <w:rFonts w:eastAsia="Times New Roman"/>
          <w:color w:val="auto"/>
          <w:sz w:val="22"/>
          <w:szCs w:val="22"/>
        </w:rPr>
        <w:t xml:space="preserve">should </w:t>
      </w:r>
      <w:r w:rsidR="005430B6" w:rsidRPr="00BB5241">
        <w:rPr>
          <w:rFonts w:eastAsia="Times New Roman"/>
          <w:color w:val="auto"/>
          <w:sz w:val="22"/>
          <w:szCs w:val="22"/>
        </w:rPr>
        <w:t xml:space="preserve">be categorized based on its </w:t>
      </w:r>
      <w:r w:rsidR="005430B6" w:rsidRPr="00BB5241">
        <w:rPr>
          <w:rFonts w:eastAsia="Times New Roman"/>
          <w:i/>
          <w:iCs/>
          <w:color w:val="auto"/>
          <w:sz w:val="22"/>
          <w:szCs w:val="22"/>
        </w:rPr>
        <w:t xml:space="preserve">nature, </w:t>
      </w:r>
      <w:r w:rsidR="005430B6" w:rsidRPr="00BB5241">
        <w:rPr>
          <w:rFonts w:eastAsia="Times New Roman"/>
          <w:color w:val="auto"/>
          <w:sz w:val="22"/>
          <w:szCs w:val="22"/>
        </w:rPr>
        <w:t>including: (1) lack of information</w:t>
      </w:r>
      <w:r w:rsidR="00256205" w:rsidRPr="00BB5241">
        <w:rPr>
          <w:rFonts w:eastAsia="Times New Roman"/>
          <w:color w:val="auto"/>
          <w:sz w:val="22"/>
          <w:szCs w:val="22"/>
        </w:rPr>
        <w:t xml:space="preserve"> or </w:t>
      </w:r>
      <w:r w:rsidR="005430B6" w:rsidRPr="00BB5241">
        <w:rPr>
          <w:rFonts w:eastAsia="Times New Roman"/>
          <w:color w:val="auto"/>
          <w:sz w:val="22"/>
          <w:szCs w:val="22"/>
        </w:rPr>
        <w:t>incomplete knowledge; and/or (</w:t>
      </w:r>
      <w:r w:rsidR="00256205" w:rsidRPr="00BB5241">
        <w:rPr>
          <w:rFonts w:eastAsia="Times New Roman"/>
          <w:color w:val="auto"/>
          <w:sz w:val="22"/>
          <w:szCs w:val="22"/>
        </w:rPr>
        <w:t>2</w:t>
      </w:r>
      <w:r w:rsidR="005430B6" w:rsidRPr="00BB5241">
        <w:rPr>
          <w:rFonts w:eastAsia="Times New Roman"/>
          <w:color w:val="auto"/>
          <w:sz w:val="22"/>
          <w:szCs w:val="22"/>
        </w:rPr>
        <w:t xml:space="preserve">) biological or experimental variability. Uncertainty resulting from </w:t>
      </w:r>
      <w:r w:rsidR="005430B6" w:rsidRPr="00BB5241">
        <w:rPr>
          <w:rFonts w:eastAsia="Times New Roman"/>
          <w:color w:val="auto"/>
          <w:sz w:val="22"/>
          <w:szCs w:val="22"/>
        </w:rPr>
        <w:lastRenderedPageBreak/>
        <w:t>lack of information</w:t>
      </w:r>
      <w:r w:rsidR="003A3F9C" w:rsidRPr="00BB5241">
        <w:rPr>
          <w:rFonts w:eastAsia="Times New Roman"/>
          <w:color w:val="auto"/>
          <w:sz w:val="22"/>
          <w:szCs w:val="22"/>
        </w:rPr>
        <w:t xml:space="preserve"> or incomplete knowledge</w:t>
      </w:r>
      <w:r w:rsidR="005430B6" w:rsidRPr="00BB5241">
        <w:rPr>
          <w:rFonts w:eastAsia="Times New Roman"/>
          <w:color w:val="auto"/>
          <w:sz w:val="22"/>
          <w:szCs w:val="22"/>
        </w:rPr>
        <w:t xml:space="preserve"> includes, for example, an incomplete understanding of off-target effects</w:t>
      </w:r>
      <w:r w:rsidR="00A66797" w:rsidRPr="00BB5241">
        <w:rPr>
          <w:rFonts w:eastAsia="Times New Roman"/>
          <w:color w:val="auto"/>
          <w:sz w:val="22"/>
          <w:szCs w:val="22"/>
        </w:rPr>
        <w:t xml:space="preserve">, long-term </w:t>
      </w:r>
      <w:r w:rsidR="00C22926" w:rsidRPr="00BB5241">
        <w:rPr>
          <w:rFonts w:eastAsia="Times New Roman"/>
          <w:color w:val="auto"/>
          <w:sz w:val="22"/>
          <w:szCs w:val="22"/>
        </w:rPr>
        <w:t>ecological</w:t>
      </w:r>
      <w:r w:rsidR="00A66797" w:rsidRPr="00BB5241">
        <w:rPr>
          <w:rFonts w:eastAsia="Times New Roman"/>
          <w:color w:val="auto"/>
          <w:sz w:val="22"/>
          <w:szCs w:val="22"/>
        </w:rPr>
        <w:t xml:space="preserve"> impacts</w:t>
      </w:r>
      <w:r w:rsidR="0009274D" w:rsidRPr="00BB5241">
        <w:rPr>
          <w:rFonts w:eastAsia="Times New Roman"/>
          <w:color w:val="auto"/>
          <w:sz w:val="22"/>
          <w:szCs w:val="22"/>
        </w:rPr>
        <w:t>, potential for EGD to evolve and develop resistance to control measures</w:t>
      </w:r>
      <w:r w:rsidR="005430B6" w:rsidRPr="00BB5241">
        <w:rPr>
          <w:rFonts w:eastAsia="Times New Roman"/>
          <w:color w:val="auto"/>
          <w:sz w:val="22"/>
          <w:szCs w:val="22"/>
        </w:rPr>
        <w:t xml:space="preserve"> or a limited knowledge of EGD persistence in natural populations (</w:t>
      </w:r>
      <w:r w:rsidR="0009274D" w:rsidRPr="0098625C">
        <w:rPr>
          <w:rFonts w:eastAsia="Times New Roman"/>
          <w:color w:val="auto"/>
          <w:sz w:val="22"/>
          <w:szCs w:val="22"/>
        </w:rPr>
        <w:t>Frieβ and others, 20</w:t>
      </w:r>
      <w:r w:rsidR="00A917A3" w:rsidRPr="0098625C">
        <w:rPr>
          <w:rFonts w:eastAsia="Times New Roman"/>
          <w:color w:val="auto"/>
          <w:sz w:val="22"/>
          <w:szCs w:val="22"/>
        </w:rPr>
        <w:t>1</w:t>
      </w:r>
      <w:r w:rsidR="0009274D" w:rsidRPr="0098625C">
        <w:rPr>
          <w:rFonts w:eastAsia="Times New Roman"/>
          <w:color w:val="auto"/>
          <w:sz w:val="22"/>
          <w:szCs w:val="22"/>
        </w:rPr>
        <w:t>9;</w:t>
      </w:r>
      <w:r w:rsidR="0009274D" w:rsidRPr="00BB5241">
        <w:rPr>
          <w:rFonts w:eastAsia="Times New Roman"/>
          <w:color w:val="auto"/>
          <w:sz w:val="22"/>
          <w:szCs w:val="22"/>
        </w:rPr>
        <w:t xml:space="preserve"> </w:t>
      </w:r>
      <w:proofErr w:type="spellStart"/>
      <w:r w:rsidR="00FD66D7" w:rsidRPr="0098625C">
        <w:rPr>
          <w:rFonts w:eastAsia="Times New Roman"/>
          <w:color w:val="auto"/>
          <w:sz w:val="22"/>
          <w:szCs w:val="22"/>
        </w:rPr>
        <w:t>Cisnetto</w:t>
      </w:r>
      <w:proofErr w:type="spellEnd"/>
      <w:r w:rsidR="00FD66D7" w:rsidRPr="0098625C">
        <w:rPr>
          <w:rFonts w:eastAsia="Times New Roman"/>
          <w:color w:val="auto"/>
          <w:sz w:val="22"/>
          <w:szCs w:val="22"/>
        </w:rPr>
        <w:t xml:space="preserve"> and others, 2020; </w:t>
      </w:r>
      <w:r w:rsidR="0009274D" w:rsidRPr="0098625C">
        <w:rPr>
          <w:rFonts w:eastAsia="Times New Roman"/>
          <w:color w:val="auto"/>
          <w:sz w:val="22"/>
          <w:szCs w:val="22"/>
        </w:rPr>
        <w:t>Kuzma, 20</w:t>
      </w:r>
      <w:r w:rsidR="007A020F">
        <w:rPr>
          <w:rFonts w:eastAsia="Times New Roman"/>
          <w:color w:val="auto"/>
          <w:sz w:val="22"/>
          <w:szCs w:val="22"/>
        </w:rPr>
        <w:t>19</w:t>
      </w:r>
      <w:r w:rsidR="0009274D" w:rsidRPr="0098625C">
        <w:rPr>
          <w:rFonts w:eastAsia="Times New Roman"/>
          <w:color w:val="auto"/>
          <w:sz w:val="22"/>
          <w:szCs w:val="22"/>
        </w:rPr>
        <w:t xml:space="preserve">; </w:t>
      </w:r>
      <w:r w:rsidR="005430B6" w:rsidRPr="0098625C">
        <w:rPr>
          <w:rFonts w:eastAsia="Times New Roman"/>
          <w:color w:val="auto"/>
          <w:sz w:val="22"/>
          <w:szCs w:val="22"/>
        </w:rPr>
        <w:t>Frieβ and others, 2023</w:t>
      </w:r>
      <w:r w:rsidR="005430B6" w:rsidRPr="00BB5241">
        <w:rPr>
          <w:rFonts w:eastAsia="Times New Roman"/>
          <w:color w:val="auto"/>
          <w:sz w:val="22"/>
          <w:szCs w:val="22"/>
        </w:rPr>
        <w:t>). Lastly, uncertainties resulting from biological or experimental variability may involve variations in EGD efficiency and stability, as well as discrepancies in ecological or intergenerational responses (</w:t>
      </w:r>
      <w:r w:rsidR="005430B6" w:rsidRPr="0098625C">
        <w:rPr>
          <w:rFonts w:eastAsia="Times New Roman"/>
          <w:color w:val="auto"/>
          <w:sz w:val="22"/>
          <w:szCs w:val="22"/>
        </w:rPr>
        <w:t>Then and others, 2020</w:t>
      </w:r>
      <w:r w:rsidR="007F5FF1" w:rsidRPr="0098625C">
        <w:rPr>
          <w:rFonts w:eastAsia="Times New Roman"/>
          <w:color w:val="auto"/>
          <w:sz w:val="22"/>
          <w:szCs w:val="22"/>
        </w:rPr>
        <w:t>b</w:t>
      </w:r>
      <w:r w:rsidR="005430B6" w:rsidRPr="0098625C">
        <w:rPr>
          <w:rFonts w:eastAsia="Times New Roman"/>
          <w:color w:val="auto"/>
          <w:sz w:val="22"/>
          <w:szCs w:val="22"/>
        </w:rPr>
        <w:t>; Rabitz, 2022</w:t>
      </w:r>
      <w:r w:rsidR="005430B6" w:rsidRPr="00BB5241">
        <w:rPr>
          <w:rFonts w:eastAsia="Times New Roman"/>
          <w:color w:val="auto"/>
          <w:sz w:val="22"/>
          <w:szCs w:val="22"/>
        </w:rPr>
        <w:t xml:space="preserve">). </w:t>
      </w:r>
    </w:p>
    <w:p w14:paraId="1A2D78C2" w14:textId="77777777" w:rsidR="0045761C" w:rsidRPr="00BB5241" w:rsidRDefault="000A4A8C" w:rsidP="0045761C">
      <w:pPr>
        <w:pStyle w:val="Default"/>
        <w:spacing w:line="276" w:lineRule="auto"/>
        <w:rPr>
          <w:color w:val="auto"/>
          <w:sz w:val="22"/>
          <w:szCs w:val="22"/>
        </w:rPr>
      </w:pPr>
      <w:r w:rsidRPr="00BB5241">
        <w:rPr>
          <w:color w:val="auto"/>
          <w:sz w:val="22"/>
          <w:szCs w:val="22"/>
        </w:rPr>
        <w:t>The various forms of uncertainty should be considered and described for each identified risk and under the estimation of the overall risk. In addition, when communicating the results of a risk assessment, it is important to describe, either quantitatively or qualitatively, those uncertainties that may have an impact on the overall risk, as well as on the conclusions and recommendations of the risk assessment in a way that is relevant for decision-making.</w:t>
      </w:r>
    </w:p>
    <w:p w14:paraId="793A8593" w14:textId="50342E4A" w:rsidR="002104F2" w:rsidRPr="00BB5241" w:rsidRDefault="009176B2" w:rsidP="002104F2">
      <w:pPr>
        <w:pStyle w:val="Default"/>
        <w:spacing w:line="276" w:lineRule="auto"/>
        <w:rPr>
          <w:rFonts w:eastAsia="Times New Roman"/>
          <w:color w:val="auto"/>
          <w:sz w:val="22"/>
          <w:szCs w:val="22"/>
        </w:rPr>
      </w:pPr>
      <w:r w:rsidRPr="00BB5241">
        <w:rPr>
          <w:rFonts w:eastAsia="Times New Roman"/>
          <w:color w:val="auto"/>
          <w:sz w:val="22"/>
          <w:szCs w:val="22"/>
        </w:rPr>
        <w:t>U</w:t>
      </w:r>
      <w:r w:rsidR="005430B6" w:rsidRPr="00BB5241">
        <w:rPr>
          <w:rFonts w:eastAsia="Times New Roman"/>
          <w:color w:val="auto"/>
          <w:sz w:val="22"/>
          <w:szCs w:val="22"/>
        </w:rPr>
        <w:t>ncertainties originating from lack of information can be reduced or eliminated with more or better data obtained through further testing or by requesting additional information from the developers of the EGD-LMO. However, in cases of incomplete knowledge or inherent variability, the provision of additional information will not necessarily reduce the uncertainty.</w:t>
      </w:r>
      <w:r w:rsidR="002104F2" w:rsidRPr="00BB5241">
        <w:rPr>
          <w:rFonts w:eastAsia="Times New Roman"/>
          <w:color w:val="auto"/>
          <w:sz w:val="22"/>
          <w:szCs w:val="22"/>
        </w:rPr>
        <w:t xml:space="preserve"> </w:t>
      </w:r>
      <w:r w:rsidR="00C17A33" w:rsidRPr="00BB5241">
        <w:rPr>
          <w:rFonts w:eastAsia="Times New Roman"/>
          <w:color w:val="auto"/>
          <w:sz w:val="22"/>
          <w:szCs w:val="22"/>
        </w:rPr>
        <w:t>M</w:t>
      </w:r>
      <w:r w:rsidR="002104F2" w:rsidRPr="00BB5241">
        <w:rPr>
          <w:rFonts w:eastAsia="Times New Roman"/>
          <w:color w:val="auto"/>
          <w:sz w:val="22"/>
          <w:szCs w:val="22"/>
        </w:rPr>
        <w:t>ore information will not necessarily contribute to a better understanding of potential adverse effects</w:t>
      </w:r>
      <w:r w:rsidR="008660DB" w:rsidRPr="00BB5241">
        <w:rPr>
          <w:rFonts w:eastAsia="Times New Roman"/>
          <w:color w:val="auto"/>
          <w:sz w:val="22"/>
          <w:szCs w:val="22"/>
        </w:rPr>
        <w:t xml:space="preserve">. </w:t>
      </w:r>
    </w:p>
    <w:p w14:paraId="2C54FA1F" w14:textId="7189E0D2" w:rsidR="00DC2E53" w:rsidRPr="00BB5241" w:rsidRDefault="005430B6" w:rsidP="00212686">
      <w:pPr>
        <w:pStyle w:val="Default"/>
        <w:spacing w:line="276" w:lineRule="auto"/>
        <w:rPr>
          <w:rFonts w:eastAsia="Times New Roman"/>
          <w:color w:val="auto"/>
          <w:sz w:val="22"/>
          <w:szCs w:val="22"/>
        </w:rPr>
      </w:pPr>
      <w:r w:rsidRPr="4644E7B5">
        <w:rPr>
          <w:rFonts w:eastAsia="Times New Roman"/>
          <w:color w:val="auto"/>
          <w:sz w:val="22"/>
          <w:szCs w:val="22"/>
        </w:rPr>
        <w:t xml:space="preserve">In cases where uncertainty cannot be addressed through the provision of more information, appropriate risk management </w:t>
      </w:r>
      <w:r w:rsidR="00C84080" w:rsidRPr="4644E7B5">
        <w:rPr>
          <w:rFonts w:eastAsia="Times New Roman"/>
          <w:color w:val="auto"/>
          <w:sz w:val="22"/>
          <w:szCs w:val="22"/>
        </w:rPr>
        <w:t xml:space="preserve">measures </w:t>
      </w:r>
      <w:r w:rsidRPr="4644E7B5">
        <w:rPr>
          <w:rFonts w:eastAsia="Times New Roman"/>
          <w:color w:val="auto"/>
          <w:sz w:val="22"/>
          <w:szCs w:val="22"/>
        </w:rPr>
        <w:t xml:space="preserve">and </w:t>
      </w:r>
      <w:r w:rsidR="00C84080" w:rsidRPr="4644E7B5">
        <w:rPr>
          <w:rFonts w:eastAsia="Times New Roman"/>
          <w:color w:val="auto"/>
          <w:sz w:val="22"/>
          <w:szCs w:val="22"/>
        </w:rPr>
        <w:t xml:space="preserve">post-market environmental </w:t>
      </w:r>
      <w:r w:rsidRPr="4644E7B5">
        <w:rPr>
          <w:rFonts w:eastAsia="Times New Roman"/>
          <w:color w:val="auto"/>
          <w:sz w:val="22"/>
          <w:szCs w:val="22"/>
        </w:rPr>
        <w:t>monitoring</w:t>
      </w:r>
      <w:r w:rsidR="008D3E45" w:rsidRPr="4644E7B5">
        <w:rPr>
          <w:rFonts w:eastAsia="Times New Roman"/>
          <w:color w:val="auto"/>
          <w:sz w:val="22"/>
          <w:szCs w:val="22"/>
        </w:rPr>
        <w:t xml:space="preserve"> of the EGD-LMO in the </w:t>
      </w:r>
      <w:r w:rsidR="00076944">
        <w:rPr>
          <w:rFonts w:eastAsia="Times New Roman"/>
          <w:color w:val="auto"/>
          <w:sz w:val="22"/>
          <w:szCs w:val="22"/>
        </w:rPr>
        <w:t xml:space="preserve">likely potential </w:t>
      </w:r>
      <w:r w:rsidR="008D3E45" w:rsidRPr="4644E7B5">
        <w:rPr>
          <w:rFonts w:eastAsia="Times New Roman"/>
          <w:color w:val="auto"/>
          <w:sz w:val="22"/>
          <w:szCs w:val="22"/>
        </w:rPr>
        <w:t>receiving environment</w:t>
      </w:r>
      <w:r w:rsidRPr="4644E7B5">
        <w:rPr>
          <w:rFonts w:eastAsia="Times New Roman"/>
          <w:color w:val="auto"/>
          <w:sz w:val="22"/>
          <w:szCs w:val="22"/>
        </w:rPr>
        <w:t xml:space="preserve">, as outlined in subparagraphs 8 (e) and 8 (f) of annex III to the Protocol, can be employed. </w:t>
      </w:r>
      <w:r w:rsidR="005B0C01" w:rsidRPr="00720DC3">
        <w:rPr>
          <w:rFonts w:eastAsia="Times New Roman"/>
          <w:color w:val="auto"/>
          <w:sz w:val="22"/>
          <w:szCs w:val="22"/>
        </w:rPr>
        <w:t>Furthermore, u</w:t>
      </w:r>
      <w:r w:rsidR="00F77CAF" w:rsidRPr="00720DC3">
        <w:rPr>
          <w:rFonts w:eastAsia="Times New Roman"/>
          <w:color w:val="auto"/>
          <w:sz w:val="22"/>
          <w:szCs w:val="22"/>
        </w:rPr>
        <w:t xml:space="preserve">ncertainties </w:t>
      </w:r>
      <w:r w:rsidRPr="00720DC3">
        <w:rPr>
          <w:rFonts w:eastAsia="Times New Roman"/>
          <w:color w:val="auto"/>
          <w:sz w:val="22"/>
          <w:szCs w:val="22"/>
        </w:rPr>
        <w:t xml:space="preserve">associated with specific adverse effects may not allow </w:t>
      </w:r>
      <w:r w:rsidR="00F77CAF" w:rsidRPr="00F80A4B">
        <w:rPr>
          <w:rFonts w:eastAsia="Times New Roman"/>
          <w:color w:val="000000" w:themeColor="text1"/>
          <w:sz w:val="22"/>
          <w:szCs w:val="22"/>
        </w:rPr>
        <w:t xml:space="preserve">for the estimation </w:t>
      </w:r>
      <w:r w:rsidR="00910696" w:rsidRPr="00F80A4B">
        <w:rPr>
          <w:rFonts w:eastAsia="Times New Roman"/>
          <w:color w:val="000000" w:themeColor="text1"/>
          <w:sz w:val="22"/>
          <w:szCs w:val="22"/>
        </w:rPr>
        <w:t>of the overall risk</w:t>
      </w:r>
      <w:r w:rsidR="00CE2F0D" w:rsidRPr="00F80A4B">
        <w:rPr>
          <w:rFonts w:eastAsia="Times New Roman"/>
          <w:color w:val="000000" w:themeColor="text1"/>
          <w:sz w:val="22"/>
          <w:szCs w:val="22"/>
        </w:rPr>
        <w:t xml:space="preserve"> and thus </w:t>
      </w:r>
      <w:r w:rsidR="0035436A" w:rsidRPr="00F80A4B">
        <w:rPr>
          <w:rFonts w:eastAsia="Times New Roman"/>
          <w:color w:val="000000" w:themeColor="text1"/>
          <w:sz w:val="22"/>
          <w:szCs w:val="22"/>
        </w:rPr>
        <w:t>complicat</w:t>
      </w:r>
      <w:r w:rsidR="00CE2F0D" w:rsidRPr="00F80A4B">
        <w:rPr>
          <w:rFonts w:eastAsia="Times New Roman"/>
          <w:color w:val="000000" w:themeColor="text1"/>
          <w:sz w:val="22"/>
          <w:szCs w:val="22"/>
        </w:rPr>
        <w:t xml:space="preserve">ing the </w:t>
      </w:r>
      <w:r w:rsidR="0035436A" w:rsidRPr="00F80A4B">
        <w:rPr>
          <w:rFonts w:eastAsia="Times New Roman"/>
          <w:color w:val="000000" w:themeColor="text1"/>
          <w:sz w:val="22"/>
          <w:szCs w:val="22"/>
        </w:rPr>
        <w:t xml:space="preserve">final </w:t>
      </w:r>
      <w:r w:rsidR="00CE2F0D" w:rsidRPr="00F80A4B">
        <w:rPr>
          <w:rFonts w:eastAsia="Times New Roman"/>
          <w:color w:val="000000" w:themeColor="text1"/>
          <w:sz w:val="22"/>
          <w:szCs w:val="22"/>
        </w:rPr>
        <w:t xml:space="preserve">recommendation </w:t>
      </w:r>
      <w:r w:rsidR="00391E09" w:rsidRPr="00F80A4B">
        <w:rPr>
          <w:rFonts w:eastAsia="Times New Roman"/>
          <w:color w:val="000000" w:themeColor="text1"/>
          <w:sz w:val="22"/>
          <w:szCs w:val="22"/>
        </w:rPr>
        <w:t>regarding the acceptability of risk</w:t>
      </w:r>
      <w:r w:rsidR="00910696" w:rsidRPr="00F80A4B">
        <w:rPr>
          <w:rFonts w:eastAsia="Times New Roman"/>
          <w:color w:val="000000" w:themeColor="text1"/>
          <w:sz w:val="22"/>
          <w:szCs w:val="22"/>
        </w:rPr>
        <w:t>.</w:t>
      </w:r>
    </w:p>
    <w:p w14:paraId="6ADE4882" w14:textId="45AA0002" w:rsidR="00CC317D" w:rsidRPr="00BB5241" w:rsidRDefault="00CC317D" w:rsidP="00CC317D">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Consideration and communication of uncertainty may improve the understanding of the risk assessment outcomes, strengthen the scientific validity of the </w:t>
      </w:r>
      <w:proofErr w:type="gramStart"/>
      <w:r w:rsidRPr="00BB5241">
        <w:rPr>
          <w:rFonts w:ascii="Times New Roman" w:eastAsia="Times New Roman" w:hAnsi="Times New Roman" w:cs="Times New Roman"/>
        </w:rPr>
        <w:t>assessment</w:t>
      </w:r>
      <w:proofErr w:type="gramEnd"/>
      <w:r w:rsidRPr="00BB5241">
        <w:rPr>
          <w:rFonts w:ascii="Times New Roman" w:eastAsia="Times New Roman" w:hAnsi="Times New Roman" w:cs="Times New Roman"/>
        </w:rPr>
        <w:t xml:space="preserve"> and provide transparency in the decision-making process. Relevant considerations include the source and nature of uncertainties, focusing on those that can significantly impact the risk assessment conclusions.</w:t>
      </w:r>
    </w:p>
    <w:p w14:paraId="1CCC974F" w14:textId="4F0FFE71" w:rsidR="00E14607" w:rsidRPr="00CA0582" w:rsidRDefault="00F867EB" w:rsidP="00CA0582">
      <w:pPr>
        <w:spacing w:line="276"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See additional information in </w:t>
      </w:r>
      <w:r w:rsidR="00FD66D7">
        <w:rPr>
          <w:rFonts w:ascii="Times New Roman" w:eastAsia="Times New Roman" w:hAnsi="Times New Roman" w:cs="Times New Roman"/>
        </w:rPr>
        <w:t>a</w:t>
      </w:r>
      <w:r w:rsidRPr="00BB5241">
        <w:rPr>
          <w:rFonts w:ascii="Times New Roman" w:eastAsia="Times New Roman" w:hAnsi="Times New Roman" w:cs="Times New Roman"/>
        </w:rPr>
        <w:t>nnex II.</w:t>
      </w:r>
    </w:p>
    <w:p w14:paraId="2D286018" w14:textId="77777777" w:rsidR="00BA06CF" w:rsidRDefault="00BA06CF">
      <w:pPr>
        <w:rPr>
          <w:rFonts w:ascii="Times New Roman" w:eastAsia="Times New Roman" w:hAnsi="Times New Roman" w:cs="Times New Roman"/>
        </w:rPr>
      </w:pPr>
      <w:r>
        <w:rPr>
          <w:rFonts w:ascii="Times New Roman" w:eastAsia="Times New Roman" w:hAnsi="Times New Roman" w:cs="Times New Roman"/>
        </w:rPr>
        <w:br w:type="page"/>
      </w:r>
    </w:p>
    <w:p w14:paraId="144DE95B" w14:textId="77777777" w:rsidR="00E14607" w:rsidRPr="00CA0582" w:rsidRDefault="00E14607" w:rsidP="00CA0582">
      <w:pPr>
        <w:spacing w:line="276" w:lineRule="auto"/>
        <w:jc w:val="both"/>
        <w:rPr>
          <w:rFonts w:ascii="Times New Roman" w:eastAsia="Times New Roman" w:hAnsi="Times New Roman" w:cs="Times New Roman"/>
        </w:rPr>
      </w:pPr>
    </w:p>
    <w:p w14:paraId="22D48024" w14:textId="35A2D009" w:rsidR="00BA06CF" w:rsidRDefault="00DD7AFB" w:rsidP="003B1C1B">
      <w:pPr>
        <w:pStyle w:val="Heading2"/>
        <w:spacing w:line="276" w:lineRule="auto"/>
        <w:rPr>
          <w:b/>
          <w:bCs/>
          <w:color w:val="auto"/>
          <w:sz w:val="28"/>
          <w:szCs w:val="28"/>
        </w:rPr>
      </w:pPr>
      <w:bookmarkStart w:id="71" w:name="_Toc161220504"/>
      <w:r w:rsidRPr="003B1C1B">
        <w:rPr>
          <w:rFonts w:ascii="Times New Roman" w:hAnsi="Times New Roman" w:cs="Times New Roman"/>
          <w:b/>
          <w:color w:val="auto"/>
          <w:sz w:val="28"/>
          <w:szCs w:val="28"/>
          <w:lang w:val="en-GB"/>
        </w:rPr>
        <w:t>5</w:t>
      </w:r>
      <w:r w:rsidR="00E14607" w:rsidRPr="00CA0582">
        <w:rPr>
          <w:b/>
          <w:bCs/>
          <w:color w:val="auto"/>
          <w:sz w:val="28"/>
          <w:szCs w:val="28"/>
        </w:rPr>
        <w:t>.</w:t>
      </w:r>
      <w:r w:rsidR="00CA0582" w:rsidRPr="00CA0582">
        <w:rPr>
          <w:b/>
          <w:bCs/>
          <w:color w:val="auto"/>
          <w:sz w:val="28"/>
          <w:szCs w:val="28"/>
        </w:rPr>
        <w:t xml:space="preserve"> </w:t>
      </w:r>
      <w:r w:rsidR="00CA0582" w:rsidRPr="009D198A">
        <w:rPr>
          <w:rFonts w:ascii="Times New Roman" w:hAnsi="Times New Roman" w:cs="Times New Roman"/>
          <w:b/>
          <w:color w:val="auto"/>
          <w:sz w:val="28"/>
          <w:szCs w:val="28"/>
        </w:rPr>
        <w:t>Recommendation of acceptability of risk and identification of risk management strategies</w:t>
      </w:r>
      <w:bookmarkEnd w:id="71"/>
      <w:r w:rsidR="00E14607" w:rsidRPr="00CA0582">
        <w:rPr>
          <w:b/>
          <w:bCs/>
          <w:color w:val="auto"/>
          <w:sz w:val="28"/>
          <w:szCs w:val="28"/>
        </w:rPr>
        <w:t xml:space="preserve"> </w:t>
      </w:r>
    </w:p>
    <w:p w14:paraId="0A4F9402" w14:textId="6F78047A" w:rsidR="007B2F94" w:rsidRPr="007B2F94" w:rsidRDefault="00BA06CF" w:rsidP="007B2F94">
      <w:pPr>
        <w:pStyle w:val="Default"/>
        <w:spacing w:line="276" w:lineRule="auto"/>
      </w:pPr>
      <w:r w:rsidRPr="00463358">
        <w:rPr>
          <w:noProof/>
          <w:color w:val="auto"/>
          <w:sz w:val="22"/>
          <w:szCs w:val="22"/>
        </w:rPr>
        <mc:AlternateContent>
          <mc:Choice Requires="wps">
            <w:drawing>
              <wp:anchor distT="45720" distB="45720" distL="114300" distR="114300" simplePos="0" relativeHeight="251658240" behindDoc="0" locked="0" layoutInCell="1" allowOverlap="1" wp14:anchorId="713C8D4C" wp14:editId="3881AD49">
                <wp:simplePos x="0" y="0"/>
                <wp:positionH relativeFrom="column">
                  <wp:posOffset>3176270</wp:posOffset>
                </wp:positionH>
                <wp:positionV relativeFrom="paragraph">
                  <wp:posOffset>26670</wp:posOffset>
                </wp:positionV>
                <wp:extent cx="2734310" cy="1404620"/>
                <wp:effectExtent l="0" t="0" r="27940" b="107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310" cy="1404620"/>
                        </a:xfrm>
                        <a:prstGeom prst="rect">
                          <a:avLst/>
                        </a:prstGeom>
                        <a:solidFill>
                          <a:srgbClr val="FFFFFF"/>
                        </a:solidFill>
                        <a:ln w="9525">
                          <a:solidFill>
                            <a:srgbClr val="000000"/>
                          </a:solidFill>
                          <a:miter lim="800000"/>
                          <a:headEnd/>
                          <a:tailEnd/>
                        </a:ln>
                      </wps:spPr>
                      <wps:txbx>
                        <w:txbxContent>
                          <w:p w14:paraId="3B6E649F" w14:textId="77777777" w:rsidR="004307C9" w:rsidRDefault="004307C9" w:rsidP="00463358">
                            <w:pPr>
                              <w:rPr>
                                <w:rFonts w:asciiTheme="majorEastAsia" w:hAnsiTheme="majorEastAsia" w:cstheme="majorEastAsia"/>
                                <w:b/>
                                <w:sz w:val="18"/>
                                <w:szCs w:val="18"/>
                              </w:rPr>
                            </w:pPr>
                            <w:r>
                              <w:rPr>
                                <w:rFonts w:asciiTheme="majorEastAsia" w:hAnsiTheme="majorEastAsia" w:cstheme="majorEastAsia"/>
                                <w:b/>
                                <w:sz w:val="18"/>
                                <w:szCs w:val="18"/>
                              </w:rPr>
                              <w:t>Mosquitoes:</w:t>
                            </w:r>
                          </w:p>
                          <w:p w14:paraId="599A19EA" w14:textId="6AB84CFD" w:rsidR="00463358" w:rsidRPr="000B71E5" w:rsidRDefault="00463358" w:rsidP="00463358">
                            <w:pPr>
                              <w:rPr>
                                <w:rFonts w:asciiTheme="majorEastAsia" w:hAnsiTheme="majorEastAsia" w:cstheme="majorEastAsia"/>
                                <w:b/>
                                <w:sz w:val="18"/>
                                <w:szCs w:val="18"/>
                              </w:rPr>
                            </w:pPr>
                            <w:r w:rsidRPr="000B71E5">
                              <w:rPr>
                                <w:rFonts w:asciiTheme="majorEastAsia" w:hAnsiTheme="majorEastAsia" w:cstheme="majorEastAsia"/>
                                <w:b/>
                                <w:sz w:val="18"/>
                                <w:szCs w:val="18"/>
                              </w:rPr>
                              <w:t xml:space="preserve">Risk management strategies </w:t>
                            </w:r>
                          </w:p>
                          <w:p w14:paraId="07E11D39" w14:textId="77777777" w:rsidR="00463358" w:rsidRPr="000B71E5" w:rsidRDefault="00463358" w:rsidP="00463358">
                            <w:pPr>
                              <w:rPr>
                                <w:rFonts w:asciiTheme="majorEastAsia" w:hAnsiTheme="majorEastAsia" w:cstheme="majorEastAsia"/>
                                <w:sz w:val="18"/>
                                <w:szCs w:val="18"/>
                              </w:rPr>
                            </w:pPr>
                            <w:r w:rsidRPr="000B71E5">
                              <w:rPr>
                                <w:rFonts w:asciiTheme="majorEastAsia" w:hAnsiTheme="majorEastAsia" w:cstheme="majorEastAsia"/>
                                <w:sz w:val="18"/>
                                <w:szCs w:val="18"/>
                              </w:rPr>
                              <w:t xml:space="preserve">Where a risk has been identified that warrants a response through mitigation of the EGD-LMM, risk assessors may consider recommending such strategies as monitoring the EGD-LMM to ensure that the technology is functioning as intended and to identify unintended adverse effects. The feasibility of any strategies for halting additional releases or destroying the EGD-LMMs that have been released, as well as mitigation methods if an unanticipated adverse effect occurs, should be considered before any uncontained releases are carried out. </w:t>
                            </w:r>
                          </w:p>
                          <w:p w14:paraId="622AC6CE" w14:textId="77777777" w:rsidR="00463358" w:rsidRPr="000B71E5" w:rsidRDefault="00463358" w:rsidP="00463358">
                            <w:pPr>
                              <w:rPr>
                                <w:rFonts w:asciiTheme="majorEastAsia" w:hAnsiTheme="majorEastAsia" w:cstheme="majorEastAsia"/>
                                <w:sz w:val="18"/>
                                <w:szCs w:val="18"/>
                              </w:rPr>
                            </w:pPr>
                            <w:r w:rsidRPr="000B71E5">
                              <w:rPr>
                                <w:rFonts w:asciiTheme="majorEastAsia" w:hAnsiTheme="majorEastAsia" w:cstheme="majorEastAsia"/>
                                <w:sz w:val="18"/>
                                <w:szCs w:val="18"/>
                              </w:rPr>
                              <w:t>Planning of mitigation measures (such as an alternative set of control measures that could be employed) and the integration of other population control methods may also be considered. Monitoring during and after the environmental release of the EGD-LMM may also be considered to enable estimating that mitigation reduces identified risks (see section 6).</w:t>
                            </w:r>
                          </w:p>
                          <w:p w14:paraId="3FC92129" w14:textId="2F32A0E7" w:rsidR="00463358" w:rsidRPr="000B71E5" w:rsidRDefault="00463358" w:rsidP="00463358">
                            <w:pPr>
                              <w:rPr>
                                <w:rFonts w:asciiTheme="majorEastAsia" w:hAnsiTheme="majorEastAsia" w:cstheme="majorEastAsia"/>
                                <w:sz w:val="18"/>
                                <w:szCs w:val="18"/>
                              </w:rPr>
                            </w:pPr>
                            <w:r w:rsidRPr="000B71E5">
                              <w:rPr>
                                <w:rFonts w:asciiTheme="majorEastAsia" w:hAnsiTheme="majorEastAsia" w:cstheme="majorEastAsia"/>
                                <w:sz w:val="18"/>
                                <w:szCs w:val="18"/>
                              </w:rPr>
                              <w:t xml:space="preserve">Apart from monitoring, the risk management may need to consider the recall or suppression of the drive. The question of countermeasures has been discussed by </w:t>
                            </w:r>
                            <w:r w:rsidRPr="0098625C">
                              <w:rPr>
                                <w:rFonts w:asciiTheme="majorEastAsia" w:hAnsiTheme="majorEastAsia" w:cstheme="majorEastAsia"/>
                                <w:sz w:val="18"/>
                                <w:szCs w:val="18"/>
                              </w:rPr>
                              <w:t>Rode and others (2020).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type w14:anchorId="713C8D4C" id="_x0000_t202" coordsize="21600,21600" o:spt="202" path="m,l,21600r21600,l21600,xe">
                <v:stroke joinstyle="miter"/>
                <v:path gradientshapeok="t" o:connecttype="rect"/>
              </v:shapetype>
              <v:shape id="Text Box 2" o:spid="_x0000_s1026" type="#_x0000_t202" style="position:absolute;left:0;text-align:left;margin-left:250.1pt;margin-top:2.1pt;width:215.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">
                <v:textbox style="mso-fit-shape-to-text:t">
                  <w:txbxContent>
                    <w:p w14:paraId="3B6E649F" w14:textId="77777777" w:rsidR="004307C9" w:rsidRDefault="004307C9" w:rsidP="00463358">
                      <w:pPr>
                        <w:rPr>
                          <w:rFonts w:asciiTheme="majorEastAsia" w:hAnsiTheme="majorEastAsia" w:cstheme="majorEastAsia"/>
                          <w:b/>
                          <w:sz w:val="18"/>
                          <w:szCs w:val="18"/>
                        </w:rPr>
                      </w:pPr>
                      <w:r>
                        <w:rPr>
                          <w:rFonts w:asciiTheme="majorEastAsia" w:hAnsiTheme="majorEastAsia" w:cstheme="majorEastAsia"/>
                          <w:b/>
                          <w:sz w:val="18"/>
                          <w:szCs w:val="18"/>
                        </w:rPr>
                        <w:t>Mosquitoes:</w:t>
                      </w:r>
                    </w:p>
                    <w:p w14:paraId="599A19EA" w14:textId="6AB84CFD" w:rsidR="00463358" w:rsidRPr="000B71E5" w:rsidRDefault="00463358" w:rsidP="00463358">
                      <w:pPr>
                        <w:rPr>
                          <w:rFonts w:asciiTheme="majorEastAsia" w:hAnsiTheme="majorEastAsia" w:cstheme="majorEastAsia"/>
                          <w:b/>
                          <w:sz w:val="18"/>
                          <w:szCs w:val="18"/>
                        </w:rPr>
                      </w:pPr>
                      <w:r w:rsidRPr="000B71E5">
                        <w:rPr>
                          <w:rFonts w:asciiTheme="majorEastAsia" w:hAnsiTheme="majorEastAsia" w:cstheme="majorEastAsia"/>
                          <w:b/>
                          <w:sz w:val="18"/>
                          <w:szCs w:val="18"/>
                        </w:rPr>
                        <w:t xml:space="preserve">Risk management strategies </w:t>
                      </w:r>
                    </w:p>
                    <w:p w14:paraId="07E11D39" w14:textId="77777777" w:rsidR="00463358" w:rsidRPr="000B71E5" w:rsidRDefault="00463358" w:rsidP="00463358">
                      <w:pPr>
                        <w:rPr>
                          <w:rFonts w:asciiTheme="majorEastAsia" w:hAnsiTheme="majorEastAsia" w:cstheme="majorEastAsia"/>
                          <w:sz w:val="18"/>
                          <w:szCs w:val="18"/>
                        </w:rPr>
                      </w:pPr>
                      <w:r w:rsidRPr="000B71E5">
                        <w:rPr>
                          <w:rFonts w:asciiTheme="majorEastAsia" w:hAnsiTheme="majorEastAsia" w:cstheme="majorEastAsia"/>
                          <w:sz w:val="18"/>
                          <w:szCs w:val="18"/>
                        </w:rPr>
                        <w:t xml:space="preserve">Where a risk has been identified that warrants a response through mitigation of the EGD-LMM, risk assessors may consider recommending such strategies as monitoring the EGD-LMM to ensure that the technology is functioning as intended and to identify unintended adverse effects. The feasibility of any strategies for halting additional releases or destroying the EGD-LMMs that have been released, as well as mitigation methods if an unanticipated adverse effect occurs, should be considered before any uncontained releases are carried out. </w:t>
                      </w:r>
                    </w:p>
                    <w:p w14:paraId="622AC6CE" w14:textId="77777777" w:rsidR="00463358" w:rsidRPr="000B71E5" w:rsidRDefault="00463358" w:rsidP="00463358">
                      <w:pPr>
                        <w:rPr>
                          <w:rFonts w:asciiTheme="majorEastAsia" w:hAnsiTheme="majorEastAsia" w:cstheme="majorEastAsia"/>
                          <w:sz w:val="18"/>
                          <w:szCs w:val="18"/>
                        </w:rPr>
                      </w:pPr>
                      <w:r w:rsidRPr="000B71E5">
                        <w:rPr>
                          <w:rFonts w:asciiTheme="majorEastAsia" w:hAnsiTheme="majorEastAsia" w:cstheme="majorEastAsia"/>
                          <w:sz w:val="18"/>
                          <w:szCs w:val="18"/>
                        </w:rPr>
                        <w:t>Planning of mitigation measures (such as an alternative set of control measures that could be employed) and the integration of other population control methods may also be considered. Monitoring during and after the environmental release of the EGD-LMM may also be considered to enable estimating that mitigation reduces identified risks (see section 6).</w:t>
                      </w:r>
                    </w:p>
                    <w:p w14:paraId="3FC92129" w14:textId="2F32A0E7" w:rsidR="00463358" w:rsidRPr="000B71E5" w:rsidRDefault="00463358" w:rsidP="00463358">
                      <w:pPr>
                        <w:rPr>
                          <w:rFonts w:asciiTheme="majorEastAsia" w:hAnsiTheme="majorEastAsia" w:cstheme="majorEastAsia"/>
                          <w:sz w:val="18"/>
                          <w:szCs w:val="18"/>
                        </w:rPr>
                      </w:pPr>
                      <w:r w:rsidRPr="000B71E5">
                        <w:rPr>
                          <w:rFonts w:asciiTheme="majorEastAsia" w:hAnsiTheme="majorEastAsia" w:cstheme="majorEastAsia"/>
                          <w:sz w:val="18"/>
                          <w:szCs w:val="18"/>
                        </w:rPr>
                        <w:t xml:space="preserve">Apart from monitoring, the risk management may need to consider the recall or suppression of the drive. The question of countermeasures has been discussed by </w:t>
                      </w:r>
                      <w:r w:rsidRPr="0098625C">
                        <w:rPr>
                          <w:rFonts w:asciiTheme="majorEastAsia" w:hAnsiTheme="majorEastAsia" w:cstheme="majorEastAsia"/>
                          <w:sz w:val="18"/>
                          <w:szCs w:val="18"/>
                        </w:rPr>
                        <w:t>Rode and others (2020).</w:t>
                      </w:r>
                    </w:p>
                  </w:txbxContent>
                </v:textbox>
                <w10:wrap type="square"/>
              </v:shape>
            </w:pict>
          </mc:Fallback>
        </mc:AlternateContent>
      </w:r>
      <w:r w:rsidR="007B2F94" w:rsidRPr="007B2F94">
        <w:rPr>
          <w:color w:val="auto"/>
          <w:sz w:val="22"/>
          <w:szCs w:val="22"/>
        </w:rPr>
        <w:t xml:space="preserve">Following the risk characterisation, risk assessors prepare a report summarizing the risk assessment process, identified individual risks </w:t>
      </w:r>
      <w:r w:rsidR="007B2F94" w:rsidRPr="007B2F94">
        <w:rPr>
          <w:color w:val="000000" w:themeColor="text1"/>
          <w:sz w:val="22"/>
          <w:szCs w:val="22"/>
        </w:rPr>
        <w:t xml:space="preserve">and related uncertainties </w:t>
      </w:r>
      <w:r w:rsidR="007B2F94" w:rsidRPr="007B2F94">
        <w:rPr>
          <w:color w:val="auto"/>
          <w:sz w:val="22"/>
          <w:szCs w:val="22"/>
        </w:rPr>
        <w:t>and the estimated overall risk</w:t>
      </w:r>
      <w:r w:rsidR="000E0E0B">
        <w:rPr>
          <w:color w:val="auto"/>
          <w:sz w:val="22"/>
          <w:szCs w:val="22"/>
        </w:rPr>
        <w:t>. Further,</w:t>
      </w:r>
      <w:r w:rsidR="007B2F94" w:rsidRPr="007B2F94">
        <w:rPr>
          <w:color w:val="auto"/>
          <w:sz w:val="22"/>
          <w:szCs w:val="22"/>
        </w:rPr>
        <w:t xml:space="preserve"> </w:t>
      </w:r>
      <w:r w:rsidR="00277DD9">
        <w:rPr>
          <w:color w:val="auto"/>
          <w:sz w:val="22"/>
          <w:szCs w:val="22"/>
        </w:rPr>
        <w:t>they</w:t>
      </w:r>
      <w:r w:rsidR="007B2F94" w:rsidRPr="007B2F94">
        <w:rPr>
          <w:color w:val="auto"/>
          <w:sz w:val="22"/>
          <w:szCs w:val="22"/>
        </w:rPr>
        <w:t xml:space="preserve"> provide (a) recommendation(s) as to </w:t>
      </w:r>
      <w:proofErr w:type="gramStart"/>
      <w:r w:rsidR="007B2F94" w:rsidRPr="007B2F94">
        <w:rPr>
          <w:color w:val="auto"/>
          <w:sz w:val="22"/>
          <w:szCs w:val="22"/>
        </w:rPr>
        <w:t>whether or not</w:t>
      </w:r>
      <w:proofErr w:type="gramEnd"/>
      <w:r w:rsidR="007B2F94" w:rsidRPr="007B2F94">
        <w:rPr>
          <w:color w:val="auto"/>
          <w:sz w:val="22"/>
          <w:szCs w:val="22"/>
        </w:rPr>
        <w:t xml:space="preserve"> the risks are acceptable or manageable and, where necessary, identification of risk management options that could be implemented to manage the risks associated with the EGD-LMO. This recommendation is made based on the overall risk identified in the context of the scientific criteria for risks that were identified in the problem formulation of the risk assessment, considering established protection goals, assessment endpoints and risk thresholds and what uncertainty remains after potential management of risks. </w:t>
      </w:r>
    </w:p>
    <w:p w14:paraId="29EDB7EA" w14:textId="77777777" w:rsidR="007B2F94" w:rsidRPr="007B2F94" w:rsidRDefault="007B2F94" w:rsidP="007B2F94">
      <w:pPr>
        <w:pStyle w:val="Default"/>
        <w:spacing w:line="276" w:lineRule="auto"/>
        <w:rPr>
          <w:color w:val="auto"/>
          <w:sz w:val="22"/>
          <w:szCs w:val="22"/>
        </w:rPr>
      </w:pPr>
      <w:r w:rsidRPr="007B2F94">
        <w:rPr>
          <w:color w:val="auto"/>
          <w:sz w:val="22"/>
          <w:szCs w:val="22"/>
        </w:rPr>
        <w:t>In making a recommendation regarding the overall risk of the EGD-LMO</w:t>
      </w:r>
      <w:r w:rsidRPr="007B2F94">
        <w:rPr>
          <w:color w:val="000000" w:themeColor="text1"/>
          <w:sz w:val="22"/>
          <w:szCs w:val="22"/>
        </w:rPr>
        <w:t xml:space="preserve">, it is important to include, where necessary, identification of strategies to manage these risks and information on uncertainty regarding the level of risk. These measures shall be imposed to the extent necessary. </w:t>
      </w:r>
      <w:r w:rsidRPr="007B2F94">
        <w:rPr>
          <w:color w:val="auto"/>
          <w:sz w:val="22"/>
          <w:szCs w:val="22"/>
        </w:rPr>
        <w:t xml:space="preserve">The need, </w:t>
      </w:r>
      <w:proofErr w:type="gramStart"/>
      <w:r w:rsidRPr="007B2F94">
        <w:rPr>
          <w:color w:val="auto"/>
          <w:sz w:val="22"/>
          <w:szCs w:val="22"/>
        </w:rPr>
        <w:t>feasibility</w:t>
      </w:r>
      <w:proofErr w:type="gramEnd"/>
      <w:r w:rsidRPr="007B2F94">
        <w:rPr>
          <w:color w:val="auto"/>
          <w:sz w:val="22"/>
          <w:szCs w:val="22"/>
        </w:rPr>
        <w:t xml:space="preserve"> and efficacy of the management options, including the capacity to enact them, should be considered on a case-by-case basis. If such measures are identified, the preceding steps of the risk assessment may need to be revisited to evaluate how the application of the proposed risk management measures would change the outcome of the steps including the capacity to undertake them. </w:t>
      </w:r>
    </w:p>
    <w:p w14:paraId="0A077478" w14:textId="0586CF76" w:rsidR="006B17C8" w:rsidRPr="000B71E5" w:rsidRDefault="007B2F94" w:rsidP="000B71E5">
      <w:pPr>
        <w:pStyle w:val="Heading2"/>
        <w:spacing w:line="276" w:lineRule="auto"/>
        <w:rPr>
          <w:rFonts w:eastAsia="Times New Roman"/>
          <w:color w:val="auto"/>
          <w:sz w:val="22"/>
          <w:szCs w:val="22"/>
        </w:rPr>
      </w:pPr>
      <w:bookmarkStart w:id="72" w:name="_Toc160721320"/>
      <w:bookmarkStart w:id="73" w:name="_Toc160721421"/>
      <w:bookmarkStart w:id="74" w:name="_Toc160798889"/>
      <w:bookmarkStart w:id="75" w:name="_Toc161220505"/>
      <w:r w:rsidRPr="007B2F94">
        <w:rPr>
          <w:rFonts w:ascii="Times New Roman" w:hAnsi="Times New Roman" w:cs="Times New Roman"/>
          <w:color w:val="auto"/>
          <w:sz w:val="22"/>
          <w:szCs w:val="22"/>
        </w:rPr>
        <w:t xml:space="preserve">Further, while the risk assessor provides a recommendation as to </w:t>
      </w:r>
      <w:proofErr w:type="gramStart"/>
      <w:r w:rsidRPr="007B2F94">
        <w:rPr>
          <w:rFonts w:ascii="Times New Roman" w:hAnsi="Times New Roman" w:cs="Times New Roman"/>
          <w:color w:val="auto"/>
          <w:sz w:val="22"/>
          <w:szCs w:val="22"/>
        </w:rPr>
        <w:t>whether or not</w:t>
      </w:r>
      <w:proofErr w:type="gramEnd"/>
      <w:r w:rsidRPr="007B2F94">
        <w:rPr>
          <w:rFonts w:ascii="Times New Roman" w:hAnsi="Times New Roman" w:cs="Times New Roman"/>
          <w:color w:val="auto"/>
          <w:sz w:val="22"/>
          <w:szCs w:val="22"/>
        </w:rPr>
        <w:t xml:space="preserve"> the risks are acceptable or manageable, the ultimate decision about whether or not to approve the EGD-LMO release is a prerogative of the decision makers (also see section 7).</w:t>
      </w:r>
      <w:bookmarkEnd w:id="72"/>
      <w:bookmarkEnd w:id="73"/>
      <w:bookmarkEnd w:id="74"/>
      <w:bookmarkEnd w:id="75"/>
      <w:r w:rsidRPr="007B2F94">
        <w:rPr>
          <w:rFonts w:ascii="Times New Roman" w:hAnsi="Times New Roman" w:cs="Times New Roman"/>
          <w:color w:val="auto"/>
          <w:sz w:val="22"/>
          <w:szCs w:val="22"/>
        </w:rPr>
        <w:t xml:space="preserve">  </w:t>
      </w:r>
    </w:p>
    <w:p w14:paraId="39F6797F" w14:textId="3E79A26F" w:rsidR="004865CE" w:rsidRPr="00CA0582" w:rsidRDefault="004865CE" w:rsidP="00CA0582">
      <w:pPr>
        <w:pStyle w:val="Heading2"/>
        <w:spacing w:line="276" w:lineRule="auto"/>
        <w:rPr>
          <w:rFonts w:ascii="Times New Roman" w:hAnsi="Times New Roman" w:cs="Times New Roman"/>
          <w:b/>
          <w:bCs/>
          <w:color w:val="auto"/>
          <w:sz w:val="28"/>
          <w:szCs w:val="28"/>
          <w:lang w:val="en-GB"/>
        </w:rPr>
      </w:pPr>
      <w:bookmarkStart w:id="76" w:name="_Toc161220506"/>
      <w:r w:rsidRPr="00CA0582">
        <w:rPr>
          <w:rFonts w:ascii="Times New Roman" w:hAnsi="Times New Roman" w:cs="Times New Roman"/>
          <w:b/>
          <w:bCs/>
          <w:color w:val="auto"/>
          <w:sz w:val="28"/>
          <w:szCs w:val="28"/>
          <w:lang w:val="en-GB"/>
        </w:rPr>
        <w:t>6. Monitoring</w:t>
      </w:r>
      <w:bookmarkEnd w:id="76"/>
    </w:p>
    <w:p w14:paraId="794BD6ED" w14:textId="571C6EAB" w:rsidR="005A651C" w:rsidRPr="00CE3475" w:rsidRDefault="005A651C" w:rsidP="00510EBB">
      <w:pPr>
        <w:pStyle w:val="Default"/>
        <w:spacing w:line="276" w:lineRule="auto"/>
      </w:pPr>
      <w:r w:rsidRPr="4644E7B5">
        <w:rPr>
          <w:color w:val="auto"/>
          <w:sz w:val="22"/>
          <w:szCs w:val="22"/>
        </w:rPr>
        <w:t xml:space="preserve">Uncertainty, in its various forms, is </w:t>
      </w:r>
      <w:r w:rsidR="00035AB0" w:rsidRPr="4644E7B5">
        <w:rPr>
          <w:color w:val="auto"/>
          <w:sz w:val="22"/>
          <w:szCs w:val="22"/>
        </w:rPr>
        <w:t xml:space="preserve">an </w:t>
      </w:r>
      <w:r w:rsidRPr="4644E7B5">
        <w:rPr>
          <w:color w:val="auto"/>
          <w:sz w:val="22"/>
          <w:szCs w:val="22"/>
        </w:rPr>
        <w:t>important</w:t>
      </w:r>
      <w:r w:rsidR="00035AB0" w:rsidRPr="4644E7B5">
        <w:rPr>
          <w:color w:val="auto"/>
          <w:sz w:val="22"/>
          <w:szCs w:val="22"/>
        </w:rPr>
        <w:t xml:space="preserve"> consideration</w:t>
      </w:r>
      <w:r w:rsidRPr="4644E7B5">
        <w:rPr>
          <w:color w:val="auto"/>
          <w:sz w:val="22"/>
          <w:szCs w:val="22"/>
        </w:rPr>
        <w:t xml:space="preserve"> in risk assessment </w:t>
      </w:r>
      <w:r w:rsidR="00035AB0" w:rsidRPr="4644E7B5">
        <w:rPr>
          <w:color w:val="auto"/>
          <w:sz w:val="22"/>
          <w:szCs w:val="22"/>
        </w:rPr>
        <w:t xml:space="preserve">of </w:t>
      </w:r>
      <w:r w:rsidR="00830438" w:rsidRPr="4644E7B5">
        <w:rPr>
          <w:color w:val="auto"/>
          <w:sz w:val="22"/>
          <w:szCs w:val="22"/>
        </w:rPr>
        <w:t xml:space="preserve">modern </w:t>
      </w:r>
      <w:r w:rsidRPr="4644E7B5">
        <w:rPr>
          <w:color w:val="auto"/>
          <w:sz w:val="22"/>
          <w:szCs w:val="22"/>
        </w:rPr>
        <w:t>biotechnologies, such as EGD-LMO applications. In accordance with annex III</w:t>
      </w:r>
      <w:r w:rsidR="00035AB0" w:rsidRPr="4644E7B5">
        <w:rPr>
          <w:color w:val="auto"/>
          <w:sz w:val="22"/>
          <w:szCs w:val="22"/>
        </w:rPr>
        <w:t xml:space="preserve"> of the Cartagena Protocol on Biosafety</w:t>
      </w:r>
      <w:r w:rsidRPr="4644E7B5">
        <w:rPr>
          <w:color w:val="auto"/>
          <w:sz w:val="22"/>
          <w:szCs w:val="22"/>
        </w:rPr>
        <w:t xml:space="preserve">, subparagraph 8(f), “where there is uncertainty regarding the level of risk, it may be addressed by requesting further information on the specific issues of concern or by implementing appropriate risk management strategies and/or monitoring the living modified organism in the receiving environment”. Furthermore, Article 16 of the Protocol and in particular, paragraph 2 (which deals with risk management) and 4 (which deals with observation requirements) </w:t>
      </w:r>
      <w:r w:rsidR="00035AB0" w:rsidRPr="4644E7B5">
        <w:rPr>
          <w:color w:val="auto"/>
          <w:sz w:val="22"/>
          <w:szCs w:val="22"/>
        </w:rPr>
        <w:t>are</w:t>
      </w:r>
      <w:r w:rsidRPr="4644E7B5">
        <w:rPr>
          <w:color w:val="auto"/>
          <w:sz w:val="22"/>
          <w:szCs w:val="22"/>
        </w:rPr>
        <w:t xml:space="preserve"> relevant with respect to the implementation of risk management</w:t>
      </w:r>
      <w:r w:rsidR="00035AB0" w:rsidRPr="4644E7B5">
        <w:rPr>
          <w:color w:val="auto"/>
          <w:sz w:val="22"/>
          <w:szCs w:val="22"/>
        </w:rPr>
        <w:t>.</w:t>
      </w:r>
      <w:r w:rsidRPr="4644E7B5">
        <w:rPr>
          <w:color w:val="auto"/>
          <w:sz w:val="22"/>
          <w:szCs w:val="22"/>
        </w:rPr>
        <w:t xml:space="preserve"> </w:t>
      </w:r>
      <w:r w:rsidR="00035AB0" w:rsidRPr="4644E7B5">
        <w:rPr>
          <w:color w:val="auto"/>
          <w:sz w:val="22"/>
          <w:szCs w:val="22"/>
        </w:rPr>
        <w:t xml:space="preserve">Further, </w:t>
      </w:r>
      <w:r w:rsidRPr="4644E7B5">
        <w:rPr>
          <w:color w:val="auto"/>
          <w:sz w:val="22"/>
          <w:szCs w:val="22"/>
        </w:rPr>
        <w:t xml:space="preserve">Article 7 (Identification and monitoring) of the Convention on Biological Diversity establishes that Parties shall, as far as possible and as appropriate, monitor the components of biological diversity important for its conservation and sustainable use, and </w:t>
      </w:r>
      <w:r w:rsidRPr="4644E7B5">
        <w:rPr>
          <w:color w:val="auto"/>
          <w:sz w:val="22"/>
          <w:szCs w:val="22"/>
        </w:rPr>
        <w:lastRenderedPageBreak/>
        <w:t xml:space="preserve">identify processes and categories of activities which have or are likely to have significant adverse impacts, and monitor their effects through sampling and other techniques. </w:t>
      </w:r>
    </w:p>
    <w:p w14:paraId="162D0F43" w14:textId="3AC9EAC4" w:rsidR="071FB2FC" w:rsidRPr="006B17C8" w:rsidRDefault="071FB2FC" w:rsidP="4644E7B5">
      <w:pPr>
        <w:spacing w:before="120" w:after="240" w:line="276" w:lineRule="auto"/>
        <w:ind w:left="-20" w:right="-20"/>
        <w:jc w:val="both"/>
        <w:rPr>
          <w:rFonts w:ascii="Times New Roman" w:eastAsia="Times New Roman" w:hAnsi="Times New Roman" w:cs="Times New Roman"/>
          <w:color w:val="000000" w:themeColor="text1"/>
        </w:rPr>
      </w:pPr>
      <w:r w:rsidRPr="006B17C8">
        <w:rPr>
          <w:rFonts w:ascii="Times New Roman" w:eastAsia="Times New Roman" w:hAnsi="Times New Roman" w:cs="Times New Roman"/>
          <w:color w:val="000000" w:themeColor="text1"/>
        </w:rPr>
        <w:t>Remaining uncertainties in the risk assessment due to long term evolutionary change, their potential consequences in the target organism including those in different genetic backgrounds and the prediction of off-target effects in wild populations could be addressed by monitoring.</w:t>
      </w:r>
      <w:r w:rsidR="00D44BFE" w:rsidRPr="006B17C8">
        <w:rPr>
          <w:rFonts w:ascii="Times New Roman" w:eastAsia="Times New Roman" w:hAnsi="Times New Roman" w:cs="Times New Roman"/>
          <w:color w:val="000000" w:themeColor="text1"/>
        </w:rPr>
        <w:t xml:space="preserve"> </w:t>
      </w:r>
    </w:p>
    <w:p w14:paraId="3F65FBB5" w14:textId="79EAA87B" w:rsidR="00AC11E2" w:rsidRPr="00510EBB" w:rsidRDefault="005A651C" w:rsidP="00510EBB">
      <w:pPr>
        <w:pStyle w:val="Default"/>
        <w:spacing w:line="276" w:lineRule="auto"/>
      </w:pPr>
      <w:r w:rsidRPr="00510EBB">
        <w:rPr>
          <w:color w:val="auto"/>
          <w:sz w:val="22"/>
          <w:szCs w:val="22"/>
        </w:rPr>
        <w:t xml:space="preserve">Monitoring of LMOs refers to the systematic observation, </w:t>
      </w:r>
      <w:r w:rsidR="009F5201" w:rsidRPr="00510EBB">
        <w:rPr>
          <w:color w:val="auto"/>
          <w:sz w:val="22"/>
          <w:szCs w:val="22"/>
        </w:rPr>
        <w:t xml:space="preserve">data </w:t>
      </w:r>
      <w:r w:rsidRPr="00510EBB">
        <w:rPr>
          <w:color w:val="auto"/>
          <w:sz w:val="22"/>
          <w:szCs w:val="22"/>
        </w:rPr>
        <w:t xml:space="preserve">collection, </w:t>
      </w:r>
      <w:r w:rsidR="009F5201" w:rsidRPr="00510EBB">
        <w:rPr>
          <w:color w:val="auto"/>
          <w:sz w:val="22"/>
          <w:szCs w:val="22"/>
        </w:rPr>
        <w:t xml:space="preserve">and data </w:t>
      </w:r>
      <w:r w:rsidRPr="00510EBB">
        <w:rPr>
          <w:color w:val="auto"/>
          <w:sz w:val="22"/>
          <w:szCs w:val="22"/>
        </w:rPr>
        <w:t>analysis</w:t>
      </w:r>
      <w:r w:rsidR="009F5201" w:rsidRPr="00510EBB">
        <w:rPr>
          <w:color w:val="auto"/>
          <w:sz w:val="22"/>
          <w:szCs w:val="22"/>
        </w:rPr>
        <w:t xml:space="preserve"> during and after</w:t>
      </w:r>
      <w:r w:rsidRPr="00510EBB">
        <w:rPr>
          <w:color w:val="auto"/>
          <w:sz w:val="22"/>
          <w:szCs w:val="22"/>
        </w:rPr>
        <w:t xml:space="preserve"> the </w:t>
      </w:r>
      <w:r w:rsidR="00936216" w:rsidRPr="00510EBB">
        <w:rPr>
          <w:color w:val="auto"/>
          <w:sz w:val="22"/>
          <w:szCs w:val="22"/>
        </w:rPr>
        <w:t>intentional</w:t>
      </w:r>
      <w:r w:rsidRPr="00510EBB">
        <w:rPr>
          <w:color w:val="auto"/>
          <w:sz w:val="22"/>
          <w:szCs w:val="22"/>
        </w:rPr>
        <w:t xml:space="preserve"> release of a LMO into the environment and in accordance with the objectives of the Protocol. </w:t>
      </w:r>
      <w:r w:rsidR="006F4917" w:rsidRPr="006B17C8">
        <w:rPr>
          <w:color w:val="000000" w:themeColor="text1"/>
          <w:sz w:val="22"/>
          <w:szCs w:val="22"/>
        </w:rPr>
        <w:t>It should</w:t>
      </w:r>
      <w:r w:rsidR="00071CFE" w:rsidRPr="006B17C8">
        <w:rPr>
          <w:color w:val="000000" w:themeColor="text1"/>
          <w:sz w:val="22"/>
          <w:szCs w:val="22"/>
        </w:rPr>
        <w:t xml:space="preserve"> </w:t>
      </w:r>
      <w:r w:rsidR="006F4917" w:rsidRPr="006B17C8">
        <w:rPr>
          <w:color w:val="000000" w:themeColor="text1"/>
          <w:sz w:val="22"/>
          <w:szCs w:val="22"/>
        </w:rPr>
        <w:t xml:space="preserve">be noted that monitoring efforts should be </w:t>
      </w:r>
      <w:r w:rsidR="0018717C" w:rsidRPr="006B17C8">
        <w:rPr>
          <w:color w:val="000000" w:themeColor="text1"/>
          <w:sz w:val="22"/>
          <w:szCs w:val="22"/>
        </w:rPr>
        <w:t>imposed</w:t>
      </w:r>
      <w:r w:rsidR="006F4917" w:rsidRPr="006B17C8">
        <w:rPr>
          <w:color w:val="000000" w:themeColor="text1"/>
          <w:sz w:val="22"/>
          <w:szCs w:val="22"/>
        </w:rPr>
        <w:t xml:space="preserve"> to the </w:t>
      </w:r>
      <w:r w:rsidR="00AC2254" w:rsidRPr="006B17C8">
        <w:rPr>
          <w:color w:val="000000" w:themeColor="text1"/>
          <w:sz w:val="22"/>
          <w:szCs w:val="22"/>
        </w:rPr>
        <w:t>extent necessary to prevent adverse effects.</w:t>
      </w:r>
      <w:r w:rsidR="00840875" w:rsidRPr="006B17C8">
        <w:rPr>
          <w:color w:val="000000" w:themeColor="text1"/>
          <w:sz w:val="22"/>
          <w:szCs w:val="22"/>
        </w:rPr>
        <w:t xml:space="preserve"> Furthermore, where there is uncertainty regarding the level of risk, </w:t>
      </w:r>
      <w:r w:rsidR="00707C58" w:rsidRPr="006B17C8">
        <w:rPr>
          <w:color w:val="000000" w:themeColor="text1"/>
          <w:sz w:val="22"/>
          <w:szCs w:val="22"/>
        </w:rPr>
        <w:t>it may be addressed by impleme</w:t>
      </w:r>
      <w:r w:rsidR="0096766E" w:rsidRPr="006B17C8">
        <w:rPr>
          <w:color w:val="000000" w:themeColor="text1"/>
          <w:sz w:val="22"/>
          <w:szCs w:val="22"/>
        </w:rPr>
        <w:t>n</w:t>
      </w:r>
      <w:r w:rsidR="00707C58" w:rsidRPr="006B17C8">
        <w:rPr>
          <w:color w:val="000000" w:themeColor="text1"/>
          <w:sz w:val="22"/>
          <w:szCs w:val="22"/>
        </w:rPr>
        <w:t>ting appropriate monitoring</w:t>
      </w:r>
      <w:r w:rsidR="0096766E" w:rsidRPr="006B17C8">
        <w:rPr>
          <w:color w:val="000000" w:themeColor="text1"/>
          <w:sz w:val="22"/>
          <w:szCs w:val="22"/>
        </w:rPr>
        <w:t xml:space="preserve"> of the EGD-LMO</w:t>
      </w:r>
      <w:r w:rsidR="00B83323">
        <w:rPr>
          <w:color w:val="000000" w:themeColor="text1"/>
          <w:sz w:val="22"/>
          <w:szCs w:val="22"/>
        </w:rPr>
        <w:t xml:space="preserve"> </w:t>
      </w:r>
      <w:r w:rsidR="00707C58" w:rsidRPr="006B17C8">
        <w:rPr>
          <w:color w:val="000000" w:themeColor="text1"/>
          <w:sz w:val="22"/>
          <w:szCs w:val="22"/>
        </w:rPr>
        <w:t>in the receiving environment.</w:t>
      </w:r>
      <w:r w:rsidR="00C039C0" w:rsidRPr="006B17C8">
        <w:rPr>
          <w:rFonts w:eastAsia="Times New Roman"/>
          <w:b/>
          <w:bCs/>
          <w:color w:val="000000" w:themeColor="text1"/>
        </w:rPr>
        <w:t xml:space="preserve"> </w:t>
      </w:r>
    </w:p>
    <w:p w14:paraId="6D813782" w14:textId="7A5D234C" w:rsidR="005A651C" w:rsidRPr="00510EBB" w:rsidRDefault="005A651C" w:rsidP="00510EBB">
      <w:pPr>
        <w:pStyle w:val="Default"/>
        <w:spacing w:line="276" w:lineRule="auto"/>
      </w:pPr>
      <w:r w:rsidRPr="4644E7B5">
        <w:rPr>
          <w:color w:val="auto"/>
          <w:sz w:val="22"/>
          <w:szCs w:val="22"/>
        </w:rPr>
        <w:t xml:space="preserve">Monitoring can be categorised as case-specific monitoring </w:t>
      </w:r>
      <w:r w:rsidR="00AC11E2" w:rsidRPr="4644E7B5">
        <w:rPr>
          <w:color w:val="auto"/>
          <w:sz w:val="22"/>
          <w:szCs w:val="22"/>
        </w:rPr>
        <w:t>and</w:t>
      </w:r>
      <w:r w:rsidRPr="4644E7B5">
        <w:rPr>
          <w:color w:val="auto"/>
          <w:sz w:val="22"/>
          <w:szCs w:val="22"/>
        </w:rPr>
        <w:t xml:space="preserve"> general surveillance monitoring. Case specific monitoring is hypothesis driven and should be targeted at the assessment endpoints and protection goals identified in the risk assessment conclusions as being at risk, or where levels of unresolved uncertainty were identified in relation to potential risks associated with the EGD</w:t>
      </w:r>
      <w:r w:rsidR="003A78BB" w:rsidRPr="4644E7B5">
        <w:rPr>
          <w:color w:val="auto"/>
          <w:sz w:val="22"/>
          <w:szCs w:val="22"/>
        </w:rPr>
        <w:t>-</w:t>
      </w:r>
      <w:r w:rsidR="009B3A9F" w:rsidRPr="4644E7B5">
        <w:rPr>
          <w:color w:val="auto"/>
          <w:sz w:val="22"/>
          <w:szCs w:val="22"/>
        </w:rPr>
        <w:t>LMO</w:t>
      </w:r>
      <w:r w:rsidRPr="4644E7B5">
        <w:rPr>
          <w:color w:val="auto"/>
          <w:sz w:val="22"/>
          <w:szCs w:val="22"/>
        </w:rPr>
        <w:t>. While case-specific monitoring may be conducted to address uncertainty in the level of risk for effects anticipated in the risk assessment, general surveillance monitoring is used to account for effects, especially residual or unresolved or unanticipated risk</w:t>
      </w:r>
      <w:r w:rsidR="00AC11E2" w:rsidRPr="4644E7B5">
        <w:rPr>
          <w:color w:val="auto"/>
          <w:sz w:val="22"/>
          <w:szCs w:val="22"/>
        </w:rPr>
        <w:t>s</w:t>
      </w:r>
      <w:r w:rsidRPr="4644E7B5">
        <w:rPr>
          <w:color w:val="auto"/>
          <w:sz w:val="22"/>
          <w:szCs w:val="22"/>
        </w:rPr>
        <w:t xml:space="preserve"> and typically forms the basis for the monitoring plan. </w:t>
      </w:r>
      <w:r w:rsidR="00352FD0" w:rsidRPr="006B17C8">
        <w:rPr>
          <w:color w:val="000000" w:themeColor="text1"/>
          <w:sz w:val="22"/>
          <w:szCs w:val="22"/>
        </w:rPr>
        <w:t>G</w:t>
      </w:r>
      <w:r w:rsidRPr="006B17C8">
        <w:rPr>
          <w:color w:val="000000" w:themeColor="text1"/>
          <w:sz w:val="22"/>
          <w:szCs w:val="22"/>
        </w:rPr>
        <w:t>eneral surveillance monitoring</w:t>
      </w:r>
      <w:r w:rsidR="008D5858" w:rsidRPr="006B17C8">
        <w:rPr>
          <w:color w:val="000000" w:themeColor="text1"/>
          <w:sz w:val="22"/>
          <w:szCs w:val="22"/>
        </w:rPr>
        <w:t xml:space="preserve"> is carried out</w:t>
      </w:r>
      <w:r w:rsidRPr="006B17C8">
        <w:rPr>
          <w:color w:val="000000" w:themeColor="text1"/>
          <w:sz w:val="22"/>
          <w:szCs w:val="22"/>
        </w:rPr>
        <w:t xml:space="preserve"> </w:t>
      </w:r>
      <w:r w:rsidRPr="4644E7B5">
        <w:rPr>
          <w:color w:val="auto"/>
          <w:sz w:val="22"/>
          <w:szCs w:val="22"/>
        </w:rPr>
        <w:t>without any pre</w:t>
      </w:r>
      <w:r w:rsidR="00036D98" w:rsidRPr="4644E7B5">
        <w:rPr>
          <w:color w:val="auto"/>
          <w:sz w:val="22"/>
          <w:szCs w:val="22"/>
        </w:rPr>
        <w:t>-</w:t>
      </w:r>
      <w:r w:rsidRPr="4644E7B5">
        <w:rPr>
          <w:color w:val="auto"/>
          <w:sz w:val="22"/>
          <w:szCs w:val="22"/>
        </w:rPr>
        <w:t>conceived hypothesis to detect effects that were not anticipated in the risk assessment. Should any such effects be observed, they are studied in more detail to determine whether the effect is adverse and whether it is associated with the deployment of a</w:t>
      </w:r>
      <w:r w:rsidR="00305F0A" w:rsidRPr="4644E7B5">
        <w:rPr>
          <w:color w:val="auto"/>
          <w:sz w:val="22"/>
          <w:szCs w:val="22"/>
        </w:rPr>
        <w:t>n</w:t>
      </w:r>
      <w:r w:rsidRPr="4644E7B5">
        <w:rPr>
          <w:color w:val="auto"/>
          <w:sz w:val="22"/>
          <w:szCs w:val="22"/>
        </w:rPr>
        <w:t xml:space="preserve"> EGD</w:t>
      </w:r>
      <w:r w:rsidR="003A78BB" w:rsidRPr="4644E7B5">
        <w:rPr>
          <w:color w:val="auto"/>
          <w:sz w:val="22"/>
          <w:szCs w:val="22"/>
        </w:rPr>
        <w:t>-</w:t>
      </w:r>
      <w:r w:rsidR="009B3A9F" w:rsidRPr="4644E7B5">
        <w:rPr>
          <w:color w:val="auto"/>
          <w:sz w:val="22"/>
          <w:szCs w:val="22"/>
        </w:rPr>
        <w:t>LMO</w:t>
      </w:r>
      <w:r w:rsidRPr="4644E7B5">
        <w:rPr>
          <w:color w:val="auto"/>
          <w:sz w:val="22"/>
          <w:szCs w:val="22"/>
        </w:rPr>
        <w:t>.</w:t>
      </w:r>
    </w:p>
    <w:p w14:paraId="113B6858" w14:textId="251CB65D" w:rsidR="005A651C" w:rsidRPr="00510EBB" w:rsidRDefault="00751264" w:rsidP="00510EBB">
      <w:pPr>
        <w:pStyle w:val="Default"/>
        <w:spacing w:line="276" w:lineRule="auto"/>
      </w:pPr>
      <w:r w:rsidRPr="006B17C8">
        <w:rPr>
          <w:color w:val="000000" w:themeColor="text1"/>
          <w:sz w:val="22"/>
          <w:szCs w:val="22"/>
        </w:rPr>
        <w:t>In certain situations, statistical or process-based models may be used to simulate outcomes under a proposed sampling design and thereby calculate its statistical power (</w:t>
      </w:r>
      <w:r w:rsidRPr="0098625C">
        <w:rPr>
          <w:color w:val="000000" w:themeColor="text1"/>
          <w:sz w:val="22"/>
          <w:szCs w:val="22"/>
        </w:rPr>
        <w:t>Arnold and other</w:t>
      </w:r>
      <w:r w:rsidR="0082626F" w:rsidRPr="0098625C">
        <w:rPr>
          <w:color w:val="000000" w:themeColor="text1"/>
          <w:sz w:val="22"/>
          <w:szCs w:val="22"/>
        </w:rPr>
        <w:t>s,</w:t>
      </w:r>
      <w:r w:rsidRPr="0098625C">
        <w:rPr>
          <w:color w:val="000000" w:themeColor="text1"/>
          <w:sz w:val="22"/>
          <w:szCs w:val="22"/>
        </w:rPr>
        <w:t xml:space="preserve"> 2011</w:t>
      </w:r>
      <w:r w:rsidRPr="006B17C8">
        <w:rPr>
          <w:color w:val="000000" w:themeColor="text1"/>
          <w:sz w:val="22"/>
          <w:szCs w:val="22"/>
        </w:rPr>
        <w:t>)</w:t>
      </w:r>
      <w:r w:rsidR="0079297D" w:rsidRPr="006B17C8">
        <w:rPr>
          <w:color w:val="000000" w:themeColor="text1"/>
          <w:sz w:val="22"/>
          <w:szCs w:val="22"/>
        </w:rPr>
        <w:t>.</w:t>
      </w:r>
      <w:r w:rsidR="005A651C" w:rsidRPr="006B17C8">
        <w:rPr>
          <w:color w:val="000000" w:themeColor="text1"/>
          <w:sz w:val="22"/>
          <w:szCs w:val="22"/>
        </w:rPr>
        <w:t xml:space="preserve"> </w:t>
      </w:r>
      <w:r w:rsidR="005A651C" w:rsidRPr="4644E7B5">
        <w:rPr>
          <w:color w:val="auto"/>
          <w:sz w:val="22"/>
          <w:szCs w:val="22"/>
        </w:rPr>
        <w:t xml:space="preserve">In this regard, clear triggers for management responses, based on modelling, for </w:t>
      </w:r>
      <w:proofErr w:type="gramStart"/>
      <w:r w:rsidR="005A651C" w:rsidRPr="4644E7B5">
        <w:rPr>
          <w:color w:val="auto"/>
          <w:sz w:val="22"/>
          <w:szCs w:val="22"/>
        </w:rPr>
        <w:t>particular monitoring</w:t>
      </w:r>
      <w:proofErr w:type="gramEnd"/>
      <w:r w:rsidR="005A651C" w:rsidRPr="4644E7B5">
        <w:rPr>
          <w:color w:val="auto"/>
          <w:sz w:val="22"/>
          <w:szCs w:val="22"/>
        </w:rPr>
        <w:t xml:space="preserve"> results/events may be considered. </w:t>
      </w:r>
    </w:p>
    <w:p w14:paraId="2F1EC406" w14:textId="639615F3" w:rsidR="005A651C" w:rsidRPr="00510EBB" w:rsidRDefault="00830438" w:rsidP="00510EBB">
      <w:pPr>
        <w:pStyle w:val="Default"/>
        <w:spacing w:line="276" w:lineRule="auto"/>
      </w:pPr>
      <w:r w:rsidRPr="4644E7B5">
        <w:rPr>
          <w:color w:val="auto"/>
          <w:sz w:val="22"/>
          <w:szCs w:val="22"/>
        </w:rPr>
        <w:t>M</w:t>
      </w:r>
      <w:r w:rsidR="005A651C" w:rsidRPr="4644E7B5">
        <w:rPr>
          <w:color w:val="auto"/>
          <w:sz w:val="22"/>
          <w:szCs w:val="22"/>
        </w:rPr>
        <w:t xml:space="preserve">onitoring measures may be implemented to trace and identify any direct or indirect, immediate, </w:t>
      </w:r>
      <w:proofErr w:type="gramStart"/>
      <w:r w:rsidR="005A651C" w:rsidRPr="4644E7B5">
        <w:rPr>
          <w:color w:val="auto"/>
          <w:sz w:val="22"/>
          <w:szCs w:val="22"/>
        </w:rPr>
        <w:t>delayed</w:t>
      </w:r>
      <w:proofErr w:type="gramEnd"/>
      <w:r w:rsidR="005A651C" w:rsidRPr="4644E7B5">
        <w:rPr>
          <w:color w:val="auto"/>
          <w:sz w:val="22"/>
          <w:szCs w:val="22"/>
        </w:rPr>
        <w:t xml:space="preserve"> or unforeseen </w:t>
      </w:r>
      <w:r w:rsidR="00CA73B3" w:rsidRPr="006B17C8">
        <w:rPr>
          <w:color w:val="000000" w:themeColor="text1"/>
          <w:sz w:val="22"/>
          <w:szCs w:val="22"/>
        </w:rPr>
        <w:t xml:space="preserve">adverse </w:t>
      </w:r>
      <w:r w:rsidR="005A651C" w:rsidRPr="006B17C8">
        <w:rPr>
          <w:color w:val="000000" w:themeColor="text1"/>
          <w:sz w:val="22"/>
          <w:szCs w:val="22"/>
        </w:rPr>
        <w:t>effects on the environment</w:t>
      </w:r>
      <w:r w:rsidR="00AC11E2" w:rsidRPr="006B17C8">
        <w:rPr>
          <w:color w:val="000000" w:themeColor="text1"/>
          <w:sz w:val="22"/>
          <w:szCs w:val="22"/>
        </w:rPr>
        <w:t>, taking into account human health</w:t>
      </w:r>
      <w:r w:rsidRPr="006B17C8">
        <w:rPr>
          <w:color w:val="000000" w:themeColor="text1"/>
          <w:sz w:val="22"/>
          <w:szCs w:val="22"/>
        </w:rPr>
        <w:t>,</w:t>
      </w:r>
      <w:r w:rsidR="005A651C" w:rsidRPr="006B17C8">
        <w:rPr>
          <w:color w:val="000000" w:themeColor="text1"/>
          <w:sz w:val="22"/>
          <w:szCs w:val="22"/>
        </w:rPr>
        <w:t xml:space="preserve"> of LMOs as or in products after they have been </w:t>
      </w:r>
      <w:r w:rsidR="00800AC8" w:rsidRPr="006B17C8">
        <w:rPr>
          <w:color w:val="000000" w:themeColor="text1"/>
          <w:sz w:val="22"/>
          <w:szCs w:val="22"/>
        </w:rPr>
        <w:t xml:space="preserve">intentionally </w:t>
      </w:r>
      <w:r w:rsidR="005A651C" w:rsidRPr="006B17C8">
        <w:rPr>
          <w:color w:val="000000" w:themeColor="text1"/>
          <w:sz w:val="22"/>
          <w:szCs w:val="22"/>
        </w:rPr>
        <w:t xml:space="preserve">released into the environment. </w:t>
      </w:r>
      <w:r w:rsidR="00612B76" w:rsidRPr="006B17C8">
        <w:rPr>
          <w:color w:val="000000" w:themeColor="text1"/>
          <w:sz w:val="22"/>
          <w:szCs w:val="22"/>
        </w:rPr>
        <w:t xml:space="preserve">Additionally, this can also include </w:t>
      </w:r>
      <w:r w:rsidR="00D8150F">
        <w:rPr>
          <w:color w:val="000000" w:themeColor="text1"/>
          <w:sz w:val="22"/>
          <w:szCs w:val="22"/>
        </w:rPr>
        <w:t xml:space="preserve">potential </w:t>
      </w:r>
      <w:r w:rsidR="00612B76" w:rsidRPr="006B17C8">
        <w:rPr>
          <w:color w:val="000000" w:themeColor="text1"/>
          <w:sz w:val="22"/>
          <w:szCs w:val="22"/>
        </w:rPr>
        <w:t xml:space="preserve">adverse effects on plant and animal health. </w:t>
      </w:r>
      <w:r w:rsidR="004F1AFC" w:rsidRPr="006B17C8">
        <w:rPr>
          <w:color w:val="000000" w:themeColor="text1"/>
          <w:sz w:val="22"/>
          <w:szCs w:val="22"/>
        </w:rPr>
        <w:t>M</w:t>
      </w:r>
      <w:r w:rsidR="005A651C" w:rsidRPr="006B17C8">
        <w:rPr>
          <w:color w:val="000000" w:themeColor="text1"/>
          <w:sz w:val="22"/>
          <w:szCs w:val="22"/>
        </w:rPr>
        <w:t xml:space="preserve">onitoring </w:t>
      </w:r>
      <w:r w:rsidR="005A651C" w:rsidRPr="4644E7B5">
        <w:rPr>
          <w:color w:val="auto"/>
          <w:sz w:val="22"/>
          <w:szCs w:val="22"/>
        </w:rPr>
        <w:t>data may feed back into the risk assessment process.</w:t>
      </w:r>
      <w:r w:rsidR="001A18F4" w:rsidRPr="4644E7B5">
        <w:rPr>
          <w:color w:val="auto"/>
          <w:sz w:val="22"/>
          <w:szCs w:val="22"/>
        </w:rPr>
        <w:t xml:space="preserve"> </w:t>
      </w:r>
    </w:p>
    <w:p w14:paraId="4A52DBAB" w14:textId="2EC352BB" w:rsidR="005A651C" w:rsidRPr="00510EBB" w:rsidRDefault="005A651C" w:rsidP="00510EBB">
      <w:pPr>
        <w:pStyle w:val="Default"/>
        <w:spacing w:after="0" w:line="276" w:lineRule="auto"/>
      </w:pPr>
      <w:r w:rsidRPr="00510EBB">
        <w:rPr>
          <w:color w:val="auto"/>
          <w:sz w:val="22"/>
          <w:szCs w:val="22"/>
        </w:rPr>
        <w:t>Environmental monitoring may be a means to:</w:t>
      </w:r>
    </w:p>
    <w:p w14:paraId="67C1FF84" w14:textId="77777777" w:rsidR="005A651C" w:rsidRPr="00510EBB" w:rsidRDefault="005A651C" w:rsidP="00510EBB">
      <w:pPr>
        <w:pStyle w:val="ListParagraph"/>
        <w:numPr>
          <w:ilvl w:val="0"/>
          <w:numId w:val="53"/>
        </w:numPr>
        <w:spacing w:line="276" w:lineRule="auto"/>
        <w:rPr>
          <w:rFonts w:ascii="Times New Roman" w:hAnsi="Times New Roman"/>
        </w:rPr>
      </w:pPr>
      <w:r w:rsidRPr="00510EBB">
        <w:rPr>
          <w:rFonts w:ascii="Times New Roman" w:hAnsi="Times New Roman"/>
        </w:rPr>
        <w:t>Address/Reduce uncertainties;</w:t>
      </w:r>
    </w:p>
    <w:p w14:paraId="18746756" w14:textId="176F6DC2" w:rsidR="005A651C" w:rsidRPr="00510EBB" w:rsidRDefault="005A651C" w:rsidP="00510EBB">
      <w:pPr>
        <w:pStyle w:val="ListParagraph"/>
        <w:numPr>
          <w:ilvl w:val="0"/>
          <w:numId w:val="53"/>
        </w:numPr>
        <w:spacing w:line="276" w:lineRule="auto"/>
        <w:rPr>
          <w:rFonts w:ascii="Times New Roman" w:hAnsi="Times New Roman"/>
        </w:rPr>
      </w:pPr>
      <w:r w:rsidRPr="00510EBB">
        <w:rPr>
          <w:rFonts w:ascii="Times New Roman" w:hAnsi="Times New Roman"/>
        </w:rPr>
        <w:t>Confirm assumptions made during the risk assessment</w:t>
      </w:r>
      <w:r w:rsidR="00974EE8" w:rsidRPr="00510EBB">
        <w:rPr>
          <w:rFonts w:ascii="Times New Roman" w:hAnsi="Times New Roman"/>
        </w:rPr>
        <w:t xml:space="preserve">, including </w:t>
      </w:r>
      <w:r w:rsidR="00AA09A4" w:rsidRPr="00510EBB">
        <w:rPr>
          <w:rFonts w:ascii="Times New Roman" w:hAnsi="Times New Roman"/>
        </w:rPr>
        <w:t>efficacy and safety for human</w:t>
      </w:r>
      <w:r w:rsidR="008623C6">
        <w:rPr>
          <w:rFonts w:ascii="Times New Roman" w:hAnsi="Times New Roman"/>
        </w:rPr>
        <w:t xml:space="preserve">, </w:t>
      </w:r>
      <w:r w:rsidR="008623C6" w:rsidRPr="006B17C8">
        <w:rPr>
          <w:rFonts w:ascii="Times New Roman" w:hAnsi="Times New Roman"/>
          <w:color w:val="000000" w:themeColor="text1"/>
        </w:rPr>
        <w:t>animal and plant</w:t>
      </w:r>
      <w:r w:rsidR="00AA09A4" w:rsidRPr="006B17C8">
        <w:rPr>
          <w:rFonts w:ascii="Times New Roman" w:hAnsi="Times New Roman"/>
          <w:color w:val="000000" w:themeColor="text1"/>
        </w:rPr>
        <w:t xml:space="preserve"> </w:t>
      </w:r>
      <w:r w:rsidR="00AA09A4" w:rsidRPr="00510EBB">
        <w:rPr>
          <w:rFonts w:ascii="Times New Roman" w:hAnsi="Times New Roman"/>
        </w:rPr>
        <w:t>health and the environment</w:t>
      </w:r>
      <w:r w:rsidRPr="00510EBB">
        <w:rPr>
          <w:rFonts w:ascii="Times New Roman" w:hAnsi="Times New Roman"/>
        </w:rPr>
        <w:t>;</w:t>
      </w:r>
    </w:p>
    <w:p w14:paraId="3F2A1EDB" w14:textId="21724C08" w:rsidR="005A651C" w:rsidRPr="00510EBB" w:rsidRDefault="005A651C" w:rsidP="00510EBB">
      <w:pPr>
        <w:pStyle w:val="ListParagraph"/>
        <w:numPr>
          <w:ilvl w:val="0"/>
          <w:numId w:val="53"/>
        </w:numPr>
        <w:spacing w:line="276" w:lineRule="auto"/>
        <w:rPr>
          <w:rFonts w:ascii="Times New Roman" w:hAnsi="Times New Roman"/>
        </w:rPr>
      </w:pPr>
      <w:r w:rsidRPr="00510EBB">
        <w:rPr>
          <w:rFonts w:ascii="Times New Roman" w:hAnsi="Times New Roman"/>
        </w:rPr>
        <w:t xml:space="preserve">Validate conclusions of the assessment on a wider </w:t>
      </w:r>
      <w:proofErr w:type="spellStart"/>
      <w:r w:rsidRPr="00510EBB">
        <w:rPr>
          <w:rFonts w:ascii="Times New Roman" w:hAnsi="Times New Roman"/>
        </w:rPr>
        <w:t>spatio</w:t>
      </w:r>
      <w:proofErr w:type="spellEnd"/>
      <w:r w:rsidRPr="00510EBB">
        <w:rPr>
          <w:rFonts w:ascii="Times New Roman" w:hAnsi="Times New Roman"/>
        </w:rPr>
        <w:t>-temporal level of application;</w:t>
      </w:r>
    </w:p>
    <w:p w14:paraId="4DEE990A" w14:textId="065BD844" w:rsidR="005A651C" w:rsidRPr="00510EBB" w:rsidRDefault="005A651C" w:rsidP="00510EBB">
      <w:pPr>
        <w:pStyle w:val="ListParagraph"/>
        <w:numPr>
          <w:ilvl w:val="0"/>
          <w:numId w:val="53"/>
        </w:numPr>
        <w:spacing w:line="276" w:lineRule="auto"/>
        <w:rPr>
          <w:rFonts w:ascii="Times New Roman" w:hAnsi="Times New Roman"/>
        </w:rPr>
      </w:pPr>
      <w:r w:rsidRPr="00510EBB">
        <w:rPr>
          <w:rFonts w:ascii="Times New Roman" w:hAnsi="Times New Roman"/>
        </w:rPr>
        <w:t>Determine the causal link between an environmental change observed and the specific use of an EGD-LMO</w:t>
      </w:r>
      <w:r w:rsidR="00830438" w:rsidRPr="00510EBB">
        <w:rPr>
          <w:rFonts w:ascii="Times New Roman" w:hAnsi="Times New Roman"/>
        </w:rPr>
        <w:t>;</w:t>
      </w:r>
    </w:p>
    <w:p w14:paraId="5571FA89" w14:textId="537B4B56" w:rsidR="005A651C" w:rsidRPr="00510EBB" w:rsidRDefault="005A651C" w:rsidP="00510EBB">
      <w:pPr>
        <w:pStyle w:val="ListParagraph"/>
        <w:numPr>
          <w:ilvl w:val="0"/>
          <w:numId w:val="53"/>
        </w:numPr>
        <w:spacing w:line="276" w:lineRule="auto"/>
        <w:rPr>
          <w:rFonts w:ascii="Times New Roman" w:hAnsi="Times New Roman"/>
        </w:rPr>
      </w:pPr>
      <w:r w:rsidRPr="00510EBB">
        <w:rPr>
          <w:rFonts w:ascii="Times New Roman" w:hAnsi="Times New Roman"/>
        </w:rPr>
        <w:t xml:space="preserve">Evaluate whether risk management strategies are efficacious and being implemented effectively; </w:t>
      </w:r>
    </w:p>
    <w:p w14:paraId="10A534D0" w14:textId="1FCFA776" w:rsidR="005A651C" w:rsidRPr="00510EBB" w:rsidRDefault="005A651C" w:rsidP="00510EBB">
      <w:pPr>
        <w:pStyle w:val="ListParagraph"/>
        <w:numPr>
          <w:ilvl w:val="0"/>
          <w:numId w:val="53"/>
        </w:numPr>
        <w:spacing w:line="276" w:lineRule="auto"/>
        <w:rPr>
          <w:rFonts w:ascii="Times New Roman" w:hAnsi="Times New Roman"/>
        </w:rPr>
      </w:pPr>
      <w:r w:rsidRPr="00510EBB">
        <w:rPr>
          <w:rFonts w:ascii="Times New Roman" w:hAnsi="Times New Roman"/>
        </w:rPr>
        <w:t>Detect effects that were not anticipated in the risk assessment including cumulative, and long-term adverse effects</w:t>
      </w:r>
      <w:r w:rsidR="00987030" w:rsidRPr="00510EBB">
        <w:rPr>
          <w:rFonts w:ascii="Times New Roman" w:hAnsi="Times New Roman"/>
        </w:rPr>
        <w:t>; and</w:t>
      </w:r>
      <w:r w:rsidRPr="00510EBB">
        <w:rPr>
          <w:rFonts w:ascii="Times New Roman" w:hAnsi="Times New Roman"/>
        </w:rPr>
        <w:t xml:space="preserve"> </w:t>
      </w:r>
    </w:p>
    <w:p w14:paraId="506EDC9C" w14:textId="00A89CF1" w:rsidR="005A651C" w:rsidRPr="00A10BDE" w:rsidRDefault="005A651C" w:rsidP="00510EBB">
      <w:pPr>
        <w:pStyle w:val="ListParagraph"/>
        <w:numPr>
          <w:ilvl w:val="0"/>
          <w:numId w:val="53"/>
        </w:numPr>
        <w:spacing w:line="276" w:lineRule="auto"/>
        <w:rPr>
          <w:rFonts w:ascii="Times New Roman" w:hAnsi="Times New Roman"/>
        </w:rPr>
      </w:pPr>
      <w:r w:rsidRPr="00510EBB">
        <w:rPr>
          <w:rFonts w:ascii="Times New Roman" w:hAnsi="Times New Roman"/>
        </w:rPr>
        <w:t>Establish</w:t>
      </w:r>
      <w:r w:rsidRPr="00A10BDE">
        <w:rPr>
          <w:rFonts w:ascii="Times New Roman" w:hAnsi="Times New Roman"/>
        </w:rPr>
        <w:t xml:space="preserve"> a causal link between EGD-LMOs and </w:t>
      </w:r>
      <w:r w:rsidR="00987030">
        <w:rPr>
          <w:rFonts w:ascii="Times New Roman" w:hAnsi="Times New Roman"/>
        </w:rPr>
        <w:t xml:space="preserve">any observed </w:t>
      </w:r>
      <w:r w:rsidRPr="00A10BDE">
        <w:rPr>
          <w:rFonts w:ascii="Times New Roman" w:hAnsi="Times New Roman"/>
        </w:rPr>
        <w:t>adverse effects</w:t>
      </w:r>
      <w:r w:rsidR="00987030">
        <w:rPr>
          <w:rFonts w:ascii="Times New Roman" w:hAnsi="Times New Roman"/>
        </w:rPr>
        <w:t>.</w:t>
      </w:r>
    </w:p>
    <w:p w14:paraId="7A84AAF5" w14:textId="74FC0209" w:rsidR="005A651C" w:rsidRPr="00510EBB" w:rsidRDefault="005A651C" w:rsidP="00510EBB">
      <w:pPr>
        <w:pStyle w:val="Default"/>
        <w:spacing w:line="276" w:lineRule="auto"/>
      </w:pPr>
      <w:r w:rsidRPr="00510EBB">
        <w:rPr>
          <w:color w:val="auto"/>
          <w:sz w:val="22"/>
          <w:szCs w:val="22"/>
        </w:rPr>
        <w:lastRenderedPageBreak/>
        <w:t>In addition, monitoring can be considered to also serve as an early warning system that could lead to the activation of additional risk management actions. Hence, monitoring results inform decision making about continued testing and implementation of the EGD-</w:t>
      </w:r>
      <w:r w:rsidR="002E0152" w:rsidRPr="00510EBB" w:rsidDel="002E0152">
        <w:rPr>
          <w:color w:val="auto"/>
          <w:sz w:val="22"/>
          <w:szCs w:val="22"/>
        </w:rPr>
        <w:t xml:space="preserve"> </w:t>
      </w:r>
      <w:r w:rsidR="00B97663" w:rsidRPr="00510EBB">
        <w:rPr>
          <w:color w:val="auto"/>
          <w:sz w:val="22"/>
          <w:szCs w:val="22"/>
        </w:rPr>
        <w:t>LMO</w:t>
      </w:r>
      <w:r w:rsidRPr="00510EBB">
        <w:rPr>
          <w:color w:val="auto"/>
          <w:sz w:val="22"/>
          <w:szCs w:val="22"/>
        </w:rPr>
        <w:t xml:space="preserve"> and its ongoing use and management.</w:t>
      </w:r>
    </w:p>
    <w:p w14:paraId="4013C340" w14:textId="21A735F1" w:rsidR="005A651C" w:rsidRDefault="0057186D" w:rsidP="0057186D">
      <w:pPr>
        <w:pStyle w:val="Heading2"/>
        <w:spacing w:line="276" w:lineRule="auto"/>
        <w:rPr>
          <w:rFonts w:ascii="Times New Roman" w:hAnsi="Times New Roman" w:cs="Times New Roman"/>
          <w:b/>
          <w:bCs/>
          <w:color w:val="auto"/>
          <w:sz w:val="24"/>
          <w:szCs w:val="24"/>
          <w:lang w:val="en-GB"/>
        </w:rPr>
      </w:pPr>
      <w:bookmarkStart w:id="77" w:name="_Toc161220507"/>
      <w:r w:rsidRPr="006B17C8">
        <w:rPr>
          <w:rFonts w:ascii="Times New Roman" w:hAnsi="Times New Roman" w:cs="Times New Roman"/>
          <w:b/>
          <w:bCs/>
          <w:color w:val="000000" w:themeColor="text1"/>
          <w:sz w:val="24"/>
          <w:szCs w:val="24"/>
          <w:lang w:val="en-GB"/>
        </w:rPr>
        <w:t>6.</w:t>
      </w:r>
      <w:r w:rsidR="00DC160B" w:rsidRPr="006B17C8">
        <w:rPr>
          <w:rFonts w:ascii="Times New Roman" w:hAnsi="Times New Roman" w:cs="Times New Roman"/>
          <w:b/>
          <w:bCs/>
          <w:color w:val="000000" w:themeColor="text1"/>
          <w:sz w:val="24"/>
          <w:szCs w:val="24"/>
          <w:lang w:val="en-GB"/>
        </w:rPr>
        <w:t>1</w:t>
      </w:r>
      <w:r w:rsidR="005A651C" w:rsidRPr="006B17C8">
        <w:rPr>
          <w:rFonts w:ascii="Times New Roman" w:hAnsi="Times New Roman" w:cs="Times New Roman"/>
          <w:b/>
          <w:bCs/>
          <w:color w:val="000000" w:themeColor="text1"/>
          <w:sz w:val="24"/>
          <w:szCs w:val="24"/>
          <w:lang w:val="en-GB"/>
        </w:rPr>
        <w:t xml:space="preserve">. </w:t>
      </w:r>
      <w:r w:rsidR="00D30359">
        <w:rPr>
          <w:rFonts w:ascii="Times New Roman" w:hAnsi="Times New Roman" w:cs="Times New Roman"/>
          <w:b/>
          <w:bCs/>
          <w:color w:val="auto"/>
          <w:sz w:val="24"/>
          <w:szCs w:val="24"/>
          <w:lang w:val="en-GB"/>
        </w:rPr>
        <w:t>C</w:t>
      </w:r>
      <w:r w:rsidR="005A651C" w:rsidRPr="0057186D">
        <w:rPr>
          <w:rFonts w:ascii="Times New Roman" w:hAnsi="Times New Roman" w:cs="Times New Roman"/>
          <w:b/>
          <w:bCs/>
          <w:color w:val="auto"/>
          <w:sz w:val="24"/>
          <w:szCs w:val="24"/>
          <w:lang w:val="en-GB"/>
        </w:rPr>
        <w:t>onsideration</w:t>
      </w:r>
      <w:r w:rsidR="00D30359">
        <w:rPr>
          <w:rFonts w:ascii="Times New Roman" w:hAnsi="Times New Roman" w:cs="Times New Roman"/>
          <w:b/>
          <w:bCs/>
          <w:color w:val="auto"/>
          <w:sz w:val="24"/>
          <w:szCs w:val="24"/>
          <w:lang w:val="en-GB"/>
        </w:rPr>
        <w:t>s for</w:t>
      </w:r>
      <w:r w:rsidR="005A651C" w:rsidRPr="0057186D">
        <w:rPr>
          <w:rFonts w:ascii="Times New Roman" w:hAnsi="Times New Roman" w:cs="Times New Roman"/>
          <w:b/>
          <w:bCs/>
          <w:color w:val="auto"/>
          <w:sz w:val="24"/>
          <w:szCs w:val="24"/>
          <w:lang w:val="en-GB"/>
        </w:rPr>
        <w:t xml:space="preserve"> monitoring</w:t>
      </w:r>
      <w:bookmarkEnd w:id="77"/>
    </w:p>
    <w:p w14:paraId="4DAD0F60" w14:textId="3ECA7E57" w:rsidR="00F03831" w:rsidRDefault="007970E6" w:rsidP="00356E86">
      <w:pPr>
        <w:pStyle w:val="Default"/>
        <w:spacing w:line="276" w:lineRule="auto"/>
        <w:rPr>
          <w:color w:val="auto"/>
          <w:sz w:val="22"/>
          <w:szCs w:val="22"/>
        </w:rPr>
      </w:pPr>
      <w:r w:rsidRPr="00356E86">
        <w:rPr>
          <w:noProof/>
          <w:color w:val="auto"/>
          <w:sz w:val="22"/>
          <w:szCs w:val="22"/>
        </w:rPr>
        <mc:AlternateContent>
          <mc:Choice Requires="wps">
            <w:drawing>
              <wp:anchor distT="45720" distB="45720" distL="114300" distR="114300" simplePos="0" relativeHeight="251658241" behindDoc="0" locked="0" layoutInCell="1" allowOverlap="1" wp14:anchorId="7321DF33" wp14:editId="754CFB2E">
                <wp:simplePos x="0" y="0"/>
                <wp:positionH relativeFrom="column">
                  <wp:posOffset>3006090</wp:posOffset>
                </wp:positionH>
                <wp:positionV relativeFrom="paragraph">
                  <wp:posOffset>9525</wp:posOffset>
                </wp:positionV>
                <wp:extent cx="2700655" cy="2230755"/>
                <wp:effectExtent l="0" t="0" r="23495" b="17145"/>
                <wp:wrapSquare wrapText="bothSides"/>
                <wp:docPr id="734478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655" cy="2230755"/>
                        </a:xfrm>
                        <a:prstGeom prst="rect">
                          <a:avLst/>
                        </a:prstGeom>
                        <a:solidFill>
                          <a:srgbClr val="FFFFFF"/>
                        </a:solidFill>
                        <a:ln w="9525">
                          <a:solidFill>
                            <a:srgbClr val="000000"/>
                          </a:solidFill>
                          <a:miter lim="800000"/>
                          <a:headEnd/>
                          <a:tailEnd/>
                        </a:ln>
                      </wps:spPr>
                      <wps:txbx>
                        <w:txbxContent>
                          <w:p w14:paraId="6CEB4C74" w14:textId="45F39BCA" w:rsidR="00356E86" w:rsidRPr="00356E86" w:rsidRDefault="00356E86" w:rsidP="00356E86">
                            <w:pPr>
                              <w:rPr>
                                <w:rFonts w:asciiTheme="majorEastAsia" w:hAnsiTheme="majorEastAsia" w:cstheme="majorEastAsia"/>
                                <w:b/>
                                <w:bCs/>
                                <w:sz w:val="18"/>
                                <w:szCs w:val="18"/>
                              </w:rPr>
                            </w:pPr>
                            <w:r w:rsidRPr="00356E86">
                              <w:rPr>
                                <w:rFonts w:asciiTheme="majorEastAsia" w:hAnsiTheme="majorEastAsia" w:cstheme="majorEastAsia" w:hint="eastAsia"/>
                                <w:b/>
                                <w:bCs/>
                                <w:sz w:val="18"/>
                                <w:szCs w:val="18"/>
                              </w:rPr>
                              <w:t>Mosquitoes:</w:t>
                            </w:r>
                          </w:p>
                          <w:p w14:paraId="19E0E638" w14:textId="77777777" w:rsidR="00356E86" w:rsidRPr="00356E86" w:rsidRDefault="00356E86" w:rsidP="00356E86">
                            <w:pPr>
                              <w:rPr>
                                <w:rFonts w:asciiTheme="majorEastAsia" w:hAnsiTheme="majorEastAsia" w:cstheme="majorEastAsia"/>
                                <w:b/>
                                <w:bCs/>
                                <w:sz w:val="18"/>
                                <w:szCs w:val="18"/>
                              </w:rPr>
                            </w:pPr>
                            <w:r w:rsidRPr="00356E86">
                              <w:rPr>
                                <w:rFonts w:asciiTheme="majorEastAsia" w:hAnsiTheme="majorEastAsia" w:cstheme="majorEastAsia" w:hint="eastAsia"/>
                                <w:b/>
                                <w:bCs/>
                                <w:sz w:val="18"/>
                                <w:szCs w:val="18"/>
                              </w:rPr>
                              <w:t>Considerations for monitoring</w:t>
                            </w:r>
                          </w:p>
                          <w:p w14:paraId="17CD84C8" w14:textId="3D3F718A" w:rsidR="00356E86" w:rsidRPr="00356E86" w:rsidRDefault="00356E86" w:rsidP="00356E86">
                            <w:pPr>
                              <w:spacing w:line="276" w:lineRule="auto"/>
                              <w:rPr>
                                <w:rFonts w:asciiTheme="majorEastAsia" w:hAnsiTheme="majorEastAsia" w:cstheme="majorEastAsia"/>
                                <w:sz w:val="18"/>
                                <w:szCs w:val="18"/>
                              </w:rPr>
                            </w:pPr>
                            <w:r w:rsidRPr="00356E86">
                              <w:rPr>
                                <w:rFonts w:asciiTheme="majorEastAsia" w:hAnsiTheme="majorEastAsia" w:cstheme="majorEastAsia" w:hint="eastAsia"/>
                                <w:sz w:val="18"/>
                                <w:szCs w:val="18"/>
                              </w:rPr>
                              <w:t>There is substantial experience with releasing insects for genetic and biological disease vector/pest control, including their monitoring. It may be advisable/appropriate to draw on the experience from current insect disease vector/pest control strategies that involve the release of insects, seek precedence for more or less similar situations, and use this experience to inform the monitoring of EGD-LMMs. However, caution is required as the systems compared differ in various aspects.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321DF33" id="_x0000_s1027" type="#_x0000_t202" style="position:absolute;left:0;text-align:left;margin-left:236.7pt;margin-top:.75pt;width:212.65pt;height:175.6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">
                <v:textbox>
                  <w:txbxContent>
                    <w:p w14:paraId="6CEB4C74" w14:textId="45F39BCA" w:rsidR="00356E86" w:rsidRPr="00356E86" w:rsidRDefault="00356E86" w:rsidP="00356E86">
                      <w:pPr>
                        <w:rPr>
                          <w:rFonts w:asciiTheme="majorEastAsia" w:hAnsiTheme="majorEastAsia" w:cstheme="majorEastAsia"/>
                          <w:b/>
                          <w:bCs/>
                          <w:sz w:val="18"/>
                          <w:szCs w:val="18"/>
                        </w:rPr>
                      </w:pPr>
                      <w:r w:rsidRPr="00356E86">
                        <w:rPr>
                          <w:rFonts w:asciiTheme="majorEastAsia" w:hAnsiTheme="majorEastAsia" w:cstheme="majorEastAsia" w:hint="eastAsia"/>
                          <w:b/>
                          <w:bCs/>
                          <w:sz w:val="18"/>
                          <w:szCs w:val="18"/>
                        </w:rPr>
                        <w:t>Mosquitoes:</w:t>
                      </w:r>
                    </w:p>
                    <w:p w14:paraId="19E0E638" w14:textId="77777777" w:rsidR="00356E86" w:rsidRPr="00356E86" w:rsidRDefault="00356E86" w:rsidP="00356E86">
                      <w:pPr>
                        <w:rPr>
                          <w:rFonts w:asciiTheme="majorEastAsia" w:hAnsiTheme="majorEastAsia" w:cstheme="majorEastAsia"/>
                          <w:b/>
                          <w:bCs/>
                          <w:sz w:val="18"/>
                          <w:szCs w:val="18"/>
                        </w:rPr>
                      </w:pPr>
                      <w:r w:rsidRPr="00356E86">
                        <w:rPr>
                          <w:rFonts w:asciiTheme="majorEastAsia" w:hAnsiTheme="majorEastAsia" w:cstheme="majorEastAsia" w:hint="eastAsia"/>
                          <w:b/>
                          <w:bCs/>
                          <w:sz w:val="18"/>
                          <w:szCs w:val="18"/>
                        </w:rPr>
                        <w:t>Considerations for monitoring</w:t>
                      </w:r>
                    </w:p>
                    <w:p w14:paraId="17CD84C8" w14:textId="3D3F718A" w:rsidR="00356E86" w:rsidRPr="00356E86" w:rsidRDefault="00356E86" w:rsidP="00356E86">
                      <w:pPr>
                        <w:spacing w:line="276" w:lineRule="auto"/>
                        <w:rPr>
                          <w:rFonts w:asciiTheme="majorEastAsia" w:hAnsiTheme="majorEastAsia" w:cstheme="majorEastAsia"/>
                          <w:sz w:val="18"/>
                          <w:szCs w:val="18"/>
                        </w:rPr>
                      </w:pPr>
                      <w:r w:rsidRPr="00356E86">
                        <w:rPr>
                          <w:rFonts w:asciiTheme="majorEastAsia" w:hAnsiTheme="majorEastAsia" w:cstheme="majorEastAsia" w:hint="eastAsia"/>
                          <w:sz w:val="18"/>
                          <w:szCs w:val="18"/>
                        </w:rPr>
                        <w:t>There is substantial experience with releasing insects for genetic and biological disease vector/pest control, including their monitoring. It may be advisable/appropriate to draw on the experience from current insect disease vector/pest control strategies that involve the release of insects, seek precedence for more or less similar situations, and use this experience to inform the monitoring of EGD-LMMs. However, caution is required as the systems compared differ in various aspects.</w:t>
                      </w:r>
                    </w:p>
                  </w:txbxContent>
                </v:textbox>
                <w10:wrap type="square"/>
              </v:shape>
            </w:pict>
          </mc:Fallback>
        </mc:AlternateContent>
      </w:r>
      <w:r w:rsidR="00356E86" w:rsidRPr="00510EBB">
        <w:rPr>
          <w:color w:val="auto"/>
          <w:sz w:val="22"/>
          <w:szCs w:val="22"/>
        </w:rPr>
        <w:t>A monitoring plan is developed either by competent national authorities based on relevant national biosafety laws, regulations and policies and recommendations derived from the risk assessment, or by the developer/applicant and evaluated and agreed upon by national authorities. This plan should be relevant to uncertainties identified in the risk assessment and the level of risk posed by the specific EGD-LMO. The plan should relate to the context and scope of the risk assessment and may utilise related monitoring data and activities, including from other countries/areas, as appropriate.</w:t>
      </w:r>
    </w:p>
    <w:p w14:paraId="0E10151D" w14:textId="726EBC4B" w:rsidR="005A651C" w:rsidRPr="008072DB" w:rsidRDefault="009C568F" w:rsidP="008072DB">
      <w:pPr>
        <w:pStyle w:val="Heading3"/>
        <w:spacing w:line="276" w:lineRule="auto"/>
        <w:rPr>
          <w:rFonts w:ascii="Times New Roman" w:hAnsi="Times New Roman"/>
          <w:b/>
          <w:color w:val="FF0000"/>
        </w:rPr>
      </w:pPr>
      <w:bookmarkStart w:id="78" w:name="_Toc161220508"/>
      <w:r w:rsidRPr="006B17C8">
        <w:rPr>
          <w:rFonts w:ascii="Times New Roman" w:hAnsi="Times New Roman"/>
          <w:b/>
          <w:color w:val="000000" w:themeColor="text1"/>
        </w:rPr>
        <w:t xml:space="preserve">6.1.1. </w:t>
      </w:r>
      <w:r w:rsidR="005A651C" w:rsidRPr="006B17C8">
        <w:rPr>
          <w:rFonts w:ascii="Times New Roman" w:hAnsi="Times New Roman"/>
          <w:b/>
          <w:color w:val="000000" w:themeColor="text1"/>
        </w:rPr>
        <w:t>What to monitor</w:t>
      </w:r>
      <w:bookmarkEnd w:id="78"/>
    </w:p>
    <w:p w14:paraId="608ADFF0" w14:textId="38E51277" w:rsidR="00EA38A9" w:rsidRPr="00510EBB" w:rsidRDefault="005A651C" w:rsidP="00510EBB">
      <w:pPr>
        <w:pStyle w:val="Default"/>
        <w:spacing w:line="276" w:lineRule="auto"/>
      </w:pPr>
      <w:r w:rsidRPr="00510EBB">
        <w:rPr>
          <w:color w:val="auto"/>
          <w:sz w:val="22"/>
          <w:szCs w:val="22"/>
        </w:rPr>
        <w:t>Indicators (e.g., species, soil, water, unintended persistence) and parameters (components within a given indicator such as species density) should be capable of reliably signalling a change as proximal to the adverse e</w:t>
      </w:r>
      <w:r w:rsidR="00EA38A9" w:rsidRPr="00510EBB">
        <w:rPr>
          <w:color w:val="auto"/>
          <w:sz w:val="22"/>
          <w:szCs w:val="22"/>
        </w:rPr>
        <w:t>ffect</w:t>
      </w:r>
      <w:r w:rsidRPr="00510EBB">
        <w:rPr>
          <w:color w:val="auto"/>
          <w:sz w:val="22"/>
          <w:szCs w:val="22"/>
        </w:rPr>
        <w:t xml:space="preserve"> occurring as possible. Parameter prioritisation may relate to ease of sampling and collection of required material as well as assaying for the parameter. Consideration should be given to the interrelation of the indicator with a pathway to harm i.e.</w:t>
      </w:r>
      <w:r w:rsidR="008238FF" w:rsidRPr="00510EBB">
        <w:rPr>
          <w:color w:val="auto"/>
          <w:sz w:val="22"/>
          <w:szCs w:val="22"/>
        </w:rPr>
        <w:t>,</w:t>
      </w:r>
      <w:r w:rsidRPr="00510EBB">
        <w:rPr>
          <w:color w:val="auto"/>
          <w:sz w:val="22"/>
          <w:szCs w:val="22"/>
        </w:rPr>
        <w:t xml:space="preserve"> the indicator should signal an adverse e</w:t>
      </w:r>
      <w:r w:rsidR="00EA38A9" w:rsidRPr="00510EBB">
        <w:rPr>
          <w:color w:val="auto"/>
          <w:sz w:val="22"/>
          <w:szCs w:val="22"/>
        </w:rPr>
        <w:t>ffect</w:t>
      </w:r>
      <w:r w:rsidRPr="00510EBB">
        <w:rPr>
          <w:color w:val="auto"/>
          <w:sz w:val="22"/>
          <w:szCs w:val="22"/>
        </w:rPr>
        <w:t xml:space="preserve"> relevant to a step or steps within a causal pathway considered in the risk assessment and thereby tie back to the </w:t>
      </w:r>
      <w:r w:rsidR="00EA38A9" w:rsidRPr="00510EBB">
        <w:rPr>
          <w:color w:val="auto"/>
          <w:sz w:val="22"/>
          <w:szCs w:val="22"/>
        </w:rPr>
        <w:t xml:space="preserve">assessment endpoints and </w:t>
      </w:r>
      <w:r w:rsidRPr="00510EBB">
        <w:rPr>
          <w:color w:val="auto"/>
          <w:sz w:val="22"/>
          <w:szCs w:val="22"/>
        </w:rPr>
        <w:t xml:space="preserve">protection goals. Pre-exposure baseline data and reference points may be available or collected for the chosen indicators and parameters. </w:t>
      </w:r>
    </w:p>
    <w:p w14:paraId="1A06A020" w14:textId="328BCBB9" w:rsidR="005A651C" w:rsidRPr="00510EBB" w:rsidRDefault="005A651C" w:rsidP="00510EBB">
      <w:pPr>
        <w:pStyle w:val="Default"/>
        <w:spacing w:line="276" w:lineRule="auto"/>
      </w:pPr>
      <w:r w:rsidRPr="00510EBB">
        <w:rPr>
          <w:color w:val="auto"/>
          <w:sz w:val="22"/>
          <w:szCs w:val="22"/>
        </w:rPr>
        <w:t>Other considerations may include time to develop signal, temporal and spatial variability of the indicators (e.g., seasonality of occurrence)</w:t>
      </w:r>
      <w:r w:rsidR="00EA38A9" w:rsidRPr="00510EBB">
        <w:rPr>
          <w:color w:val="auto"/>
          <w:sz w:val="22"/>
          <w:szCs w:val="22"/>
        </w:rPr>
        <w:t>,</w:t>
      </w:r>
      <w:r w:rsidRPr="00510EBB">
        <w:rPr>
          <w:color w:val="auto"/>
          <w:sz w:val="22"/>
          <w:szCs w:val="22"/>
        </w:rPr>
        <w:t xml:space="preserve"> signal sensitivity (i.e.</w:t>
      </w:r>
      <w:r w:rsidR="00E801CF" w:rsidRPr="00510EBB">
        <w:rPr>
          <w:color w:val="auto"/>
          <w:sz w:val="22"/>
          <w:szCs w:val="22"/>
        </w:rPr>
        <w:t>,</w:t>
      </w:r>
      <w:r w:rsidRPr="00510EBB">
        <w:rPr>
          <w:color w:val="auto"/>
          <w:sz w:val="22"/>
          <w:szCs w:val="22"/>
        </w:rPr>
        <w:t xml:space="preserve"> signal</w:t>
      </w:r>
      <w:r w:rsidR="00E801CF" w:rsidRPr="00510EBB">
        <w:rPr>
          <w:color w:val="auto"/>
          <w:sz w:val="22"/>
          <w:szCs w:val="22"/>
        </w:rPr>
        <w:t>-</w:t>
      </w:r>
      <w:r w:rsidRPr="00510EBB">
        <w:rPr>
          <w:color w:val="auto"/>
          <w:sz w:val="22"/>
          <w:szCs w:val="22"/>
        </w:rPr>
        <w:t>to</w:t>
      </w:r>
      <w:r w:rsidR="00E801CF" w:rsidRPr="00510EBB">
        <w:rPr>
          <w:color w:val="auto"/>
          <w:sz w:val="22"/>
          <w:szCs w:val="22"/>
        </w:rPr>
        <w:t>-</w:t>
      </w:r>
      <w:r w:rsidRPr="00510EBB">
        <w:rPr>
          <w:color w:val="auto"/>
          <w:sz w:val="22"/>
          <w:szCs w:val="22"/>
        </w:rPr>
        <w:t>noise ratio appropriate</w:t>
      </w:r>
      <w:r w:rsidR="006B57FA" w:rsidRPr="00510EBB">
        <w:rPr>
          <w:color w:val="auto"/>
          <w:sz w:val="22"/>
          <w:szCs w:val="22"/>
        </w:rPr>
        <w:t xml:space="preserve"> for</w:t>
      </w:r>
      <w:r w:rsidRPr="00510EBB">
        <w:rPr>
          <w:color w:val="auto"/>
          <w:sz w:val="22"/>
          <w:szCs w:val="22"/>
        </w:rPr>
        <w:t xml:space="preserve"> </w:t>
      </w:r>
      <w:r w:rsidR="006A0861" w:rsidRPr="00510EBB">
        <w:rPr>
          <w:color w:val="auto"/>
          <w:sz w:val="22"/>
          <w:szCs w:val="22"/>
        </w:rPr>
        <w:t xml:space="preserve">the </w:t>
      </w:r>
      <w:r w:rsidRPr="00510EBB">
        <w:rPr>
          <w:color w:val="auto"/>
          <w:sz w:val="22"/>
          <w:szCs w:val="22"/>
        </w:rPr>
        <w:t>early and effective verification a</w:t>
      </w:r>
      <w:r w:rsidR="00F4700F" w:rsidRPr="00510EBB">
        <w:rPr>
          <w:color w:val="auto"/>
          <w:sz w:val="22"/>
          <w:szCs w:val="22"/>
        </w:rPr>
        <w:t>nd</w:t>
      </w:r>
      <w:r w:rsidRPr="00510EBB">
        <w:rPr>
          <w:color w:val="auto"/>
          <w:sz w:val="22"/>
          <w:szCs w:val="22"/>
        </w:rPr>
        <w:t xml:space="preserve"> </w:t>
      </w:r>
      <w:r w:rsidR="00F4700F" w:rsidRPr="00510EBB">
        <w:rPr>
          <w:color w:val="auto"/>
          <w:sz w:val="22"/>
          <w:szCs w:val="22"/>
        </w:rPr>
        <w:t xml:space="preserve">determination </w:t>
      </w:r>
      <w:r w:rsidRPr="00510EBB">
        <w:rPr>
          <w:color w:val="auto"/>
          <w:sz w:val="22"/>
          <w:szCs w:val="22"/>
        </w:rPr>
        <w:t xml:space="preserve">of </w:t>
      </w:r>
      <w:r w:rsidR="00F4700F" w:rsidRPr="00510EBB">
        <w:rPr>
          <w:color w:val="auto"/>
          <w:sz w:val="22"/>
          <w:szCs w:val="22"/>
        </w:rPr>
        <w:t xml:space="preserve">adverse </w:t>
      </w:r>
      <w:r w:rsidR="000F5E38" w:rsidRPr="00510EBB">
        <w:rPr>
          <w:color w:val="auto"/>
          <w:sz w:val="22"/>
          <w:szCs w:val="22"/>
        </w:rPr>
        <w:t>effect</w:t>
      </w:r>
      <w:r w:rsidRPr="00510EBB">
        <w:rPr>
          <w:color w:val="auto"/>
          <w:sz w:val="22"/>
          <w:szCs w:val="22"/>
        </w:rPr>
        <w:t>), throughput, cost, and impact of natural and human induced changes to the environment.</w:t>
      </w:r>
      <w:r w:rsidRPr="00267024">
        <w:rPr>
          <w:color w:val="auto"/>
          <w:sz w:val="22"/>
          <w:szCs w:val="22"/>
        </w:rPr>
        <w:t xml:space="preserve"> D</w:t>
      </w:r>
      <w:r w:rsidRPr="00510EBB">
        <w:rPr>
          <w:color w:val="auto"/>
          <w:sz w:val="22"/>
          <w:szCs w:val="22"/>
        </w:rPr>
        <w:t>epending on the EGD strategy, the genetic and phenotypic stability may need to be assessed over multiple generations under confined conditions as part of the risk assessment, as well as in the field as part of monitoring</w:t>
      </w:r>
      <w:r w:rsidR="00EA38A9" w:rsidRPr="00510EBB">
        <w:rPr>
          <w:color w:val="auto"/>
          <w:sz w:val="22"/>
          <w:szCs w:val="22"/>
        </w:rPr>
        <w:t>.</w:t>
      </w:r>
    </w:p>
    <w:p w14:paraId="0B39B402" w14:textId="53AB5819" w:rsidR="005A651C" w:rsidRPr="00510EBB" w:rsidRDefault="005A651C" w:rsidP="00510EBB">
      <w:pPr>
        <w:pStyle w:val="Default"/>
        <w:spacing w:line="276" w:lineRule="auto"/>
      </w:pPr>
      <w:r w:rsidRPr="00510EBB">
        <w:rPr>
          <w:color w:val="auto"/>
          <w:sz w:val="22"/>
          <w:szCs w:val="22"/>
        </w:rPr>
        <w:t xml:space="preserve">Methods could be considered whereby existing surveillance data collected for other purposes such as integrated vector </w:t>
      </w:r>
      <w:proofErr w:type="gramStart"/>
      <w:r w:rsidRPr="00510EBB">
        <w:rPr>
          <w:color w:val="auto"/>
          <w:sz w:val="22"/>
          <w:szCs w:val="22"/>
        </w:rPr>
        <w:t>management ,</w:t>
      </w:r>
      <w:proofErr w:type="gramEnd"/>
      <w:r w:rsidRPr="00510EBB">
        <w:rPr>
          <w:color w:val="auto"/>
          <w:sz w:val="22"/>
          <w:szCs w:val="22"/>
        </w:rPr>
        <w:t xml:space="preserve"> ecosystem or wildlife management could be analysed for sources of signal determination.</w:t>
      </w:r>
      <w:r w:rsidRPr="00267024">
        <w:rPr>
          <w:color w:val="auto"/>
          <w:sz w:val="22"/>
          <w:szCs w:val="22"/>
        </w:rPr>
        <w:t xml:space="preserve"> </w:t>
      </w:r>
    </w:p>
    <w:p w14:paraId="3FBB7609" w14:textId="241299F6" w:rsidR="005A651C" w:rsidRPr="00510EBB" w:rsidRDefault="00141335" w:rsidP="00510EBB">
      <w:pPr>
        <w:pStyle w:val="Default"/>
        <w:spacing w:line="276" w:lineRule="auto"/>
      </w:pPr>
      <w:r w:rsidRPr="00510EBB">
        <w:rPr>
          <w:color w:val="auto"/>
          <w:sz w:val="22"/>
          <w:szCs w:val="22"/>
        </w:rPr>
        <w:t>Particularly for</w:t>
      </w:r>
      <w:r w:rsidR="005A651C" w:rsidRPr="00510EBB">
        <w:rPr>
          <w:color w:val="auto"/>
          <w:sz w:val="22"/>
          <w:szCs w:val="22"/>
        </w:rPr>
        <w:t xml:space="preserve"> human health</w:t>
      </w:r>
      <w:r w:rsidR="00F76DA9" w:rsidRPr="00510EBB">
        <w:rPr>
          <w:color w:val="auto"/>
          <w:sz w:val="22"/>
          <w:szCs w:val="22"/>
        </w:rPr>
        <w:t>-</w:t>
      </w:r>
      <w:r w:rsidR="005A651C" w:rsidRPr="00510EBB">
        <w:rPr>
          <w:color w:val="auto"/>
          <w:sz w:val="22"/>
          <w:szCs w:val="22"/>
        </w:rPr>
        <w:t xml:space="preserve">related pathways to harm, resistance development </w:t>
      </w:r>
      <w:r w:rsidR="00FF2FA2" w:rsidRPr="00510EBB">
        <w:rPr>
          <w:color w:val="auto"/>
          <w:sz w:val="22"/>
          <w:szCs w:val="22"/>
        </w:rPr>
        <w:t>to the drive mechanism</w:t>
      </w:r>
      <w:r w:rsidR="00757131" w:rsidRPr="00510EBB">
        <w:rPr>
          <w:color w:val="auto"/>
          <w:sz w:val="22"/>
          <w:szCs w:val="22"/>
        </w:rPr>
        <w:t xml:space="preserve"> </w:t>
      </w:r>
      <w:r w:rsidR="00990567" w:rsidRPr="00510EBB">
        <w:rPr>
          <w:color w:val="auto"/>
          <w:sz w:val="22"/>
          <w:szCs w:val="22"/>
        </w:rPr>
        <w:t>and</w:t>
      </w:r>
      <w:r w:rsidR="005A651C" w:rsidRPr="00510EBB">
        <w:rPr>
          <w:color w:val="auto"/>
          <w:sz w:val="22"/>
          <w:szCs w:val="22"/>
        </w:rPr>
        <w:t xml:space="preserve"> pathogen resistance could be considered</w:t>
      </w:r>
      <w:r w:rsidR="00990567" w:rsidRPr="00510EBB">
        <w:rPr>
          <w:color w:val="auto"/>
          <w:sz w:val="22"/>
          <w:szCs w:val="22"/>
        </w:rPr>
        <w:t xml:space="preserve"> in the monitoring plan,</w:t>
      </w:r>
      <w:r w:rsidR="005A651C" w:rsidRPr="00510EBB">
        <w:rPr>
          <w:color w:val="auto"/>
          <w:sz w:val="22"/>
          <w:szCs w:val="22"/>
        </w:rPr>
        <w:t xml:space="preserve"> as appropriate. </w:t>
      </w:r>
    </w:p>
    <w:p w14:paraId="15AC11C9" w14:textId="311BE516" w:rsidR="005A651C" w:rsidRPr="006B17C8" w:rsidRDefault="009C568F" w:rsidP="008072DB">
      <w:pPr>
        <w:pStyle w:val="Heading3"/>
        <w:spacing w:line="276" w:lineRule="auto"/>
        <w:rPr>
          <w:rFonts w:ascii="Times New Roman" w:eastAsia="Times New Roman" w:hAnsi="Times New Roman" w:cs="Times New Roman"/>
          <w:b/>
          <w:color w:val="000000" w:themeColor="text1"/>
        </w:rPr>
      </w:pPr>
      <w:bookmarkStart w:id="79" w:name="_Toc161220509"/>
      <w:r w:rsidRPr="006B17C8">
        <w:rPr>
          <w:rFonts w:ascii="Times New Roman" w:eastAsia="Times New Roman" w:hAnsi="Times New Roman" w:cs="Times New Roman"/>
          <w:b/>
          <w:color w:val="000000" w:themeColor="text1"/>
        </w:rPr>
        <w:t xml:space="preserve">6.1.2. </w:t>
      </w:r>
      <w:r w:rsidR="005A651C" w:rsidRPr="006B17C8">
        <w:rPr>
          <w:rFonts w:ascii="Times New Roman" w:eastAsia="Times New Roman" w:hAnsi="Times New Roman" w:cs="Times New Roman"/>
          <w:b/>
          <w:color w:val="000000" w:themeColor="text1"/>
        </w:rPr>
        <w:t>How to monitor</w:t>
      </w:r>
      <w:bookmarkEnd w:id="79"/>
    </w:p>
    <w:p w14:paraId="05330FAF" w14:textId="208A739A" w:rsidR="005A651C" w:rsidRPr="00510EBB" w:rsidRDefault="005A651C" w:rsidP="00510EBB">
      <w:pPr>
        <w:pStyle w:val="Default"/>
        <w:spacing w:line="276" w:lineRule="auto"/>
      </w:pPr>
      <w:r w:rsidRPr="00510EBB">
        <w:rPr>
          <w:color w:val="auto"/>
          <w:sz w:val="22"/>
          <w:szCs w:val="22"/>
        </w:rPr>
        <w:t>Methods are dependent on and directly applicable to case-specific indicators and parameters chosen (</w:t>
      </w:r>
      <w:r w:rsidR="007219DD" w:rsidRPr="00510EBB">
        <w:rPr>
          <w:color w:val="auto"/>
          <w:sz w:val="22"/>
          <w:szCs w:val="22"/>
        </w:rPr>
        <w:t>s</w:t>
      </w:r>
      <w:r w:rsidRPr="00510EBB">
        <w:rPr>
          <w:color w:val="auto"/>
          <w:sz w:val="22"/>
          <w:szCs w:val="22"/>
        </w:rPr>
        <w:t>ee previous section on “what to monitor”), their inherent variability, specificity, sensitivity, and ability to signal change resulting in an adverse e</w:t>
      </w:r>
      <w:r w:rsidR="00990567" w:rsidRPr="00510EBB">
        <w:rPr>
          <w:color w:val="auto"/>
          <w:sz w:val="22"/>
          <w:szCs w:val="22"/>
        </w:rPr>
        <w:t>ffect</w:t>
      </w:r>
      <w:r w:rsidRPr="00510EBB">
        <w:rPr>
          <w:color w:val="auto"/>
          <w:sz w:val="22"/>
          <w:szCs w:val="22"/>
        </w:rPr>
        <w:t xml:space="preserve">. Monitoring methodology should describe sufficient information on sampling, collecting, and analysing the samples as well as the data resulting from </w:t>
      </w:r>
      <w:r w:rsidRPr="00510EBB">
        <w:rPr>
          <w:color w:val="auto"/>
          <w:sz w:val="22"/>
          <w:szCs w:val="22"/>
        </w:rPr>
        <w:lastRenderedPageBreak/>
        <w:t xml:space="preserve">undertaking the method. Monitoring data could be collected from various sources including but not limited to surveys, questionnaires, field observations, ongoing/existing monitoring for other considerations such as public health, invasive species, biocontrol, disease surveillance, </w:t>
      </w:r>
      <w:r w:rsidR="00757131" w:rsidRPr="00510EBB">
        <w:rPr>
          <w:color w:val="auto"/>
          <w:sz w:val="22"/>
          <w:szCs w:val="22"/>
        </w:rPr>
        <w:t>integrated vector management</w:t>
      </w:r>
      <w:r w:rsidRPr="00510EBB">
        <w:rPr>
          <w:color w:val="auto"/>
          <w:sz w:val="22"/>
          <w:szCs w:val="22"/>
        </w:rPr>
        <w:t xml:space="preserve">, resistance to pesticides etc. Methodology for both collection and analysis could differ for areas outside the expected spread and dispersal range versus within the expected release environment. In addition, monitoring methodology should also consider effective identification and detection of EGD-LMOs in the </w:t>
      </w:r>
      <w:r w:rsidR="00CB73AD" w:rsidRPr="0098625C">
        <w:rPr>
          <w:color w:val="auto"/>
          <w:sz w:val="22"/>
          <w:szCs w:val="22"/>
        </w:rPr>
        <w:t>likely potential</w:t>
      </w:r>
      <w:r w:rsidRPr="00510EBB">
        <w:rPr>
          <w:color w:val="auto"/>
          <w:sz w:val="22"/>
          <w:szCs w:val="22"/>
        </w:rPr>
        <w:t xml:space="preserve"> receiving environment.</w:t>
      </w:r>
    </w:p>
    <w:p w14:paraId="12ED60E1" w14:textId="76FC8E07" w:rsidR="005A651C" w:rsidRPr="00510EBB" w:rsidRDefault="005A651C" w:rsidP="00510EBB">
      <w:pPr>
        <w:pStyle w:val="Default"/>
        <w:spacing w:after="0" w:line="276" w:lineRule="auto"/>
      </w:pPr>
      <w:r w:rsidRPr="00510EBB">
        <w:rPr>
          <w:color w:val="auto"/>
          <w:sz w:val="22"/>
          <w:szCs w:val="22"/>
        </w:rPr>
        <w:t>Considerations could include</w:t>
      </w:r>
      <w:r w:rsidR="00830049" w:rsidRPr="00510EBB">
        <w:rPr>
          <w:color w:val="auto"/>
          <w:sz w:val="22"/>
          <w:szCs w:val="22"/>
        </w:rPr>
        <w:t>:</w:t>
      </w:r>
      <w:r w:rsidRPr="00510EBB">
        <w:rPr>
          <w:color w:val="auto"/>
          <w:sz w:val="22"/>
          <w:szCs w:val="22"/>
        </w:rPr>
        <w:t xml:space="preserve"> </w:t>
      </w:r>
    </w:p>
    <w:p w14:paraId="37AA42F9" w14:textId="2A524705"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The nature of the effect being measured</w:t>
      </w:r>
      <w:r w:rsidR="002C518C">
        <w:rPr>
          <w:rFonts w:ascii="Times New Roman" w:hAnsi="Times New Roman"/>
        </w:rPr>
        <w:t xml:space="preserve"> </w:t>
      </w:r>
      <w:r w:rsidR="00DE6BA7" w:rsidRPr="00510EBB">
        <w:rPr>
          <w:rFonts w:ascii="Times New Roman" w:hAnsi="Times New Roman"/>
        </w:rPr>
        <w:t xml:space="preserve">(e.g., </w:t>
      </w:r>
      <w:r w:rsidRPr="00510EBB">
        <w:rPr>
          <w:rFonts w:ascii="Times New Roman" w:hAnsi="Times New Roman"/>
        </w:rPr>
        <w:t>acute/short term, chronic/long term</w:t>
      </w:r>
      <w:r w:rsidR="00DE6BA7" w:rsidRPr="00510EBB">
        <w:rPr>
          <w:rFonts w:ascii="Times New Roman" w:hAnsi="Times New Roman"/>
        </w:rPr>
        <w:t>,</w:t>
      </w:r>
      <w:r w:rsidRPr="00510EBB">
        <w:rPr>
          <w:rFonts w:ascii="Times New Roman" w:hAnsi="Times New Roman"/>
        </w:rPr>
        <w:t xml:space="preserve"> immediate or delayed</w:t>
      </w:r>
      <w:r w:rsidR="00DE6BA7" w:rsidRPr="00510EBB">
        <w:rPr>
          <w:rFonts w:ascii="Times New Roman" w:hAnsi="Times New Roman"/>
        </w:rPr>
        <w:t>,</w:t>
      </w:r>
      <w:r w:rsidRPr="00510EBB">
        <w:rPr>
          <w:rFonts w:ascii="Times New Roman" w:hAnsi="Times New Roman"/>
        </w:rPr>
        <w:t xml:space="preserve"> direct or indirect</w:t>
      </w:r>
      <w:r w:rsidR="00DE6BA7" w:rsidRPr="00510EBB">
        <w:rPr>
          <w:rFonts w:ascii="Times New Roman" w:hAnsi="Times New Roman"/>
        </w:rPr>
        <w:t>)</w:t>
      </w:r>
      <w:r w:rsidRPr="00510EBB">
        <w:rPr>
          <w:rFonts w:ascii="Times New Roman" w:hAnsi="Times New Roman"/>
        </w:rPr>
        <w:t>;</w:t>
      </w:r>
    </w:p>
    <w:p w14:paraId="19D81CE1" w14:textId="77777777"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The range or amplitude of change required to signal an adverse event;</w:t>
      </w:r>
    </w:p>
    <w:p w14:paraId="12D8B616" w14:textId="1A888FCF"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Analytical methodology</w:t>
      </w:r>
      <w:r w:rsidR="6FA27FB9" w:rsidRPr="12D14FCC">
        <w:rPr>
          <w:rFonts w:ascii="Times New Roman" w:hAnsi="Times New Roman"/>
        </w:rPr>
        <w:t xml:space="preserve"> </w:t>
      </w:r>
      <w:r w:rsidR="00DE6BA7" w:rsidRPr="00510EBB">
        <w:rPr>
          <w:rFonts w:ascii="Times New Roman" w:hAnsi="Times New Roman"/>
        </w:rPr>
        <w:t xml:space="preserve">(i.e., </w:t>
      </w:r>
      <w:r w:rsidRPr="00510EBB">
        <w:rPr>
          <w:rFonts w:ascii="Times New Roman" w:hAnsi="Times New Roman"/>
        </w:rPr>
        <w:t>molecular methods, trapping/sampling/collection methods, adaptive methods</w:t>
      </w:r>
      <w:r w:rsidR="00DE6BA7" w:rsidRPr="00510EBB">
        <w:rPr>
          <w:rFonts w:ascii="Times New Roman" w:hAnsi="Times New Roman"/>
        </w:rPr>
        <w:t>)</w:t>
      </w:r>
      <w:r w:rsidRPr="00510EBB">
        <w:rPr>
          <w:rFonts w:ascii="Times New Roman" w:hAnsi="Times New Roman"/>
        </w:rPr>
        <w:t>;</w:t>
      </w:r>
    </w:p>
    <w:p w14:paraId="56072A11" w14:textId="15EE0AB9" w:rsidR="00FF5149"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 xml:space="preserve">Statistical methodology </w:t>
      </w:r>
      <w:r w:rsidR="00FF5149" w:rsidRPr="00510EBB">
        <w:rPr>
          <w:rFonts w:ascii="Times New Roman" w:hAnsi="Times New Roman"/>
        </w:rPr>
        <w:t xml:space="preserve">(e.g., </w:t>
      </w:r>
      <w:r w:rsidRPr="00510EBB">
        <w:rPr>
          <w:rFonts w:ascii="Times New Roman" w:hAnsi="Times New Roman"/>
        </w:rPr>
        <w:t>sample size, power</w:t>
      </w:r>
      <w:r w:rsidR="00FF5149" w:rsidRPr="00510EBB">
        <w:rPr>
          <w:rFonts w:ascii="Times New Roman" w:hAnsi="Times New Roman"/>
        </w:rPr>
        <w:t>,</w:t>
      </w:r>
      <w:r w:rsidRPr="00510EBB">
        <w:rPr>
          <w:rFonts w:ascii="Times New Roman" w:hAnsi="Times New Roman"/>
        </w:rPr>
        <w:t xml:space="preserve"> etc.</w:t>
      </w:r>
      <w:r w:rsidR="00FF5149" w:rsidRPr="00510EBB">
        <w:rPr>
          <w:rFonts w:ascii="Times New Roman" w:hAnsi="Times New Roman"/>
        </w:rPr>
        <w:t>)</w:t>
      </w:r>
      <w:r w:rsidRPr="00510EBB">
        <w:rPr>
          <w:rFonts w:ascii="Times New Roman" w:hAnsi="Times New Roman"/>
        </w:rPr>
        <w:t xml:space="preserve"> </w:t>
      </w:r>
    </w:p>
    <w:p w14:paraId="67E24D02" w14:textId="77777777"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Weight of evidence of the data type;</w:t>
      </w:r>
    </w:p>
    <w:p w14:paraId="6FB13B36" w14:textId="77777777"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 xml:space="preserve">Replicability and </w:t>
      </w:r>
      <w:proofErr w:type="spellStart"/>
      <w:r w:rsidRPr="00510EBB">
        <w:rPr>
          <w:rFonts w:ascii="Times New Roman" w:hAnsi="Times New Roman"/>
        </w:rPr>
        <w:t>standardisation</w:t>
      </w:r>
      <w:proofErr w:type="spellEnd"/>
      <w:r w:rsidRPr="00510EBB">
        <w:rPr>
          <w:rFonts w:ascii="Times New Roman" w:hAnsi="Times New Roman"/>
        </w:rPr>
        <w:t xml:space="preserve"> of studies, questionnaires, methods;</w:t>
      </w:r>
    </w:p>
    <w:p w14:paraId="7D397F9F" w14:textId="77777777"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Ease of use in various environments and/or countries (including resource considerations such as capacity, personnel training, equipment, logistics, sample and reagent availability and shipping);</w:t>
      </w:r>
    </w:p>
    <w:p w14:paraId="21E20474" w14:textId="053D7384"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Potential for scaling</w:t>
      </w:r>
      <w:r w:rsidR="00990567" w:rsidRPr="00510EBB">
        <w:rPr>
          <w:rFonts w:ascii="Times New Roman" w:hAnsi="Times New Roman"/>
        </w:rPr>
        <w:t xml:space="preserve"> </w:t>
      </w:r>
      <w:r w:rsidR="00FF5149" w:rsidRPr="00510EBB">
        <w:rPr>
          <w:rFonts w:ascii="Times New Roman" w:hAnsi="Times New Roman"/>
        </w:rPr>
        <w:t>and use of</w:t>
      </w:r>
      <w:r w:rsidRPr="00510EBB">
        <w:rPr>
          <w:rFonts w:ascii="Times New Roman" w:hAnsi="Times New Roman"/>
        </w:rPr>
        <w:t xml:space="preserve"> high-throughput methods;</w:t>
      </w:r>
    </w:p>
    <w:p w14:paraId="76D19C32" w14:textId="135FA15C"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 xml:space="preserve">Cost and duration for carrying out the monitoring activities, including identification of who will </w:t>
      </w:r>
      <w:r w:rsidR="00990567" w:rsidRPr="00510EBB">
        <w:rPr>
          <w:rFonts w:ascii="Times New Roman" w:hAnsi="Times New Roman"/>
        </w:rPr>
        <w:t>cover the costs</w:t>
      </w:r>
      <w:r w:rsidRPr="00510EBB">
        <w:rPr>
          <w:rFonts w:ascii="Times New Roman" w:hAnsi="Times New Roman"/>
        </w:rPr>
        <w:t>;</w:t>
      </w:r>
    </w:p>
    <w:p w14:paraId="626223FF" w14:textId="77777777"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Potential for method improvement, ability to include new techniques or methods over time;</w:t>
      </w:r>
    </w:p>
    <w:p w14:paraId="24260EDF" w14:textId="25C91E17" w:rsidR="00990567"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Ability for real</w:t>
      </w:r>
      <w:r w:rsidR="00757131" w:rsidRPr="00510EBB">
        <w:rPr>
          <w:rFonts w:ascii="Times New Roman" w:hAnsi="Times New Roman"/>
        </w:rPr>
        <w:t>-</w:t>
      </w:r>
      <w:r w:rsidRPr="00510EBB">
        <w:rPr>
          <w:rFonts w:ascii="Times New Roman" w:hAnsi="Times New Roman"/>
        </w:rPr>
        <w:t xml:space="preserve">time feedback into models, future risk assessments and/or decision making to stop </w:t>
      </w:r>
      <w:r w:rsidR="00990567" w:rsidRPr="00510EBB">
        <w:rPr>
          <w:rFonts w:ascii="Times New Roman" w:hAnsi="Times New Roman"/>
        </w:rPr>
        <w:t xml:space="preserve">the monitoring </w:t>
      </w:r>
      <w:r w:rsidRPr="00510EBB">
        <w:rPr>
          <w:rFonts w:ascii="Times New Roman" w:hAnsi="Times New Roman"/>
        </w:rPr>
        <w:t>or alter the monitoring plan</w:t>
      </w:r>
      <w:r w:rsidR="00990567" w:rsidRPr="00510EBB">
        <w:rPr>
          <w:rFonts w:ascii="Times New Roman" w:hAnsi="Times New Roman"/>
        </w:rPr>
        <w:t>;</w:t>
      </w:r>
      <w:r w:rsidR="00757131" w:rsidRPr="00510EBB">
        <w:rPr>
          <w:rFonts w:ascii="Times New Roman" w:hAnsi="Times New Roman"/>
        </w:rPr>
        <w:t xml:space="preserve"> and</w:t>
      </w:r>
    </w:p>
    <w:p w14:paraId="62F5CDB6" w14:textId="3287B268" w:rsidR="005A651C" w:rsidRPr="00510EBB" w:rsidRDefault="005A651C" w:rsidP="00510EBB">
      <w:pPr>
        <w:pStyle w:val="ListParagraph"/>
        <w:numPr>
          <w:ilvl w:val="0"/>
          <w:numId w:val="54"/>
        </w:numPr>
        <w:spacing w:line="276" w:lineRule="auto"/>
        <w:rPr>
          <w:rFonts w:ascii="Times New Roman" w:hAnsi="Times New Roman"/>
        </w:rPr>
      </w:pPr>
      <w:r w:rsidRPr="00510EBB">
        <w:rPr>
          <w:rFonts w:ascii="Times New Roman" w:hAnsi="Times New Roman"/>
        </w:rPr>
        <w:t>Pre-exposure baselines for informing the monitoring</w:t>
      </w:r>
      <w:r w:rsidR="00990567" w:rsidRPr="00510EBB">
        <w:rPr>
          <w:rFonts w:ascii="Times New Roman" w:hAnsi="Times New Roman"/>
        </w:rPr>
        <w:t>.</w:t>
      </w:r>
    </w:p>
    <w:p w14:paraId="0AE1B1FC" w14:textId="638431D2" w:rsidR="005A651C" w:rsidRPr="006B17C8" w:rsidRDefault="009C568F" w:rsidP="008072DB">
      <w:pPr>
        <w:pStyle w:val="Heading3"/>
        <w:spacing w:line="276" w:lineRule="auto"/>
        <w:rPr>
          <w:rFonts w:ascii="Times New Roman" w:eastAsia="Times New Roman" w:hAnsi="Times New Roman" w:cs="Times New Roman"/>
          <w:b/>
          <w:color w:val="000000" w:themeColor="text1"/>
        </w:rPr>
      </w:pPr>
      <w:bookmarkStart w:id="80" w:name="_Toc161220510"/>
      <w:r w:rsidRPr="006B17C8">
        <w:rPr>
          <w:rFonts w:ascii="Times New Roman" w:eastAsia="Times New Roman" w:hAnsi="Times New Roman" w:cs="Times New Roman"/>
          <w:b/>
          <w:color w:val="000000" w:themeColor="text1"/>
        </w:rPr>
        <w:t xml:space="preserve">6.1.3. </w:t>
      </w:r>
      <w:r w:rsidR="005A651C" w:rsidRPr="006B17C8">
        <w:rPr>
          <w:rFonts w:ascii="Times New Roman" w:eastAsia="Times New Roman" w:hAnsi="Times New Roman" w:cs="Times New Roman"/>
          <w:b/>
          <w:color w:val="000000" w:themeColor="text1"/>
        </w:rPr>
        <w:t>Where to monitor</w:t>
      </w:r>
      <w:bookmarkEnd w:id="80"/>
    </w:p>
    <w:p w14:paraId="0F75D57C" w14:textId="2C956742" w:rsidR="005A651C" w:rsidRPr="00510EBB" w:rsidRDefault="005A651C" w:rsidP="00510EBB">
      <w:pPr>
        <w:pStyle w:val="Default"/>
        <w:spacing w:line="276" w:lineRule="auto"/>
      </w:pPr>
      <w:r w:rsidRPr="00510EBB">
        <w:rPr>
          <w:color w:val="auto"/>
          <w:sz w:val="22"/>
          <w:szCs w:val="22"/>
        </w:rPr>
        <w:t xml:space="preserve">Monitoring sites should be chosen based on the specific case and indicators and parameters being sampled and measured as well as specifics of the intended receiving environment and ongoing land use and management practices. Initial sites should be such that indicators have the potential to be exposed to or impacted by the presence of the EGD-LMO and relevant to the pathway </w:t>
      </w:r>
      <w:r w:rsidR="00990567" w:rsidRPr="00510EBB">
        <w:rPr>
          <w:color w:val="auto"/>
          <w:sz w:val="22"/>
          <w:szCs w:val="22"/>
        </w:rPr>
        <w:t>to harm</w:t>
      </w:r>
      <w:r w:rsidRPr="00510EBB">
        <w:rPr>
          <w:color w:val="auto"/>
          <w:sz w:val="22"/>
          <w:szCs w:val="22"/>
        </w:rPr>
        <w:t xml:space="preserve">.  Monitoring site locations, size, density/ distribution, and timing should be determined prior to release based on the biology and life cycle of the EGD-LMO, its potential spread, dispersal, and establishment; the </w:t>
      </w:r>
      <w:r w:rsidR="000A7C99" w:rsidRPr="000E1F2E">
        <w:rPr>
          <w:color w:val="auto"/>
          <w:sz w:val="22"/>
          <w:szCs w:val="22"/>
        </w:rPr>
        <w:t>likely potent</w:t>
      </w:r>
      <w:r w:rsidR="001903B1" w:rsidRPr="000E1F2E">
        <w:rPr>
          <w:color w:val="auto"/>
          <w:sz w:val="22"/>
          <w:szCs w:val="22"/>
        </w:rPr>
        <w:t>ial</w:t>
      </w:r>
      <w:r w:rsidR="001903B1">
        <w:rPr>
          <w:color w:val="auto"/>
          <w:sz w:val="22"/>
          <w:szCs w:val="22"/>
        </w:rPr>
        <w:t xml:space="preserve"> </w:t>
      </w:r>
      <w:r w:rsidRPr="00510EBB">
        <w:rPr>
          <w:color w:val="auto"/>
          <w:sz w:val="22"/>
          <w:szCs w:val="22"/>
        </w:rPr>
        <w:t xml:space="preserve">receiving environment including geography, land use, and local wild population size, </w:t>
      </w:r>
      <w:proofErr w:type="gramStart"/>
      <w:r w:rsidRPr="00510EBB">
        <w:rPr>
          <w:color w:val="auto"/>
          <w:sz w:val="22"/>
          <w:szCs w:val="22"/>
        </w:rPr>
        <w:t>density</w:t>
      </w:r>
      <w:proofErr w:type="gramEnd"/>
      <w:r w:rsidRPr="00510EBB">
        <w:rPr>
          <w:color w:val="auto"/>
          <w:sz w:val="22"/>
          <w:szCs w:val="22"/>
        </w:rPr>
        <w:t xml:space="preserve"> and distribution; seasonality (migration, impact of rain or temperature)</w:t>
      </w:r>
      <w:r w:rsidR="00830049" w:rsidRPr="00510EBB">
        <w:rPr>
          <w:color w:val="auto"/>
          <w:sz w:val="22"/>
          <w:szCs w:val="22"/>
        </w:rPr>
        <w:t>,</w:t>
      </w:r>
      <w:r w:rsidRPr="00510EBB">
        <w:rPr>
          <w:color w:val="auto"/>
          <w:sz w:val="22"/>
          <w:szCs w:val="22"/>
        </w:rPr>
        <w:t xml:space="preserve"> etc.</w:t>
      </w:r>
    </w:p>
    <w:p w14:paraId="2794441C" w14:textId="76C2FC89" w:rsidR="005A651C" w:rsidRPr="00510EBB" w:rsidRDefault="005A651C" w:rsidP="00510EBB">
      <w:pPr>
        <w:pStyle w:val="Default"/>
        <w:spacing w:line="276" w:lineRule="auto"/>
      </w:pPr>
      <w:r w:rsidRPr="00510EBB">
        <w:rPr>
          <w:color w:val="auto"/>
          <w:sz w:val="22"/>
          <w:szCs w:val="22"/>
        </w:rPr>
        <w:t xml:space="preserve">In cases where species are used as indicators, their biology, life cycle, abundance, seasonality, interactions with other ecosystem features including the EGD-LMO and other organisms </w:t>
      </w:r>
      <w:r w:rsidR="009B3A9F" w:rsidRPr="00510EBB">
        <w:rPr>
          <w:color w:val="auto"/>
          <w:sz w:val="22"/>
          <w:szCs w:val="22"/>
        </w:rPr>
        <w:t xml:space="preserve">should </w:t>
      </w:r>
      <w:r w:rsidRPr="00510EBB">
        <w:rPr>
          <w:color w:val="auto"/>
          <w:sz w:val="22"/>
          <w:szCs w:val="22"/>
        </w:rPr>
        <w:t>be considered.</w:t>
      </w:r>
      <w:r w:rsidRPr="00267024">
        <w:rPr>
          <w:color w:val="auto"/>
          <w:sz w:val="22"/>
          <w:szCs w:val="22"/>
        </w:rPr>
        <w:t xml:space="preserve"> </w:t>
      </w:r>
      <w:r w:rsidRPr="00510EBB">
        <w:rPr>
          <w:color w:val="auto"/>
          <w:sz w:val="22"/>
          <w:szCs w:val="22"/>
        </w:rPr>
        <w:t>In addition, specific monitoring of environmental effects may need to take place in representative areas where the EGD-</w:t>
      </w:r>
      <w:r w:rsidR="00B67CD1" w:rsidRPr="00510EBB">
        <w:rPr>
          <w:color w:val="auto"/>
          <w:sz w:val="22"/>
          <w:szCs w:val="22"/>
        </w:rPr>
        <w:t>LMO</w:t>
      </w:r>
      <w:r w:rsidRPr="00510EBB">
        <w:rPr>
          <w:color w:val="auto"/>
          <w:sz w:val="22"/>
          <w:szCs w:val="22"/>
        </w:rPr>
        <w:t xml:space="preserve"> is </w:t>
      </w:r>
      <w:r w:rsidR="008B057B" w:rsidRPr="00510EBB">
        <w:rPr>
          <w:color w:val="auto"/>
          <w:sz w:val="22"/>
          <w:szCs w:val="22"/>
        </w:rPr>
        <w:t xml:space="preserve">intentionally </w:t>
      </w:r>
      <w:r w:rsidRPr="00510EBB">
        <w:rPr>
          <w:color w:val="auto"/>
          <w:sz w:val="22"/>
          <w:szCs w:val="22"/>
        </w:rPr>
        <w:t>released. The spatial and temporal scale of specific monitoring will need to be adapted according to the spatial and temporal distribution of the EGD-</w:t>
      </w:r>
      <w:r w:rsidR="00B67CD1" w:rsidRPr="00510EBB">
        <w:rPr>
          <w:color w:val="auto"/>
          <w:sz w:val="22"/>
          <w:szCs w:val="22"/>
        </w:rPr>
        <w:t>LMO</w:t>
      </w:r>
      <w:r w:rsidRPr="00510EBB">
        <w:rPr>
          <w:color w:val="auto"/>
          <w:sz w:val="22"/>
          <w:szCs w:val="22"/>
        </w:rPr>
        <w:t xml:space="preserve"> in the environment.</w:t>
      </w:r>
    </w:p>
    <w:p w14:paraId="7E05BEF5" w14:textId="5D879322" w:rsidR="005A651C" w:rsidRPr="00510EBB" w:rsidRDefault="005A651C" w:rsidP="00510EBB">
      <w:pPr>
        <w:pStyle w:val="Default"/>
        <w:spacing w:line="276" w:lineRule="auto"/>
      </w:pPr>
      <w:r w:rsidRPr="00510EBB">
        <w:rPr>
          <w:color w:val="auto"/>
          <w:sz w:val="22"/>
          <w:szCs w:val="22"/>
        </w:rPr>
        <w:t>Consideration should be given to protected areas, biodiversity hotspots, wildlife reserves, genetic centres of origin and access and availability throughout the duration of monitoring i.e.</w:t>
      </w:r>
      <w:r w:rsidR="008238FF" w:rsidRPr="00510EBB">
        <w:rPr>
          <w:color w:val="auto"/>
          <w:sz w:val="22"/>
          <w:szCs w:val="22"/>
        </w:rPr>
        <w:t>,</w:t>
      </w:r>
      <w:r w:rsidRPr="00510EBB">
        <w:rPr>
          <w:color w:val="auto"/>
          <w:sz w:val="22"/>
          <w:szCs w:val="22"/>
        </w:rPr>
        <w:t xml:space="preserve"> through the different times of the year and for all the years that are required (long term).</w:t>
      </w:r>
      <w:r w:rsidRPr="00267024">
        <w:rPr>
          <w:color w:val="auto"/>
          <w:sz w:val="22"/>
          <w:szCs w:val="22"/>
        </w:rPr>
        <w:t xml:space="preserve"> </w:t>
      </w:r>
    </w:p>
    <w:p w14:paraId="0298F0D3" w14:textId="67C12394" w:rsidR="005A651C" w:rsidRPr="00510EBB" w:rsidRDefault="005A651C" w:rsidP="00510EBB">
      <w:pPr>
        <w:pStyle w:val="Default"/>
        <w:spacing w:line="276" w:lineRule="auto"/>
      </w:pPr>
      <w:r w:rsidRPr="00510EBB">
        <w:rPr>
          <w:color w:val="auto"/>
          <w:sz w:val="22"/>
          <w:szCs w:val="22"/>
        </w:rPr>
        <w:lastRenderedPageBreak/>
        <w:t xml:space="preserve">Other considerations could include the potential for change in management practices or land use and their impact on the indicator/parameter over the duration of monitoring, statistical power based on the number and density of measurement sites, baseline data sources or control/reference sites versus treatment sites, and impact of modelling approaches on site choice, density, and duration. </w:t>
      </w:r>
    </w:p>
    <w:p w14:paraId="405B7EFB" w14:textId="473166AF" w:rsidR="005A651C" w:rsidRPr="006B17C8" w:rsidRDefault="0022398F" w:rsidP="008072DB">
      <w:pPr>
        <w:pStyle w:val="Heading3"/>
        <w:spacing w:line="276" w:lineRule="auto"/>
        <w:rPr>
          <w:rFonts w:ascii="Times New Roman" w:eastAsia="Times New Roman" w:hAnsi="Times New Roman" w:cs="Times New Roman"/>
          <w:b/>
          <w:color w:val="000000" w:themeColor="text1"/>
        </w:rPr>
      </w:pPr>
      <w:bookmarkStart w:id="81" w:name="_Toc161220511"/>
      <w:r w:rsidRPr="006B17C8">
        <w:rPr>
          <w:rFonts w:ascii="Times New Roman" w:eastAsia="Times New Roman" w:hAnsi="Times New Roman" w:cs="Times New Roman"/>
          <w:b/>
          <w:color w:val="000000" w:themeColor="text1"/>
        </w:rPr>
        <w:t xml:space="preserve">6.1.4. </w:t>
      </w:r>
      <w:r w:rsidR="005A651C" w:rsidRPr="006B17C8">
        <w:rPr>
          <w:rFonts w:ascii="Times New Roman" w:eastAsia="Times New Roman" w:hAnsi="Times New Roman" w:cs="Times New Roman"/>
          <w:b/>
          <w:color w:val="000000" w:themeColor="text1"/>
        </w:rPr>
        <w:t xml:space="preserve">How long to </w:t>
      </w:r>
      <w:proofErr w:type="gramStart"/>
      <w:r w:rsidR="005A651C" w:rsidRPr="006B17C8">
        <w:rPr>
          <w:rFonts w:ascii="Times New Roman" w:eastAsia="Times New Roman" w:hAnsi="Times New Roman" w:cs="Times New Roman"/>
          <w:b/>
          <w:color w:val="000000" w:themeColor="text1"/>
        </w:rPr>
        <w:t>monitor</w:t>
      </w:r>
      <w:bookmarkEnd w:id="81"/>
      <w:proofErr w:type="gramEnd"/>
    </w:p>
    <w:p w14:paraId="11234319" w14:textId="052EC8B6" w:rsidR="005A651C" w:rsidRPr="00510EBB" w:rsidRDefault="005A651C" w:rsidP="00510EBB">
      <w:pPr>
        <w:pStyle w:val="Default"/>
        <w:spacing w:line="276" w:lineRule="auto"/>
      </w:pPr>
      <w:r w:rsidRPr="00510EBB">
        <w:rPr>
          <w:color w:val="auto"/>
          <w:sz w:val="22"/>
          <w:szCs w:val="22"/>
        </w:rPr>
        <w:t>Duration of monitoring would be related to factors such as frequency, number, and periodicity of observations or measurements required to reliably encounter the change in a parameter (time to signal observation), the type of changes that are being sought to be measured (e.g.</w:t>
      </w:r>
      <w:r w:rsidR="0013654F" w:rsidRPr="00510EBB">
        <w:rPr>
          <w:color w:val="auto"/>
          <w:sz w:val="22"/>
          <w:szCs w:val="22"/>
        </w:rPr>
        <w:t>,</w:t>
      </w:r>
      <w:r w:rsidRPr="00510EBB">
        <w:rPr>
          <w:color w:val="auto"/>
          <w:sz w:val="22"/>
          <w:szCs w:val="22"/>
        </w:rPr>
        <w:t xml:space="preserve"> short term or long term, immediate or late onset i.e.</w:t>
      </w:r>
      <w:r w:rsidR="008238FF" w:rsidRPr="00510EBB">
        <w:rPr>
          <w:color w:val="auto"/>
          <w:sz w:val="22"/>
          <w:szCs w:val="22"/>
        </w:rPr>
        <w:t>,</w:t>
      </w:r>
      <w:r w:rsidRPr="00510EBB">
        <w:rPr>
          <w:color w:val="auto"/>
          <w:sz w:val="22"/>
          <w:szCs w:val="22"/>
        </w:rPr>
        <w:t xml:space="preserve"> time to signal generation), the life cycle, generation time, and biology of the EGD-LMO as well as of the indicator (of a species), duration of the release and effect of the release on the environment over time. Duration should be sufficient to provide data that supports decision making </w:t>
      </w:r>
      <w:r w:rsidR="00587897" w:rsidRPr="00510EBB">
        <w:rPr>
          <w:color w:val="auto"/>
          <w:sz w:val="22"/>
          <w:szCs w:val="22"/>
        </w:rPr>
        <w:t>(</w:t>
      </w:r>
      <w:r w:rsidRPr="00510EBB">
        <w:rPr>
          <w:color w:val="auto"/>
          <w:sz w:val="22"/>
          <w:szCs w:val="22"/>
        </w:rPr>
        <w:t>i.e.</w:t>
      </w:r>
      <w:r w:rsidR="009C2066" w:rsidRPr="00510EBB">
        <w:rPr>
          <w:color w:val="auto"/>
          <w:sz w:val="22"/>
          <w:szCs w:val="22"/>
        </w:rPr>
        <w:t>,</w:t>
      </w:r>
      <w:r w:rsidRPr="00510EBB">
        <w:rPr>
          <w:color w:val="auto"/>
          <w:sz w:val="22"/>
          <w:szCs w:val="22"/>
        </w:rPr>
        <w:t xml:space="preserve"> </w:t>
      </w:r>
      <w:r w:rsidR="00267176" w:rsidRPr="00510EBB">
        <w:rPr>
          <w:color w:val="auto"/>
          <w:sz w:val="22"/>
          <w:szCs w:val="22"/>
        </w:rPr>
        <w:t>providing data to further assess the identified</w:t>
      </w:r>
      <w:r w:rsidRPr="00510EBB">
        <w:rPr>
          <w:color w:val="auto"/>
          <w:sz w:val="22"/>
          <w:szCs w:val="22"/>
        </w:rPr>
        <w:t xml:space="preserve"> uncertainty and level of risk</w:t>
      </w:r>
      <w:r w:rsidR="00587897" w:rsidRPr="00510EBB">
        <w:rPr>
          <w:color w:val="auto"/>
          <w:sz w:val="22"/>
          <w:szCs w:val="22"/>
        </w:rPr>
        <w:t>)</w:t>
      </w:r>
      <w:r w:rsidRPr="00510EBB">
        <w:rPr>
          <w:color w:val="auto"/>
          <w:sz w:val="22"/>
          <w:szCs w:val="22"/>
        </w:rPr>
        <w:t>. The anticipated time scale of the effect of the EGD-</w:t>
      </w:r>
      <w:r w:rsidR="00745DB7" w:rsidRPr="00510EBB">
        <w:rPr>
          <w:color w:val="auto"/>
          <w:sz w:val="22"/>
          <w:szCs w:val="22"/>
        </w:rPr>
        <w:t>LMO</w:t>
      </w:r>
      <w:r w:rsidRPr="00510EBB">
        <w:rPr>
          <w:color w:val="auto"/>
          <w:sz w:val="22"/>
          <w:szCs w:val="22"/>
        </w:rPr>
        <w:t xml:space="preserve"> is an additional parameter for consideration. Conditions for stopping, extending, or altering the monitoring plan including duration should be described </w:t>
      </w:r>
      <w:r w:rsidRPr="00510EBB">
        <w:rPr>
          <w:i/>
          <w:color w:val="auto"/>
          <w:sz w:val="22"/>
          <w:szCs w:val="22"/>
        </w:rPr>
        <w:t>a priori</w:t>
      </w:r>
      <w:r w:rsidRPr="00510EBB">
        <w:rPr>
          <w:color w:val="auto"/>
          <w:sz w:val="22"/>
          <w:szCs w:val="22"/>
        </w:rPr>
        <w:t xml:space="preserve">. </w:t>
      </w:r>
    </w:p>
    <w:p w14:paraId="10D1CD62" w14:textId="268770E6" w:rsidR="005A651C" w:rsidRPr="006B17C8" w:rsidRDefault="0022398F" w:rsidP="008072DB">
      <w:pPr>
        <w:pStyle w:val="Heading3"/>
        <w:spacing w:line="276" w:lineRule="auto"/>
        <w:rPr>
          <w:rFonts w:ascii="Times New Roman" w:eastAsia="Times New Roman" w:hAnsi="Times New Roman" w:cs="Times New Roman"/>
          <w:b/>
          <w:color w:val="000000" w:themeColor="text1"/>
        </w:rPr>
      </w:pPr>
      <w:bookmarkStart w:id="82" w:name="_Toc161220512"/>
      <w:r w:rsidRPr="006B17C8">
        <w:rPr>
          <w:rFonts w:ascii="Times New Roman" w:eastAsia="Times New Roman" w:hAnsi="Times New Roman" w:cs="Times New Roman"/>
          <w:b/>
          <w:color w:val="000000" w:themeColor="text1"/>
        </w:rPr>
        <w:t xml:space="preserve">6.1.5. </w:t>
      </w:r>
      <w:r w:rsidR="005A651C" w:rsidRPr="006B17C8">
        <w:rPr>
          <w:rFonts w:ascii="Times New Roman" w:eastAsia="Times New Roman" w:hAnsi="Times New Roman" w:cs="Times New Roman"/>
          <w:b/>
          <w:color w:val="000000" w:themeColor="text1"/>
        </w:rPr>
        <w:t>How to report data/findings</w:t>
      </w:r>
      <w:bookmarkEnd w:id="82"/>
    </w:p>
    <w:p w14:paraId="5BC0DE06" w14:textId="0C9A8C17" w:rsidR="005A651C" w:rsidRPr="00510EBB" w:rsidRDefault="005A651C" w:rsidP="00510EBB">
      <w:pPr>
        <w:pStyle w:val="Default"/>
        <w:spacing w:line="276" w:lineRule="auto"/>
      </w:pPr>
      <w:r w:rsidRPr="00510EBB">
        <w:rPr>
          <w:color w:val="auto"/>
          <w:sz w:val="22"/>
          <w:szCs w:val="22"/>
        </w:rPr>
        <w:t>Monitoring data and results should be reported on the agreed upon frequency, to the agreed parties and in the appropriate format that is described in a monitoring plan. Goals for reporting generally include reporting potential adverse effects, verifying prior observations and conclusions, reaffirming product safety and efficacy, addressing any remaining uncertainty in pathways</w:t>
      </w:r>
      <w:r w:rsidR="00267176" w:rsidRPr="00510EBB">
        <w:rPr>
          <w:color w:val="auto"/>
          <w:sz w:val="22"/>
          <w:szCs w:val="22"/>
        </w:rPr>
        <w:t xml:space="preserve"> to harm</w:t>
      </w:r>
      <w:r w:rsidRPr="00510EBB">
        <w:rPr>
          <w:color w:val="auto"/>
          <w:sz w:val="22"/>
          <w:szCs w:val="22"/>
        </w:rPr>
        <w:t>, providing data for re-evaluation of models or risk assessments, addressing any need to change, extend, or stop existing risk mitigation procedures, and supporting decision making in any of these areas including the need for emergency measures.</w:t>
      </w:r>
    </w:p>
    <w:p w14:paraId="11127994" w14:textId="64B21FE9" w:rsidR="005A651C" w:rsidRPr="00510EBB" w:rsidRDefault="005A651C" w:rsidP="00510EBB">
      <w:pPr>
        <w:pStyle w:val="Default"/>
        <w:spacing w:line="276" w:lineRule="auto"/>
      </w:pPr>
      <w:r w:rsidRPr="00510EBB">
        <w:rPr>
          <w:color w:val="auto"/>
          <w:sz w:val="22"/>
          <w:szCs w:val="22"/>
        </w:rPr>
        <w:t xml:space="preserve">Reporting requirements are described by national competent authorities based on applicable laws and should provide frequency and format of the information </w:t>
      </w:r>
      <w:r w:rsidR="001E6111">
        <w:rPr>
          <w:color w:val="auto"/>
          <w:sz w:val="22"/>
          <w:szCs w:val="22"/>
        </w:rPr>
        <w:t xml:space="preserve">to be </w:t>
      </w:r>
      <w:r w:rsidRPr="00510EBB">
        <w:rPr>
          <w:color w:val="auto"/>
          <w:sz w:val="22"/>
          <w:szCs w:val="22"/>
        </w:rPr>
        <w:t xml:space="preserve">reported as well </w:t>
      </w:r>
      <w:r w:rsidR="00A05CD7" w:rsidRPr="00510EBB">
        <w:rPr>
          <w:color w:val="auto"/>
          <w:sz w:val="22"/>
          <w:szCs w:val="22"/>
        </w:rPr>
        <w:t>as</w:t>
      </w:r>
      <w:r w:rsidRPr="00510EBB">
        <w:rPr>
          <w:color w:val="auto"/>
          <w:sz w:val="22"/>
          <w:szCs w:val="22"/>
        </w:rPr>
        <w:t xml:space="preserve"> mitigation measures used. </w:t>
      </w:r>
    </w:p>
    <w:p w14:paraId="771D4D42" w14:textId="18D754F7" w:rsidR="005A651C" w:rsidRDefault="005A651C" w:rsidP="00510EBB">
      <w:pPr>
        <w:pStyle w:val="Default"/>
        <w:spacing w:line="276" w:lineRule="auto"/>
        <w:rPr>
          <w:color w:val="auto"/>
          <w:sz w:val="22"/>
          <w:szCs w:val="22"/>
        </w:rPr>
      </w:pPr>
      <w:r w:rsidRPr="00510EBB">
        <w:rPr>
          <w:color w:val="auto"/>
          <w:sz w:val="22"/>
          <w:szCs w:val="22"/>
        </w:rPr>
        <w:t>Results and data may be shared with other stakeholders in formats appropriate to those audiences for transparency. Confidentiality of the data and information should respect national and international laws</w:t>
      </w:r>
      <w:r w:rsidR="007E48EB">
        <w:rPr>
          <w:color w:val="auto"/>
          <w:sz w:val="22"/>
          <w:szCs w:val="22"/>
        </w:rPr>
        <w:t xml:space="preserve"> and agreements</w:t>
      </w:r>
      <w:r w:rsidR="0057186D" w:rsidRPr="00510EBB">
        <w:rPr>
          <w:color w:val="auto"/>
          <w:sz w:val="22"/>
          <w:szCs w:val="22"/>
        </w:rPr>
        <w:t>.</w:t>
      </w:r>
    </w:p>
    <w:tbl>
      <w:tblPr>
        <w:tblStyle w:val="TableGrid"/>
        <w:tblW w:w="0" w:type="auto"/>
        <w:tblLook w:val="04A0" w:firstRow="1" w:lastRow="0" w:firstColumn="1" w:lastColumn="0" w:noHBand="0" w:noVBand="1"/>
      </w:tblPr>
      <w:tblGrid>
        <w:gridCol w:w="9016"/>
      </w:tblGrid>
      <w:tr w:rsidR="004307C9" w14:paraId="3E6364D8" w14:textId="77777777" w:rsidTr="004307C9">
        <w:tc>
          <w:tcPr>
            <w:tcW w:w="9016" w:type="dxa"/>
          </w:tcPr>
          <w:p w14:paraId="0833909D" w14:textId="77777777" w:rsidR="004307C9" w:rsidRPr="004307C9" w:rsidRDefault="004307C9" w:rsidP="004307C9">
            <w:pPr>
              <w:pStyle w:val="Default"/>
              <w:spacing w:line="276" w:lineRule="auto"/>
              <w:rPr>
                <w:rFonts w:asciiTheme="majorEastAsia" w:hAnsiTheme="majorEastAsia" w:cstheme="majorEastAsia"/>
                <w:b/>
                <w:bCs/>
                <w:color w:val="auto"/>
                <w:sz w:val="18"/>
                <w:szCs w:val="18"/>
              </w:rPr>
            </w:pPr>
            <w:r w:rsidRPr="004307C9">
              <w:rPr>
                <w:rFonts w:asciiTheme="majorEastAsia" w:hAnsiTheme="majorEastAsia" w:cstheme="majorEastAsia"/>
                <w:b/>
                <w:bCs/>
                <w:color w:val="auto"/>
                <w:sz w:val="18"/>
                <w:szCs w:val="18"/>
              </w:rPr>
              <w:t>Mosquitoes:</w:t>
            </w:r>
          </w:p>
          <w:p w14:paraId="449BB5ED" w14:textId="06F5365F" w:rsidR="004307C9" w:rsidRPr="004307C9" w:rsidRDefault="004307C9" w:rsidP="004307C9">
            <w:pPr>
              <w:pStyle w:val="Default"/>
              <w:spacing w:line="276" w:lineRule="auto"/>
              <w:rPr>
                <w:rFonts w:asciiTheme="majorEastAsia" w:hAnsiTheme="majorEastAsia" w:cstheme="majorEastAsia"/>
                <w:b/>
                <w:bCs/>
                <w:color w:val="auto"/>
                <w:sz w:val="18"/>
                <w:szCs w:val="18"/>
              </w:rPr>
            </w:pPr>
            <w:r w:rsidRPr="004307C9">
              <w:rPr>
                <w:rFonts w:asciiTheme="majorEastAsia" w:hAnsiTheme="majorEastAsia" w:cstheme="majorEastAsia"/>
                <w:b/>
                <w:bCs/>
                <w:color w:val="auto"/>
                <w:sz w:val="18"/>
                <w:szCs w:val="18"/>
              </w:rPr>
              <w:t xml:space="preserve">Specific guidance for the monitoring of releases of living modified mosquitoes containing engineered gene </w:t>
            </w:r>
            <w:proofErr w:type="gramStart"/>
            <w:r w:rsidRPr="004307C9">
              <w:rPr>
                <w:rFonts w:asciiTheme="majorEastAsia" w:hAnsiTheme="majorEastAsia" w:cstheme="majorEastAsia"/>
                <w:b/>
                <w:bCs/>
                <w:color w:val="auto"/>
                <w:sz w:val="18"/>
                <w:szCs w:val="18"/>
              </w:rPr>
              <w:t>drives</w:t>
            </w:r>
            <w:proofErr w:type="gramEnd"/>
          </w:p>
          <w:p w14:paraId="4FAF1720" w14:textId="601ADCF6" w:rsidR="004307C9" w:rsidRPr="004307C9" w:rsidRDefault="004307C9" w:rsidP="004307C9">
            <w:pPr>
              <w:pStyle w:val="Default"/>
              <w:spacing w:line="276" w:lineRule="auto"/>
              <w:rPr>
                <w:rFonts w:asciiTheme="majorEastAsia" w:hAnsiTheme="majorEastAsia" w:cstheme="majorEastAsia"/>
                <w:sz w:val="18"/>
                <w:szCs w:val="18"/>
              </w:rPr>
            </w:pPr>
            <w:r w:rsidRPr="004307C9">
              <w:rPr>
                <w:rFonts w:asciiTheme="majorEastAsia" w:hAnsiTheme="majorEastAsia" w:cstheme="majorEastAsia" w:hint="eastAsia"/>
                <w:color w:val="auto"/>
                <w:sz w:val="18"/>
                <w:szCs w:val="18"/>
              </w:rPr>
              <w:t xml:space="preserve">Monitoring of EGD-LMMs begins before the release occurs and continues during and following the release. Monitoring should be considered at multiple levels: for the presence of the released EGD-LMM and transgenic construct in the local population of the target mosquito species; and for environmental effects, taking into consideration human health, as they pertain to assessment endpoints and protection goals and pathways to harm identified in the risk assessment. Some monitoring may be needed regardless of the species of mosquito and the genetic modification employed; however, the mechanism underlying the </w:t>
            </w:r>
            <w:proofErr w:type="gramStart"/>
            <w:r w:rsidRPr="004307C9">
              <w:rPr>
                <w:rFonts w:asciiTheme="majorEastAsia" w:hAnsiTheme="majorEastAsia" w:cstheme="majorEastAsia" w:hint="eastAsia"/>
                <w:color w:val="auto"/>
                <w:sz w:val="18"/>
                <w:szCs w:val="18"/>
              </w:rPr>
              <w:t>EGD</w:t>
            </w:r>
            <w:proofErr w:type="gramEnd"/>
            <w:r w:rsidRPr="004307C9">
              <w:rPr>
                <w:rFonts w:asciiTheme="majorEastAsia" w:hAnsiTheme="majorEastAsia" w:cstheme="majorEastAsia" w:hint="eastAsia"/>
                <w:color w:val="auto"/>
                <w:sz w:val="18"/>
                <w:szCs w:val="18"/>
              </w:rPr>
              <w:t xml:space="preserve"> and the specific genetic modifications used to implement that mechanism may necessitate the need for additional types of monitoring. The monitoring plan should </w:t>
            </w:r>
            <w:proofErr w:type="gramStart"/>
            <w:r w:rsidRPr="004307C9">
              <w:rPr>
                <w:rFonts w:asciiTheme="majorEastAsia" w:hAnsiTheme="majorEastAsia" w:cstheme="majorEastAsia" w:hint="eastAsia"/>
                <w:color w:val="auto"/>
                <w:sz w:val="18"/>
                <w:szCs w:val="18"/>
              </w:rPr>
              <w:t>take into account</w:t>
            </w:r>
            <w:proofErr w:type="gramEnd"/>
            <w:r w:rsidRPr="004307C9">
              <w:rPr>
                <w:rFonts w:asciiTheme="majorEastAsia" w:hAnsiTheme="majorEastAsia" w:cstheme="majorEastAsia" w:hint="eastAsia"/>
                <w:color w:val="auto"/>
                <w:sz w:val="18"/>
                <w:szCs w:val="18"/>
              </w:rPr>
              <w:t xml:space="preserve"> both these generic and specific information needs </w:t>
            </w:r>
            <w:r w:rsidRPr="006C5A76">
              <w:rPr>
                <w:rFonts w:asciiTheme="majorEastAsia" w:hAnsiTheme="majorEastAsia" w:cstheme="majorEastAsia" w:hint="eastAsia"/>
                <w:color w:val="auto"/>
                <w:sz w:val="18"/>
                <w:szCs w:val="18"/>
              </w:rPr>
              <w:t>(Rasic and others, 2022</w:t>
            </w:r>
            <w:r w:rsidRPr="004307C9">
              <w:rPr>
                <w:rFonts w:asciiTheme="majorEastAsia" w:hAnsiTheme="majorEastAsia" w:cstheme="majorEastAsia" w:hint="eastAsia"/>
                <w:color w:val="auto"/>
                <w:sz w:val="18"/>
                <w:szCs w:val="18"/>
              </w:rPr>
              <w:t xml:space="preserve">). </w:t>
            </w:r>
          </w:p>
          <w:p w14:paraId="0B16FE38" w14:textId="77777777" w:rsidR="004307C9" w:rsidRPr="004307C9" w:rsidRDefault="004307C9" w:rsidP="004307C9">
            <w:pPr>
              <w:pStyle w:val="Default"/>
              <w:spacing w:line="276" w:lineRule="auto"/>
              <w:rPr>
                <w:rFonts w:asciiTheme="majorEastAsia" w:hAnsiTheme="majorEastAsia" w:cstheme="majorEastAsia"/>
                <w:sz w:val="18"/>
                <w:szCs w:val="18"/>
              </w:rPr>
            </w:pPr>
            <w:r w:rsidRPr="004307C9">
              <w:rPr>
                <w:rFonts w:asciiTheme="majorEastAsia" w:hAnsiTheme="majorEastAsia" w:cstheme="majorEastAsia" w:hint="eastAsia"/>
                <w:color w:val="auto"/>
                <w:sz w:val="18"/>
                <w:szCs w:val="18"/>
              </w:rPr>
              <w:t xml:space="preserve">Clear description of specific monitoring is even more important for EGD-LMMs than for non-EGD LMMs, as the potential adverse effects of intentional releases may not be spatially or temporally constrained and any changes </w:t>
            </w:r>
            <w:r w:rsidRPr="004307C9">
              <w:rPr>
                <w:rFonts w:asciiTheme="majorEastAsia" w:hAnsiTheme="majorEastAsia" w:cstheme="majorEastAsia" w:hint="eastAsia"/>
                <w:color w:val="auto"/>
                <w:sz w:val="18"/>
                <w:szCs w:val="18"/>
              </w:rPr>
              <w:lastRenderedPageBreak/>
              <w:t>to the transgenic construct may require rapid management intervention. Spatial and temporal scales will be greater with most EGD-LMM applications than non-EGD-LMM applications, and reversibility may depend on the nature of the EGD. Large-scale and long-term impact is particularly relevant to self-sustaining EGDs because temporal/spatial scales are increased. Consequently, EGDs will require monitoring to be dynamic and spatially explicit, tracking spread and persistence over space and time, including areas beyond the expected range of the release, and possibly across jurisdictional boundaries.</w:t>
            </w:r>
          </w:p>
          <w:p w14:paraId="0C236AC9" w14:textId="4A864BB1" w:rsidR="004307C9" w:rsidRPr="004307C9" w:rsidRDefault="004307C9" w:rsidP="004307C9">
            <w:pPr>
              <w:pStyle w:val="Heading3"/>
              <w:spacing w:line="276" w:lineRule="auto"/>
              <w:rPr>
                <w:rFonts w:asciiTheme="majorEastAsia" w:eastAsia="Times New Roman" w:hAnsiTheme="majorEastAsia" w:cstheme="majorEastAsia"/>
                <w:b/>
                <w:bCs/>
                <w:iCs/>
                <w:sz w:val="18"/>
                <w:szCs w:val="18"/>
              </w:rPr>
            </w:pPr>
            <w:bookmarkStart w:id="83" w:name="_Toc160798897"/>
            <w:bookmarkStart w:id="84" w:name="_Toc161220513"/>
            <w:r w:rsidRPr="004307C9">
              <w:rPr>
                <w:rFonts w:asciiTheme="majorEastAsia" w:eastAsia="Times New Roman" w:hAnsiTheme="majorEastAsia" w:cstheme="majorEastAsia" w:hint="eastAsia"/>
                <w:b/>
                <w:bCs/>
                <w:iCs/>
                <w:color w:val="000000" w:themeColor="text1"/>
                <w:sz w:val="18"/>
                <w:szCs w:val="18"/>
              </w:rPr>
              <w:t xml:space="preserve">Release and post-release </w:t>
            </w:r>
            <w:proofErr w:type="gramStart"/>
            <w:r w:rsidRPr="004307C9">
              <w:rPr>
                <w:rFonts w:asciiTheme="majorEastAsia" w:eastAsia="Times New Roman" w:hAnsiTheme="majorEastAsia" w:cstheme="majorEastAsia" w:hint="eastAsia"/>
                <w:b/>
                <w:bCs/>
                <w:iCs/>
                <w:color w:val="000000" w:themeColor="text1"/>
                <w:sz w:val="18"/>
                <w:szCs w:val="18"/>
              </w:rPr>
              <w:t>monitoring</w:t>
            </w:r>
            <w:bookmarkEnd w:id="83"/>
            <w:bookmarkEnd w:id="84"/>
            <w:proofErr w:type="gramEnd"/>
          </w:p>
          <w:p w14:paraId="45C45C96" w14:textId="019BC095" w:rsidR="004307C9" w:rsidRPr="004307C9" w:rsidRDefault="004307C9" w:rsidP="004307C9">
            <w:pPr>
              <w:pStyle w:val="Default"/>
              <w:spacing w:line="276" w:lineRule="auto"/>
              <w:rPr>
                <w:rFonts w:asciiTheme="majorEastAsia" w:hAnsiTheme="majorEastAsia" w:cstheme="majorEastAsia"/>
                <w:sz w:val="18"/>
                <w:szCs w:val="18"/>
              </w:rPr>
            </w:pPr>
            <w:r w:rsidRPr="004307C9">
              <w:rPr>
                <w:rFonts w:asciiTheme="majorEastAsia" w:hAnsiTheme="majorEastAsia" w:cstheme="majorEastAsia" w:hint="eastAsia"/>
                <w:color w:val="auto"/>
                <w:sz w:val="18"/>
                <w:szCs w:val="18"/>
              </w:rPr>
              <w:t>During the release of the EGD-LMM, monitoring or inspection should ensure compliance with the release conditions laid down in the authorization. Monitoring will also provide data on the efficacy of the EGD system, as well as on the identified pathways to harm in the risk assessment and any other requirements determined by the regulatory authorities for release. Post-release data can also be used to inform the generation of baseline data for the post-release monitoring.</w:t>
            </w:r>
          </w:p>
          <w:p w14:paraId="1920CFD8" w14:textId="109B4CA3" w:rsidR="004307C9" w:rsidRPr="004307C9" w:rsidRDefault="004307C9" w:rsidP="004307C9">
            <w:pPr>
              <w:pStyle w:val="Default"/>
              <w:spacing w:line="276" w:lineRule="auto"/>
              <w:rPr>
                <w:rFonts w:asciiTheme="majorEastAsia" w:hAnsiTheme="majorEastAsia" w:cstheme="majorEastAsia"/>
                <w:sz w:val="18"/>
                <w:szCs w:val="18"/>
              </w:rPr>
            </w:pPr>
            <w:r w:rsidRPr="004307C9">
              <w:rPr>
                <w:rFonts w:asciiTheme="majorEastAsia" w:hAnsiTheme="majorEastAsia" w:cstheme="majorEastAsia" w:hint="eastAsia"/>
                <w:color w:val="auto"/>
                <w:sz w:val="18"/>
                <w:szCs w:val="18"/>
              </w:rPr>
              <w:t xml:space="preserve">Monitoring mosquito populations and intended phenotypic change within the designated release and dispersal area will support the primary indication </w:t>
            </w:r>
            <w:r w:rsidR="0007614F">
              <w:rPr>
                <w:rFonts w:asciiTheme="majorEastAsia" w:hAnsiTheme="majorEastAsia" w:cstheme="majorEastAsia"/>
                <w:color w:val="auto"/>
                <w:sz w:val="18"/>
                <w:szCs w:val="18"/>
              </w:rPr>
              <w:t>that</w:t>
            </w:r>
            <w:r w:rsidRPr="004307C9">
              <w:rPr>
                <w:rFonts w:asciiTheme="majorEastAsia" w:hAnsiTheme="majorEastAsia" w:cstheme="majorEastAsia" w:hint="eastAsia"/>
                <w:color w:val="auto"/>
                <w:sz w:val="18"/>
                <w:szCs w:val="18"/>
              </w:rPr>
              <w:t xml:space="preserve"> the product (e.g., the EGD-LMM) h</w:t>
            </w:r>
            <w:r w:rsidR="0007614F">
              <w:rPr>
                <w:rFonts w:asciiTheme="majorEastAsia" w:hAnsiTheme="majorEastAsia" w:cstheme="majorEastAsia"/>
                <w:color w:val="auto"/>
                <w:sz w:val="18"/>
                <w:szCs w:val="18"/>
              </w:rPr>
              <w:t>as</w:t>
            </w:r>
            <w:r w:rsidRPr="004307C9">
              <w:rPr>
                <w:rFonts w:asciiTheme="majorEastAsia" w:hAnsiTheme="majorEastAsia" w:cstheme="majorEastAsia" w:hint="eastAsia"/>
                <w:color w:val="auto"/>
                <w:sz w:val="18"/>
                <w:szCs w:val="18"/>
              </w:rPr>
              <w:t xml:space="preserve"> been established within the release area and the size of the native population of target vector mosquitoes is decreasing (for population suppression applications) or that the construct is spreading through the target population (for population modification applications). Monitoring for EGD-LMM outside the designated release area could identify dispersal range (temporal and spatial) of the EGD-LMMs. These data could provide guidance for potential mitigation measures as well as information useful for validating and updating models used to inform risk assessment. </w:t>
            </w:r>
          </w:p>
          <w:p w14:paraId="6D4D0270" w14:textId="5AA1AC79" w:rsidR="004307C9" w:rsidRDefault="004307C9" w:rsidP="004307C9">
            <w:pPr>
              <w:pStyle w:val="Default"/>
              <w:spacing w:line="276" w:lineRule="auto"/>
            </w:pPr>
            <w:r w:rsidRPr="004307C9">
              <w:rPr>
                <w:rFonts w:asciiTheme="majorEastAsia" w:hAnsiTheme="majorEastAsia" w:cstheme="majorEastAsia" w:hint="eastAsia"/>
                <w:color w:val="auto"/>
                <w:sz w:val="18"/>
                <w:szCs w:val="18"/>
              </w:rPr>
              <w:t>After the planned release(s) of the EGD-LMM have been completed, the monitoring plan is expected to include data to support spread and dispersal information described in the risk assessment as well as safety and efficacy of the product based on its intended use (including product failure such as loss of drive or uncoupling of the drive element or failure of the effector). Moreover, it will provide data on any outstanding unresolved risk related concerns outlined by competent authorities in the initial monitoring plan. Results of initial post-release monitoring should be evaluated to determine frequency and duration of any additional monitoring and reporting period if extended, and whether the monitoring and risk mitigation plan should be updated.</w:t>
            </w:r>
            <w:r w:rsidRPr="00510EBB">
              <w:rPr>
                <w:color w:val="auto"/>
                <w:sz w:val="22"/>
                <w:szCs w:val="22"/>
              </w:rPr>
              <w:t xml:space="preserve"> </w:t>
            </w:r>
          </w:p>
        </w:tc>
      </w:tr>
    </w:tbl>
    <w:p w14:paraId="308A60F0" w14:textId="0CE8A58E" w:rsidR="005A651C" w:rsidRPr="0057186D" w:rsidRDefault="004307C9" w:rsidP="0057186D">
      <w:pPr>
        <w:pStyle w:val="Heading2"/>
        <w:spacing w:line="276" w:lineRule="auto"/>
        <w:rPr>
          <w:rFonts w:ascii="Times New Roman" w:hAnsi="Times New Roman" w:cs="Times New Roman"/>
          <w:b/>
          <w:bCs/>
          <w:color w:val="auto"/>
          <w:sz w:val="24"/>
          <w:szCs w:val="24"/>
          <w:lang w:val="en-GB"/>
        </w:rPr>
      </w:pPr>
      <w:r w:rsidRPr="0057186D">
        <w:rPr>
          <w:rFonts w:ascii="Times New Roman" w:hAnsi="Times New Roman" w:cs="Times New Roman"/>
          <w:b/>
          <w:bCs/>
          <w:color w:val="auto"/>
          <w:sz w:val="24"/>
          <w:szCs w:val="24"/>
          <w:lang w:val="en-GB"/>
        </w:rPr>
        <w:lastRenderedPageBreak/>
        <w:t xml:space="preserve"> </w:t>
      </w:r>
    </w:p>
    <w:p w14:paraId="6CE42CD5" w14:textId="60F7F221" w:rsidR="00BA7098" w:rsidRPr="00034451" w:rsidRDefault="00034451" w:rsidP="00BA7098">
      <w:pPr>
        <w:pStyle w:val="Heading2"/>
        <w:spacing w:line="276" w:lineRule="auto"/>
        <w:rPr>
          <w:rFonts w:ascii="Times New Roman" w:hAnsi="Times New Roman" w:cs="Times New Roman"/>
          <w:b/>
          <w:bCs/>
          <w:color w:val="auto"/>
          <w:sz w:val="28"/>
          <w:szCs w:val="28"/>
          <w:lang w:val="en-GB"/>
        </w:rPr>
      </w:pPr>
      <w:bookmarkStart w:id="85" w:name="_Toc161220514"/>
      <w:r>
        <w:rPr>
          <w:rFonts w:ascii="Times New Roman" w:hAnsi="Times New Roman" w:cs="Times New Roman"/>
          <w:b/>
          <w:bCs/>
          <w:color w:val="auto"/>
          <w:sz w:val="28"/>
          <w:szCs w:val="28"/>
          <w:lang w:val="en-GB"/>
        </w:rPr>
        <w:t>7</w:t>
      </w:r>
      <w:r w:rsidR="00BA7098" w:rsidRPr="00034451">
        <w:rPr>
          <w:rFonts w:ascii="Times New Roman" w:hAnsi="Times New Roman" w:cs="Times New Roman"/>
          <w:b/>
          <w:bCs/>
          <w:color w:val="auto"/>
          <w:sz w:val="28"/>
          <w:szCs w:val="28"/>
          <w:lang w:val="en-GB"/>
        </w:rPr>
        <w:t>. Related issues</w:t>
      </w:r>
      <w:bookmarkEnd w:id="85"/>
      <w:r w:rsidR="00BA7098" w:rsidRPr="00034451">
        <w:rPr>
          <w:rFonts w:ascii="Times New Roman" w:hAnsi="Times New Roman" w:cs="Times New Roman"/>
          <w:b/>
          <w:bCs/>
          <w:color w:val="auto"/>
          <w:sz w:val="28"/>
          <w:szCs w:val="28"/>
          <w:lang w:val="en-GB"/>
        </w:rPr>
        <w:t xml:space="preserve"> </w:t>
      </w:r>
    </w:p>
    <w:p w14:paraId="257E59D5" w14:textId="506E13F9" w:rsidR="002B08AC" w:rsidRPr="00510EBB" w:rsidRDefault="00034451" w:rsidP="00034451">
      <w:pPr>
        <w:pStyle w:val="Heading2"/>
        <w:spacing w:line="276" w:lineRule="auto"/>
        <w:rPr>
          <w:rFonts w:ascii="Times New Roman" w:hAnsi="Times New Roman" w:cs="Times New Roman"/>
          <w:b/>
          <w:caps/>
          <w:color w:val="000000" w:themeColor="text1"/>
          <w:sz w:val="24"/>
          <w:szCs w:val="24"/>
        </w:rPr>
      </w:pPr>
      <w:bookmarkStart w:id="86" w:name="_Toc161220515"/>
      <w:bookmarkStart w:id="87" w:name="_Toc157493746"/>
      <w:r w:rsidRPr="00510EBB">
        <w:rPr>
          <w:rFonts w:ascii="Times New Roman" w:hAnsi="Times New Roman" w:cs="Times New Roman"/>
          <w:b/>
          <w:color w:val="000000" w:themeColor="text1"/>
          <w:sz w:val="24"/>
          <w:szCs w:val="24"/>
        </w:rPr>
        <w:t xml:space="preserve">7.1. </w:t>
      </w:r>
      <w:r w:rsidR="002B08AC" w:rsidRPr="00510EBB">
        <w:rPr>
          <w:rFonts w:ascii="Times New Roman" w:hAnsi="Times New Roman" w:cs="Times New Roman"/>
          <w:b/>
          <w:color w:val="000000" w:themeColor="text1"/>
          <w:sz w:val="24"/>
          <w:szCs w:val="24"/>
        </w:rPr>
        <w:t xml:space="preserve">Risk assessment </w:t>
      </w:r>
      <w:r w:rsidR="006B1389" w:rsidRPr="00510EBB">
        <w:rPr>
          <w:rFonts w:ascii="Times New Roman" w:hAnsi="Times New Roman" w:cs="Times New Roman"/>
          <w:b/>
          <w:color w:val="000000" w:themeColor="text1"/>
          <w:sz w:val="24"/>
          <w:szCs w:val="24"/>
        </w:rPr>
        <w:t xml:space="preserve">and assessing the benefits </w:t>
      </w:r>
      <w:r w:rsidR="002B08AC" w:rsidRPr="00510EBB">
        <w:rPr>
          <w:rFonts w:ascii="Times New Roman" w:hAnsi="Times New Roman" w:cs="Times New Roman"/>
          <w:b/>
          <w:color w:val="000000" w:themeColor="text1"/>
          <w:sz w:val="24"/>
          <w:szCs w:val="24"/>
        </w:rPr>
        <w:t>as component</w:t>
      </w:r>
      <w:r w:rsidR="005C1066">
        <w:rPr>
          <w:rFonts w:ascii="Times New Roman" w:hAnsi="Times New Roman" w:cs="Times New Roman"/>
          <w:b/>
          <w:color w:val="000000" w:themeColor="text1"/>
          <w:sz w:val="24"/>
          <w:szCs w:val="24"/>
        </w:rPr>
        <w:t>s</w:t>
      </w:r>
      <w:r w:rsidR="002B08AC" w:rsidRPr="00510EBB">
        <w:rPr>
          <w:rFonts w:ascii="Times New Roman" w:hAnsi="Times New Roman" w:cs="Times New Roman"/>
          <w:b/>
          <w:color w:val="000000" w:themeColor="text1"/>
          <w:sz w:val="24"/>
          <w:szCs w:val="24"/>
        </w:rPr>
        <w:t xml:space="preserve"> of the decision-making </w:t>
      </w:r>
      <w:proofErr w:type="gramStart"/>
      <w:r w:rsidR="002B08AC" w:rsidRPr="00510EBB">
        <w:rPr>
          <w:rFonts w:ascii="Times New Roman" w:hAnsi="Times New Roman" w:cs="Times New Roman"/>
          <w:b/>
          <w:color w:val="000000" w:themeColor="text1"/>
          <w:sz w:val="24"/>
          <w:szCs w:val="24"/>
        </w:rPr>
        <w:t>process</w:t>
      </w:r>
      <w:bookmarkEnd w:id="86"/>
      <w:proofErr w:type="gramEnd"/>
      <w:r w:rsidR="002B08AC" w:rsidRPr="00510EBB">
        <w:rPr>
          <w:rFonts w:ascii="Times New Roman" w:hAnsi="Times New Roman" w:cs="Times New Roman"/>
          <w:b/>
          <w:color w:val="000000" w:themeColor="text1"/>
          <w:sz w:val="24"/>
          <w:szCs w:val="24"/>
        </w:rPr>
        <w:t xml:space="preserve"> </w:t>
      </w:r>
      <w:bookmarkEnd w:id="87"/>
    </w:p>
    <w:p w14:paraId="3780C28C" w14:textId="05C9FC27" w:rsidR="00B70CF1" w:rsidRPr="00510EBB" w:rsidRDefault="00B70CF1" w:rsidP="009A0487">
      <w:pPr>
        <w:pStyle w:val="Default"/>
        <w:spacing w:line="276" w:lineRule="auto"/>
        <w:rPr>
          <w:color w:val="000000" w:themeColor="text1"/>
          <w:sz w:val="22"/>
          <w:szCs w:val="22"/>
        </w:rPr>
      </w:pPr>
      <w:r w:rsidRPr="00510EBB">
        <w:rPr>
          <w:color w:val="auto"/>
          <w:sz w:val="22"/>
          <w:szCs w:val="22"/>
        </w:rPr>
        <w:t xml:space="preserve">A critical element in the conclusion of risk assessment is a recommendation as to </w:t>
      </w:r>
      <w:proofErr w:type="gramStart"/>
      <w:r w:rsidRPr="00510EBB">
        <w:rPr>
          <w:color w:val="auto"/>
          <w:sz w:val="22"/>
          <w:szCs w:val="22"/>
        </w:rPr>
        <w:t>whether or not</w:t>
      </w:r>
      <w:proofErr w:type="gramEnd"/>
      <w:r w:rsidRPr="00510EBB">
        <w:rPr>
          <w:color w:val="auto"/>
          <w:sz w:val="22"/>
          <w:szCs w:val="22"/>
        </w:rPr>
        <w:t xml:space="preserve"> the risks, including strategies to manage the risks, are acceptable or manageable as outlined in </w:t>
      </w:r>
      <w:r w:rsidR="007E398D">
        <w:rPr>
          <w:color w:val="auto"/>
          <w:sz w:val="22"/>
          <w:szCs w:val="22"/>
        </w:rPr>
        <w:t>a</w:t>
      </w:r>
      <w:r w:rsidRPr="00510EBB">
        <w:rPr>
          <w:color w:val="auto"/>
          <w:sz w:val="22"/>
          <w:szCs w:val="22"/>
        </w:rPr>
        <w:t xml:space="preserve">nnex III 8(e) of the Cartagena Protocol on Biosafety. </w:t>
      </w:r>
      <w:r w:rsidR="3A36DFB5" w:rsidRPr="006B17C8">
        <w:rPr>
          <w:color w:val="000000" w:themeColor="text1"/>
          <w:sz w:val="22"/>
          <w:szCs w:val="22"/>
        </w:rPr>
        <w:t>Paragraphs 3 to 6 provide g</w:t>
      </w:r>
      <w:r w:rsidR="382BF830" w:rsidRPr="006B17C8">
        <w:rPr>
          <w:color w:val="000000" w:themeColor="text1"/>
          <w:sz w:val="22"/>
          <w:szCs w:val="22"/>
        </w:rPr>
        <w:t>eneral</w:t>
      </w:r>
      <w:r w:rsidR="00A53A40" w:rsidRPr="006B17C8">
        <w:rPr>
          <w:color w:val="000000" w:themeColor="text1"/>
          <w:sz w:val="22"/>
          <w:szCs w:val="22"/>
        </w:rPr>
        <w:t xml:space="preserve"> principles of risk assessment</w:t>
      </w:r>
      <w:r w:rsidR="75D7376B" w:rsidRPr="006B17C8">
        <w:rPr>
          <w:color w:val="000000" w:themeColor="text1"/>
          <w:sz w:val="22"/>
          <w:szCs w:val="22"/>
        </w:rPr>
        <w:t>, but</w:t>
      </w:r>
      <w:r w:rsidR="009A0487" w:rsidRPr="006B17C8">
        <w:rPr>
          <w:color w:val="000000" w:themeColor="text1"/>
          <w:sz w:val="22"/>
          <w:szCs w:val="22"/>
        </w:rPr>
        <w:t xml:space="preserve"> </w:t>
      </w:r>
      <w:r w:rsidR="00475DC0" w:rsidRPr="006B17C8">
        <w:rPr>
          <w:color w:val="000000" w:themeColor="text1"/>
          <w:sz w:val="22"/>
          <w:szCs w:val="22"/>
        </w:rPr>
        <w:t>no</w:t>
      </w:r>
      <w:r w:rsidR="003E3716" w:rsidRPr="006B17C8">
        <w:rPr>
          <w:color w:val="000000" w:themeColor="text1"/>
          <w:sz w:val="22"/>
          <w:szCs w:val="22"/>
        </w:rPr>
        <w:t xml:space="preserve"> specific guidance on how to decide on risk acceptability and assess potential benefits</w:t>
      </w:r>
      <w:r w:rsidR="00475DC0" w:rsidRPr="006B17C8">
        <w:rPr>
          <w:color w:val="000000" w:themeColor="text1"/>
          <w:sz w:val="22"/>
          <w:szCs w:val="22"/>
        </w:rPr>
        <w:t xml:space="preserve"> </w:t>
      </w:r>
      <w:r w:rsidR="5CB2BF95" w:rsidRPr="006B17C8">
        <w:rPr>
          <w:color w:val="000000" w:themeColor="text1"/>
          <w:sz w:val="22"/>
          <w:szCs w:val="22"/>
        </w:rPr>
        <w:t>are</w:t>
      </w:r>
      <w:r w:rsidR="62FC3726" w:rsidRPr="006B17C8">
        <w:rPr>
          <w:color w:val="000000" w:themeColor="text1"/>
          <w:sz w:val="22"/>
          <w:szCs w:val="22"/>
        </w:rPr>
        <w:t xml:space="preserve"> </w:t>
      </w:r>
      <w:r w:rsidR="04C71CC2" w:rsidRPr="006B17C8">
        <w:rPr>
          <w:color w:val="000000" w:themeColor="text1"/>
          <w:sz w:val="22"/>
          <w:szCs w:val="22"/>
        </w:rPr>
        <w:t>inclu</w:t>
      </w:r>
      <w:r w:rsidR="62FC3726" w:rsidRPr="006B17C8">
        <w:rPr>
          <w:color w:val="000000" w:themeColor="text1"/>
          <w:sz w:val="22"/>
          <w:szCs w:val="22"/>
        </w:rPr>
        <w:t>ded</w:t>
      </w:r>
      <w:r w:rsidR="003E3716" w:rsidRPr="006B17C8">
        <w:rPr>
          <w:color w:val="000000" w:themeColor="text1"/>
          <w:sz w:val="22"/>
          <w:szCs w:val="22"/>
        </w:rPr>
        <w:t>.</w:t>
      </w:r>
    </w:p>
    <w:p w14:paraId="39C85E55" w14:textId="6955237D" w:rsidR="002B08AC" w:rsidRDefault="00B70CF1" w:rsidP="00510EBB">
      <w:pPr>
        <w:pStyle w:val="Default"/>
        <w:spacing w:line="276" w:lineRule="auto"/>
        <w:rPr>
          <w:color w:val="auto"/>
          <w:sz w:val="22"/>
          <w:szCs w:val="22"/>
        </w:rPr>
      </w:pPr>
      <w:r w:rsidRPr="00510EBB">
        <w:rPr>
          <w:color w:val="auto"/>
          <w:sz w:val="22"/>
          <w:szCs w:val="22"/>
        </w:rPr>
        <w:t xml:space="preserve">Appropriate risk assessment and benefit analysis should also </w:t>
      </w:r>
      <w:proofErr w:type="gramStart"/>
      <w:r w:rsidRPr="00510EBB">
        <w:rPr>
          <w:color w:val="auto"/>
          <w:sz w:val="22"/>
          <w:szCs w:val="22"/>
        </w:rPr>
        <w:t>take into account</w:t>
      </w:r>
      <w:proofErr w:type="gramEnd"/>
      <w:r w:rsidRPr="00510EBB">
        <w:rPr>
          <w:color w:val="auto"/>
          <w:sz w:val="22"/>
          <w:szCs w:val="22"/>
        </w:rPr>
        <w:t xml:space="preserve"> potential benefits and potential risks associated with other existing alternatives to control mosquito vectors that are based on the use of insecticides and elimination of mosquito larval breeding sites. In considering the potential of new technologies, it is necessary to evaluate their potential risks and potential benefits in the context of the current situation. Therefore, when testing new strategies, they should be weighed against the risks to human health and the environment posed by maintaining the status quo, which includes both ongoing disease and insecticide exposure. This includes present user practices and habits, such as use of pesticides and integrated pest management, as well as others </w:t>
      </w:r>
      <w:r w:rsidRPr="006B17C8">
        <w:rPr>
          <w:color w:val="000000" w:themeColor="text1"/>
          <w:sz w:val="22"/>
          <w:szCs w:val="22"/>
        </w:rPr>
        <w:t xml:space="preserve">that </w:t>
      </w:r>
      <w:r w:rsidR="166A0C6A" w:rsidRPr="006B17C8">
        <w:rPr>
          <w:color w:val="000000" w:themeColor="text1"/>
          <w:sz w:val="22"/>
          <w:szCs w:val="22"/>
        </w:rPr>
        <w:t>may</w:t>
      </w:r>
      <w:r w:rsidRPr="006B17C8">
        <w:rPr>
          <w:color w:val="000000" w:themeColor="text1"/>
          <w:sz w:val="22"/>
          <w:szCs w:val="22"/>
        </w:rPr>
        <w:t xml:space="preserve"> not directly affect the targeted organism population size. Such measures include vaccination campaigns</w:t>
      </w:r>
      <w:r w:rsidRPr="00510EBB">
        <w:rPr>
          <w:color w:val="auto"/>
          <w:sz w:val="22"/>
          <w:szCs w:val="22"/>
        </w:rPr>
        <w:t>, distribution of insecticide-treated mosquito nets, information campaigns regarding stagnant waters as breeding grounds for mosquitoes, and use of repellents, among others.</w:t>
      </w:r>
      <w:r w:rsidR="00D12349">
        <w:rPr>
          <w:color w:val="auto"/>
          <w:sz w:val="22"/>
          <w:szCs w:val="22"/>
        </w:rPr>
        <w:t xml:space="preserve"> </w:t>
      </w:r>
    </w:p>
    <w:p w14:paraId="3A1E8223" w14:textId="30A5F462" w:rsidR="00B70CF1" w:rsidRPr="00510EBB" w:rsidRDefault="00034451" w:rsidP="00034451">
      <w:pPr>
        <w:pStyle w:val="Heading2"/>
        <w:spacing w:line="276" w:lineRule="auto"/>
        <w:rPr>
          <w:rFonts w:ascii="Times New Roman" w:hAnsi="Times New Roman" w:cs="Times New Roman"/>
          <w:b/>
          <w:color w:val="000000" w:themeColor="text1"/>
          <w:sz w:val="24"/>
          <w:szCs w:val="24"/>
        </w:rPr>
      </w:pPr>
      <w:bookmarkStart w:id="88" w:name="_Toc161220516"/>
      <w:bookmarkStart w:id="89" w:name="_Toc157493748"/>
      <w:r w:rsidRPr="00510EBB">
        <w:rPr>
          <w:rFonts w:ascii="Times New Roman" w:hAnsi="Times New Roman" w:cs="Times New Roman"/>
          <w:b/>
          <w:color w:val="000000" w:themeColor="text1"/>
          <w:sz w:val="24"/>
          <w:szCs w:val="24"/>
        </w:rPr>
        <w:lastRenderedPageBreak/>
        <w:t xml:space="preserve">7.2. </w:t>
      </w:r>
      <w:r w:rsidR="00B70CF1" w:rsidRPr="00510EBB">
        <w:rPr>
          <w:rFonts w:ascii="Times New Roman" w:hAnsi="Times New Roman" w:cs="Times New Roman"/>
          <w:b/>
          <w:color w:val="000000" w:themeColor="text1"/>
          <w:sz w:val="24"/>
          <w:szCs w:val="24"/>
        </w:rPr>
        <w:t xml:space="preserve">Consideration of the benefits </w:t>
      </w:r>
      <w:r w:rsidR="00971DAC">
        <w:rPr>
          <w:rFonts w:ascii="Times New Roman" w:hAnsi="Times New Roman" w:cs="Times New Roman"/>
          <w:b/>
          <w:color w:val="000000" w:themeColor="text1"/>
          <w:sz w:val="24"/>
          <w:szCs w:val="24"/>
        </w:rPr>
        <w:t>to</w:t>
      </w:r>
      <w:r w:rsidR="00B70CF1" w:rsidRPr="00510EBB">
        <w:rPr>
          <w:rFonts w:ascii="Times New Roman" w:hAnsi="Times New Roman" w:cs="Times New Roman"/>
          <w:b/>
          <w:color w:val="000000" w:themeColor="text1"/>
          <w:sz w:val="24"/>
          <w:szCs w:val="24"/>
        </w:rPr>
        <w:t xml:space="preserve"> human health</w:t>
      </w:r>
      <w:bookmarkEnd w:id="88"/>
    </w:p>
    <w:p w14:paraId="1B62B860" w14:textId="2EA09BB1" w:rsidR="00F37013" w:rsidRPr="00510EBB" w:rsidRDefault="00F37013" w:rsidP="00510EBB">
      <w:pPr>
        <w:pStyle w:val="Default"/>
        <w:spacing w:line="276" w:lineRule="auto"/>
      </w:pPr>
      <w:r w:rsidRPr="00510EBB">
        <w:rPr>
          <w:color w:val="auto"/>
          <w:sz w:val="22"/>
          <w:szCs w:val="22"/>
        </w:rPr>
        <w:t xml:space="preserve">According </w:t>
      </w:r>
      <w:r w:rsidR="00A92F8F" w:rsidRPr="00510EBB">
        <w:rPr>
          <w:color w:val="auto"/>
          <w:sz w:val="22"/>
          <w:szCs w:val="22"/>
        </w:rPr>
        <w:t xml:space="preserve">to guidance framework for testing genetically modified mosquitoes published by the </w:t>
      </w:r>
      <w:r w:rsidR="00A92F8F" w:rsidRPr="009255F9">
        <w:rPr>
          <w:color w:val="auto"/>
          <w:sz w:val="22"/>
          <w:szCs w:val="22"/>
        </w:rPr>
        <w:t>WHO</w:t>
      </w:r>
      <w:r w:rsidRPr="009255F9">
        <w:rPr>
          <w:color w:val="auto"/>
          <w:sz w:val="22"/>
          <w:szCs w:val="22"/>
        </w:rPr>
        <w:t xml:space="preserve"> (2021</w:t>
      </w:r>
      <w:r w:rsidR="007F714F" w:rsidRPr="009255F9">
        <w:rPr>
          <w:color w:val="auto"/>
          <w:sz w:val="22"/>
          <w:szCs w:val="22"/>
        </w:rPr>
        <w:t>b</w:t>
      </w:r>
      <w:r w:rsidRPr="009255F9">
        <w:rPr>
          <w:color w:val="auto"/>
          <w:sz w:val="22"/>
          <w:szCs w:val="22"/>
        </w:rPr>
        <w:t>),</w:t>
      </w:r>
      <w:r w:rsidRPr="00510EBB">
        <w:rPr>
          <w:color w:val="auto"/>
          <w:sz w:val="22"/>
          <w:szCs w:val="22"/>
        </w:rPr>
        <w:t xml:space="preserve"> a new product should be assessed in the regulatory review process </w:t>
      </w:r>
      <w:proofErr w:type="gramStart"/>
      <w:r w:rsidRPr="00510EBB">
        <w:rPr>
          <w:color w:val="auto"/>
          <w:sz w:val="22"/>
          <w:szCs w:val="22"/>
        </w:rPr>
        <w:t>on the basis of</w:t>
      </w:r>
      <w:proofErr w:type="gramEnd"/>
      <w:r w:rsidRPr="00510EBB">
        <w:rPr>
          <w:color w:val="auto"/>
          <w:sz w:val="22"/>
          <w:szCs w:val="22"/>
        </w:rPr>
        <w:t xml:space="preserve"> both the benefits and risks</w:t>
      </w:r>
      <w:r w:rsidR="0047337E" w:rsidRPr="00510EBB">
        <w:rPr>
          <w:color w:val="auto"/>
          <w:sz w:val="22"/>
          <w:szCs w:val="22"/>
        </w:rPr>
        <w:t xml:space="preserve"> (also see annex </w:t>
      </w:r>
      <w:r w:rsidR="007E398D">
        <w:rPr>
          <w:color w:val="auto"/>
          <w:sz w:val="22"/>
          <w:szCs w:val="22"/>
        </w:rPr>
        <w:t>III</w:t>
      </w:r>
      <w:r w:rsidR="0047337E" w:rsidRPr="00510EBB">
        <w:rPr>
          <w:color w:val="auto"/>
          <w:sz w:val="22"/>
          <w:szCs w:val="22"/>
        </w:rPr>
        <w:t>)</w:t>
      </w:r>
      <w:r w:rsidRPr="00510EBB">
        <w:rPr>
          <w:color w:val="auto"/>
          <w:sz w:val="22"/>
          <w:szCs w:val="22"/>
        </w:rPr>
        <w:t xml:space="preserve">. The primary potential benefit of a Genetically Modified Mosquito (GMM)/Living Modified Mosquito (LMM) would be the improvement of human health. In this regard, efficacy data will be an integral part of the decision-making regarding benefits </w:t>
      </w:r>
      <w:proofErr w:type="gramStart"/>
      <w:r w:rsidRPr="00510EBB">
        <w:rPr>
          <w:color w:val="auto"/>
          <w:sz w:val="22"/>
          <w:szCs w:val="22"/>
        </w:rPr>
        <w:t>in order to</w:t>
      </w:r>
      <w:proofErr w:type="gramEnd"/>
      <w:r w:rsidRPr="00510EBB">
        <w:rPr>
          <w:color w:val="auto"/>
          <w:sz w:val="22"/>
          <w:szCs w:val="22"/>
        </w:rPr>
        <w:t xml:space="preserve"> ensure measurable reductions in the incidence or prevalence of infection or disease relative to conventional control. </w:t>
      </w:r>
    </w:p>
    <w:p w14:paraId="3547EF2D" w14:textId="77777777" w:rsidR="00F37013" w:rsidRPr="00510EBB" w:rsidRDefault="00F37013" w:rsidP="00510EBB">
      <w:pPr>
        <w:pStyle w:val="Default"/>
        <w:spacing w:line="276" w:lineRule="auto"/>
        <w:rPr>
          <w:color w:val="auto"/>
        </w:rPr>
      </w:pPr>
      <w:r w:rsidRPr="00510EBB">
        <w:rPr>
          <w:color w:val="auto"/>
          <w:sz w:val="22"/>
          <w:szCs w:val="22"/>
        </w:rPr>
        <w:t xml:space="preserve">Decision makers may consider that other contextual factors should also be </w:t>
      </w:r>
      <w:proofErr w:type="gramStart"/>
      <w:r w:rsidRPr="00510EBB">
        <w:rPr>
          <w:color w:val="auto"/>
          <w:sz w:val="22"/>
          <w:szCs w:val="22"/>
        </w:rPr>
        <w:t>taken into account</w:t>
      </w:r>
      <w:proofErr w:type="gramEnd"/>
      <w:r w:rsidRPr="00510EBB">
        <w:rPr>
          <w:color w:val="auto"/>
          <w:sz w:val="22"/>
          <w:szCs w:val="22"/>
        </w:rPr>
        <w:t>, factors such as severity of the health problem being addressed by the new technology, and the availability and effectiveness of alternative disease control methods/measures. Some of these factors are discussed in detail in the 2021 WHO guidance framework for testing genetically modified mosquitoes.</w:t>
      </w:r>
    </w:p>
    <w:p w14:paraId="23AF62F2" w14:textId="77777777" w:rsidR="00F37013" w:rsidRPr="00510EBB" w:rsidRDefault="00F37013" w:rsidP="00510EBB">
      <w:pPr>
        <w:pStyle w:val="Default"/>
        <w:spacing w:line="276" w:lineRule="auto"/>
      </w:pPr>
      <w:r w:rsidRPr="00510EBB">
        <w:rPr>
          <w:color w:val="auto"/>
          <w:sz w:val="22"/>
          <w:szCs w:val="22"/>
        </w:rPr>
        <w:t>According to the WHO, the risk of novel technologies such as GMMs may be considered in the context of relevant alternatives, such as the risk of no action or the risk of conventional control methods. “Causes more harm” than current practice has been proposed as a reasonable benchmark for decision- making on GMM-based vector control systems. Moreover, other considerations may include conducting a “cost-effectiveness analysis”, which expresses benefit as a measurement of a particular health gain.</w:t>
      </w:r>
    </w:p>
    <w:p w14:paraId="1EF4B895" w14:textId="05A0E9BF" w:rsidR="00D300D9" w:rsidRPr="00995318" w:rsidRDefault="00F37013" w:rsidP="00995318">
      <w:pPr>
        <w:rPr>
          <w:rFonts w:eastAsia="Times New Roman"/>
          <w:color w:val="000000" w:themeColor="text1"/>
          <w:lang w:val="en-US"/>
        </w:rPr>
      </w:pPr>
      <w:r w:rsidRPr="00995318">
        <w:rPr>
          <w:rFonts w:ascii="Times New Roman" w:hAnsi="Times New Roman" w:cs="Times New Roman"/>
          <w:color w:val="000000" w:themeColor="text1"/>
        </w:rPr>
        <w:t xml:space="preserve">There </w:t>
      </w:r>
      <w:r w:rsidR="64015C2A" w:rsidRPr="00995318">
        <w:rPr>
          <w:rFonts w:ascii="Times New Roman" w:hAnsi="Times New Roman" w:cs="Times New Roman"/>
          <w:color w:val="000000" w:themeColor="text1"/>
        </w:rPr>
        <w:t>m</w:t>
      </w:r>
      <w:r w:rsidR="11EEC091" w:rsidRPr="00995318">
        <w:rPr>
          <w:rFonts w:ascii="Times New Roman" w:hAnsi="Times New Roman" w:cs="Times New Roman"/>
          <w:color w:val="000000" w:themeColor="text1"/>
        </w:rPr>
        <w:t>ay</w:t>
      </w:r>
      <w:r w:rsidR="00EB2E40" w:rsidRPr="00995318">
        <w:rPr>
          <w:rFonts w:ascii="Times New Roman" w:hAnsi="Times New Roman" w:cs="Times New Roman"/>
          <w:color w:val="000000" w:themeColor="text1"/>
        </w:rPr>
        <w:t xml:space="preserve"> be </w:t>
      </w:r>
      <w:r w:rsidRPr="00995318">
        <w:rPr>
          <w:rFonts w:ascii="Times New Roman" w:hAnsi="Times New Roman" w:cs="Times New Roman"/>
          <w:color w:val="000000" w:themeColor="text1"/>
        </w:rPr>
        <w:t>potential benefits of using GMM in the fight against malaria</w:t>
      </w:r>
      <w:r w:rsidR="004E47B3" w:rsidRPr="00995318">
        <w:rPr>
          <w:rFonts w:ascii="Times New Roman" w:hAnsi="Times New Roman" w:cs="Times New Roman"/>
          <w:color w:val="000000" w:themeColor="text1"/>
        </w:rPr>
        <w:t xml:space="preserve"> and dengue</w:t>
      </w:r>
      <w:r w:rsidR="00553D0F" w:rsidRPr="00995318">
        <w:rPr>
          <w:rFonts w:ascii="Times New Roman" w:hAnsi="Times New Roman" w:cs="Times New Roman"/>
          <w:color w:val="000000" w:themeColor="text1"/>
        </w:rPr>
        <w:t xml:space="preserve"> given the</w:t>
      </w:r>
      <w:r w:rsidR="00EB2E40" w:rsidRPr="00995318">
        <w:rPr>
          <w:rFonts w:ascii="Times New Roman" w:hAnsi="Times New Roman" w:cs="Times New Roman"/>
          <w:color w:val="000000" w:themeColor="text1"/>
        </w:rPr>
        <w:t>ir</w:t>
      </w:r>
      <w:r w:rsidR="006A7100" w:rsidRPr="00995318">
        <w:rPr>
          <w:rFonts w:ascii="Times New Roman" w:hAnsi="Times New Roman" w:cs="Times New Roman"/>
          <w:color w:val="000000" w:themeColor="text1"/>
        </w:rPr>
        <w:t xml:space="preserve"> </w:t>
      </w:r>
      <w:r w:rsidR="006B446C" w:rsidRPr="00995318">
        <w:rPr>
          <w:rFonts w:ascii="Times New Roman" w:hAnsi="Times New Roman" w:cs="Times New Roman"/>
          <w:color w:val="000000" w:themeColor="text1"/>
        </w:rPr>
        <w:t>public health burden</w:t>
      </w:r>
      <w:r w:rsidR="6DC8461C" w:rsidRPr="00995318">
        <w:rPr>
          <w:rFonts w:ascii="Times New Roman" w:hAnsi="Times New Roman" w:cs="Times New Roman"/>
          <w:color w:val="000000" w:themeColor="text1"/>
        </w:rPr>
        <w:t>.</w:t>
      </w:r>
      <w:r w:rsidRPr="00995318">
        <w:rPr>
          <w:rFonts w:ascii="Times New Roman" w:hAnsi="Times New Roman" w:cs="Times New Roman"/>
          <w:color w:val="000000" w:themeColor="text1"/>
        </w:rPr>
        <w:t xml:space="preserve"> The number of deaths due to malaria</w:t>
      </w:r>
      <w:r w:rsidR="0021130D" w:rsidRPr="00995318">
        <w:rPr>
          <w:rFonts w:ascii="Times New Roman" w:hAnsi="Times New Roman" w:cs="Times New Roman"/>
          <w:color w:val="000000" w:themeColor="text1"/>
        </w:rPr>
        <w:t>, especially in sub-Saharan Africa, highlights</w:t>
      </w:r>
      <w:r w:rsidRPr="00995318">
        <w:rPr>
          <w:rFonts w:ascii="Times New Roman" w:hAnsi="Times New Roman" w:cs="Times New Roman"/>
          <w:color w:val="000000" w:themeColor="text1"/>
        </w:rPr>
        <w:t xml:space="preserve"> that</w:t>
      </w:r>
      <w:r w:rsidR="0021130D" w:rsidRPr="00995318">
        <w:rPr>
          <w:rFonts w:ascii="Times New Roman" w:hAnsi="Times New Roman" w:cs="Times New Roman"/>
          <w:color w:val="000000" w:themeColor="text1"/>
        </w:rPr>
        <w:t xml:space="preserve"> the use of</w:t>
      </w:r>
      <w:r w:rsidRPr="00995318">
        <w:rPr>
          <w:rFonts w:ascii="Times New Roman" w:hAnsi="Times New Roman" w:cs="Times New Roman"/>
          <w:color w:val="000000" w:themeColor="text1"/>
        </w:rPr>
        <w:t xml:space="preserve"> current approaches (pesticides, impregnated mosquito nets, etc.) have not </w:t>
      </w:r>
      <w:proofErr w:type="gramStart"/>
      <w:r w:rsidR="34420FB7" w:rsidRPr="00995318">
        <w:rPr>
          <w:rFonts w:ascii="Times New Roman" w:hAnsi="Times New Roman" w:cs="Times New Roman"/>
          <w:color w:val="000000" w:themeColor="text1"/>
        </w:rPr>
        <w:t>completely eliminated</w:t>
      </w:r>
      <w:proofErr w:type="gramEnd"/>
      <w:r w:rsidR="34420FB7" w:rsidRPr="00995318">
        <w:rPr>
          <w:rFonts w:ascii="Times New Roman" w:hAnsi="Times New Roman" w:cs="Times New Roman"/>
          <w:color w:val="000000" w:themeColor="text1"/>
        </w:rPr>
        <w:t xml:space="preserve"> the burden</w:t>
      </w:r>
      <w:r w:rsidR="6DC8461C" w:rsidRPr="00995318">
        <w:rPr>
          <w:rFonts w:ascii="Times New Roman" w:hAnsi="Times New Roman" w:cs="Times New Roman"/>
          <w:color w:val="000000" w:themeColor="text1"/>
        </w:rPr>
        <w:t>.</w:t>
      </w:r>
      <w:r w:rsidRPr="00995318">
        <w:rPr>
          <w:rFonts w:ascii="Times New Roman" w:hAnsi="Times New Roman" w:cs="Times New Roman"/>
          <w:color w:val="000000" w:themeColor="text1"/>
        </w:rPr>
        <w:t xml:space="preserve"> </w:t>
      </w:r>
      <w:r w:rsidR="00186A15" w:rsidRPr="00995318">
        <w:rPr>
          <w:rFonts w:ascii="Times New Roman" w:eastAsia="Times New Roman" w:hAnsi="Times New Roman" w:cs="Times New Roman"/>
          <w:color w:val="000000" w:themeColor="text1"/>
        </w:rPr>
        <w:t xml:space="preserve">In 2022, the WHO </w:t>
      </w:r>
      <w:r w:rsidR="008950E7" w:rsidRPr="00995318">
        <w:rPr>
          <w:rFonts w:ascii="Times New Roman" w:eastAsia="Times New Roman" w:hAnsi="Times New Roman" w:cs="Times New Roman"/>
          <w:color w:val="000000" w:themeColor="text1"/>
        </w:rPr>
        <w:t>W</w:t>
      </w:r>
      <w:r w:rsidR="00186A15" w:rsidRPr="00995318">
        <w:rPr>
          <w:rFonts w:ascii="Times New Roman" w:eastAsia="Times New Roman" w:hAnsi="Times New Roman" w:cs="Times New Roman"/>
          <w:color w:val="000000" w:themeColor="text1"/>
        </w:rPr>
        <w:t xml:space="preserve">orld </w:t>
      </w:r>
      <w:r w:rsidR="008950E7" w:rsidRPr="00995318">
        <w:rPr>
          <w:rFonts w:ascii="Times New Roman" w:eastAsia="Times New Roman" w:hAnsi="Times New Roman" w:cs="Times New Roman"/>
          <w:color w:val="000000" w:themeColor="text1"/>
        </w:rPr>
        <w:t>M</w:t>
      </w:r>
      <w:r w:rsidR="00186A15" w:rsidRPr="00995318">
        <w:rPr>
          <w:rFonts w:ascii="Times New Roman" w:eastAsia="Times New Roman" w:hAnsi="Times New Roman" w:cs="Times New Roman"/>
          <w:color w:val="000000" w:themeColor="text1"/>
        </w:rPr>
        <w:t xml:space="preserve">alaria </w:t>
      </w:r>
      <w:r w:rsidR="008950E7" w:rsidRPr="00995318">
        <w:rPr>
          <w:rFonts w:ascii="Times New Roman" w:eastAsia="Times New Roman" w:hAnsi="Times New Roman" w:cs="Times New Roman"/>
          <w:color w:val="000000" w:themeColor="text1"/>
        </w:rPr>
        <w:t>R</w:t>
      </w:r>
      <w:r w:rsidR="00186A15" w:rsidRPr="00995318">
        <w:rPr>
          <w:rFonts w:ascii="Times New Roman" w:eastAsia="Times New Roman" w:hAnsi="Times New Roman" w:cs="Times New Roman"/>
          <w:color w:val="000000" w:themeColor="text1"/>
        </w:rPr>
        <w:t xml:space="preserve">eport states that the number of confirmed malaria cases in </w:t>
      </w:r>
      <w:r w:rsidR="008950E7" w:rsidRPr="00995318">
        <w:rPr>
          <w:rFonts w:ascii="Times New Roman" w:eastAsia="Times New Roman" w:hAnsi="Times New Roman" w:cs="Times New Roman"/>
          <w:color w:val="000000" w:themeColor="text1"/>
        </w:rPr>
        <w:t>W</w:t>
      </w:r>
      <w:r w:rsidR="00186A15" w:rsidRPr="00995318">
        <w:rPr>
          <w:rFonts w:ascii="Times New Roman" w:eastAsia="Times New Roman" w:hAnsi="Times New Roman" w:cs="Times New Roman"/>
          <w:color w:val="000000" w:themeColor="text1"/>
        </w:rPr>
        <w:t xml:space="preserve">est </w:t>
      </w:r>
      <w:r w:rsidR="008950E7" w:rsidRPr="00995318">
        <w:rPr>
          <w:rFonts w:ascii="Times New Roman" w:eastAsia="Times New Roman" w:hAnsi="Times New Roman" w:cs="Times New Roman"/>
          <w:color w:val="000000" w:themeColor="text1"/>
        </w:rPr>
        <w:t>A</w:t>
      </w:r>
      <w:r w:rsidR="00186A15" w:rsidRPr="00995318">
        <w:rPr>
          <w:rFonts w:ascii="Times New Roman" w:eastAsia="Times New Roman" w:hAnsi="Times New Roman" w:cs="Times New Roman"/>
          <w:color w:val="000000" w:themeColor="text1"/>
        </w:rPr>
        <w:t xml:space="preserve">frica </w:t>
      </w:r>
      <w:r w:rsidR="008950E7" w:rsidRPr="00995318">
        <w:rPr>
          <w:rFonts w:ascii="Times New Roman" w:eastAsia="Times New Roman" w:hAnsi="Times New Roman" w:cs="Times New Roman"/>
          <w:color w:val="000000" w:themeColor="text1"/>
        </w:rPr>
        <w:t>was</w:t>
      </w:r>
      <w:r w:rsidR="00186A15" w:rsidRPr="00995318">
        <w:rPr>
          <w:rFonts w:ascii="Times New Roman" w:eastAsia="Times New Roman" w:hAnsi="Times New Roman" w:cs="Times New Roman"/>
          <w:color w:val="000000" w:themeColor="text1"/>
        </w:rPr>
        <w:t xml:space="preserve"> 67.1 million </w:t>
      </w:r>
      <w:r w:rsidR="008950E7" w:rsidRPr="00995318">
        <w:rPr>
          <w:rFonts w:ascii="Times New Roman" w:eastAsia="Times New Roman" w:hAnsi="Times New Roman" w:cs="Times New Roman"/>
          <w:color w:val="000000" w:themeColor="text1"/>
        </w:rPr>
        <w:t>with</w:t>
      </w:r>
      <w:r w:rsidR="00186A15" w:rsidRPr="00995318">
        <w:rPr>
          <w:rFonts w:ascii="Times New Roman" w:eastAsia="Times New Roman" w:hAnsi="Times New Roman" w:cs="Times New Roman"/>
          <w:color w:val="000000" w:themeColor="text1"/>
        </w:rPr>
        <w:t xml:space="preserve"> 28,200 deaths total </w:t>
      </w:r>
      <w:r w:rsidR="008950E7" w:rsidRPr="00995318">
        <w:rPr>
          <w:rFonts w:ascii="Times New Roman" w:eastAsia="Times New Roman" w:hAnsi="Times New Roman" w:cs="Times New Roman"/>
          <w:color w:val="000000" w:themeColor="text1"/>
        </w:rPr>
        <w:t>of which</w:t>
      </w:r>
      <w:r w:rsidR="00186A15" w:rsidRPr="00995318">
        <w:rPr>
          <w:rFonts w:ascii="Times New Roman" w:eastAsia="Times New Roman" w:hAnsi="Times New Roman" w:cs="Times New Roman"/>
          <w:color w:val="000000" w:themeColor="text1"/>
        </w:rPr>
        <w:t xml:space="preserve"> 20,600 deaths </w:t>
      </w:r>
      <w:r w:rsidR="008950E7" w:rsidRPr="00995318">
        <w:rPr>
          <w:rFonts w:ascii="Times New Roman" w:eastAsia="Times New Roman" w:hAnsi="Times New Roman" w:cs="Times New Roman"/>
          <w:color w:val="000000" w:themeColor="text1"/>
        </w:rPr>
        <w:t>were</w:t>
      </w:r>
      <w:r w:rsidR="00186A15" w:rsidRPr="00995318">
        <w:rPr>
          <w:rFonts w:ascii="Times New Roman" w:eastAsia="Times New Roman" w:hAnsi="Times New Roman" w:cs="Times New Roman"/>
          <w:color w:val="000000" w:themeColor="text1"/>
        </w:rPr>
        <w:t xml:space="preserve"> children under </w:t>
      </w:r>
      <w:r w:rsidR="004D4DAA">
        <w:rPr>
          <w:rFonts w:ascii="Times New Roman" w:eastAsia="Times New Roman" w:hAnsi="Times New Roman" w:cs="Times New Roman"/>
          <w:color w:val="000000" w:themeColor="text1"/>
        </w:rPr>
        <w:t>five</w:t>
      </w:r>
      <w:r w:rsidR="00186A15" w:rsidRPr="00995318">
        <w:rPr>
          <w:rFonts w:ascii="Times New Roman" w:eastAsia="Times New Roman" w:hAnsi="Times New Roman" w:cs="Times New Roman"/>
          <w:color w:val="000000" w:themeColor="text1"/>
        </w:rPr>
        <w:t xml:space="preserve"> years of age.</w:t>
      </w:r>
      <w:r w:rsidR="7FA2501B" w:rsidRPr="00995318">
        <w:rPr>
          <w:rFonts w:ascii="Times New Roman" w:hAnsi="Times New Roman" w:cs="Times New Roman"/>
          <w:color w:val="000000" w:themeColor="text1"/>
        </w:rPr>
        <w:t xml:space="preserve"> In</w:t>
      </w:r>
      <w:r w:rsidR="7EE2584E" w:rsidRPr="00995318">
        <w:rPr>
          <w:rFonts w:ascii="Times New Roman" w:hAnsi="Times New Roman" w:cs="Times New Roman"/>
          <w:color w:val="000000" w:themeColor="text1"/>
        </w:rPr>
        <w:t xml:space="preserve"> 2023, </w:t>
      </w:r>
      <w:r w:rsidR="6B035272" w:rsidRPr="00995318">
        <w:rPr>
          <w:rFonts w:ascii="Times New Roman" w:hAnsi="Times New Roman" w:cs="Times New Roman"/>
          <w:color w:val="000000" w:themeColor="text1"/>
        </w:rPr>
        <w:t xml:space="preserve">WHO reported </w:t>
      </w:r>
      <w:r w:rsidR="7EE2584E" w:rsidRPr="00995318">
        <w:rPr>
          <w:rFonts w:ascii="Times New Roman" w:hAnsi="Times New Roman" w:cs="Times New Roman"/>
          <w:color w:val="000000" w:themeColor="text1"/>
        </w:rPr>
        <w:t xml:space="preserve">more than </w:t>
      </w:r>
      <w:r w:rsidR="6D77DB2D" w:rsidRPr="00995318">
        <w:rPr>
          <w:rFonts w:ascii="Times New Roman" w:hAnsi="Times New Roman" w:cs="Times New Roman"/>
          <w:color w:val="000000" w:themeColor="text1"/>
        </w:rPr>
        <w:t xml:space="preserve">4.5 million cases of dengue and more than </w:t>
      </w:r>
      <w:r w:rsidR="7EE2584E" w:rsidRPr="00995318">
        <w:rPr>
          <w:rFonts w:ascii="Times New Roman" w:hAnsi="Times New Roman" w:cs="Times New Roman"/>
          <w:color w:val="000000" w:themeColor="text1"/>
        </w:rPr>
        <w:t>4</w:t>
      </w:r>
      <w:r w:rsidR="00CF1500" w:rsidRPr="00995318">
        <w:rPr>
          <w:rFonts w:ascii="Times New Roman" w:hAnsi="Times New Roman" w:cs="Times New Roman"/>
          <w:color w:val="000000" w:themeColor="text1"/>
        </w:rPr>
        <w:t>,</w:t>
      </w:r>
      <w:r w:rsidR="7EE2584E" w:rsidRPr="00995318">
        <w:rPr>
          <w:rFonts w:ascii="Times New Roman" w:hAnsi="Times New Roman" w:cs="Times New Roman"/>
          <w:color w:val="000000" w:themeColor="text1"/>
        </w:rPr>
        <w:t>000</w:t>
      </w:r>
      <w:r w:rsidR="28AC61BD" w:rsidRPr="00995318">
        <w:rPr>
          <w:rFonts w:ascii="Times New Roman" w:hAnsi="Times New Roman" w:cs="Times New Roman"/>
          <w:color w:val="000000" w:themeColor="text1"/>
        </w:rPr>
        <w:t xml:space="preserve"> dengue-related</w:t>
      </w:r>
      <w:r w:rsidR="7EE2584E" w:rsidRPr="00995318">
        <w:rPr>
          <w:rFonts w:ascii="Times New Roman" w:hAnsi="Times New Roman" w:cs="Times New Roman"/>
          <w:color w:val="000000" w:themeColor="text1"/>
        </w:rPr>
        <w:t xml:space="preserve"> death</w:t>
      </w:r>
      <w:r w:rsidR="23F5939F" w:rsidRPr="00995318">
        <w:rPr>
          <w:rFonts w:ascii="Times New Roman" w:hAnsi="Times New Roman" w:cs="Times New Roman"/>
          <w:color w:val="000000" w:themeColor="text1"/>
        </w:rPr>
        <w:t>s.</w:t>
      </w:r>
      <w:r w:rsidR="009553DB" w:rsidRPr="00995318">
        <w:rPr>
          <w:rFonts w:ascii="Times New Roman" w:hAnsi="Times New Roman" w:cs="Times New Roman"/>
          <w:color w:val="000000" w:themeColor="text1"/>
        </w:rPr>
        <w:t xml:space="preserve"> </w:t>
      </w:r>
    </w:p>
    <w:p w14:paraId="79928594" w14:textId="3A41DF13" w:rsidR="002B08AC" w:rsidRPr="00995318" w:rsidRDefault="3CB4F453" w:rsidP="00034451">
      <w:pPr>
        <w:pStyle w:val="Heading2"/>
        <w:spacing w:line="276" w:lineRule="auto"/>
        <w:rPr>
          <w:rFonts w:ascii="Times New Roman" w:hAnsi="Times New Roman" w:cs="Times New Roman"/>
          <w:b/>
          <w:bCs/>
          <w:color w:val="000000" w:themeColor="text1"/>
          <w:sz w:val="24"/>
          <w:szCs w:val="24"/>
        </w:rPr>
      </w:pPr>
      <w:bookmarkStart w:id="90" w:name="_Toc161220517"/>
      <w:bookmarkEnd w:id="89"/>
      <w:r w:rsidRPr="00995318">
        <w:rPr>
          <w:rFonts w:ascii="Times New Roman" w:hAnsi="Times New Roman" w:cs="Times New Roman"/>
          <w:b/>
          <w:bCs/>
          <w:color w:val="000000" w:themeColor="text1"/>
          <w:sz w:val="24"/>
          <w:szCs w:val="24"/>
        </w:rPr>
        <w:t xml:space="preserve">7.3. </w:t>
      </w:r>
      <w:r w:rsidR="31EEA311" w:rsidRPr="00995318">
        <w:rPr>
          <w:rFonts w:ascii="Times New Roman" w:hAnsi="Times New Roman" w:cs="Times New Roman"/>
          <w:b/>
          <w:bCs/>
          <w:color w:val="000000" w:themeColor="text1"/>
          <w:sz w:val="24"/>
          <w:szCs w:val="24"/>
        </w:rPr>
        <w:t>Socio</w:t>
      </w:r>
      <w:r w:rsidR="00971DAC" w:rsidRPr="00995318">
        <w:rPr>
          <w:rFonts w:ascii="Times New Roman" w:hAnsi="Times New Roman" w:cs="Times New Roman"/>
          <w:b/>
          <w:bCs/>
          <w:color w:val="000000" w:themeColor="text1"/>
          <w:sz w:val="24"/>
          <w:szCs w:val="24"/>
        </w:rPr>
        <w:t>-</w:t>
      </w:r>
      <w:r w:rsidR="31EEA311" w:rsidRPr="00995318">
        <w:rPr>
          <w:rFonts w:ascii="Times New Roman" w:hAnsi="Times New Roman" w:cs="Times New Roman"/>
          <w:b/>
          <w:bCs/>
          <w:color w:val="000000" w:themeColor="text1"/>
          <w:sz w:val="24"/>
          <w:szCs w:val="24"/>
        </w:rPr>
        <w:t>economic</w:t>
      </w:r>
      <w:r w:rsidR="187045C6" w:rsidRPr="00995318">
        <w:rPr>
          <w:rFonts w:ascii="Times New Roman" w:hAnsi="Times New Roman" w:cs="Times New Roman"/>
          <w:b/>
          <w:bCs/>
          <w:color w:val="000000" w:themeColor="text1"/>
          <w:sz w:val="24"/>
          <w:szCs w:val="24"/>
        </w:rPr>
        <w:t xml:space="preserve">, </w:t>
      </w:r>
      <w:proofErr w:type="gramStart"/>
      <w:r w:rsidR="187045C6" w:rsidRPr="00995318">
        <w:rPr>
          <w:rFonts w:ascii="Times New Roman" w:hAnsi="Times New Roman" w:cs="Times New Roman"/>
          <w:b/>
          <w:bCs/>
          <w:color w:val="000000" w:themeColor="text1"/>
          <w:sz w:val="24"/>
          <w:szCs w:val="24"/>
        </w:rPr>
        <w:t>cultural</w:t>
      </w:r>
      <w:proofErr w:type="gramEnd"/>
      <w:r w:rsidR="187045C6" w:rsidRPr="00995318">
        <w:rPr>
          <w:rFonts w:ascii="Times New Roman" w:hAnsi="Times New Roman" w:cs="Times New Roman"/>
          <w:b/>
          <w:bCs/>
          <w:color w:val="000000" w:themeColor="text1"/>
          <w:sz w:val="24"/>
          <w:szCs w:val="24"/>
        </w:rPr>
        <w:t xml:space="preserve"> and ethical</w:t>
      </w:r>
      <w:r w:rsidR="31EEA311" w:rsidRPr="00995318">
        <w:rPr>
          <w:rFonts w:ascii="Times New Roman" w:hAnsi="Times New Roman" w:cs="Times New Roman"/>
          <w:b/>
          <w:bCs/>
          <w:color w:val="000000" w:themeColor="text1"/>
          <w:sz w:val="24"/>
          <w:szCs w:val="24"/>
        </w:rPr>
        <w:t xml:space="preserve"> considerations</w:t>
      </w:r>
      <w:bookmarkEnd w:id="90"/>
    </w:p>
    <w:p w14:paraId="152CD2A1" w14:textId="3F6A839A" w:rsidR="00754E1F" w:rsidRPr="00A8752C" w:rsidRDefault="00754E1F" w:rsidP="00510EBB">
      <w:pPr>
        <w:pStyle w:val="Default"/>
        <w:spacing w:line="276" w:lineRule="auto"/>
        <w:rPr>
          <w:sz w:val="22"/>
          <w:szCs w:val="22"/>
        </w:rPr>
      </w:pPr>
      <w:r w:rsidRPr="00A8752C">
        <w:rPr>
          <w:color w:val="auto"/>
          <w:sz w:val="22"/>
          <w:szCs w:val="22"/>
        </w:rPr>
        <w:t>Living modified organisms containing engineered gene drives may have socio</w:t>
      </w:r>
      <w:r w:rsidR="009659DA">
        <w:rPr>
          <w:color w:val="auto"/>
          <w:sz w:val="22"/>
          <w:szCs w:val="22"/>
        </w:rPr>
        <w:t>-</w:t>
      </w:r>
      <w:r w:rsidRPr="00A8752C">
        <w:rPr>
          <w:color w:val="auto"/>
          <w:sz w:val="22"/>
          <w:szCs w:val="22"/>
        </w:rPr>
        <w:t>economic, cultural, traditional, religious, or ethical concerns that may be considered in the decision</w:t>
      </w:r>
      <w:r w:rsidR="005C4AA6" w:rsidRPr="00A8752C">
        <w:rPr>
          <w:color w:val="auto"/>
          <w:sz w:val="22"/>
          <w:szCs w:val="22"/>
        </w:rPr>
        <w:t>-</w:t>
      </w:r>
      <w:r w:rsidRPr="00A8752C">
        <w:rPr>
          <w:color w:val="auto"/>
          <w:sz w:val="22"/>
          <w:szCs w:val="22"/>
        </w:rPr>
        <w:t>making process. Article 26, para 1 of the Cartagena Protocol addresses socio</w:t>
      </w:r>
      <w:r w:rsidR="009659DA">
        <w:rPr>
          <w:color w:val="auto"/>
          <w:sz w:val="22"/>
          <w:szCs w:val="22"/>
        </w:rPr>
        <w:t>-</w:t>
      </w:r>
      <w:r w:rsidRPr="00A8752C">
        <w:rPr>
          <w:color w:val="auto"/>
          <w:sz w:val="22"/>
          <w:szCs w:val="22"/>
        </w:rPr>
        <w:t>economic considerations and states that “The Parties, in reaching a decision on import under this Protocol or under its domestic measures implementing the Protocol, may take into account, consistent with their international obligations, socio-economic considerations arising from the impact of living modified organisms on the conservation and sustainable use of biological diversity, especially with regard to the value of biological diversity to indigenous and local communities.”</w:t>
      </w:r>
      <w:r w:rsidR="005C4AA6" w:rsidRPr="00A8752C">
        <w:rPr>
          <w:color w:val="auto"/>
          <w:sz w:val="22"/>
          <w:szCs w:val="22"/>
        </w:rPr>
        <w:t xml:space="preserve"> </w:t>
      </w:r>
      <w:r w:rsidRPr="00A8752C">
        <w:rPr>
          <w:color w:val="auto"/>
          <w:sz w:val="22"/>
          <w:szCs w:val="22"/>
        </w:rPr>
        <w:t xml:space="preserve">In this regard, Parties may </w:t>
      </w:r>
      <w:proofErr w:type="gramStart"/>
      <w:r w:rsidRPr="00A8752C">
        <w:rPr>
          <w:color w:val="auto"/>
          <w:sz w:val="22"/>
          <w:szCs w:val="22"/>
        </w:rPr>
        <w:t>take into account</w:t>
      </w:r>
      <w:proofErr w:type="gramEnd"/>
      <w:r w:rsidRPr="00A8752C">
        <w:rPr>
          <w:color w:val="auto"/>
          <w:sz w:val="22"/>
          <w:szCs w:val="22"/>
        </w:rPr>
        <w:t xml:space="preserve"> their </w:t>
      </w:r>
      <w:r w:rsidR="00335E78" w:rsidRPr="00A8752C">
        <w:rPr>
          <w:color w:val="auto"/>
          <w:sz w:val="22"/>
          <w:szCs w:val="22"/>
        </w:rPr>
        <w:t xml:space="preserve">own </w:t>
      </w:r>
      <w:r w:rsidRPr="00A8752C">
        <w:rPr>
          <w:color w:val="auto"/>
          <w:sz w:val="22"/>
          <w:szCs w:val="22"/>
        </w:rPr>
        <w:t xml:space="preserve">domestic measures when identifying potential benefits and potential adverse effects of EGD-LMOs on the conservation and sustainable use of biodiversity, also focusing on the value of biodiversity to </w:t>
      </w:r>
      <w:r w:rsidR="00B614EB" w:rsidRPr="00B614EB">
        <w:rPr>
          <w:rFonts w:eastAsia="Times New Roman"/>
          <w:color w:val="000000" w:themeColor="text1"/>
          <w:sz w:val="22"/>
          <w:szCs w:val="22"/>
        </w:rPr>
        <w:t>indigenous peoples and local communitie</w:t>
      </w:r>
      <w:r w:rsidR="00B54814">
        <w:rPr>
          <w:color w:val="auto"/>
          <w:sz w:val="22"/>
          <w:szCs w:val="22"/>
        </w:rPr>
        <w:t>s</w:t>
      </w:r>
      <w:r w:rsidRPr="00A8752C">
        <w:rPr>
          <w:color w:val="auto"/>
          <w:sz w:val="22"/>
          <w:szCs w:val="22"/>
        </w:rPr>
        <w:t xml:space="preserve">. </w:t>
      </w:r>
      <w:r w:rsidR="005C4AA6" w:rsidRPr="00A8752C">
        <w:rPr>
          <w:color w:val="auto"/>
          <w:sz w:val="22"/>
          <w:szCs w:val="22"/>
        </w:rPr>
        <w:t>“</w:t>
      </w:r>
      <w:r w:rsidRPr="00A8752C">
        <w:rPr>
          <w:color w:val="auto"/>
          <w:sz w:val="22"/>
          <w:szCs w:val="22"/>
        </w:rPr>
        <w:t xml:space="preserve">The Guidance on the Assessment of Socio-Economic Considerations in the Context of Article 26 of the Cartagena Protocol on Biosafety” that was adopted in </w:t>
      </w:r>
      <w:r w:rsidR="005E758A" w:rsidRPr="00A8752C">
        <w:rPr>
          <w:color w:val="auto"/>
          <w:sz w:val="22"/>
          <w:szCs w:val="22"/>
        </w:rPr>
        <w:t xml:space="preserve">annex 1 to </w:t>
      </w:r>
      <w:hyperlink r:id="rId27" w:history="1">
        <w:r w:rsidRPr="003B2A5D">
          <w:rPr>
            <w:rStyle w:val="Hyperlink"/>
            <w:sz w:val="22"/>
            <w:szCs w:val="22"/>
          </w:rPr>
          <w:t>CBD/CP/MOP/9/10</w:t>
        </w:r>
      </w:hyperlink>
      <w:r w:rsidRPr="00A8752C">
        <w:rPr>
          <w:color w:val="auto"/>
          <w:sz w:val="22"/>
          <w:szCs w:val="22"/>
        </w:rPr>
        <w:t xml:space="preserve"> provides </w:t>
      </w:r>
      <w:r w:rsidR="14ABA2ED" w:rsidRPr="00CB2FCD">
        <w:rPr>
          <w:color w:val="000000" w:themeColor="text1"/>
          <w:sz w:val="22"/>
          <w:szCs w:val="22"/>
        </w:rPr>
        <w:t>voluntary</w:t>
      </w:r>
      <w:r w:rsidR="005C4AA6" w:rsidRPr="00CB2FCD">
        <w:rPr>
          <w:color w:val="000000" w:themeColor="text1"/>
          <w:sz w:val="22"/>
          <w:szCs w:val="22"/>
        </w:rPr>
        <w:t xml:space="preserve"> </w:t>
      </w:r>
      <w:r w:rsidRPr="00CB2FCD">
        <w:rPr>
          <w:color w:val="000000" w:themeColor="text1"/>
          <w:sz w:val="22"/>
          <w:szCs w:val="22"/>
        </w:rPr>
        <w:t>guidance</w:t>
      </w:r>
      <w:r w:rsidR="4A46D368" w:rsidRPr="00CB2FCD">
        <w:rPr>
          <w:color w:val="000000" w:themeColor="text1"/>
          <w:sz w:val="22"/>
          <w:szCs w:val="22"/>
        </w:rPr>
        <w:t xml:space="preserve"> to support decision-making</w:t>
      </w:r>
      <w:r w:rsidR="67B0A514" w:rsidRPr="12D14FCC">
        <w:rPr>
          <w:color w:val="auto"/>
          <w:sz w:val="22"/>
          <w:szCs w:val="22"/>
        </w:rPr>
        <w:t>.</w:t>
      </w:r>
      <w:r w:rsidR="008039B2" w:rsidRPr="00A8752C">
        <w:rPr>
          <w:color w:val="auto"/>
          <w:sz w:val="22"/>
          <w:szCs w:val="22"/>
        </w:rPr>
        <w:t xml:space="preserve"> These issues may include </w:t>
      </w:r>
      <w:r w:rsidR="00656BDC" w:rsidRPr="00A8752C">
        <w:rPr>
          <w:sz w:val="22"/>
          <w:szCs w:val="22"/>
        </w:rPr>
        <w:t>e</w:t>
      </w:r>
      <w:r w:rsidR="008039B2" w:rsidRPr="00A8752C">
        <w:rPr>
          <w:sz w:val="22"/>
          <w:szCs w:val="22"/>
        </w:rPr>
        <w:t xml:space="preserve">conomic </w:t>
      </w:r>
      <w:r w:rsidR="00656BDC" w:rsidRPr="00A8752C">
        <w:rPr>
          <w:sz w:val="22"/>
          <w:szCs w:val="22"/>
        </w:rPr>
        <w:t>(</w:t>
      </w:r>
      <w:r w:rsidR="008039B2" w:rsidRPr="00A8752C">
        <w:rPr>
          <w:sz w:val="22"/>
          <w:szCs w:val="22"/>
        </w:rPr>
        <w:t>e.g.</w:t>
      </w:r>
      <w:r w:rsidR="00656BDC" w:rsidRPr="00A8752C">
        <w:rPr>
          <w:sz w:val="22"/>
          <w:szCs w:val="22"/>
        </w:rPr>
        <w:t>,</w:t>
      </w:r>
      <w:r w:rsidR="008039B2" w:rsidRPr="00A8752C">
        <w:rPr>
          <w:sz w:val="22"/>
          <w:szCs w:val="22"/>
        </w:rPr>
        <w:t xml:space="preserve"> effects on income</w:t>
      </w:r>
      <w:r w:rsidR="00656BDC" w:rsidRPr="00A8752C">
        <w:rPr>
          <w:sz w:val="22"/>
          <w:szCs w:val="22"/>
        </w:rPr>
        <w:t>)</w:t>
      </w:r>
      <w:r w:rsidR="008039B2" w:rsidRPr="00A8752C">
        <w:rPr>
          <w:sz w:val="22"/>
          <w:szCs w:val="22"/>
        </w:rPr>
        <w:t xml:space="preserve">; </w:t>
      </w:r>
      <w:r w:rsidR="00656BDC" w:rsidRPr="00A8752C">
        <w:rPr>
          <w:sz w:val="22"/>
          <w:szCs w:val="22"/>
        </w:rPr>
        <w:t>s</w:t>
      </w:r>
      <w:r w:rsidR="008039B2" w:rsidRPr="00A8752C">
        <w:rPr>
          <w:sz w:val="22"/>
          <w:szCs w:val="22"/>
        </w:rPr>
        <w:t xml:space="preserve">ocial </w:t>
      </w:r>
      <w:r w:rsidR="00656BDC" w:rsidRPr="00A8752C">
        <w:rPr>
          <w:sz w:val="22"/>
          <w:szCs w:val="22"/>
        </w:rPr>
        <w:t>(</w:t>
      </w:r>
      <w:r w:rsidR="008039B2" w:rsidRPr="00A8752C">
        <w:rPr>
          <w:sz w:val="22"/>
          <w:szCs w:val="22"/>
        </w:rPr>
        <w:t>e.g.</w:t>
      </w:r>
      <w:r w:rsidR="00656BDC" w:rsidRPr="00A8752C">
        <w:rPr>
          <w:sz w:val="22"/>
          <w:szCs w:val="22"/>
        </w:rPr>
        <w:t>,</w:t>
      </w:r>
      <w:r w:rsidR="008039B2" w:rsidRPr="00A8752C">
        <w:rPr>
          <w:sz w:val="22"/>
          <w:szCs w:val="22"/>
        </w:rPr>
        <w:t xml:space="preserve"> effects on food security</w:t>
      </w:r>
      <w:r w:rsidR="00656BDC" w:rsidRPr="00A8752C">
        <w:rPr>
          <w:sz w:val="22"/>
          <w:szCs w:val="22"/>
        </w:rPr>
        <w:t>)</w:t>
      </w:r>
      <w:r w:rsidR="008039B2" w:rsidRPr="00A8752C">
        <w:rPr>
          <w:sz w:val="22"/>
          <w:szCs w:val="22"/>
        </w:rPr>
        <w:t xml:space="preserve">; </w:t>
      </w:r>
      <w:r w:rsidR="00656BDC" w:rsidRPr="00A8752C">
        <w:rPr>
          <w:sz w:val="22"/>
          <w:szCs w:val="22"/>
        </w:rPr>
        <w:t>e</w:t>
      </w:r>
      <w:r w:rsidR="008039B2" w:rsidRPr="00A8752C">
        <w:rPr>
          <w:sz w:val="22"/>
          <w:szCs w:val="22"/>
        </w:rPr>
        <w:t xml:space="preserve">cological </w:t>
      </w:r>
      <w:r w:rsidR="00656BDC" w:rsidRPr="00A8752C">
        <w:rPr>
          <w:sz w:val="22"/>
          <w:szCs w:val="22"/>
        </w:rPr>
        <w:t>(</w:t>
      </w:r>
      <w:r w:rsidR="008039B2" w:rsidRPr="00A8752C">
        <w:rPr>
          <w:sz w:val="22"/>
          <w:szCs w:val="22"/>
        </w:rPr>
        <w:t>e.g.</w:t>
      </w:r>
      <w:r w:rsidR="00656BDC" w:rsidRPr="00A8752C">
        <w:rPr>
          <w:sz w:val="22"/>
          <w:szCs w:val="22"/>
        </w:rPr>
        <w:t>,</w:t>
      </w:r>
      <w:r w:rsidR="008039B2" w:rsidRPr="00A8752C">
        <w:rPr>
          <w:sz w:val="22"/>
          <w:szCs w:val="22"/>
        </w:rPr>
        <w:t xml:space="preserve"> effects on ecosystem functions</w:t>
      </w:r>
      <w:r w:rsidR="00656BDC" w:rsidRPr="00A8752C">
        <w:rPr>
          <w:sz w:val="22"/>
          <w:szCs w:val="22"/>
        </w:rPr>
        <w:t>);</w:t>
      </w:r>
      <w:r w:rsidR="008039B2" w:rsidRPr="00A8752C">
        <w:rPr>
          <w:sz w:val="22"/>
          <w:szCs w:val="22"/>
        </w:rPr>
        <w:t xml:space="preserve"> </w:t>
      </w:r>
      <w:r w:rsidR="00656BDC" w:rsidRPr="00A8752C">
        <w:rPr>
          <w:sz w:val="22"/>
          <w:szCs w:val="22"/>
        </w:rPr>
        <w:t>c</w:t>
      </w:r>
      <w:r w:rsidR="008039B2" w:rsidRPr="00A8752C">
        <w:rPr>
          <w:sz w:val="22"/>
          <w:szCs w:val="22"/>
        </w:rPr>
        <w:t xml:space="preserve">ultural/traditional/religious/ethical </w:t>
      </w:r>
      <w:r w:rsidR="00656BDC" w:rsidRPr="00A8752C">
        <w:rPr>
          <w:sz w:val="22"/>
          <w:szCs w:val="22"/>
        </w:rPr>
        <w:t>(</w:t>
      </w:r>
      <w:r w:rsidR="008039B2" w:rsidRPr="00A8752C">
        <w:rPr>
          <w:sz w:val="22"/>
          <w:szCs w:val="22"/>
        </w:rPr>
        <w:t>e.g.</w:t>
      </w:r>
      <w:r w:rsidR="00656BDC" w:rsidRPr="00A8752C">
        <w:rPr>
          <w:sz w:val="22"/>
          <w:szCs w:val="22"/>
        </w:rPr>
        <w:t>,</w:t>
      </w:r>
      <w:r w:rsidR="008039B2" w:rsidRPr="00A8752C">
        <w:rPr>
          <w:sz w:val="22"/>
          <w:szCs w:val="22"/>
        </w:rPr>
        <w:t xml:space="preserve"> effects on seed saving and exchange practices</w:t>
      </w:r>
      <w:r w:rsidR="00656BDC" w:rsidRPr="00A8752C">
        <w:rPr>
          <w:sz w:val="22"/>
          <w:szCs w:val="22"/>
        </w:rPr>
        <w:t>)</w:t>
      </w:r>
      <w:r w:rsidR="008039B2" w:rsidRPr="00A8752C">
        <w:rPr>
          <w:sz w:val="22"/>
          <w:szCs w:val="22"/>
        </w:rPr>
        <w:t>;</w:t>
      </w:r>
      <w:r w:rsidR="00656BDC" w:rsidRPr="00A8752C">
        <w:rPr>
          <w:sz w:val="22"/>
          <w:szCs w:val="22"/>
        </w:rPr>
        <w:t xml:space="preserve"> and</w:t>
      </w:r>
      <w:r w:rsidR="008039B2" w:rsidRPr="00A8752C">
        <w:rPr>
          <w:sz w:val="22"/>
          <w:szCs w:val="22"/>
        </w:rPr>
        <w:t xml:space="preserve"> </w:t>
      </w:r>
      <w:r w:rsidR="00656BDC" w:rsidRPr="00A8752C">
        <w:rPr>
          <w:sz w:val="22"/>
          <w:szCs w:val="22"/>
        </w:rPr>
        <w:t>h</w:t>
      </w:r>
      <w:r w:rsidR="008039B2" w:rsidRPr="00A8752C">
        <w:rPr>
          <w:sz w:val="22"/>
          <w:szCs w:val="22"/>
        </w:rPr>
        <w:t xml:space="preserve">uman health-related </w:t>
      </w:r>
      <w:r w:rsidR="00656BDC" w:rsidRPr="00A8752C">
        <w:rPr>
          <w:sz w:val="22"/>
          <w:szCs w:val="22"/>
        </w:rPr>
        <w:t>(</w:t>
      </w:r>
      <w:r w:rsidR="008039B2" w:rsidRPr="00A8752C">
        <w:rPr>
          <w:sz w:val="22"/>
          <w:szCs w:val="22"/>
        </w:rPr>
        <w:t>e.g.</w:t>
      </w:r>
      <w:r w:rsidR="00656BDC" w:rsidRPr="00A8752C">
        <w:rPr>
          <w:sz w:val="22"/>
          <w:szCs w:val="22"/>
        </w:rPr>
        <w:t>,</w:t>
      </w:r>
      <w:r w:rsidR="008039B2" w:rsidRPr="00A8752C">
        <w:rPr>
          <w:sz w:val="22"/>
          <w:szCs w:val="22"/>
        </w:rPr>
        <w:t xml:space="preserve"> effects on nutritional status</w:t>
      </w:r>
      <w:r w:rsidR="00656BDC" w:rsidRPr="00A8752C">
        <w:rPr>
          <w:sz w:val="22"/>
          <w:szCs w:val="22"/>
        </w:rPr>
        <w:t>)</w:t>
      </w:r>
      <w:r w:rsidR="008039B2" w:rsidRPr="00A8752C">
        <w:rPr>
          <w:sz w:val="22"/>
          <w:szCs w:val="22"/>
        </w:rPr>
        <w:t>.</w:t>
      </w:r>
    </w:p>
    <w:p w14:paraId="4E0C1538" w14:textId="4403301C" w:rsidR="00754E1F" w:rsidRPr="00CE3475" w:rsidRDefault="00754E1F" w:rsidP="00510EBB">
      <w:pPr>
        <w:pStyle w:val="Default"/>
        <w:spacing w:line="276" w:lineRule="auto"/>
        <w:rPr>
          <w:lang w:val="en-US"/>
        </w:rPr>
      </w:pPr>
      <w:r w:rsidRPr="00510EBB">
        <w:rPr>
          <w:sz w:val="22"/>
          <w:szCs w:val="22"/>
          <w:lang w:val="en-US"/>
        </w:rPr>
        <w:lastRenderedPageBreak/>
        <w:t xml:space="preserve">Voluntary </w:t>
      </w:r>
      <w:r w:rsidR="005E252E" w:rsidRPr="00510EBB">
        <w:rPr>
          <w:sz w:val="22"/>
          <w:szCs w:val="22"/>
          <w:lang w:val="en-US"/>
        </w:rPr>
        <w:t>g</w:t>
      </w:r>
      <w:r w:rsidRPr="00510EBB">
        <w:rPr>
          <w:sz w:val="22"/>
          <w:szCs w:val="22"/>
          <w:lang w:val="en-US"/>
        </w:rPr>
        <w:t xml:space="preserve">uidelines </w:t>
      </w:r>
      <w:r w:rsidR="007E3FD6" w:rsidRPr="00510EBB">
        <w:rPr>
          <w:sz w:val="22"/>
          <w:szCs w:val="22"/>
          <w:lang w:val="en-US"/>
        </w:rPr>
        <w:t>(</w:t>
      </w:r>
      <w:r w:rsidR="001B49C0" w:rsidRPr="00510EBB">
        <w:rPr>
          <w:sz w:val="22"/>
          <w:szCs w:val="22"/>
          <w:lang w:val="en-US"/>
        </w:rPr>
        <w:t xml:space="preserve">i.e., </w:t>
      </w:r>
      <w:proofErr w:type="spellStart"/>
      <w:r w:rsidR="007E3FD6" w:rsidRPr="00510EBB">
        <w:rPr>
          <w:sz w:val="22"/>
          <w:szCs w:val="22"/>
          <w:lang w:val="en-US"/>
        </w:rPr>
        <w:t>Akwé</w:t>
      </w:r>
      <w:proofErr w:type="spellEnd"/>
      <w:r w:rsidR="007E3FD6" w:rsidRPr="00510EBB">
        <w:rPr>
          <w:sz w:val="22"/>
          <w:szCs w:val="22"/>
          <w:lang w:val="en-US"/>
        </w:rPr>
        <w:t xml:space="preserve">: Kon </w:t>
      </w:r>
      <w:r w:rsidR="00931AD6">
        <w:rPr>
          <w:sz w:val="22"/>
          <w:szCs w:val="22"/>
          <w:lang w:val="en-US"/>
        </w:rPr>
        <w:t>G</w:t>
      </w:r>
      <w:r w:rsidR="007E3FD6" w:rsidRPr="00510EBB">
        <w:rPr>
          <w:sz w:val="22"/>
          <w:szCs w:val="22"/>
          <w:lang w:val="en-US"/>
        </w:rPr>
        <w:t xml:space="preserve">uidelines) </w:t>
      </w:r>
      <w:r w:rsidRPr="00510EBB">
        <w:rPr>
          <w:sz w:val="22"/>
          <w:szCs w:val="22"/>
          <w:lang w:val="en-US"/>
        </w:rPr>
        <w:t xml:space="preserve">for the conduct of cultural, environmental and social impact assessment regarding developments proposed to take place on, or which are likely to impact on, sacred sites and land and waters traditionally occupied or used by </w:t>
      </w:r>
      <w:r w:rsidR="004E34F2" w:rsidRPr="00510EBB">
        <w:rPr>
          <w:sz w:val="22"/>
          <w:szCs w:val="22"/>
          <w:lang w:val="en-US"/>
        </w:rPr>
        <w:t>indigenous people</w:t>
      </w:r>
      <w:r w:rsidR="00E87BB2">
        <w:rPr>
          <w:sz w:val="22"/>
          <w:szCs w:val="22"/>
          <w:lang w:val="en-US"/>
        </w:rPr>
        <w:t>s</w:t>
      </w:r>
      <w:r w:rsidR="004E34F2" w:rsidRPr="00510EBB">
        <w:rPr>
          <w:sz w:val="22"/>
          <w:szCs w:val="22"/>
          <w:lang w:val="en-US"/>
        </w:rPr>
        <w:t xml:space="preserve"> and local communities</w:t>
      </w:r>
      <w:r w:rsidRPr="00510EBB">
        <w:rPr>
          <w:sz w:val="22"/>
          <w:szCs w:val="22"/>
          <w:lang w:val="en-US"/>
        </w:rPr>
        <w:t>, w</w:t>
      </w:r>
      <w:r w:rsidR="009944C7">
        <w:rPr>
          <w:sz w:val="22"/>
          <w:szCs w:val="22"/>
          <w:lang w:val="en-US"/>
        </w:rPr>
        <w:t>ere</w:t>
      </w:r>
      <w:r w:rsidRPr="00510EBB">
        <w:rPr>
          <w:sz w:val="22"/>
          <w:szCs w:val="22"/>
          <w:lang w:val="en-US"/>
        </w:rPr>
        <w:t xml:space="preserve"> adopted by Parties</w:t>
      </w:r>
      <w:r w:rsidR="004E34F2" w:rsidRPr="00510EBB">
        <w:rPr>
          <w:sz w:val="22"/>
          <w:szCs w:val="22"/>
          <w:lang w:val="en-US"/>
        </w:rPr>
        <w:t xml:space="preserve"> to the Convention</w:t>
      </w:r>
      <w:r w:rsidRPr="00510EBB">
        <w:rPr>
          <w:sz w:val="22"/>
          <w:szCs w:val="22"/>
          <w:lang w:val="en-US"/>
        </w:rPr>
        <w:t xml:space="preserve"> in </w:t>
      </w:r>
      <w:r w:rsidR="004E34F2" w:rsidRPr="00510EBB">
        <w:rPr>
          <w:sz w:val="22"/>
          <w:szCs w:val="22"/>
          <w:lang w:val="en-US"/>
        </w:rPr>
        <w:t>d</w:t>
      </w:r>
      <w:r w:rsidRPr="00510EBB">
        <w:rPr>
          <w:sz w:val="22"/>
          <w:szCs w:val="22"/>
          <w:lang w:val="en-US"/>
        </w:rPr>
        <w:t xml:space="preserve">ecision </w:t>
      </w:r>
      <w:hyperlink r:id="rId28" w:history="1">
        <w:r w:rsidRPr="0007256B">
          <w:rPr>
            <w:rStyle w:val="Hyperlink"/>
            <w:sz w:val="22"/>
            <w:szCs w:val="22"/>
            <w:lang w:val="en-US"/>
          </w:rPr>
          <w:t>VII/16</w:t>
        </w:r>
      </w:hyperlink>
      <w:r w:rsidRPr="00510EBB">
        <w:rPr>
          <w:sz w:val="22"/>
          <w:szCs w:val="22"/>
          <w:lang w:val="en-US"/>
        </w:rPr>
        <w:t xml:space="preserve"> </w:t>
      </w:r>
      <w:r w:rsidR="009944C7">
        <w:rPr>
          <w:sz w:val="22"/>
          <w:szCs w:val="22"/>
          <w:lang w:val="en-US"/>
        </w:rPr>
        <w:t xml:space="preserve">and </w:t>
      </w:r>
      <w:r w:rsidRPr="00510EBB">
        <w:rPr>
          <w:sz w:val="22"/>
          <w:szCs w:val="22"/>
          <w:lang w:val="en-US"/>
        </w:rPr>
        <w:t xml:space="preserve">provide useful guidance. In particular, the potential adverse effects of EGD-LMOs on the land, waters and territories, sacred sites, wild species of fauna and flora, and on the relationship of </w:t>
      </w:r>
      <w:r w:rsidR="004E34F2" w:rsidRPr="00510EBB">
        <w:rPr>
          <w:sz w:val="22"/>
          <w:szCs w:val="22"/>
          <w:lang w:val="en-US"/>
        </w:rPr>
        <w:t>indigenous people</w:t>
      </w:r>
      <w:r w:rsidR="00E87BB2">
        <w:rPr>
          <w:sz w:val="22"/>
          <w:szCs w:val="22"/>
          <w:lang w:val="en-US"/>
        </w:rPr>
        <w:t>s</w:t>
      </w:r>
      <w:r w:rsidR="004E34F2" w:rsidRPr="00510EBB">
        <w:rPr>
          <w:sz w:val="22"/>
          <w:szCs w:val="22"/>
          <w:lang w:val="en-US"/>
        </w:rPr>
        <w:t xml:space="preserve"> and local communities</w:t>
      </w:r>
      <w:r w:rsidRPr="00510EBB">
        <w:rPr>
          <w:sz w:val="22"/>
          <w:szCs w:val="22"/>
          <w:lang w:val="en-US"/>
        </w:rPr>
        <w:t xml:space="preserve"> with Mother Nature and the reciprocity between them, may be considered. Assessment of such issues could draw on biocultural community protocols and customary laws of </w:t>
      </w:r>
      <w:r w:rsidR="004E34F2" w:rsidRPr="00510EBB">
        <w:rPr>
          <w:sz w:val="22"/>
          <w:szCs w:val="22"/>
          <w:lang w:val="en-US"/>
        </w:rPr>
        <w:t>indigenous people</w:t>
      </w:r>
      <w:r w:rsidR="00E87BB2">
        <w:rPr>
          <w:sz w:val="22"/>
          <w:szCs w:val="22"/>
          <w:lang w:val="en-US"/>
        </w:rPr>
        <w:t>s</w:t>
      </w:r>
      <w:r w:rsidR="004E34F2" w:rsidRPr="00510EBB">
        <w:rPr>
          <w:sz w:val="22"/>
          <w:szCs w:val="22"/>
          <w:lang w:val="en-US"/>
        </w:rPr>
        <w:t xml:space="preserve"> and local communities</w:t>
      </w:r>
      <w:r w:rsidRPr="00510EBB">
        <w:rPr>
          <w:sz w:val="22"/>
          <w:szCs w:val="22"/>
          <w:lang w:val="en-US"/>
        </w:rPr>
        <w:t xml:space="preserve">, which </w:t>
      </w:r>
      <w:proofErr w:type="gramStart"/>
      <w:r w:rsidRPr="00510EBB">
        <w:rPr>
          <w:sz w:val="22"/>
          <w:szCs w:val="22"/>
          <w:lang w:val="en-US"/>
        </w:rPr>
        <w:t>take into account</w:t>
      </w:r>
      <w:proofErr w:type="gramEnd"/>
      <w:r w:rsidRPr="00510EBB">
        <w:rPr>
          <w:sz w:val="22"/>
          <w:szCs w:val="22"/>
          <w:lang w:val="en-US"/>
        </w:rPr>
        <w:t xml:space="preserve"> community identities, histories, territorialities, traditional or indigenous knowledge, practices, innovations and traditional </w:t>
      </w:r>
      <w:r w:rsidRPr="00510EBB">
        <w:rPr>
          <w:color w:val="auto"/>
          <w:sz w:val="22"/>
          <w:szCs w:val="22"/>
        </w:rPr>
        <w:t>technologies</w:t>
      </w:r>
      <w:r w:rsidRPr="00510EBB">
        <w:rPr>
          <w:sz w:val="22"/>
          <w:szCs w:val="22"/>
          <w:lang w:val="en-US"/>
        </w:rPr>
        <w:t xml:space="preserve"> depending on national circumstances of </w:t>
      </w:r>
      <w:r w:rsidR="004E34F2" w:rsidRPr="00510EBB">
        <w:rPr>
          <w:sz w:val="22"/>
          <w:szCs w:val="22"/>
          <w:lang w:val="en-US"/>
        </w:rPr>
        <w:t>indigenous people</w:t>
      </w:r>
      <w:r w:rsidR="004437EB">
        <w:rPr>
          <w:sz w:val="22"/>
          <w:szCs w:val="22"/>
          <w:lang w:val="en-US"/>
        </w:rPr>
        <w:t>s</w:t>
      </w:r>
      <w:r w:rsidR="004E34F2" w:rsidRPr="00510EBB">
        <w:rPr>
          <w:sz w:val="22"/>
          <w:szCs w:val="22"/>
          <w:lang w:val="en-US"/>
        </w:rPr>
        <w:t xml:space="preserve"> and local communities</w:t>
      </w:r>
      <w:r w:rsidRPr="00510EBB">
        <w:rPr>
          <w:sz w:val="22"/>
          <w:szCs w:val="22"/>
          <w:lang w:val="en-US"/>
        </w:rPr>
        <w:t xml:space="preserve">. The knowledge and value systems of </w:t>
      </w:r>
      <w:r w:rsidR="004E34F2" w:rsidRPr="00510EBB">
        <w:rPr>
          <w:sz w:val="22"/>
          <w:szCs w:val="22"/>
          <w:lang w:val="en-US"/>
        </w:rPr>
        <w:t>indigenous people</w:t>
      </w:r>
      <w:r w:rsidR="004437EB">
        <w:rPr>
          <w:sz w:val="22"/>
          <w:szCs w:val="22"/>
          <w:lang w:val="en-US"/>
        </w:rPr>
        <w:t>s</w:t>
      </w:r>
      <w:r w:rsidR="004E34F2" w:rsidRPr="00510EBB">
        <w:rPr>
          <w:sz w:val="22"/>
          <w:szCs w:val="22"/>
          <w:lang w:val="en-US"/>
        </w:rPr>
        <w:t xml:space="preserve"> and local communities</w:t>
      </w:r>
      <w:r w:rsidRPr="00510EBB">
        <w:rPr>
          <w:sz w:val="22"/>
          <w:szCs w:val="22"/>
          <w:lang w:val="en-US"/>
        </w:rPr>
        <w:t xml:space="preserve"> are helpful when considering the behavior of relevant species and their interaction with other species. </w:t>
      </w:r>
    </w:p>
    <w:p w14:paraId="4096EC98" w14:textId="1921E040" w:rsidR="00754E1F" w:rsidRPr="00510EBB" w:rsidRDefault="00754E1F" w:rsidP="00510EBB">
      <w:pPr>
        <w:pStyle w:val="Default"/>
        <w:spacing w:line="276" w:lineRule="auto"/>
      </w:pPr>
      <w:r w:rsidRPr="00510EBB">
        <w:rPr>
          <w:color w:val="auto"/>
          <w:sz w:val="22"/>
          <w:szCs w:val="22"/>
        </w:rPr>
        <w:t xml:space="preserve">Living modified organisms containing engineered gene drives may increase dependency on technology, alter biological components and may adversely impact biodiversity, cultural, and ethical values of </w:t>
      </w:r>
      <w:r w:rsidR="004E34F2" w:rsidRPr="00510EBB">
        <w:rPr>
          <w:color w:val="auto"/>
          <w:sz w:val="22"/>
          <w:szCs w:val="22"/>
        </w:rPr>
        <w:t>indigenous people</w:t>
      </w:r>
      <w:r w:rsidR="00E87BB2">
        <w:rPr>
          <w:color w:val="auto"/>
          <w:sz w:val="22"/>
          <w:szCs w:val="22"/>
        </w:rPr>
        <w:t>s</w:t>
      </w:r>
      <w:r w:rsidR="004E34F2" w:rsidRPr="00510EBB">
        <w:rPr>
          <w:color w:val="auto"/>
          <w:sz w:val="22"/>
          <w:szCs w:val="22"/>
        </w:rPr>
        <w:t xml:space="preserve"> and local communities</w:t>
      </w:r>
      <w:r w:rsidRPr="00510EBB">
        <w:rPr>
          <w:color w:val="auto"/>
          <w:sz w:val="22"/>
          <w:szCs w:val="22"/>
        </w:rPr>
        <w:t xml:space="preserve">, socio-economic situations, and the reciprocal relationship with Mother Nature in the long term. The possibility of conflicts with non-target species such as wild species that are valuable for </w:t>
      </w:r>
      <w:r w:rsidR="004E34F2" w:rsidRPr="00510EBB">
        <w:rPr>
          <w:color w:val="auto"/>
          <w:sz w:val="22"/>
          <w:szCs w:val="22"/>
        </w:rPr>
        <w:t>indigenous people</w:t>
      </w:r>
      <w:r w:rsidR="00E87BB2">
        <w:rPr>
          <w:color w:val="auto"/>
          <w:sz w:val="22"/>
          <w:szCs w:val="22"/>
        </w:rPr>
        <w:t>s</w:t>
      </w:r>
      <w:r w:rsidR="004E34F2" w:rsidRPr="00510EBB">
        <w:rPr>
          <w:color w:val="auto"/>
          <w:sz w:val="22"/>
          <w:szCs w:val="22"/>
        </w:rPr>
        <w:t xml:space="preserve"> and local communities</w:t>
      </w:r>
      <w:r w:rsidRPr="00510EBB">
        <w:rPr>
          <w:color w:val="auto"/>
          <w:sz w:val="22"/>
          <w:szCs w:val="22"/>
        </w:rPr>
        <w:t xml:space="preserve"> should be assessed before releasing EGD-LMOs into the environment. </w:t>
      </w:r>
    </w:p>
    <w:p w14:paraId="109DB1BC" w14:textId="3DC84E8A" w:rsidR="002B08AC" w:rsidRPr="00510EBB" w:rsidRDefault="00754E1F" w:rsidP="00A10BDE">
      <w:pPr>
        <w:pStyle w:val="Heading2"/>
        <w:spacing w:line="276" w:lineRule="auto"/>
        <w:rPr>
          <w:rFonts w:ascii="Times New Roman" w:hAnsi="Times New Roman" w:cs="Times New Roman"/>
          <w:b/>
          <w:color w:val="000000" w:themeColor="text1"/>
          <w:sz w:val="24"/>
          <w:szCs w:val="24"/>
        </w:rPr>
      </w:pPr>
      <w:bookmarkStart w:id="91" w:name="_Toc161220518"/>
      <w:r w:rsidRPr="00510EBB">
        <w:rPr>
          <w:rFonts w:ascii="Times New Roman" w:hAnsi="Times New Roman" w:cs="Times New Roman"/>
          <w:b/>
          <w:color w:val="000000" w:themeColor="text1"/>
          <w:sz w:val="24"/>
          <w:szCs w:val="24"/>
        </w:rPr>
        <w:t xml:space="preserve">7.4. Free, </w:t>
      </w:r>
      <w:proofErr w:type="gramStart"/>
      <w:r w:rsidRPr="00510EBB">
        <w:rPr>
          <w:rFonts w:ascii="Times New Roman" w:hAnsi="Times New Roman" w:cs="Times New Roman"/>
          <w:b/>
          <w:color w:val="000000" w:themeColor="text1"/>
          <w:sz w:val="24"/>
          <w:szCs w:val="24"/>
        </w:rPr>
        <w:t>prior</w:t>
      </w:r>
      <w:proofErr w:type="gramEnd"/>
      <w:r w:rsidRPr="00510EBB">
        <w:rPr>
          <w:rFonts w:ascii="Times New Roman" w:hAnsi="Times New Roman" w:cs="Times New Roman"/>
          <w:b/>
          <w:color w:val="000000" w:themeColor="text1"/>
          <w:sz w:val="24"/>
          <w:szCs w:val="24"/>
        </w:rPr>
        <w:t xml:space="preserve"> and informed consent of </w:t>
      </w:r>
      <w:r w:rsidR="00C93119" w:rsidRPr="00510EBB">
        <w:rPr>
          <w:rFonts w:ascii="Times New Roman" w:hAnsi="Times New Roman" w:cs="Times New Roman"/>
          <w:b/>
          <w:color w:val="000000" w:themeColor="text1"/>
          <w:sz w:val="24"/>
          <w:szCs w:val="24"/>
        </w:rPr>
        <w:t>indigenous peoples and local communities</w:t>
      </w:r>
      <w:bookmarkEnd w:id="91"/>
    </w:p>
    <w:p w14:paraId="0AD9503E" w14:textId="2FFB59FC" w:rsidR="008C5F42" w:rsidRPr="0007256B" w:rsidRDefault="008C5F42" w:rsidP="00510EBB">
      <w:pPr>
        <w:pStyle w:val="Default"/>
        <w:spacing w:line="276" w:lineRule="auto"/>
        <w:rPr>
          <w:color w:val="000000" w:themeColor="text1"/>
          <w:sz w:val="22"/>
          <w:szCs w:val="22"/>
          <w:lang w:val="en-US"/>
        </w:rPr>
      </w:pPr>
      <w:r w:rsidRPr="00510EBB">
        <w:rPr>
          <w:color w:val="auto"/>
          <w:sz w:val="22"/>
          <w:szCs w:val="22"/>
        </w:rPr>
        <w:t>In</w:t>
      </w:r>
      <w:r w:rsidRPr="0007256B">
        <w:rPr>
          <w:color w:val="000000" w:themeColor="text1"/>
          <w:sz w:val="22"/>
          <w:szCs w:val="22"/>
          <w:lang w:val="en-US"/>
        </w:rPr>
        <w:t xml:space="preserve"> </w:t>
      </w:r>
      <w:r w:rsidR="003F61D8" w:rsidRPr="0007256B">
        <w:rPr>
          <w:color w:val="000000" w:themeColor="text1"/>
          <w:sz w:val="22"/>
          <w:szCs w:val="22"/>
          <w:lang w:val="en-US"/>
        </w:rPr>
        <w:t>d</w:t>
      </w:r>
      <w:r w:rsidRPr="0007256B">
        <w:rPr>
          <w:color w:val="000000" w:themeColor="text1"/>
          <w:sz w:val="22"/>
          <w:szCs w:val="22"/>
          <w:lang w:val="en-US"/>
        </w:rPr>
        <w:t xml:space="preserve">ecision </w:t>
      </w:r>
      <w:hyperlink r:id="rId29" w:history="1">
        <w:r w:rsidRPr="00671261">
          <w:rPr>
            <w:rStyle w:val="Hyperlink"/>
            <w:sz w:val="22"/>
            <w:szCs w:val="22"/>
            <w:lang w:val="en-US"/>
          </w:rPr>
          <w:t>14/19</w:t>
        </w:r>
      </w:hyperlink>
      <w:r w:rsidRPr="0007256B">
        <w:rPr>
          <w:color w:val="000000" w:themeColor="text1"/>
          <w:sz w:val="22"/>
          <w:szCs w:val="22"/>
          <w:lang w:val="en-US"/>
        </w:rPr>
        <w:t xml:space="preserve">, </w:t>
      </w:r>
      <w:r w:rsidR="003F61D8" w:rsidRPr="0007256B">
        <w:rPr>
          <w:color w:val="000000" w:themeColor="text1"/>
          <w:sz w:val="22"/>
          <w:szCs w:val="22"/>
          <w:lang w:val="en-US"/>
        </w:rPr>
        <w:t>Parties to the Convention</w:t>
      </w:r>
      <w:r w:rsidRPr="0007256B">
        <w:rPr>
          <w:color w:val="000000" w:themeColor="text1"/>
          <w:sz w:val="22"/>
          <w:szCs w:val="22"/>
          <w:lang w:val="en-US"/>
        </w:rPr>
        <w:t xml:space="preserve"> noted the conclusions of the AHTEG on Synthetic Biology that, </w:t>
      </w:r>
      <w:r w:rsidR="00AE488A">
        <w:rPr>
          <w:color w:val="000000" w:themeColor="text1"/>
          <w:sz w:val="22"/>
          <w:szCs w:val="22"/>
          <w:lang w:val="en-US"/>
        </w:rPr>
        <w:t>“</w:t>
      </w:r>
      <w:r w:rsidRPr="0007256B">
        <w:rPr>
          <w:color w:val="000000" w:themeColor="text1"/>
          <w:sz w:val="22"/>
          <w:szCs w:val="22"/>
          <w:lang w:val="en-US"/>
        </w:rPr>
        <w:t xml:space="preserve">given the current uncertainties regarding </w:t>
      </w:r>
      <w:r w:rsidR="00AE488A">
        <w:rPr>
          <w:color w:val="000000" w:themeColor="text1"/>
          <w:sz w:val="22"/>
          <w:szCs w:val="22"/>
          <w:lang w:val="en-US"/>
        </w:rPr>
        <w:t>engineered gene drive</w:t>
      </w:r>
      <w:r w:rsidRPr="0007256B">
        <w:rPr>
          <w:color w:val="000000" w:themeColor="text1"/>
          <w:sz w:val="22"/>
          <w:szCs w:val="22"/>
          <w:lang w:val="en-US"/>
        </w:rPr>
        <w:t xml:space="preserve">s, the free, prior and informed consent of </w:t>
      </w:r>
      <w:r w:rsidR="003F61D8" w:rsidRPr="0007256B">
        <w:rPr>
          <w:color w:val="000000" w:themeColor="text1"/>
          <w:sz w:val="22"/>
          <w:szCs w:val="22"/>
          <w:lang w:val="en-US"/>
        </w:rPr>
        <w:t>indigenous people</w:t>
      </w:r>
      <w:r w:rsidR="00E87BB2">
        <w:rPr>
          <w:color w:val="000000" w:themeColor="text1"/>
          <w:sz w:val="22"/>
          <w:szCs w:val="22"/>
          <w:lang w:val="en-US"/>
        </w:rPr>
        <w:t>s</w:t>
      </w:r>
      <w:r w:rsidR="003F61D8" w:rsidRPr="0007256B">
        <w:rPr>
          <w:color w:val="000000" w:themeColor="text1"/>
          <w:sz w:val="22"/>
          <w:szCs w:val="22"/>
          <w:lang w:val="en-US"/>
        </w:rPr>
        <w:t xml:space="preserve"> and local communitie</w:t>
      </w:r>
      <w:r w:rsidRPr="0007256B">
        <w:rPr>
          <w:color w:val="000000" w:themeColor="text1"/>
          <w:sz w:val="22"/>
          <w:szCs w:val="22"/>
          <w:lang w:val="en-US"/>
        </w:rPr>
        <w:t xml:space="preserve">s might be warranted when considering the possible release of </w:t>
      </w:r>
      <w:r w:rsidR="00AE488A">
        <w:rPr>
          <w:color w:val="000000" w:themeColor="text1"/>
          <w:sz w:val="22"/>
          <w:szCs w:val="22"/>
          <w:lang w:val="en-US"/>
        </w:rPr>
        <w:t>living modified organisms containing engineered gene drives</w:t>
      </w:r>
      <w:r w:rsidRPr="0007256B">
        <w:rPr>
          <w:color w:val="000000" w:themeColor="text1"/>
          <w:sz w:val="22"/>
          <w:szCs w:val="22"/>
          <w:lang w:val="en-US"/>
        </w:rPr>
        <w:t xml:space="preserve"> that may impact their traditional knowledge, innovation, practices, livelihood and use of land and </w:t>
      </w:r>
      <w:r w:rsidR="05F54F5A" w:rsidRPr="12D14FCC">
        <w:rPr>
          <w:color w:val="000000" w:themeColor="text1"/>
          <w:sz w:val="22"/>
          <w:szCs w:val="22"/>
          <w:lang w:val="en-US"/>
        </w:rPr>
        <w:t>water</w:t>
      </w:r>
      <w:r w:rsidR="0D9F3140" w:rsidRPr="12D14FCC">
        <w:rPr>
          <w:color w:val="000000" w:themeColor="text1"/>
          <w:sz w:val="22"/>
          <w:szCs w:val="22"/>
          <w:lang w:val="en-US"/>
        </w:rPr>
        <w:t>s</w:t>
      </w:r>
      <w:r w:rsidR="00AE488A">
        <w:rPr>
          <w:color w:val="000000" w:themeColor="text1"/>
          <w:sz w:val="22"/>
          <w:szCs w:val="22"/>
          <w:lang w:val="en-US"/>
        </w:rPr>
        <w:t>”</w:t>
      </w:r>
      <w:r w:rsidR="05F54F5A" w:rsidRPr="12D14FCC">
        <w:rPr>
          <w:color w:val="000000" w:themeColor="text1"/>
          <w:sz w:val="22"/>
          <w:szCs w:val="22"/>
          <w:lang w:val="en-US"/>
        </w:rPr>
        <w:t>.</w:t>
      </w:r>
      <w:r w:rsidRPr="0007256B">
        <w:rPr>
          <w:color w:val="000000" w:themeColor="text1"/>
          <w:sz w:val="22"/>
          <w:szCs w:val="22"/>
          <w:lang w:val="en-US"/>
        </w:rPr>
        <w:t xml:space="preserve"> As such, it is highly recommended to obtain prior and informed consent, or national equivalents, of potentially affected </w:t>
      </w:r>
      <w:r w:rsidR="003F61D8" w:rsidRPr="0007256B">
        <w:rPr>
          <w:color w:val="000000" w:themeColor="text1"/>
          <w:sz w:val="22"/>
          <w:szCs w:val="22"/>
          <w:lang w:val="en-US"/>
        </w:rPr>
        <w:t xml:space="preserve">indigenous </w:t>
      </w:r>
      <w:r w:rsidR="157CBB1F" w:rsidRPr="12D14FCC">
        <w:rPr>
          <w:color w:val="000000" w:themeColor="text1"/>
          <w:sz w:val="22"/>
          <w:szCs w:val="22"/>
          <w:lang w:val="en-US"/>
        </w:rPr>
        <w:t>people</w:t>
      </w:r>
      <w:r w:rsidR="7A9B83F7" w:rsidRPr="12D14FCC">
        <w:rPr>
          <w:color w:val="000000" w:themeColor="text1"/>
          <w:sz w:val="22"/>
          <w:szCs w:val="22"/>
          <w:lang w:val="en-US"/>
        </w:rPr>
        <w:t>s</w:t>
      </w:r>
      <w:r w:rsidR="003F61D8" w:rsidRPr="0007256B">
        <w:rPr>
          <w:color w:val="000000" w:themeColor="text1"/>
          <w:sz w:val="22"/>
          <w:szCs w:val="22"/>
          <w:lang w:val="en-US"/>
        </w:rPr>
        <w:t xml:space="preserve"> and local communitie</w:t>
      </w:r>
      <w:r w:rsidRPr="0007256B">
        <w:rPr>
          <w:color w:val="000000" w:themeColor="text1"/>
          <w:sz w:val="22"/>
          <w:szCs w:val="22"/>
          <w:lang w:val="en-US"/>
        </w:rPr>
        <w:t>s before considering introducing EGD-LMOs into the environment, including for experimental releases and research and development purposes.</w:t>
      </w:r>
      <w:r w:rsidRPr="00510EBB">
        <w:rPr>
          <w:rFonts w:eastAsiaTheme="minorEastAsia"/>
          <w:sz w:val="22"/>
          <w:szCs w:val="22"/>
          <w:lang w:val="en-US" w:eastAsia="ja-JP"/>
        </w:rPr>
        <w:t xml:space="preserve"> Relevant </w:t>
      </w:r>
      <w:r w:rsidRPr="0007256B">
        <w:rPr>
          <w:color w:val="000000" w:themeColor="text1"/>
          <w:sz w:val="22"/>
          <w:szCs w:val="22"/>
          <w:lang w:val="en-US"/>
        </w:rPr>
        <w:t xml:space="preserve">guidance for the development of mechanisms, legislation or other appropriate initiatives to ensure the “prior and informed consent”, “free, prior and informed consent” or “approval and involvement” of </w:t>
      </w:r>
      <w:r w:rsidR="00811BDB" w:rsidRPr="0007256B">
        <w:rPr>
          <w:color w:val="000000" w:themeColor="text1"/>
          <w:sz w:val="22"/>
          <w:szCs w:val="22"/>
          <w:lang w:val="en-US"/>
        </w:rPr>
        <w:t xml:space="preserve">indigenous </w:t>
      </w:r>
      <w:r w:rsidR="150B529B" w:rsidRPr="12D14FCC">
        <w:rPr>
          <w:color w:val="000000" w:themeColor="text1"/>
          <w:sz w:val="22"/>
          <w:szCs w:val="22"/>
          <w:lang w:val="en-US"/>
        </w:rPr>
        <w:t>people</w:t>
      </w:r>
      <w:r w:rsidR="26A0425E" w:rsidRPr="12D14FCC">
        <w:rPr>
          <w:color w:val="000000" w:themeColor="text1"/>
          <w:sz w:val="22"/>
          <w:szCs w:val="22"/>
          <w:lang w:val="en-US"/>
        </w:rPr>
        <w:t>s</w:t>
      </w:r>
      <w:r w:rsidR="00811BDB" w:rsidRPr="0007256B">
        <w:rPr>
          <w:color w:val="000000" w:themeColor="text1"/>
          <w:sz w:val="22"/>
          <w:szCs w:val="22"/>
          <w:lang w:val="en-US"/>
        </w:rPr>
        <w:t xml:space="preserve"> and local </w:t>
      </w:r>
      <w:r w:rsidR="008B7498" w:rsidRPr="0007256B">
        <w:rPr>
          <w:color w:val="000000" w:themeColor="text1"/>
          <w:sz w:val="22"/>
          <w:szCs w:val="22"/>
          <w:lang w:val="en-US"/>
        </w:rPr>
        <w:t>communities</w:t>
      </w:r>
      <w:r w:rsidRPr="0007256B">
        <w:rPr>
          <w:color w:val="000000" w:themeColor="text1"/>
          <w:sz w:val="22"/>
          <w:szCs w:val="22"/>
          <w:lang w:val="en-US"/>
        </w:rPr>
        <w:t xml:space="preserve"> when accessing their knowledge, innovations and practices, for fair and equitable sharing of benefits arising from the use of their knowledge, innovations and practices, and for reporting and preventing unlawful appropriation of traditional knowledge, has been adopted</w:t>
      </w:r>
      <w:r w:rsidR="008B7498" w:rsidRPr="0007256B">
        <w:rPr>
          <w:color w:val="000000" w:themeColor="text1"/>
          <w:sz w:val="22"/>
          <w:szCs w:val="22"/>
          <w:lang w:val="en-US"/>
        </w:rPr>
        <w:t xml:space="preserve"> as the </w:t>
      </w:r>
      <w:proofErr w:type="spellStart"/>
      <w:r w:rsidR="008B7498" w:rsidRPr="0007256B">
        <w:rPr>
          <w:color w:val="000000" w:themeColor="text1"/>
          <w:sz w:val="22"/>
          <w:szCs w:val="22"/>
          <w:lang w:val="en-US"/>
        </w:rPr>
        <w:t>Mo</w:t>
      </w:r>
      <w:r w:rsidR="003C7EFE">
        <w:rPr>
          <w:color w:val="000000" w:themeColor="text1"/>
          <w:sz w:val="22"/>
          <w:szCs w:val="22"/>
          <w:lang w:val="en-US"/>
        </w:rPr>
        <w:t>’</w:t>
      </w:r>
      <w:r w:rsidR="008B7498" w:rsidRPr="0007256B">
        <w:rPr>
          <w:color w:val="000000" w:themeColor="text1"/>
          <w:sz w:val="22"/>
          <w:szCs w:val="22"/>
          <w:lang w:val="en-US"/>
        </w:rPr>
        <w:t>otz</w:t>
      </w:r>
      <w:proofErr w:type="spellEnd"/>
      <w:r w:rsidR="008B7498" w:rsidRPr="0007256B">
        <w:rPr>
          <w:color w:val="000000" w:themeColor="text1"/>
          <w:sz w:val="22"/>
          <w:szCs w:val="22"/>
          <w:lang w:val="en-US"/>
        </w:rPr>
        <w:t xml:space="preserve"> </w:t>
      </w:r>
      <w:proofErr w:type="spellStart"/>
      <w:r w:rsidR="008B7498" w:rsidRPr="0007256B">
        <w:rPr>
          <w:color w:val="000000" w:themeColor="text1"/>
          <w:sz w:val="22"/>
          <w:szCs w:val="22"/>
          <w:lang w:val="en-US"/>
        </w:rPr>
        <w:t>Kuxtal</w:t>
      </w:r>
      <w:proofErr w:type="spellEnd"/>
      <w:r w:rsidR="008B7498" w:rsidRPr="0007256B">
        <w:rPr>
          <w:color w:val="000000" w:themeColor="text1"/>
          <w:sz w:val="22"/>
          <w:szCs w:val="22"/>
          <w:lang w:val="en-US"/>
        </w:rPr>
        <w:t xml:space="preserve"> Voluntary Guidelines</w:t>
      </w:r>
      <w:r w:rsidRPr="0007256B">
        <w:rPr>
          <w:color w:val="000000" w:themeColor="text1"/>
          <w:sz w:val="22"/>
          <w:szCs w:val="22"/>
          <w:lang w:val="en-US"/>
        </w:rPr>
        <w:t xml:space="preserve"> by Parties </w:t>
      </w:r>
      <w:r w:rsidR="008168D9" w:rsidRPr="0007256B">
        <w:rPr>
          <w:color w:val="000000" w:themeColor="text1"/>
          <w:sz w:val="22"/>
          <w:szCs w:val="22"/>
          <w:lang w:val="en-US"/>
        </w:rPr>
        <w:t xml:space="preserve">to the Convention </w:t>
      </w:r>
      <w:r w:rsidRPr="0007256B">
        <w:rPr>
          <w:color w:val="000000" w:themeColor="text1"/>
          <w:sz w:val="22"/>
          <w:szCs w:val="22"/>
          <w:lang w:val="en-US"/>
        </w:rPr>
        <w:t xml:space="preserve">in </w:t>
      </w:r>
      <w:r w:rsidR="008168D9" w:rsidRPr="0007256B">
        <w:rPr>
          <w:color w:val="000000" w:themeColor="text1"/>
          <w:sz w:val="22"/>
          <w:szCs w:val="22"/>
          <w:lang w:val="en-US"/>
        </w:rPr>
        <w:t>d</w:t>
      </w:r>
      <w:r w:rsidRPr="0007256B">
        <w:rPr>
          <w:color w:val="000000" w:themeColor="text1"/>
          <w:sz w:val="22"/>
          <w:szCs w:val="22"/>
          <w:lang w:val="en-US"/>
        </w:rPr>
        <w:t xml:space="preserve">ecision </w:t>
      </w:r>
      <w:hyperlink r:id="rId30">
        <w:r w:rsidR="05F54F5A" w:rsidRPr="12D14FCC">
          <w:rPr>
            <w:rStyle w:val="Hyperlink"/>
            <w:sz w:val="22"/>
            <w:szCs w:val="22"/>
            <w:lang w:val="en-US"/>
          </w:rPr>
          <w:t>XIII/18</w:t>
        </w:r>
      </w:hyperlink>
      <w:r w:rsidRPr="0007256B">
        <w:rPr>
          <w:color w:val="000000" w:themeColor="text1"/>
          <w:sz w:val="22"/>
          <w:szCs w:val="22"/>
          <w:lang w:val="en-US"/>
        </w:rPr>
        <w:t xml:space="preserve">. </w:t>
      </w:r>
    </w:p>
    <w:p w14:paraId="0B889884" w14:textId="61273C9B" w:rsidR="00C93119" w:rsidRPr="00510EBB" w:rsidRDefault="008C5F42" w:rsidP="00510EBB">
      <w:pPr>
        <w:pStyle w:val="Default"/>
        <w:spacing w:line="276" w:lineRule="auto"/>
      </w:pPr>
      <w:r w:rsidRPr="00510EBB">
        <w:rPr>
          <w:color w:val="auto"/>
          <w:sz w:val="22"/>
          <w:szCs w:val="22"/>
        </w:rPr>
        <w:t xml:space="preserve">It </w:t>
      </w:r>
      <w:r w:rsidR="00946CBF">
        <w:rPr>
          <w:color w:val="auto"/>
          <w:sz w:val="22"/>
          <w:szCs w:val="22"/>
        </w:rPr>
        <w:t>i</w:t>
      </w:r>
      <w:r w:rsidRPr="00510EBB">
        <w:rPr>
          <w:color w:val="auto"/>
          <w:sz w:val="22"/>
          <w:szCs w:val="22"/>
        </w:rPr>
        <w:t xml:space="preserve">s thus important to ensure the full and effective participation of potentially affected </w:t>
      </w:r>
      <w:r w:rsidR="008B7498" w:rsidRPr="00510EBB">
        <w:rPr>
          <w:color w:val="auto"/>
          <w:sz w:val="22"/>
          <w:szCs w:val="22"/>
        </w:rPr>
        <w:t xml:space="preserve">indigenous </w:t>
      </w:r>
      <w:r w:rsidR="5C6DD5EB" w:rsidRPr="12D14FCC">
        <w:rPr>
          <w:color w:val="auto"/>
          <w:sz w:val="22"/>
          <w:szCs w:val="22"/>
        </w:rPr>
        <w:t>people</w:t>
      </w:r>
      <w:r w:rsidR="7B9C0160" w:rsidRPr="12D14FCC">
        <w:rPr>
          <w:color w:val="auto"/>
          <w:sz w:val="22"/>
          <w:szCs w:val="22"/>
        </w:rPr>
        <w:t>s</w:t>
      </w:r>
      <w:r w:rsidR="008B7498" w:rsidRPr="00510EBB">
        <w:rPr>
          <w:color w:val="auto"/>
          <w:sz w:val="22"/>
          <w:szCs w:val="22"/>
        </w:rPr>
        <w:t xml:space="preserve"> and local communitie</w:t>
      </w:r>
      <w:r w:rsidRPr="00510EBB">
        <w:rPr>
          <w:color w:val="auto"/>
          <w:sz w:val="22"/>
          <w:szCs w:val="22"/>
        </w:rPr>
        <w:t xml:space="preserve">s and ensure the free, </w:t>
      </w:r>
      <w:proofErr w:type="gramStart"/>
      <w:r w:rsidRPr="00510EBB">
        <w:rPr>
          <w:color w:val="auto"/>
          <w:sz w:val="22"/>
          <w:szCs w:val="22"/>
        </w:rPr>
        <w:t>prior</w:t>
      </w:r>
      <w:proofErr w:type="gramEnd"/>
      <w:r w:rsidRPr="00510EBB">
        <w:rPr>
          <w:color w:val="auto"/>
          <w:sz w:val="22"/>
          <w:szCs w:val="22"/>
        </w:rPr>
        <w:t xml:space="preserve"> and informed consent is sought when considering the possible release of EGD-LMOs according to national legislation</w:t>
      </w:r>
      <w:r w:rsidR="00C85891">
        <w:rPr>
          <w:color w:val="auto"/>
          <w:sz w:val="22"/>
          <w:szCs w:val="22"/>
        </w:rPr>
        <w:t xml:space="preserve"> </w:t>
      </w:r>
      <w:r w:rsidR="00C85891" w:rsidRPr="00CB2FCD">
        <w:rPr>
          <w:color w:val="000000" w:themeColor="text1"/>
          <w:sz w:val="22"/>
          <w:szCs w:val="22"/>
        </w:rPr>
        <w:t>and international obligations</w:t>
      </w:r>
      <w:r w:rsidRPr="00CB2FCD">
        <w:rPr>
          <w:color w:val="000000" w:themeColor="text1"/>
          <w:sz w:val="22"/>
          <w:szCs w:val="22"/>
        </w:rPr>
        <w:t xml:space="preserve">, as </w:t>
      </w:r>
      <w:r w:rsidRPr="00510EBB">
        <w:rPr>
          <w:color w:val="auto"/>
          <w:sz w:val="22"/>
          <w:szCs w:val="22"/>
        </w:rPr>
        <w:t xml:space="preserve">appropriate. </w:t>
      </w:r>
    </w:p>
    <w:p w14:paraId="5F537F03" w14:textId="77777777" w:rsidR="00B2643F" w:rsidRPr="00510EBB" w:rsidRDefault="00B2643F" w:rsidP="00B2643F">
      <w:pPr>
        <w:pStyle w:val="Heading2"/>
        <w:spacing w:line="276" w:lineRule="auto"/>
        <w:rPr>
          <w:rFonts w:ascii="Times New Roman" w:hAnsi="Times New Roman" w:cs="Times New Roman"/>
          <w:b/>
          <w:color w:val="000000" w:themeColor="text1"/>
          <w:sz w:val="24"/>
          <w:szCs w:val="24"/>
        </w:rPr>
      </w:pPr>
      <w:bookmarkStart w:id="92" w:name="_Toc161220519"/>
      <w:r w:rsidRPr="00510EBB">
        <w:rPr>
          <w:rFonts w:ascii="Times New Roman" w:hAnsi="Times New Roman" w:cs="Times New Roman"/>
          <w:b/>
          <w:color w:val="000000" w:themeColor="text1"/>
          <w:sz w:val="24"/>
          <w:szCs w:val="24"/>
        </w:rPr>
        <w:lastRenderedPageBreak/>
        <w:t xml:space="preserve">7.5. Consideration of public awareness, </w:t>
      </w:r>
      <w:proofErr w:type="gramStart"/>
      <w:r w:rsidRPr="00510EBB">
        <w:rPr>
          <w:rFonts w:ascii="Times New Roman" w:hAnsi="Times New Roman" w:cs="Times New Roman"/>
          <w:b/>
          <w:color w:val="000000" w:themeColor="text1"/>
          <w:sz w:val="24"/>
          <w:szCs w:val="24"/>
        </w:rPr>
        <w:t>education</w:t>
      </w:r>
      <w:proofErr w:type="gramEnd"/>
      <w:r w:rsidRPr="00510EBB">
        <w:rPr>
          <w:rFonts w:ascii="Times New Roman" w:hAnsi="Times New Roman" w:cs="Times New Roman"/>
          <w:b/>
          <w:color w:val="000000" w:themeColor="text1"/>
          <w:sz w:val="24"/>
          <w:szCs w:val="24"/>
        </w:rPr>
        <w:t xml:space="preserve"> and participation (e.g., full and effective participation of indigenous peoples and local communities), and access to information and risk communication</w:t>
      </w:r>
      <w:bookmarkEnd w:id="92"/>
      <w:r w:rsidRPr="00510EBB">
        <w:rPr>
          <w:rFonts w:ascii="Times New Roman" w:hAnsi="Times New Roman" w:cs="Times New Roman"/>
          <w:b/>
          <w:color w:val="000000" w:themeColor="text1"/>
          <w:sz w:val="24"/>
          <w:szCs w:val="24"/>
        </w:rPr>
        <w:t xml:space="preserve">  </w:t>
      </w:r>
    </w:p>
    <w:p w14:paraId="213C89DB" w14:textId="22445011" w:rsidR="00B2643F" w:rsidRPr="00510EBB" w:rsidRDefault="00B2643F" w:rsidP="00510EBB">
      <w:pPr>
        <w:pStyle w:val="Default"/>
        <w:spacing w:line="276" w:lineRule="auto"/>
      </w:pPr>
      <w:r w:rsidRPr="00510EBB">
        <w:rPr>
          <w:color w:val="auto"/>
          <w:sz w:val="22"/>
          <w:szCs w:val="22"/>
        </w:rPr>
        <w:t xml:space="preserve">Public awareness, education and participation, and access to information about the risk assessment of EGD-LMOs and their potential adverse effects or activities, including biosafety related communication, is essential to ensure effective participation of </w:t>
      </w:r>
      <w:r w:rsidR="008B7498" w:rsidRPr="00510EBB">
        <w:rPr>
          <w:color w:val="auto"/>
          <w:sz w:val="22"/>
          <w:szCs w:val="22"/>
        </w:rPr>
        <w:t>indigenou</w:t>
      </w:r>
      <w:r w:rsidRPr="00510EBB">
        <w:rPr>
          <w:color w:val="auto"/>
          <w:sz w:val="22"/>
          <w:szCs w:val="22"/>
        </w:rPr>
        <w:t>s</w:t>
      </w:r>
      <w:r w:rsidR="008B7498" w:rsidRPr="00510EBB">
        <w:rPr>
          <w:color w:val="auto"/>
          <w:sz w:val="22"/>
          <w:szCs w:val="22"/>
        </w:rPr>
        <w:t xml:space="preserve"> people</w:t>
      </w:r>
      <w:r w:rsidR="00E87BB2">
        <w:rPr>
          <w:color w:val="auto"/>
          <w:sz w:val="22"/>
          <w:szCs w:val="22"/>
        </w:rPr>
        <w:t>s</w:t>
      </w:r>
      <w:r w:rsidR="008B7498" w:rsidRPr="00510EBB">
        <w:rPr>
          <w:color w:val="auto"/>
          <w:sz w:val="22"/>
          <w:szCs w:val="22"/>
        </w:rPr>
        <w:t xml:space="preserve"> and local communities</w:t>
      </w:r>
      <w:r w:rsidRPr="00510EBB">
        <w:rPr>
          <w:color w:val="auto"/>
          <w:sz w:val="22"/>
          <w:szCs w:val="22"/>
        </w:rPr>
        <w:t xml:space="preserve">.  </w:t>
      </w:r>
    </w:p>
    <w:p w14:paraId="2A816263" w14:textId="7321F1DE" w:rsidR="00B2643F" w:rsidRPr="00510EBB" w:rsidRDefault="00B2643F" w:rsidP="00510EBB">
      <w:pPr>
        <w:pStyle w:val="Default"/>
        <w:spacing w:line="276" w:lineRule="auto"/>
        <w:rPr>
          <w:color w:val="auto"/>
          <w:sz w:val="22"/>
          <w:szCs w:val="22"/>
        </w:rPr>
      </w:pPr>
      <w:r w:rsidRPr="00510EBB">
        <w:rPr>
          <w:color w:val="auto"/>
          <w:sz w:val="22"/>
          <w:szCs w:val="22"/>
        </w:rPr>
        <w:t xml:space="preserve">Indigenous knowledge, innovations and practices integrated with accessible and understandable science for effective communication including use of local </w:t>
      </w:r>
      <w:r w:rsidR="00D113BF" w:rsidRPr="00CB2FCD">
        <w:rPr>
          <w:color w:val="000000" w:themeColor="text1"/>
          <w:sz w:val="22"/>
          <w:szCs w:val="22"/>
        </w:rPr>
        <w:t xml:space="preserve">and indigenous </w:t>
      </w:r>
      <w:r w:rsidRPr="00CB2FCD">
        <w:rPr>
          <w:color w:val="000000" w:themeColor="text1"/>
          <w:sz w:val="22"/>
          <w:szCs w:val="22"/>
        </w:rPr>
        <w:t xml:space="preserve">languages for risk communication may be useful for scientists and decision makers in regulation of EGD-LMOs. In addition, it should be added that communication should be done in a transparent manner that avoids creating a communication gap between </w:t>
      </w:r>
      <w:r w:rsidR="75F791F5" w:rsidRPr="00CB2FCD">
        <w:rPr>
          <w:color w:val="000000" w:themeColor="text1"/>
          <w:sz w:val="22"/>
          <w:szCs w:val="22"/>
        </w:rPr>
        <w:t xml:space="preserve">e.g., </w:t>
      </w:r>
      <w:r w:rsidRPr="00510EBB">
        <w:rPr>
          <w:color w:val="auto"/>
          <w:sz w:val="22"/>
          <w:szCs w:val="22"/>
        </w:rPr>
        <w:t>scientists</w:t>
      </w:r>
      <w:r w:rsidR="00E77EBC">
        <w:rPr>
          <w:color w:val="auto"/>
          <w:sz w:val="22"/>
          <w:szCs w:val="22"/>
        </w:rPr>
        <w:t xml:space="preserve"> </w:t>
      </w:r>
      <w:r w:rsidRPr="00510EBB">
        <w:rPr>
          <w:color w:val="auto"/>
          <w:sz w:val="22"/>
          <w:szCs w:val="22"/>
        </w:rPr>
        <w:t xml:space="preserve">and the public (the deficit model concept). </w:t>
      </w:r>
    </w:p>
    <w:p w14:paraId="121BC169" w14:textId="6D131BCC" w:rsidR="00B2643F" w:rsidRPr="00510EBB" w:rsidRDefault="00B2643F" w:rsidP="00510EBB">
      <w:pPr>
        <w:pStyle w:val="Default"/>
        <w:spacing w:line="276" w:lineRule="auto"/>
        <w:rPr>
          <w:color w:val="auto"/>
        </w:rPr>
      </w:pPr>
      <w:r w:rsidRPr="00510EBB">
        <w:rPr>
          <w:color w:val="auto"/>
          <w:sz w:val="22"/>
          <w:szCs w:val="22"/>
        </w:rPr>
        <w:t xml:space="preserve">Inclusion of public awareness, participatory process, including full and effective participation of </w:t>
      </w:r>
      <w:r w:rsidR="00B614EB" w:rsidRPr="00B614EB">
        <w:rPr>
          <w:color w:val="auto"/>
          <w:sz w:val="22"/>
          <w:szCs w:val="22"/>
        </w:rPr>
        <w:t>indigenous peoples and local communitie</w:t>
      </w:r>
      <w:r w:rsidRPr="00510EBB">
        <w:rPr>
          <w:color w:val="auto"/>
          <w:sz w:val="22"/>
          <w:szCs w:val="22"/>
        </w:rPr>
        <w:t xml:space="preserve">s in the risk assessment process while ensuring the inclusion of their knowledge and value systems are important elements. It is also important to consider appropriate means to make data available </w:t>
      </w:r>
      <w:proofErr w:type="gramStart"/>
      <w:r w:rsidRPr="00510EBB">
        <w:rPr>
          <w:color w:val="auto"/>
          <w:sz w:val="22"/>
          <w:szCs w:val="22"/>
        </w:rPr>
        <w:t>in order to</w:t>
      </w:r>
      <w:proofErr w:type="gramEnd"/>
      <w:r w:rsidRPr="00510EBB">
        <w:rPr>
          <w:color w:val="auto"/>
          <w:sz w:val="22"/>
          <w:szCs w:val="22"/>
        </w:rPr>
        <w:t xml:space="preserve"> facilitate independent analysis of the risk assessment.  Article 14 1(a) of the C</w:t>
      </w:r>
      <w:r w:rsidR="008B7498" w:rsidRPr="00510EBB">
        <w:rPr>
          <w:color w:val="auto"/>
          <w:sz w:val="22"/>
          <w:szCs w:val="22"/>
        </w:rPr>
        <w:t>onvention</w:t>
      </w:r>
      <w:r w:rsidRPr="00510EBB">
        <w:rPr>
          <w:color w:val="auto"/>
          <w:sz w:val="22"/>
          <w:szCs w:val="22"/>
        </w:rPr>
        <w:t xml:space="preserve"> states that: </w:t>
      </w:r>
      <w:r w:rsidR="008B7498" w:rsidRPr="00510EBB">
        <w:rPr>
          <w:color w:val="auto"/>
          <w:sz w:val="22"/>
          <w:szCs w:val="22"/>
        </w:rPr>
        <w:t>“e</w:t>
      </w:r>
      <w:r w:rsidRPr="00510EBB">
        <w:rPr>
          <w:color w:val="auto"/>
          <w:sz w:val="22"/>
          <w:szCs w:val="22"/>
        </w:rPr>
        <w:t xml:space="preserve">ach </w:t>
      </w:r>
      <w:r w:rsidR="008B7498" w:rsidRPr="00510EBB">
        <w:rPr>
          <w:color w:val="auto"/>
          <w:sz w:val="22"/>
          <w:szCs w:val="22"/>
        </w:rPr>
        <w:t>c</w:t>
      </w:r>
      <w:r w:rsidRPr="00510EBB">
        <w:rPr>
          <w:color w:val="auto"/>
          <w:sz w:val="22"/>
          <w:szCs w:val="22"/>
        </w:rPr>
        <w:t xml:space="preserve">ontracting Party, as far as possible and as appropriate, shall introduce appropriate procedures requiring environmental impact assessment of its proposed projects that are likely to have significant adverse effects on biological diversity with a view to avoiding or minimizing such effects and, where appropriate, allow for public participation in such procedures.” Public awareness, education and participation is addressed in </w:t>
      </w:r>
      <w:r w:rsidR="008B7498" w:rsidRPr="00510EBB">
        <w:rPr>
          <w:color w:val="auto"/>
          <w:sz w:val="22"/>
          <w:szCs w:val="22"/>
        </w:rPr>
        <w:t>A</w:t>
      </w:r>
      <w:r w:rsidRPr="00510EBB">
        <w:rPr>
          <w:color w:val="auto"/>
          <w:sz w:val="22"/>
          <w:szCs w:val="22"/>
        </w:rPr>
        <w:t xml:space="preserve">rticle 23 of the Protocol. </w:t>
      </w:r>
    </w:p>
    <w:p w14:paraId="4DD787AD" w14:textId="7B2775F9" w:rsidR="00B2643F" w:rsidRPr="00946CBF" w:rsidRDefault="33AA7C5A" w:rsidP="00B2643F">
      <w:pPr>
        <w:pStyle w:val="Heading2"/>
        <w:spacing w:line="276" w:lineRule="auto"/>
        <w:rPr>
          <w:rFonts w:ascii="Times New Roman" w:hAnsi="Times New Roman" w:cs="Times New Roman"/>
          <w:b/>
          <w:bCs/>
          <w:color w:val="000000" w:themeColor="text1"/>
          <w:sz w:val="24"/>
          <w:szCs w:val="24"/>
        </w:rPr>
      </w:pPr>
      <w:bookmarkStart w:id="93" w:name="_Toc161220520"/>
      <w:r w:rsidRPr="12D14FCC">
        <w:rPr>
          <w:rFonts w:ascii="Times New Roman" w:hAnsi="Times New Roman" w:cs="Times New Roman"/>
          <w:b/>
          <w:bCs/>
          <w:color w:val="000000" w:themeColor="text1"/>
          <w:sz w:val="24"/>
          <w:szCs w:val="24"/>
        </w:rPr>
        <w:t xml:space="preserve">7.6. Comparisons of novel </w:t>
      </w:r>
      <w:r w:rsidR="043D14F8" w:rsidRPr="00946CBF">
        <w:rPr>
          <w:rFonts w:ascii="Times New Roman" w:hAnsi="Times New Roman" w:cs="Times New Roman"/>
          <w:b/>
          <w:bCs/>
          <w:color w:val="000000" w:themeColor="text1"/>
          <w:sz w:val="24"/>
          <w:szCs w:val="24"/>
        </w:rPr>
        <w:t xml:space="preserve">and alternative </w:t>
      </w:r>
      <w:r w:rsidRPr="00946CBF">
        <w:rPr>
          <w:rFonts w:ascii="Times New Roman" w:hAnsi="Times New Roman" w:cs="Times New Roman"/>
          <w:b/>
          <w:bCs/>
          <w:color w:val="000000" w:themeColor="text1"/>
          <w:sz w:val="24"/>
          <w:szCs w:val="24"/>
        </w:rPr>
        <w:t>strategies</w:t>
      </w:r>
      <w:bookmarkEnd w:id="93"/>
      <w:r w:rsidRPr="00946CBF">
        <w:rPr>
          <w:rFonts w:ascii="Times New Roman" w:hAnsi="Times New Roman" w:cs="Times New Roman"/>
          <w:b/>
          <w:bCs/>
          <w:color w:val="000000" w:themeColor="text1"/>
          <w:sz w:val="24"/>
          <w:szCs w:val="24"/>
        </w:rPr>
        <w:t xml:space="preserve">  </w:t>
      </w:r>
    </w:p>
    <w:p w14:paraId="607CC9F8" w14:textId="1158BEA9" w:rsidR="00B2643F" w:rsidRPr="00510EBB" w:rsidRDefault="00066FAF" w:rsidP="00510EBB">
      <w:pPr>
        <w:pStyle w:val="Default"/>
        <w:spacing w:line="276" w:lineRule="auto"/>
        <w:rPr>
          <w:color w:val="auto"/>
        </w:rPr>
      </w:pPr>
      <w:r w:rsidRPr="00946CBF">
        <w:rPr>
          <w:color w:val="000000" w:themeColor="text1"/>
          <w:sz w:val="22"/>
          <w:szCs w:val="22"/>
        </w:rPr>
        <w:t xml:space="preserve">The control of </w:t>
      </w:r>
      <w:r w:rsidR="3F838B54" w:rsidRPr="00946CBF">
        <w:rPr>
          <w:color w:val="000000" w:themeColor="text1"/>
          <w:sz w:val="22"/>
          <w:szCs w:val="22"/>
        </w:rPr>
        <w:t>vector</w:t>
      </w:r>
      <w:r w:rsidR="00B2643F" w:rsidRPr="00946CBF">
        <w:rPr>
          <w:color w:val="000000" w:themeColor="text1"/>
          <w:sz w:val="22"/>
          <w:szCs w:val="22"/>
        </w:rPr>
        <w:t>-transmitted human disease</w:t>
      </w:r>
      <w:r w:rsidRPr="00946CBF">
        <w:rPr>
          <w:color w:val="000000" w:themeColor="text1"/>
          <w:sz w:val="22"/>
          <w:szCs w:val="22"/>
        </w:rPr>
        <w:t>s,</w:t>
      </w:r>
      <w:r w:rsidR="00B2643F" w:rsidRPr="00946CBF">
        <w:rPr>
          <w:color w:val="000000" w:themeColor="text1"/>
          <w:sz w:val="22"/>
          <w:szCs w:val="22"/>
        </w:rPr>
        <w:t xml:space="preserve"> invasive species and (agricultural) pest</w:t>
      </w:r>
      <w:r w:rsidRPr="00946CBF">
        <w:rPr>
          <w:color w:val="000000" w:themeColor="text1"/>
          <w:sz w:val="22"/>
          <w:szCs w:val="22"/>
        </w:rPr>
        <w:t>s</w:t>
      </w:r>
      <w:r w:rsidR="00B2643F" w:rsidRPr="00946CBF">
        <w:rPr>
          <w:color w:val="000000" w:themeColor="text1"/>
          <w:sz w:val="22"/>
          <w:szCs w:val="22"/>
        </w:rPr>
        <w:t xml:space="preserve"> demands the development of a wide range of complementary strategies, currently in use or under development. These strategies can</w:t>
      </w:r>
      <w:r w:rsidR="000F5E81" w:rsidRPr="00946CBF">
        <w:rPr>
          <w:color w:val="000000" w:themeColor="text1"/>
          <w:sz w:val="22"/>
          <w:szCs w:val="22"/>
        </w:rPr>
        <w:t xml:space="preserve"> inform risk assessment, benefit analysis, risk-benefit </w:t>
      </w:r>
      <w:proofErr w:type="gramStart"/>
      <w:r w:rsidR="000F5E81" w:rsidRPr="00946CBF">
        <w:rPr>
          <w:color w:val="000000" w:themeColor="text1"/>
          <w:sz w:val="22"/>
          <w:szCs w:val="22"/>
        </w:rPr>
        <w:t>analysis</w:t>
      </w:r>
      <w:proofErr w:type="gramEnd"/>
      <w:r w:rsidR="70002F9D" w:rsidRPr="00946CBF">
        <w:rPr>
          <w:color w:val="000000" w:themeColor="text1"/>
          <w:sz w:val="22"/>
          <w:szCs w:val="22"/>
        </w:rPr>
        <w:t xml:space="preserve"> a</w:t>
      </w:r>
      <w:r w:rsidR="5EDDC7F9" w:rsidRPr="00946CBF">
        <w:rPr>
          <w:color w:val="000000" w:themeColor="text1"/>
          <w:sz w:val="22"/>
          <w:szCs w:val="22"/>
        </w:rPr>
        <w:t>nd</w:t>
      </w:r>
      <w:r w:rsidR="70002F9D" w:rsidRPr="00946CBF">
        <w:rPr>
          <w:color w:val="000000" w:themeColor="text1"/>
          <w:sz w:val="22"/>
          <w:szCs w:val="22"/>
        </w:rPr>
        <w:t xml:space="preserve"> </w:t>
      </w:r>
      <w:r w:rsidR="000F5E81" w:rsidRPr="00946CBF">
        <w:rPr>
          <w:color w:val="000000" w:themeColor="text1"/>
          <w:sz w:val="22"/>
          <w:szCs w:val="22"/>
        </w:rPr>
        <w:t>decision-making for EGD-</w:t>
      </w:r>
      <w:r w:rsidR="70002F9D" w:rsidRPr="00946CBF">
        <w:rPr>
          <w:color w:val="000000" w:themeColor="text1"/>
          <w:sz w:val="22"/>
          <w:szCs w:val="22"/>
        </w:rPr>
        <w:t>LMOs</w:t>
      </w:r>
      <w:r w:rsidR="33AA7C5A" w:rsidRPr="00946CBF">
        <w:rPr>
          <w:color w:val="000000" w:themeColor="text1"/>
          <w:sz w:val="22"/>
          <w:szCs w:val="22"/>
        </w:rPr>
        <w:t xml:space="preserve">. </w:t>
      </w:r>
      <w:r w:rsidR="3B085EB5" w:rsidRPr="00946CBF">
        <w:rPr>
          <w:color w:val="000000" w:themeColor="text1"/>
          <w:sz w:val="22"/>
          <w:szCs w:val="22"/>
        </w:rPr>
        <w:t>Such</w:t>
      </w:r>
      <w:r w:rsidR="008B377D" w:rsidRPr="00946CBF">
        <w:rPr>
          <w:color w:val="000000" w:themeColor="text1"/>
          <w:sz w:val="22"/>
          <w:szCs w:val="22"/>
        </w:rPr>
        <w:t xml:space="preserve"> comparisons</w:t>
      </w:r>
      <w:r w:rsidR="00B2643F" w:rsidRPr="00946CBF">
        <w:rPr>
          <w:color w:val="000000" w:themeColor="text1"/>
          <w:sz w:val="22"/>
          <w:szCs w:val="22"/>
        </w:rPr>
        <w:t xml:space="preserve"> </w:t>
      </w:r>
      <w:r w:rsidR="00B2643F" w:rsidRPr="00510EBB">
        <w:rPr>
          <w:color w:val="auto"/>
          <w:sz w:val="22"/>
          <w:szCs w:val="22"/>
        </w:rPr>
        <w:t>shall reflect all existing alternative practices and habits (see section 7.1).</w:t>
      </w:r>
    </w:p>
    <w:p w14:paraId="2E5D0BEE" w14:textId="75F18118" w:rsidR="00B2643F" w:rsidRPr="00510EBB" w:rsidRDefault="00B2643F" w:rsidP="00510EBB">
      <w:pPr>
        <w:pStyle w:val="Default"/>
        <w:spacing w:line="276" w:lineRule="auto"/>
        <w:rPr>
          <w:color w:val="auto"/>
        </w:rPr>
      </w:pPr>
      <w:r w:rsidRPr="00510EBB">
        <w:rPr>
          <w:color w:val="auto"/>
          <w:sz w:val="22"/>
          <w:szCs w:val="22"/>
        </w:rPr>
        <w:t>In addition to alternatives listed above, ethical governance of gene drives may also consider the range of alternative ways of formulating and framing the problems that the gene drive technology is addressing. This alternative framing of the problems (e.g.</w:t>
      </w:r>
      <w:r w:rsidR="005138BD" w:rsidRPr="00510EBB">
        <w:rPr>
          <w:color w:val="auto"/>
          <w:sz w:val="22"/>
          <w:szCs w:val="22"/>
        </w:rPr>
        <w:t>,</w:t>
      </w:r>
      <w:r w:rsidRPr="00510EBB">
        <w:rPr>
          <w:color w:val="auto"/>
          <w:sz w:val="22"/>
          <w:szCs w:val="22"/>
        </w:rPr>
        <w:t xml:space="preserve"> disease control, invasive species control) will encourage discussion on a range of alternative approaches. These alternatives approaches may cause fewer potential risks, may be more actionable in the short-term, and more sensitive to local needs and resources. </w:t>
      </w:r>
    </w:p>
    <w:p w14:paraId="429F8553" w14:textId="77777777" w:rsidR="00B2643F" w:rsidRPr="00510EBB" w:rsidRDefault="00B2643F" w:rsidP="00510EBB">
      <w:pPr>
        <w:pStyle w:val="Default"/>
        <w:spacing w:line="276" w:lineRule="auto"/>
        <w:rPr>
          <w:color w:val="auto"/>
        </w:rPr>
      </w:pPr>
      <w:r w:rsidRPr="00510EBB">
        <w:rPr>
          <w:color w:val="auto"/>
          <w:sz w:val="22"/>
          <w:szCs w:val="22"/>
        </w:rPr>
        <w:t>Additional long-term human health impacts such as unintended evolution of pathogens, reduced capability to control target organisms with conventional methods, increased human and animal disease transmission, and compatibility with other vector control methods can also be considered in the comparisons.</w:t>
      </w:r>
    </w:p>
    <w:p w14:paraId="7CCA8F26" w14:textId="77777777" w:rsidR="00B2643F" w:rsidRPr="00510EBB" w:rsidRDefault="00B2643F" w:rsidP="00510EBB">
      <w:pPr>
        <w:pStyle w:val="Default"/>
        <w:spacing w:line="276" w:lineRule="auto"/>
        <w:rPr>
          <w:color w:val="auto"/>
        </w:rPr>
      </w:pPr>
      <w:r w:rsidRPr="00510EBB">
        <w:rPr>
          <w:color w:val="auto"/>
          <w:sz w:val="22"/>
          <w:szCs w:val="22"/>
        </w:rPr>
        <w:t xml:space="preserve">The comparison of novel strategies with alternative interventions and current measures available should </w:t>
      </w:r>
      <w:proofErr w:type="gramStart"/>
      <w:r w:rsidRPr="00510EBB">
        <w:rPr>
          <w:color w:val="auto"/>
          <w:sz w:val="22"/>
          <w:szCs w:val="22"/>
        </w:rPr>
        <w:t>take into account</w:t>
      </w:r>
      <w:proofErr w:type="gramEnd"/>
      <w:r w:rsidRPr="00510EBB">
        <w:rPr>
          <w:color w:val="auto"/>
          <w:sz w:val="22"/>
          <w:szCs w:val="22"/>
        </w:rPr>
        <w:t xml:space="preserve"> the sources and nature of uncertainties regarding potential risks and potential benefits. The sources and nature of uncertainty that could not be addressed during the early steps of the risk assessment can be described in relation to how they could affect the conclusions of the risk assessment. </w:t>
      </w:r>
    </w:p>
    <w:p w14:paraId="01E2A862" w14:textId="4CE9B126" w:rsidR="00B2643F" w:rsidRPr="00510EBB" w:rsidRDefault="00B2643F" w:rsidP="00510EBB">
      <w:pPr>
        <w:pStyle w:val="Default"/>
        <w:spacing w:line="276" w:lineRule="auto"/>
        <w:rPr>
          <w:color w:val="auto"/>
        </w:rPr>
      </w:pPr>
      <w:r w:rsidRPr="00510EBB">
        <w:rPr>
          <w:color w:val="auto"/>
          <w:sz w:val="22"/>
          <w:szCs w:val="22"/>
        </w:rPr>
        <w:lastRenderedPageBreak/>
        <w:t xml:space="preserve">For risk assessment where uncertainties have been identified, they shall be made transparent to the decision makers. In such cases, it may also be useful to provide an analysis of alternative options to assist the decision makers. The outcome of the risk assessment should be evaluated </w:t>
      </w:r>
      <w:proofErr w:type="gramStart"/>
      <w:r w:rsidRPr="00510EBB">
        <w:rPr>
          <w:color w:val="auto"/>
          <w:sz w:val="22"/>
          <w:szCs w:val="22"/>
        </w:rPr>
        <w:t>in regard to</w:t>
      </w:r>
      <w:proofErr w:type="gramEnd"/>
      <w:r w:rsidRPr="00510EBB">
        <w:rPr>
          <w:color w:val="auto"/>
          <w:sz w:val="22"/>
          <w:szCs w:val="22"/>
        </w:rPr>
        <w:t xml:space="preserve"> a broad range of comparators for the decision-making process.</w:t>
      </w:r>
    </w:p>
    <w:p w14:paraId="6F626993" w14:textId="42C31A47" w:rsidR="00B2643F" w:rsidRPr="00510EBB" w:rsidRDefault="00B2643F" w:rsidP="00A10BDE">
      <w:pPr>
        <w:pStyle w:val="Heading2"/>
        <w:spacing w:line="276" w:lineRule="auto"/>
        <w:rPr>
          <w:rFonts w:ascii="Times New Roman" w:hAnsi="Times New Roman" w:cs="Times New Roman"/>
          <w:b/>
          <w:color w:val="000000" w:themeColor="text1"/>
          <w:sz w:val="24"/>
          <w:szCs w:val="24"/>
        </w:rPr>
      </w:pPr>
      <w:bookmarkStart w:id="94" w:name="_Toc161220521"/>
      <w:r w:rsidRPr="00510EBB">
        <w:rPr>
          <w:rFonts w:ascii="Times New Roman" w:hAnsi="Times New Roman" w:cs="Times New Roman"/>
          <w:b/>
          <w:color w:val="000000" w:themeColor="text1"/>
          <w:sz w:val="24"/>
          <w:szCs w:val="24"/>
        </w:rPr>
        <w:t>7.7. Transboundary movements</w:t>
      </w:r>
      <w:bookmarkEnd w:id="94"/>
    </w:p>
    <w:p w14:paraId="2D793287" w14:textId="7B0503AF" w:rsidR="00B2643F" w:rsidRPr="00510EBB" w:rsidRDefault="00B2643F" w:rsidP="00510EBB">
      <w:pPr>
        <w:pStyle w:val="Default"/>
        <w:spacing w:line="276" w:lineRule="auto"/>
        <w:rPr>
          <w:color w:val="auto"/>
        </w:rPr>
      </w:pPr>
      <w:r w:rsidRPr="00510EBB">
        <w:rPr>
          <w:color w:val="auto"/>
          <w:sz w:val="22"/>
          <w:szCs w:val="22"/>
        </w:rPr>
        <w:t>If the EG</w:t>
      </w:r>
      <w:r w:rsidR="00F85ABF">
        <w:rPr>
          <w:color w:val="auto"/>
          <w:sz w:val="22"/>
          <w:szCs w:val="22"/>
        </w:rPr>
        <w:t>D</w:t>
      </w:r>
      <w:r w:rsidRPr="00510EBB">
        <w:rPr>
          <w:color w:val="auto"/>
          <w:sz w:val="22"/>
          <w:szCs w:val="22"/>
        </w:rPr>
        <w:t>-LMM were released in the field without any isolation, it would be expected that EGD-LMM would spread to target mosquito populations distal to the release site. The rate of spread of the EGD-LMM would depend on the (1) dispersal of the target mosquito population, (2) threshold frequency with which the EG</w:t>
      </w:r>
      <w:r w:rsidR="00F85ABF">
        <w:rPr>
          <w:color w:val="auto"/>
          <w:sz w:val="22"/>
          <w:szCs w:val="22"/>
        </w:rPr>
        <w:t>D</w:t>
      </w:r>
      <w:r w:rsidRPr="00510EBB">
        <w:rPr>
          <w:color w:val="auto"/>
          <w:sz w:val="22"/>
          <w:szCs w:val="22"/>
        </w:rPr>
        <w:t xml:space="preserve"> is required to establish in distal target mosquito populations, (3) the fitness costs of the EGD incurred on the E</w:t>
      </w:r>
      <w:r w:rsidR="00F85ABF">
        <w:rPr>
          <w:color w:val="auto"/>
          <w:sz w:val="22"/>
          <w:szCs w:val="22"/>
        </w:rPr>
        <w:t>GD</w:t>
      </w:r>
      <w:r w:rsidRPr="00510EBB">
        <w:rPr>
          <w:color w:val="auto"/>
          <w:sz w:val="22"/>
          <w:szCs w:val="22"/>
        </w:rPr>
        <w:t>-LMMs, (4) reproductive capacity, and (5) release sites.</w:t>
      </w:r>
    </w:p>
    <w:p w14:paraId="59BC071A" w14:textId="04464B8F" w:rsidR="00B2643F" w:rsidRPr="00510EBB" w:rsidRDefault="00B2643F" w:rsidP="00BB16F9">
      <w:pPr>
        <w:pStyle w:val="Para1"/>
        <w:numPr>
          <w:ilvl w:val="0"/>
          <w:numId w:val="0"/>
        </w:numPr>
        <w:spacing w:before="0" w:after="160" w:line="276" w:lineRule="auto"/>
        <w:rPr>
          <w:rFonts w:eastAsiaTheme="minorEastAsia"/>
          <w:highlight w:val="cyan"/>
        </w:rPr>
      </w:pPr>
      <w:r>
        <w:t xml:space="preserve">For some EGD-LMMs, sufficient isolation may not be possible because of dispersal brought about by long-distance windborne migration </w:t>
      </w:r>
      <w:r w:rsidRPr="00E13B4B">
        <w:t>(Huestis</w:t>
      </w:r>
      <w:r w:rsidR="00D61B6F" w:rsidRPr="00E13B4B">
        <w:t xml:space="preserve"> and others</w:t>
      </w:r>
      <w:r w:rsidR="00543F33" w:rsidRPr="00E13B4B">
        <w:t>,</w:t>
      </w:r>
      <w:r w:rsidRPr="00E13B4B">
        <w:t xml:space="preserve"> 2019),</w:t>
      </w:r>
      <w:r>
        <w:t xml:space="preserve"> or human-assisted transport links by road or water. Gene drives may eventually spread beyond release sites and establish across national borders, raising issues of transboundary movements and international governance. </w:t>
      </w:r>
      <w:r w:rsidR="0EB9F125" w:rsidRPr="438D0CBE">
        <w:rPr>
          <w:color w:val="000000" w:themeColor="text1"/>
        </w:rPr>
        <w:t>R</w:t>
      </w:r>
      <w:r w:rsidR="0EB9F125" w:rsidRPr="009843EB">
        <w:rPr>
          <w:rFonts w:eastAsiaTheme="minorEastAsia"/>
          <w:color w:val="000000" w:themeColor="text1"/>
        </w:rPr>
        <w:t xml:space="preserve">egional approaches that would facilitate multi-country/international regulatory oversight and governance have been suggested (James and others, 2018; </w:t>
      </w:r>
      <w:r w:rsidR="0EB9F125" w:rsidRPr="00E13B4B">
        <w:rPr>
          <w:rFonts w:eastAsiaTheme="minorEastAsia"/>
          <w:color w:val="000000" w:themeColor="text1"/>
        </w:rPr>
        <w:t>Rabitz, 2019; Kelsey</w:t>
      </w:r>
      <w:r w:rsidR="0EB9F125" w:rsidRPr="009843EB">
        <w:rPr>
          <w:rFonts w:eastAsiaTheme="minorEastAsia"/>
          <w:color w:val="000000" w:themeColor="text1"/>
        </w:rPr>
        <w:t xml:space="preserve"> </w:t>
      </w:r>
      <w:r w:rsidR="0EB9F125" w:rsidRPr="00E13B4B">
        <w:rPr>
          <w:rFonts w:eastAsiaTheme="minorEastAsia"/>
          <w:color w:val="000000" w:themeColor="text1"/>
        </w:rPr>
        <w:t>and others, 2020</w:t>
      </w:r>
      <w:r w:rsidR="0EB9F125" w:rsidRPr="009843EB">
        <w:rPr>
          <w:rFonts w:eastAsiaTheme="minorEastAsia"/>
          <w:color w:val="000000" w:themeColor="text1"/>
        </w:rPr>
        <w:t>).</w:t>
      </w:r>
    </w:p>
    <w:p w14:paraId="1D6958F9" w14:textId="717E2E07" w:rsidR="00B2643F" w:rsidRPr="00510EBB" w:rsidRDefault="00B2643F" w:rsidP="00333CD4">
      <w:pPr>
        <w:pStyle w:val="Heading2"/>
        <w:spacing w:line="276" w:lineRule="auto"/>
        <w:rPr>
          <w:b/>
          <w:bCs/>
          <w:color w:val="000000" w:themeColor="text1"/>
          <w:sz w:val="24"/>
          <w:szCs w:val="24"/>
        </w:rPr>
      </w:pPr>
      <w:bookmarkStart w:id="95" w:name="_Toc161220522"/>
      <w:r w:rsidRPr="00333CD4">
        <w:rPr>
          <w:rFonts w:ascii="Times New Roman" w:hAnsi="Times New Roman" w:cs="Times New Roman"/>
          <w:b/>
          <w:color w:val="000000" w:themeColor="text1"/>
          <w:sz w:val="24"/>
          <w:szCs w:val="24"/>
        </w:rPr>
        <w:t>7.8</w:t>
      </w:r>
      <w:r w:rsidR="3E10CFB2" w:rsidRPr="00333CD4">
        <w:rPr>
          <w:rFonts w:ascii="Times New Roman" w:hAnsi="Times New Roman" w:cs="Times New Roman"/>
          <w:b/>
          <w:color w:val="000000" w:themeColor="text1"/>
          <w:sz w:val="24"/>
          <w:szCs w:val="24"/>
        </w:rPr>
        <w:t>.</w:t>
      </w:r>
      <w:r w:rsidRPr="00333CD4">
        <w:rPr>
          <w:rFonts w:ascii="Times New Roman" w:hAnsi="Times New Roman" w:cs="Times New Roman"/>
          <w:b/>
          <w:color w:val="000000" w:themeColor="text1"/>
          <w:sz w:val="24"/>
          <w:szCs w:val="24"/>
        </w:rPr>
        <w:t xml:space="preserve"> Consideration of liability and redress elements</w:t>
      </w:r>
      <w:bookmarkEnd w:id="95"/>
    </w:p>
    <w:p w14:paraId="0FA03553" w14:textId="732E6127" w:rsidR="00B11F8D" w:rsidRPr="00720DC3" w:rsidRDefault="00E24E56" w:rsidP="12D14FCC">
      <w:pPr>
        <w:pStyle w:val="Default"/>
        <w:spacing w:line="276" w:lineRule="auto"/>
        <w:rPr>
          <w:b/>
          <w:bCs/>
          <w:color w:val="000000" w:themeColor="text1"/>
        </w:rPr>
      </w:pPr>
      <w:r w:rsidRPr="00510EBB">
        <w:rPr>
          <w:color w:val="auto"/>
          <w:sz w:val="22"/>
          <w:szCs w:val="22"/>
        </w:rPr>
        <w:t>In the ev</w:t>
      </w:r>
      <w:r w:rsidR="00802FDE" w:rsidRPr="00510EBB">
        <w:rPr>
          <w:color w:val="auto"/>
          <w:sz w:val="22"/>
          <w:szCs w:val="22"/>
        </w:rPr>
        <w:t xml:space="preserve">ent of adverse effects being realized, </w:t>
      </w:r>
      <w:r w:rsidR="00B2643F" w:rsidRPr="00510EBB">
        <w:rPr>
          <w:color w:val="auto"/>
          <w:sz w:val="22"/>
          <w:szCs w:val="22"/>
        </w:rPr>
        <w:t xml:space="preserve">the costs entailed may include those of potential response measures that may be undertaken in accordance with provisions of the Nagoya-Kuala Lumpur Supplementary Protocol on Liability and Redress to the Cartagena Protocol on Biosafety as appropriate for some Parties. The Supplementary Protocol applies to damage resulting from living modified organisms that find their origin in a transboundary movement as well as to damage within the limits of national jurisdictions. Damage is defined as an adverse effect on the conservation and sustainable use of biological diversity, also </w:t>
      </w:r>
      <w:proofErr w:type="gramStart"/>
      <w:r w:rsidR="00B2643F" w:rsidRPr="00510EBB">
        <w:rPr>
          <w:color w:val="auto"/>
          <w:sz w:val="22"/>
          <w:szCs w:val="22"/>
        </w:rPr>
        <w:t>taking into account</w:t>
      </w:r>
      <w:proofErr w:type="gramEnd"/>
      <w:r w:rsidR="00B2643F" w:rsidRPr="00510EBB">
        <w:rPr>
          <w:color w:val="auto"/>
          <w:sz w:val="22"/>
          <w:szCs w:val="22"/>
        </w:rPr>
        <w:t xml:space="preserve"> risks to human health that is measurable or otherwise observable, taking into account, wherever available, scientifically established baselines recognized by a competent authority that takes into account any other human-induced variation and natural variation, and is significant.</w:t>
      </w:r>
    </w:p>
    <w:p w14:paraId="55A82C32" w14:textId="1D062402" w:rsidR="00B05C91" w:rsidRDefault="00B05C91" w:rsidP="00510EBB">
      <w:pPr>
        <w:pStyle w:val="Default"/>
        <w:spacing w:line="276" w:lineRule="auto"/>
        <w:rPr>
          <w:b/>
          <w:bCs/>
          <w:lang w:val="en-US"/>
        </w:rPr>
      </w:pPr>
      <w:r>
        <w:rPr>
          <w:b/>
          <w:bCs/>
          <w:lang w:val="en-US"/>
        </w:rPr>
        <w:br w:type="page"/>
      </w:r>
    </w:p>
    <w:p w14:paraId="518E51A2" w14:textId="1E75B896" w:rsidR="00B05C91" w:rsidRPr="00510EBB" w:rsidRDefault="75021A80" w:rsidP="00510EBB">
      <w:pPr>
        <w:pStyle w:val="Heading2"/>
        <w:spacing w:line="276" w:lineRule="auto"/>
        <w:rPr>
          <w:b/>
          <w:bCs/>
          <w:color w:val="auto"/>
          <w:sz w:val="28"/>
          <w:szCs w:val="28"/>
        </w:rPr>
      </w:pPr>
      <w:bookmarkStart w:id="96" w:name="_Toc161220523"/>
      <w:r w:rsidRPr="009843EB">
        <w:rPr>
          <w:rFonts w:ascii="Times New Roman" w:hAnsi="Times New Roman" w:cs="Times New Roman"/>
          <w:b/>
          <w:bCs/>
          <w:color w:val="000000" w:themeColor="text1"/>
          <w:sz w:val="28"/>
          <w:szCs w:val="28"/>
          <w:lang w:val="en-GB"/>
        </w:rPr>
        <w:lastRenderedPageBreak/>
        <w:t xml:space="preserve">8. </w:t>
      </w:r>
      <w:r w:rsidR="0047337E" w:rsidRPr="4644E7B5">
        <w:rPr>
          <w:rFonts w:ascii="Times New Roman" w:hAnsi="Times New Roman" w:cs="Times New Roman"/>
          <w:b/>
          <w:bCs/>
          <w:color w:val="auto"/>
          <w:sz w:val="28"/>
          <w:szCs w:val="28"/>
          <w:lang w:val="en-GB"/>
        </w:rPr>
        <w:t>Bibliography</w:t>
      </w:r>
      <w:bookmarkEnd w:id="96"/>
    </w:p>
    <w:p w14:paraId="0533FE75" w14:textId="2FD33AAC" w:rsidR="637FCB5A" w:rsidRPr="00626AF4" w:rsidRDefault="00FA4183" w:rsidP="637FCB5A">
      <w:pPr>
        <w:rPr>
          <w:rFonts w:ascii="Times New Roman" w:hAnsi="Times New Roman" w:cs="Times New Roman"/>
          <w:color w:val="000000" w:themeColor="text1"/>
        </w:rPr>
      </w:pPr>
      <w:hyperlink r:id="rId31">
        <w:proofErr w:type="spellStart"/>
        <w:r w:rsidR="000F3E80" w:rsidRPr="00626AF4">
          <w:rPr>
            <w:rFonts w:ascii="Times New Roman" w:hAnsi="Times New Roman" w:cs="Times New Roman"/>
            <w:color w:val="000000" w:themeColor="text1"/>
          </w:rPr>
          <w:t>Ad</w:t>
        </w:r>
      </w:hyperlink>
      <w:r w:rsidR="000F3E80" w:rsidRPr="00626AF4">
        <w:rPr>
          <w:rFonts w:ascii="Times New Roman" w:hAnsi="Times New Roman" w:cs="Times New Roman"/>
          <w:color w:val="000000" w:themeColor="text1"/>
        </w:rPr>
        <w:t>olfi</w:t>
      </w:r>
      <w:proofErr w:type="spellEnd"/>
      <w:r w:rsidR="000F3E80" w:rsidRPr="00626AF4">
        <w:rPr>
          <w:rFonts w:ascii="Times New Roman" w:hAnsi="Times New Roman" w:cs="Times New Roman"/>
          <w:color w:val="000000" w:themeColor="text1"/>
        </w:rPr>
        <w:t xml:space="preserve">, Adriana, and others. Efficient population modification gene-drive rescue system in the malaria mosquito </w:t>
      </w:r>
      <w:r w:rsidR="000F3E80" w:rsidRPr="00626AF4">
        <w:rPr>
          <w:rFonts w:ascii="Times New Roman" w:hAnsi="Times New Roman" w:cs="Times New Roman"/>
          <w:i/>
          <w:iCs/>
          <w:color w:val="000000" w:themeColor="text1"/>
        </w:rPr>
        <w:t xml:space="preserve">Anopheles </w:t>
      </w:r>
      <w:proofErr w:type="spellStart"/>
      <w:r w:rsidR="000F3E80" w:rsidRPr="00626AF4">
        <w:rPr>
          <w:rFonts w:ascii="Times New Roman" w:hAnsi="Times New Roman" w:cs="Times New Roman"/>
          <w:i/>
          <w:iCs/>
          <w:color w:val="000000" w:themeColor="text1"/>
        </w:rPr>
        <w:t>stephensi</w:t>
      </w:r>
      <w:proofErr w:type="spellEnd"/>
      <w:r w:rsidR="000F3E80" w:rsidRPr="00626AF4">
        <w:rPr>
          <w:rFonts w:ascii="Times New Roman" w:hAnsi="Times New Roman" w:cs="Times New Roman"/>
          <w:i/>
          <w:iCs/>
          <w:color w:val="000000" w:themeColor="text1"/>
        </w:rPr>
        <w:t>. Nature communications</w:t>
      </w:r>
      <w:r w:rsidR="000F3E80" w:rsidRPr="00626AF4">
        <w:rPr>
          <w:rFonts w:ascii="Times New Roman" w:hAnsi="Times New Roman" w:cs="Times New Roman"/>
          <w:color w:val="000000" w:themeColor="text1"/>
        </w:rPr>
        <w:t xml:space="preserve">, vol. 11, No. 5553 (November 2020). </w:t>
      </w:r>
    </w:p>
    <w:p w14:paraId="5CAA5154" w14:textId="089A31B6" w:rsidR="00787D21" w:rsidRPr="00626AF4" w:rsidRDefault="00787D21" w:rsidP="00787D21">
      <w:pPr>
        <w:rPr>
          <w:rFonts w:ascii="Times New Roman" w:hAnsi="Times New Roman" w:cs="Times New Roman"/>
          <w:color w:val="000000" w:themeColor="text1"/>
        </w:rPr>
      </w:pPr>
      <w:r w:rsidRPr="00626AF4">
        <w:rPr>
          <w:rFonts w:ascii="Times New Roman" w:hAnsi="Times New Roman" w:cs="Times New Roman"/>
          <w:color w:val="000000" w:themeColor="text1"/>
        </w:rPr>
        <w:t xml:space="preserve">Alcalay, </w:t>
      </w:r>
      <w:proofErr w:type="spellStart"/>
      <w:r w:rsidRPr="00626AF4">
        <w:rPr>
          <w:rFonts w:ascii="Times New Roman" w:hAnsi="Times New Roman" w:cs="Times New Roman"/>
          <w:color w:val="000000" w:themeColor="text1"/>
        </w:rPr>
        <w:t>Yehnoatan</w:t>
      </w:r>
      <w:proofErr w:type="spellEnd"/>
      <w:r w:rsidRPr="00626AF4">
        <w:rPr>
          <w:rFonts w:ascii="Times New Roman" w:hAnsi="Times New Roman" w:cs="Times New Roman"/>
          <w:color w:val="000000" w:themeColor="text1"/>
        </w:rPr>
        <w:t xml:space="preserve">, and others. The potential for a released autosomal X-shredder becoming a driving-Y chromosome and invasively suppressing wild populations of malaria mosquitoes. </w:t>
      </w:r>
      <w:r w:rsidRPr="00626AF4">
        <w:rPr>
          <w:rFonts w:ascii="Times New Roman" w:hAnsi="Times New Roman" w:cs="Times New Roman"/>
          <w:i/>
          <w:iCs/>
          <w:color w:val="000000" w:themeColor="text1"/>
        </w:rPr>
        <w:t>Frontiers in Bioengineering and Biotechnology</w:t>
      </w:r>
      <w:r w:rsidRPr="00626AF4">
        <w:rPr>
          <w:rFonts w:ascii="Times New Roman" w:hAnsi="Times New Roman" w:cs="Times New Roman"/>
          <w:color w:val="000000" w:themeColor="text1"/>
        </w:rPr>
        <w:t xml:space="preserve">, vol. 9, No. 752253 (December 2021). </w:t>
      </w:r>
    </w:p>
    <w:p w14:paraId="7B955039" w14:textId="007B5E16" w:rsidR="00B55BB0" w:rsidRPr="00626AF4" w:rsidRDefault="00B55BB0" w:rsidP="00B55BB0">
      <w:pPr>
        <w:pStyle w:val="Default"/>
        <w:spacing w:line="276" w:lineRule="auto"/>
        <w:rPr>
          <w:rFonts w:eastAsia="Times New Roman"/>
          <w:color w:val="auto"/>
          <w:sz w:val="22"/>
          <w:szCs w:val="22"/>
        </w:rPr>
      </w:pPr>
      <w:proofErr w:type="spellStart"/>
      <w:r w:rsidRPr="00626AF4">
        <w:rPr>
          <w:rFonts w:eastAsia="Times New Roman"/>
          <w:color w:val="auto"/>
          <w:sz w:val="22"/>
          <w:szCs w:val="22"/>
        </w:rPr>
        <w:t>Alphey</w:t>
      </w:r>
      <w:proofErr w:type="spellEnd"/>
      <w:r w:rsidRPr="00626AF4">
        <w:rPr>
          <w:rFonts w:eastAsia="Times New Roman"/>
          <w:color w:val="auto"/>
          <w:sz w:val="22"/>
          <w:szCs w:val="22"/>
        </w:rPr>
        <w:t xml:space="preserve">, Luke. Genetic Control of Mosquitoes. </w:t>
      </w:r>
      <w:r w:rsidRPr="00626AF4">
        <w:rPr>
          <w:rFonts w:eastAsia="Times New Roman"/>
          <w:i/>
          <w:iCs/>
          <w:color w:val="auto"/>
          <w:sz w:val="22"/>
          <w:szCs w:val="22"/>
        </w:rPr>
        <w:t>Annual Review of Entomology</w:t>
      </w:r>
      <w:r w:rsidR="004332B4" w:rsidRPr="00626AF4">
        <w:rPr>
          <w:rFonts w:eastAsia="Times New Roman"/>
          <w:color w:val="auto"/>
          <w:sz w:val="22"/>
          <w:szCs w:val="22"/>
        </w:rPr>
        <w:t xml:space="preserve">, vol. </w:t>
      </w:r>
      <w:r w:rsidR="00F54615" w:rsidRPr="00626AF4">
        <w:rPr>
          <w:rFonts w:eastAsia="Times New Roman"/>
          <w:color w:val="auto"/>
          <w:sz w:val="22"/>
          <w:szCs w:val="22"/>
        </w:rPr>
        <w:t xml:space="preserve">59 </w:t>
      </w:r>
      <w:r w:rsidR="000714C8" w:rsidRPr="00626AF4">
        <w:rPr>
          <w:rFonts w:eastAsia="Times New Roman"/>
          <w:color w:val="auto"/>
          <w:sz w:val="22"/>
          <w:szCs w:val="22"/>
        </w:rPr>
        <w:t>(</w:t>
      </w:r>
      <w:r w:rsidR="00AD6DD1" w:rsidRPr="00626AF4">
        <w:rPr>
          <w:rFonts w:eastAsia="Times New Roman"/>
          <w:color w:val="auto"/>
          <w:sz w:val="22"/>
          <w:szCs w:val="22"/>
        </w:rPr>
        <w:t xml:space="preserve">January </w:t>
      </w:r>
      <w:r w:rsidRPr="00626AF4">
        <w:rPr>
          <w:rFonts w:eastAsia="Times New Roman"/>
          <w:color w:val="auto"/>
          <w:sz w:val="22"/>
          <w:szCs w:val="22"/>
        </w:rPr>
        <w:t>2014</w:t>
      </w:r>
      <w:r w:rsidR="00C207E2" w:rsidRPr="00626AF4">
        <w:rPr>
          <w:rFonts w:eastAsia="Times New Roman"/>
          <w:color w:val="auto"/>
          <w:sz w:val="22"/>
          <w:szCs w:val="22"/>
        </w:rPr>
        <w:t xml:space="preserve">), pp. </w:t>
      </w:r>
      <w:r w:rsidRPr="00626AF4">
        <w:rPr>
          <w:rFonts w:eastAsia="Times New Roman"/>
          <w:color w:val="auto"/>
          <w:sz w:val="22"/>
          <w:szCs w:val="22"/>
        </w:rPr>
        <w:t>205</w:t>
      </w:r>
      <w:r w:rsidR="00C207E2" w:rsidRPr="00626AF4">
        <w:rPr>
          <w:rFonts w:eastAsia="Times New Roman"/>
          <w:color w:val="auto"/>
          <w:sz w:val="22"/>
          <w:szCs w:val="22"/>
        </w:rPr>
        <w:t xml:space="preserve"> – 224</w:t>
      </w:r>
      <w:r w:rsidRPr="00626AF4">
        <w:rPr>
          <w:rFonts w:eastAsia="Times New Roman"/>
          <w:color w:val="auto"/>
          <w:sz w:val="22"/>
          <w:szCs w:val="22"/>
        </w:rPr>
        <w:t xml:space="preserve">. </w:t>
      </w:r>
    </w:p>
    <w:p w14:paraId="12604DF2" w14:textId="7DB3F3AA" w:rsidR="0081582B" w:rsidRPr="00626AF4" w:rsidRDefault="00787D21" w:rsidP="00787D21">
      <w:pPr>
        <w:rPr>
          <w:rFonts w:ascii="Times New Roman" w:hAnsi="Times New Roman" w:cs="Times New Roman"/>
          <w:color w:val="000000" w:themeColor="text1"/>
        </w:rPr>
      </w:pPr>
      <w:proofErr w:type="spellStart"/>
      <w:r w:rsidRPr="00626AF4">
        <w:rPr>
          <w:rFonts w:ascii="Times New Roman" w:hAnsi="Times New Roman" w:cs="Times New Roman"/>
          <w:color w:val="000000" w:themeColor="text1"/>
        </w:rPr>
        <w:t>Alphey</w:t>
      </w:r>
      <w:proofErr w:type="spellEnd"/>
      <w:r w:rsidRPr="00626AF4">
        <w:rPr>
          <w:rFonts w:ascii="Times New Roman" w:hAnsi="Times New Roman" w:cs="Times New Roman"/>
          <w:color w:val="000000" w:themeColor="text1"/>
        </w:rPr>
        <w:t xml:space="preserve">, Luke, S., and others. Standardizing the definition of gene drive. </w:t>
      </w:r>
      <w:r w:rsidRPr="00626AF4">
        <w:rPr>
          <w:rFonts w:ascii="Times New Roman" w:hAnsi="Times New Roman" w:cs="Times New Roman"/>
          <w:i/>
          <w:iCs/>
          <w:color w:val="000000" w:themeColor="text1"/>
        </w:rPr>
        <w:t xml:space="preserve">PNAS, </w:t>
      </w:r>
      <w:r w:rsidRPr="00626AF4">
        <w:rPr>
          <w:rFonts w:ascii="Times New Roman" w:hAnsi="Times New Roman" w:cs="Times New Roman"/>
          <w:color w:val="000000" w:themeColor="text1"/>
        </w:rPr>
        <w:t>vol. 117, No. 49 (November 2020), pp. 30864—30867.</w:t>
      </w:r>
    </w:p>
    <w:p w14:paraId="17C27F20" w14:textId="466B3910" w:rsidR="00C451AE" w:rsidRPr="00626AF4" w:rsidRDefault="005506F6" w:rsidP="00C451AE">
      <w:r w:rsidRPr="00626AF4">
        <w:rPr>
          <w:rFonts w:ascii="Times New Roman" w:hAnsi="Times New Roman" w:cs="Times New Roman"/>
          <w:color w:val="000000" w:themeColor="text1"/>
        </w:rPr>
        <w:t xml:space="preserve">Anderson, Michelle A. E., and others. </w:t>
      </w:r>
      <w:r w:rsidR="00703295" w:rsidRPr="00626AF4">
        <w:rPr>
          <w:rFonts w:ascii="Times New Roman" w:hAnsi="Times New Roman" w:cs="Times New Roman"/>
          <w:color w:val="000000" w:themeColor="text1"/>
        </w:rPr>
        <w:t xml:space="preserve">Closing the gap to effective gene drive in </w:t>
      </w:r>
      <w:r w:rsidR="00703295" w:rsidRPr="00626AF4">
        <w:rPr>
          <w:rFonts w:ascii="Times New Roman" w:hAnsi="Times New Roman" w:cs="Times New Roman"/>
          <w:i/>
          <w:iCs/>
          <w:color w:val="000000" w:themeColor="text1"/>
        </w:rPr>
        <w:t>Aedes aegypti</w:t>
      </w:r>
      <w:r w:rsidR="00703295" w:rsidRPr="00626AF4">
        <w:rPr>
          <w:rFonts w:ascii="Times New Roman" w:hAnsi="Times New Roman" w:cs="Times New Roman"/>
          <w:color w:val="000000" w:themeColor="text1"/>
        </w:rPr>
        <w:t xml:space="preserve"> by exploiting germline regulatory elements.</w:t>
      </w:r>
      <w:r w:rsidR="009A56C5" w:rsidRPr="00626AF4">
        <w:rPr>
          <w:rFonts w:ascii="Times New Roman" w:hAnsi="Times New Roman" w:cs="Times New Roman"/>
          <w:color w:val="000000" w:themeColor="text1"/>
        </w:rPr>
        <w:t xml:space="preserve"> </w:t>
      </w:r>
      <w:r w:rsidR="009A56C5" w:rsidRPr="00626AF4">
        <w:rPr>
          <w:rFonts w:ascii="Times New Roman" w:hAnsi="Times New Roman" w:cs="Times New Roman"/>
          <w:i/>
          <w:iCs/>
          <w:color w:val="000000" w:themeColor="text1"/>
        </w:rPr>
        <w:t>Nature Communic</w:t>
      </w:r>
      <w:r w:rsidR="004B13E3" w:rsidRPr="00626AF4">
        <w:rPr>
          <w:rFonts w:ascii="Times New Roman" w:hAnsi="Times New Roman" w:cs="Times New Roman"/>
          <w:i/>
          <w:iCs/>
          <w:color w:val="000000" w:themeColor="text1"/>
        </w:rPr>
        <w:t xml:space="preserve">ations, </w:t>
      </w:r>
      <w:r w:rsidR="004B13E3" w:rsidRPr="00626AF4">
        <w:rPr>
          <w:rFonts w:ascii="Times New Roman" w:hAnsi="Times New Roman" w:cs="Times New Roman"/>
          <w:color w:val="000000" w:themeColor="text1"/>
        </w:rPr>
        <w:t xml:space="preserve">vol. </w:t>
      </w:r>
      <w:r w:rsidR="00C451AE" w:rsidRPr="00626AF4">
        <w:rPr>
          <w:rFonts w:ascii="Times New Roman" w:hAnsi="Times New Roman" w:cs="Times New Roman"/>
          <w:color w:val="000000" w:themeColor="text1"/>
        </w:rPr>
        <w:t xml:space="preserve">14, No. 338 (January 2023). </w:t>
      </w:r>
    </w:p>
    <w:p w14:paraId="484504C5" w14:textId="0880DD4D" w:rsidR="37A99843" w:rsidRPr="00626AF4" w:rsidRDefault="002A6590" w:rsidP="005506F6">
      <w:r w:rsidRPr="00626AF4">
        <w:rPr>
          <w:rFonts w:ascii="Times New Roman" w:hAnsi="Times New Roman" w:cs="Times New Roman"/>
          <w:color w:val="000000" w:themeColor="text1"/>
        </w:rPr>
        <w:t xml:space="preserve">Armstrong, Philip M., and Theodore G. Andreadis. </w:t>
      </w:r>
      <w:r w:rsidR="00F85188" w:rsidRPr="00626AF4">
        <w:rPr>
          <w:rFonts w:ascii="Times New Roman" w:hAnsi="Times New Roman" w:cs="Times New Roman"/>
          <w:color w:val="000000" w:themeColor="text1"/>
        </w:rPr>
        <w:t>Eastern equine encephalitis virus in mosquitoes and their role as bridge vectors</w:t>
      </w:r>
      <w:r w:rsidR="00796C3F" w:rsidRPr="00626AF4">
        <w:rPr>
          <w:rFonts w:ascii="Times New Roman" w:hAnsi="Times New Roman" w:cs="Times New Roman"/>
          <w:color w:val="000000" w:themeColor="text1"/>
        </w:rPr>
        <w:t xml:space="preserve">. </w:t>
      </w:r>
      <w:r w:rsidR="00796C3F" w:rsidRPr="00626AF4">
        <w:rPr>
          <w:rFonts w:ascii="Times New Roman" w:hAnsi="Times New Roman" w:cs="Times New Roman"/>
          <w:i/>
          <w:iCs/>
          <w:color w:val="000000" w:themeColor="text1"/>
        </w:rPr>
        <w:t xml:space="preserve">Emerg Infect Dis., </w:t>
      </w:r>
      <w:r w:rsidR="00BB2C25" w:rsidRPr="00626AF4">
        <w:rPr>
          <w:rFonts w:ascii="Times New Roman" w:hAnsi="Times New Roman" w:cs="Times New Roman"/>
          <w:color w:val="000000" w:themeColor="text1"/>
        </w:rPr>
        <w:t>vol.  16, No. 12 (December 2010), pp. 1869 – 1874.</w:t>
      </w:r>
      <w:r w:rsidR="00BB2C25" w:rsidRPr="00626AF4">
        <w:t xml:space="preserve"> </w:t>
      </w:r>
    </w:p>
    <w:p w14:paraId="518A7E95" w14:textId="6279FE82" w:rsidR="679D216F" w:rsidRPr="00854173" w:rsidRDefault="6634B257" w:rsidP="5A3DFED5">
      <w:pPr>
        <w:pStyle w:val="Default"/>
        <w:spacing w:line="276" w:lineRule="auto"/>
        <w:rPr>
          <w:rFonts w:eastAsia="Times New Roman"/>
          <w:color w:val="auto"/>
          <w:sz w:val="22"/>
          <w:szCs w:val="22"/>
        </w:rPr>
      </w:pPr>
      <w:r w:rsidRPr="00626AF4">
        <w:rPr>
          <w:rFonts w:eastAsia="Times New Roman"/>
          <w:color w:val="auto"/>
          <w:sz w:val="22"/>
          <w:szCs w:val="22"/>
        </w:rPr>
        <w:t>Arnold, B</w:t>
      </w:r>
      <w:r w:rsidR="00241653" w:rsidRPr="00626AF4">
        <w:rPr>
          <w:rFonts w:eastAsia="Times New Roman"/>
          <w:color w:val="auto"/>
          <w:sz w:val="22"/>
          <w:szCs w:val="22"/>
        </w:rPr>
        <w:t xml:space="preserve">enjamin </w:t>
      </w:r>
      <w:r w:rsidRPr="00626AF4">
        <w:rPr>
          <w:rFonts w:eastAsia="Times New Roman"/>
          <w:color w:val="auto"/>
          <w:sz w:val="22"/>
          <w:szCs w:val="22"/>
        </w:rPr>
        <w:t>F.,</w:t>
      </w:r>
      <w:r w:rsidR="00241653" w:rsidRPr="00626AF4">
        <w:rPr>
          <w:rFonts w:eastAsia="Times New Roman"/>
          <w:color w:val="auto"/>
          <w:sz w:val="22"/>
          <w:szCs w:val="22"/>
        </w:rPr>
        <w:t xml:space="preserve"> and others</w:t>
      </w:r>
      <w:r w:rsidRPr="00626AF4">
        <w:rPr>
          <w:rFonts w:eastAsia="Times New Roman"/>
          <w:color w:val="auto"/>
          <w:sz w:val="22"/>
          <w:szCs w:val="22"/>
        </w:rPr>
        <w:t xml:space="preserve">. Simulation methods to estimate design power: </w:t>
      </w:r>
      <w:r w:rsidR="00241653" w:rsidRPr="00626AF4">
        <w:rPr>
          <w:rFonts w:eastAsia="Times New Roman"/>
          <w:color w:val="auto"/>
          <w:sz w:val="22"/>
          <w:szCs w:val="22"/>
        </w:rPr>
        <w:t>A</w:t>
      </w:r>
      <w:r w:rsidRPr="00626AF4">
        <w:rPr>
          <w:rFonts w:eastAsia="Times New Roman"/>
          <w:color w:val="auto"/>
          <w:sz w:val="22"/>
          <w:szCs w:val="22"/>
        </w:rPr>
        <w:t xml:space="preserve">n overview for applied research. </w:t>
      </w:r>
      <w:r w:rsidRPr="00626AF4">
        <w:rPr>
          <w:rFonts w:eastAsia="Times New Roman"/>
          <w:i/>
          <w:iCs/>
          <w:color w:val="auto"/>
          <w:sz w:val="22"/>
          <w:szCs w:val="22"/>
        </w:rPr>
        <w:t xml:space="preserve">BMC Med Res </w:t>
      </w:r>
      <w:proofErr w:type="spellStart"/>
      <w:r w:rsidRPr="00626AF4">
        <w:rPr>
          <w:rFonts w:eastAsia="Times New Roman"/>
          <w:i/>
          <w:iCs/>
          <w:color w:val="auto"/>
          <w:sz w:val="22"/>
          <w:szCs w:val="22"/>
        </w:rPr>
        <w:t>Methodol</w:t>
      </w:r>
      <w:proofErr w:type="spellEnd"/>
      <w:r w:rsidR="00B20E65" w:rsidRPr="00626AF4">
        <w:rPr>
          <w:rFonts w:eastAsia="Times New Roman"/>
          <w:i/>
          <w:iCs/>
          <w:color w:val="auto"/>
          <w:sz w:val="22"/>
          <w:szCs w:val="22"/>
        </w:rPr>
        <w:t xml:space="preserve">, </w:t>
      </w:r>
      <w:r w:rsidR="00B20E65" w:rsidRPr="00626AF4">
        <w:rPr>
          <w:rFonts w:eastAsia="Times New Roman"/>
          <w:color w:val="auto"/>
          <w:sz w:val="22"/>
          <w:szCs w:val="22"/>
        </w:rPr>
        <w:t xml:space="preserve">vol. </w:t>
      </w:r>
      <w:r w:rsidRPr="00626AF4">
        <w:rPr>
          <w:rFonts w:eastAsia="Times New Roman"/>
          <w:color w:val="auto"/>
          <w:sz w:val="22"/>
          <w:szCs w:val="22"/>
        </w:rPr>
        <w:t xml:space="preserve">11, </w:t>
      </w:r>
      <w:r w:rsidR="00B20E65" w:rsidRPr="00626AF4">
        <w:rPr>
          <w:rFonts w:eastAsia="Times New Roman"/>
          <w:color w:val="auto"/>
          <w:sz w:val="22"/>
          <w:szCs w:val="22"/>
        </w:rPr>
        <w:t xml:space="preserve">No. </w:t>
      </w:r>
      <w:r w:rsidRPr="00626AF4">
        <w:rPr>
          <w:rFonts w:eastAsia="Times New Roman"/>
          <w:color w:val="auto"/>
          <w:sz w:val="22"/>
          <w:szCs w:val="22"/>
        </w:rPr>
        <w:t>94 (</w:t>
      </w:r>
      <w:r w:rsidR="00B20E65" w:rsidRPr="00626AF4">
        <w:rPr>
          <w:rFonts w:eastAsia="Times New Roman"/>
          <w:color w:val="auto"/>
          <w:sz w:val="22"/>
          <w:szCs w:val="22"/>
        </w:rPr>
        <w:t xml:space="preserve">June </w:t>
      </w:r>
      <w:r w:rsidRPr="00626AF4">
        <w:rPr>
          <w:rFonts w:eastAsia="Times New Roman"/>
          <w:color w:val="auto"/>
          <w:sz w:val="22"/>
          <w:szCs w:val="22"/>
        </w:rPr>
        <w:t>2011).</w:t>
      </w:r>
    </w:p>
    <w:p w14:paraId="5B594122" w14:textId="33A97C5D" w:rsidR="00787D21" w:rsidRPr="001D041E" w:rsidRDefault="00787D21" w:rsidP="00787D21">
      <w:pPr>
        <w:rPr>
          <w:rFonts w:ascii="Times New Roman" w:hAnsi="Times New Roman" w:cs="Times New Roman"/>
          <w:color w:val="000000" w:themeColor="text1"/>
        </w:rPr>
      </w:pPr>
      <w:proofErr w:type="spellStart"/>
      <w:r w:rsidRPr="001D041E">
        <w:rPr>
          <w:rFonts w:ascii="Times New Roman" w:hAnsi="Times New Roman" w:cs="Times New Roman"/>
          <w:color w:val="000000" w:themeColor="text1"/>
        </w:rPr>
        <w:t>Augusiak</w:t>
      </w:r>
      <w:proofErr w:type="spellEnd"/>
      <w:r w:rsidRPr="001D041E">
        <w:rPr>
          <w:rFonts w:ascii="Times New Roman" w:hAnsi="Times New Roman" w:cs="Times New Roman"/>
          <w:color w:val="000000" w:themeColor="text1"/>
        </w:rPr>
        <w:t>, Jacqueline, and others. Merging validation and evaluation of ecological models to ‘</w:t>
      </w:r>
      <w:proofErr w:type="spellStart"/>
      <w:r w:rsidRPr="001D041E">
        <w:rPr>
          <w:rFonts w:ascii="Times New Roman" w:hAnsi="Times New Roman" w:cs="Times New Roman"/>
          <w:color w:val="000000" w:themeColor="text1"/>
        </w:rPr>
        <w:t>evaludation</w:t>
      </w:r>
      <w:proofErr w:type="spellEnd"/>
      <w:r w:rsidRPr="001D041E">
        <w:rPr>
          <w:rFonts w:ascii="Times New Roman" w:hAnsi="Times New Roman" w:cs="Times New Roman"/>
          <w:color w:val="000000" w:themeColor="text1"/>
        </w:rPr>
        <w:t xml:space="preserve">’: A review of terminology and a practical approach. </w:t>
      </w:r>
      <w:r w:rsidRPr="001D041E">
        <w:rPr>
          <w:rFonts w:ascii="Times New Roman" w:hAnsi="Times New Roman" w:cs="Times New Roman"/>
          <w:i/>
          <w:iCs/>
          <w:color w:val="000000" w:themeColor="text1"/>
        </w:rPr>
        <w:t>Ecological Modelling</w:t>
      </w:r>
      <w:r w:rsidRPr="001D041E">
        <w:rPr>
          <w:rFonts w:ascii="Times New Roman" w:hAnsi="Times New Roman" w:cs="Times New Roman"/>
          <w:color w:val="000000" w:themeColor="text1"/>
        </w:rPr>
        <w:t xml:space="preserve">, vol. 280 (May 2014), pp. 117—128. </w:t>
      </w:r>
    </w:p>
    <w:p w14:paraId="5EA97DCE" w14:textId="606958C1" w:rsidR="00787D21" w:rsidRPr="001D041E" w:rsidRDefault="00787D21" w:rsidP="00787D21">
      <w:pPr>
        <w:rPr>
          <w:rFonts w:ascii="Times New Roman" w:hAnsi="Times New Roman" w:cs="Times New Roman"/>
          <w:color w:val="000000" w:themeColor="text1"/>
        </w:rPr>
      </w:pPr>
      <w:r w:rsidRPr="001D041E">
        <w:rPr>
          <w:rFonts w:ascii="Times New Roman" w:hAnsi="Times New Roman" w:cs="Times New Roman"/>
          <w:color w:val="000000" w:themeColor="text1"/>
        </w:rPr>
        <w:t>Australian academy of science. Discussion paper synthetic gene drives in Australia: Implications of emerging technologies (May 2017).</w:t>
      </w:r>
    </w:p>
    <w:p w14:paraId="314CBDA5" w14:textId="6E669DAA" w:rsidR="00787D21" w:rsidRPr="001D041E" w:rsidRDefault="00787D21" w:rsidP="00787D21">
      <w:pPr>
        <w:rPr>
          <w:rFonts w:ascii="Times New Roman" w:hAnsi="Times New Roman" w:cs="Times New Roman"/>
          <w:color w:val="000000" w:themeColor="text1"/>
        </w:rPr>
      </w:pPr>
      <w:r w:rsidRPr="001D041E">
        <w:rPr>
          <w:rFonts w:ascii="Times New Roman" w:eastAsiaTheme="minorEastAsia" w:hAnsi="Times New Roman" w:cs="Times New Roman"/>
          <w:color w:val="000000" w:themeColor="text1"/>
        </w:rPr>
        <w:t xml:space="preserve">Backus, Gregory, A., and Jason A. </w:t>
      </w:r>
      <w:proofErr w:type="spellStart"/>
      <w:r w:rsidRPr="001D041E">
        <w:rPr>
          <w:rFonts w:ascii="Times New Roman" w:eastAsiaTheme="minorEastAsia" w:hAnsi="Times New Roman" w:cs="Times New Roman"/>
          <w:color w:val="000000" w:themeColor="text1"/>
        </w:rPr>
        <w:t>Delborne</w:t>
      </w:r>
      <w:proofErr w:type="spellEnd"/>
      <w:r w:rsidRPr="001D041E">
        <w:rPr>
          <w:rFonts w:ascii="Times New Roman" w:eastAsiaTheme="minorEastAsia" w:hAnsi="Times New Roman" w:cs="Times New Roman"/>
          <w:color w:val="000000" w:themeColor="text1"/>
        </w:rPr>
        <w:t>. Thresh</w:t>
      </w:r>
      <w:r w:rsidRPr="001D041E">
        <w:rPr>
          <w:rFonts w:ascii="Times New Roman" w:hAnsi="Times New Roman" w:cs="Times New Roman"/>
          <w:color w:val="000000" w:themeColor="text1"/>
        </w:rPr>
        <w:t xml:space="preserve">old-dependent gene drives in the wild: Spread, controllability, and ecological uncertainty. </w:t>
      </w:r>
      <w:r w:rsidRPr="001D041E">
        <w:rPr>
          <w:rFonts w:ascii="Times New Roman" w:hAnsi="Times New Roman" w:cs="Times New Roman"/>
          <w:i/>
          <w:iCs/>
          <w:color w:val="000000" w:themeColor="text1"/>
        </w:rPr>
        <w:t>Bioscience</w:t>
      </w:r>
      <w:r w:rsidRPr="001D041E">
        <w:rPr>
          <w:rFonts w:ascii="Times New Roman" w:hAnsi="Times New Roman" w:cs="Times New Roman"/>
          <w:color w:val="000000" w:themeColor="text1"/>
        </w:rPr>
        <w:t>, vol. 69, No. 11 (November 2019), pp. 900—907.</w:t>
      </w:r>
    </w:p>
    <w:p w14:paraId="21225105" w14:textId="63AE955F" w:rsidR="002E4264" w:rsidRPr="001D041E" w:rsidRDefault="00B87D46" w:rsidP="002E4264">
      <w:pPr>
        <w:pStyle w:val="NoSpacing"/>
        <w:spacing w:after="160" w:line="259" w:lineRule="auto"/>
        <w:rPr>
          <w:rFonts w:ascii="Times" w:hAnsi="Times" w:cs="Times"/>
          <w:lang w:val="en-GB"/>
        </w:rPr>
      </w:pPr>
      <w:r w:rsidRPr="001D041E">
        <w:rPr>
          <w:rFonts w:ascii="Times" w:hAnsi="Times" w:cs="Times"/>
          <w:lang w:val="en-GB"/>
        </w:rPr>
        <w:t xml:space="preserve">Bailey, S. F., D. A. Eliason, and </w:t>
      </w:r>
      <w:r w:rsidR="0014005D" w:rsidRPr="001D041E">
        <w:rPr>
          <w:rFonts w:ascii="Times" w:hAnsi="Times" w:cs="Times"/>
          <w:lang w:val="en-GB"/>
        </w:rPr>
        <w:t xml:space="preserve">B. L. Hoffman. </w:t>
      </w:r>
      <w:r w:rsidR="002E4264" w:rsidRPr="001D041E">
        <w:rPr>
          <w:rFonts w:ascii="Times" w:hAnsi="Times" w:cs="Times"/>
          <w:lang w:val="en-GB"/>
        </w:rPr>
        <w:t xml:space="preserve">Flight and dispersal of the mosquito </w:t>
      </w:r>
      <w:r w:rsidR="002E4264" w:rsidRPr="001D041E">
        <w:rPr>
          <w:rFonts w:ascii="Times" w:hAnsi="Times" w:cs="Times"/>
          <w:i/>
          <w:iCs/>
          <w:lang w:val="en-GB"/>
        </w:rPr>
        <w:t xml:space="preserve">Culex </w:t>
      </w:r>
      <w:proofErr w:type="spellStart"/>
      <w:r w:rsidR="002E4264" w:rsidRPr="001D041E">
        <w:rPr>
          <w:rFonts w:ascii="Times" w:hAnsi="Times" w:cs="Times"/>
          <w:i/>
          <w:iCs/>
          <w:lang w:val="en-GB"/>
        </w:rPr>
        <w:t>tarsalis</w:t>
      </w:r>
      <w:proofErr w:type="spellEnd"/>
      <w:r w:rsidR="002E4264" w:rsidRPr="001D041E">
        <w:rPr>
          <w:rFonts w:ascii="Times" w:hAnsi="Times" w:cs="Times"/>
          <w:lang w:val="en-GB"/>
        </w:rPr>
        <w:t xml:space="preserve"> </w:t>
      </w:r>
      <w:proofErr w:type="spellStart"/>
      <w:r w:rsidR="002E4264" w:rsidRPr="001D041E">
        <w:rPr>
          <w:rFonts w:ascii="Times" w:hAnsi="Times" w:cs="Times"/>
          <w:lang w:val="en-GB"/>
        </w:rPr>
        <w:t>Coquillett</w:t>
      </w:r>
      <w:proofErr w:type="spellEnd"/>
      <w:r w:rsidR="002E4264" w:rsidRPr="001D041E">
        <w:rPr>
          <w:rFonts w:ascii="Times" w:hAnsi="Times" w:cs="Times"/>
          <w:lang w:val="en-GB"/>
        </w:rPr>
        <w:t xml:space="preserve"> in the Sacramento Valley of California</w:t>
      </w:r>
      <w:r w:rsidR="0014005D" w:rsidRPr="001D041E">
        <w:rPr>
          <w:rFonts w:ascii="Times" w:hAnsi="Times" w:cs="Times"/>
          <w:lang w:val="en-GB"/>
        </w:rPr>
        <w:t xml:space="preserve">. </w:t>
      </w:r>
      <w:proofErr w:type="spellStart"/>
      <w:r w:rsidR="009D4575" w:rsidRPr="001D041E">
        <w:rPr>
          <w:rFonts w:ascii="Times" w:hAnsi="Times" w:cs="Times"/>
          <w:i/>
          <w:iCs/>
          <w:lang w:val="en-GB"/>
        </w:rPr>
        <w:t>Hilgardia</w:t>
      </w:r>
      <w:proofErr w:type="spellEnd"/>
      <w:r w:rsidR="00E366A4" w:rsidRPr="001D041E">
        <w:rPr>
          <w:rFonts w:ascii="Times" w:hAnsi="Times" w:cs="Times"/>
          <w:i/>
          <w:iCs/>
          <w:lang w:val="en-GB"/>
        </w:rPr>
        <w:t xml:space="preserve">, </w:t>
      </w:r>
      <w:r w:rsidR="00E366A4" w:rsidRPr="001D041E">
        <w:rPr>
          <w:rFonts w:ascii="Times" w:hAnsi="Times" w:cs="Times"/>
          <w:lang w:val="en-GB"/>
        </w:rPr>
        <w:t xml:space="preserve">vol. 37, No. 3 (December 1965). </w:t>
      </w:r>
    </w:p>
    <w:p w14:paraId="58385CD5" w14:textId="6D613DA2" w:rsidR="00787D21" w:rsidRPr="001D041E" w:rsidRDefault="00787D21" w:rsidP="00787D21">
      <w:pPr>
        <w:rPr>
          <w:rFonts w:ascii="Times New Roman" w:hAnsi="Times New Roman" w:cs="Times New Roman"/>
          <w:color w:val="000000" w:themeColor="text1"/>
        </w:rPr>
      </w:pPr>
      <w:r w:rsidRPr="001D041E">
        <w:rPr>
          <w:rFonts w:ascii="Times New Roman" w:hAnsi="Times New Roman" w:cs="Times New Roman"/>
          <w:color w:val="000000" w:themeColor="text1"/>
        </w:rPr>
        <w:t xml:space="preserve">Bedford, Tim, and Roger Cooke. </w:t>
      </w:r>
      <w:r w:rsidRPr="001D041E">
        <w:rPr>
          <w:rFonts w:ascii="Times New Roman" w:hAnsi="Times New Roman" w:cs="Times New Roman"/>
          <w:i/>
          <w:iCs/>
          <w:color w:val="000000" w:themeColor="text1"/>
        </w:rPr>
        <w:t xml:space="preserve">Probabilistic Risk Analysis foundation and methods. </w:t>
      </w:r>
      <w:r w:rsidRPr="001D041E">
        <w:rPr>
          <w:rFonts w:ascii="Times New Roman" w:hAnsi="Times New Roman" w:cs="Times New Roman"/>
          <w:color w:val="000000" w:themeColor="text1"/>
        </w:rPr>
        <w:t>Netherlands: Cambridge University Press, 2001.</w:t>
      </w:r>
    </w:p>
    <w:p w14:paraId="26CDFFF8" w14:textId="35236627" w:rsidR="00787D21" w:rsidRPr="001D041E" w:rsidRDefault="00787D21" w:rsidP="00787D21">
      <w:pPr>
        <w:rPr>
          <w:rFonts w:ascii="Times New Roman" w:hAnsi="Times New Roman" w:cs="Times New Roman"/>
          <w:color w:val="000000" w:themeColor="text1"/>
        </w:rPr>
      </w:pPr>
      <w:r w:rsidRPr="001D041E">
        <w:rPr>
          <w:rFonts w:ascii="Times New Roman" w:hAnsi="Times New Roman" w:cs="Times New Roman"/>
          <w:color w:val="000000" w:themeColor="text1"/>
        </w:rPr>
        <w:t xml:space="preserve">Beeckman, Delphine S. A., and Patrick </w:t>
      </w:r>
      <w:proofErr w:type="spellStart"/>
      <w:r w:rsidRPr="001D041E">
        <w:rPr>
          <w:rFonts w:ascii="Times New Roman" w:hAnsi="Times New Roman" w:cs="Times New Roman"/>
          <w:color w:val="000000" w:themeColor="text1"/>
        </w:rPr>
        <w:t>Rüdelsheim</w:t>
      </w:r>
      <w:proofErr w:type="spellEnd"/>
      <w:r w:rsidRPr="001D041E">
        <w:rPr>
          <w:rFonts w:ascii="Times New Roman" w:hAnsi="Times New Roman" w:cs="Times New Roman"/>
          <w:color w:val="000000" w:themeColor="text1"/>
        </w:rPr>
        <w:t xml:space="preserve">. Biosafety and biosecurity in containment: A regulatory overview. </w:t>
      </w:r>
      <w:r w:rsidRPr="001D041E">
        <w:rPr>
          <w:rFonts w:ascii="Times New Roman" w:hAnsi="Times New Roman" w:cs="Times New Roman"/>
          <w:i/>
          <w:iCs/>
          <w:color w:val="000000" w:themeColor="text1"/>
        </w:rPr>
        <w:t>Frontiers in Bioengineering and Biotechnology</w:t>
      </w:r>
      <w:r w:rsidRPr="001D041E">
        <w:rPr>
          <w:rFonts w:ascii="Times New Roman" w:hAnsi="Times New Roman" w:cs="Times New Roman"/>
          <w:color w:val="000000" w:themeColor="text1"/>
        </w:rPr>
        <w:t>, vol. 8 (June 2020).</w:t>
      </w:r>
    </w:p>
    <w:p w14:paraId="3618D8A5" w14:textId="0CD0BEBE" w:rsidR="00787D21" w:rsidRPr="00096C23" w:rsidRDefault="00787D21" w:rsidP="00787D21">
      <w:pPr>
        <w:rPr>
          <w:rFonts w:ascii="Times New Roman" w:hAnsi="Times New Roman" w:cs="Times New Roman"/>
          <w:color w:val="000000" w:themeColor="text1"/>
        </w:rPr>
      </w:pPr>
      <w:r w:rsidRPr="001D041E">
        <w:rPr>
          <w:rFonts w:ascii="Times New Roman" w:hAnsi="Times New Roman" w:cs="Times New Roman"/>
          <w:color w:val="000000" w:themeColor="text1"/>
        </w:rPr>
        <w:t>Beeton, Nicholas J., and others. Spatial modelling for population replacement of mosquito vectors at continental scale.</w:t>
      </w:r>
      <w:r w:rsidRPr="001D041E">
        <w:rPr>
          <w:rFonts w:ascii="Times New Roman" w:hAnsi="Times New Roman" w:cs="Times New Roman"/>
          <w:i/>
          <w:iCs/>
          <w:color w:val="000000" w:themeColor="text1"/>
        </w:rPr>
        <w:t xml:space="preserve"> PLOS Computation Biology</w:t>
      </w:r>
      <w:r w:rsidRPr="001D041E">
        <w:rPr>
          <w:rFonts w:ascii="Times New Roman" w:hAnsi="Times New Roman" w:cs="Times New Roman"/>
          <w:color w:val="000000" w:themeColor="text1"/>
        </w:rPr>
        <w:t>, vol. 18, No. 6 (June 2022).</w:t>
      </w:r>
      <w:r w:rsidRPr="00096C23">
        <w:rPr>
          <w:rFonts w:ascii="Times New Roman" w:hAnsi="Times New Roman" w:cs="Times New Roman"/>
          <w:color w:val="000000" w:themeColor="text1"/>
        </w:rPr>
        <w:t xml:space="preserve"> </w:t>
      </w:r>
    </w:p>
    <w:p w14:paraId="29404641" w14:textId="28C8E6F0" w:rsidR="00750331" w:rsidRPr="00B73E5F" w:rsidRDefault="00750331" w:rsidP="06964389">
      <w:pPr>
        <w:rPr>
          <w:rFonts w:ascii="Times New Roman" w:hAnsi="Times New Roman" w:cs="Times New Roman"/>
          <w:color w:val="000000" w:themeColor="text1"/>
        </w:rPr>
      </w:pPr>
      <w:r w:rsidRPr="00B73E5F">
        <w:rPr>
          <w:rFonts w:ascii="Times New Roman" w:hAnsi="Times New Roman" w:cs="Times New Roman"/>
          <w:color w:val="000000" w:themeColor="text1"/>
        </w:rPr>
        <w:t>Bellard</w:t>
      </w:r>
      <w:r w:rsidR="00267E97" w:rsidRPr="00B73E5F">
        <w:rPr>
          <w:rFonts w:ascii="Times New Roman" w:hAnsi="Times New Roman" w:cs="Times New Roman"/>
          <w:color w:val="000000" w:themeColor="text1"/>
        </w:rPr>
        <w:t xml:space="preserve">, Celine, Phillip Cassey, and Tim M. Blackburn. </w:t>
      </w:r>
      <w:r w:rsidR="00821F03" w:rsidRPr="00B73E5F">
        <w:rPr>
          <w:rFonts w:ascii="Times New Roman" w:hAnsi="Times New Roman" w:cs="Times New Roman"/>
          <w:color w:val="000000" w:themeColor="text1"/>
        </w:rPr>
        <w:t>Alien species as a driver of recent extinctions</w:t>
      </w:r>
      <w:r w:rsidR="00070BD7" w:rsidRPr="00B73E5F">
        <w:rPr>
          <w:rFonts w:ascii="Times New Roman" w:hAnsi="Times New Roman" w:cs="Times New Roman"/>
          <w:color w:val="000000" w:themeColor="text1"/>
        </w:rPr>
        <w:t xml:space="preserve">. </w:t>
      </w:r>
      <w:r w:rsidR="003A1B0D" w:rsidRPr="00B73E5F">
        <w:rPr>
          <w:rFonts w:ascii="Times New Roman" w:hAnsi="Times New Roman" w:cs="Times New Roman"/>
          <w:i/>
          <w:iCs/>
          <w:color w:val="000000" w:themeColor="text1"/>
        </w:rPr>
        <w:t xml:space="preserve">Biology Letters, </w:t>
      </w:r>
      <w:r w:rsidR="003A1B0D" w:rsidRPr="00B73E5F">
        <w:rPr>
          <w:rFonts w:ascii="Times New Roman" w:hAnsi="Times New Roman" w:cs="Times New Roman"/>
          <w:color w:val="000000" w:themeColor="text1"/>
        </w:rPr>
        <w:t xml:space="preserve">vol. </w:t>
      </w:r>
      <w:r w:rsidR="00C4767D" w:rsidRPr="00B73E5F">
        <w:rPr>
          <w:rFonts w:ascii="Times New Roman" w:hAnsi="Times New Roman" w:cs="Times New Roman"/>
          <w:color w:val="000000" w:themeColor="text1"/>
        </w:rPr>
        <w:t xml:space="preserve">12, </w:t>
      </w:r>
      <w:r w:rsidR="009B1BF8" w:rsidRPr="00B73E5F">
        <w:rPr>
          <w:rFonts w:ascii="Times New Roman" w:hAnsi="Times New Roman" w:cs="Times New Roman"/>
          <w:color w:val="000000" w:themeColor="text1"/>
        </w:rPr>
        <w:t>No. 2 (February 2012)</w:t>
      </w:r>
      <w:r w:rsidR="00A2459F" w:rsidRPr="00B73E5F">
        <w:rPr>
          <w:rFonts w:ascii="Times New Roman" w:hAnsi="Times New Roman" w:cs="Times New Roman"/>
          <w:color w:val="000000" w:themeColor="text1"/>
        </w:rPr>
        <w:t>.</w:t>
      </w:r>
      <w:r w:rsidR="009B1BF8" w:rsidRPr="00B73E5F">
        <w:rPr>
          <w:rFonts w:ascii="Times New Roman" w:hAnsi="Times New Roman" w:cs="Times New Roman"/>
          <w:color w:val="000000" w:themeColor="text1"/>
        </w:rPr>
        <w:t xml:space="preserve"> </w:t>
      </w:r>
    </w:p>
    <w:p w14:paraId="079C644F" w14:textId="16404C22" w:rsidR="3F0CAB32" w:rsidRPr="00B73E5F" w:rsidRDefault="17645F4A" w:rsidP="3F0CAB32">
      <w:pPr>
        <w:rPr>
          <w:rFonts w:ascii="Roboto" w:eastAsia="Roboto" w:hAnsi="Roboto" w:cs="Roboto"/>
          <w:color w:val="292B2C"/>
        </w:rPr>
      </w:pPr>
      <w:r w:rsidRPr="00B73E5F">
        <w:rPr>
          <w:rFonts w:ascii="Times New Roman" w:hAnsi="Times New Roman" w:cs="Times New Roman"/>
          <w:color w:val="000000" w:themeColor="text1"/>
        </w:rPr>
        <w:t xml:space="preserve">Benedict, Mark Q., and others. Guidance for evaluating the safety of experimental releases of mosquitoes, emphasizing mark-release-recapture techniques. </w:t>
      </w:r>
      <w:r w:rsidR="51530189" w:rsidRPr="00B73E5F">
        <w:rPr>
          <w:rFonts w:eastAsiaTheme="minorEastAsia"/>
          <w:i/>
          <w:color w:val="000000" w:themeColor="text1"/>
        </w:rPr>
        <w:t>Vector-Borne and Zoonotic Diseases</w:t>
      </w:r>
      <w:r w:rsidR="51530189" w:rsidRPr="00B73E5F">
        <w:rPr>
          <w:rFonts w:eastAsiaTheme="minorEastAsia"/>
          <w:i/>
          <w:iCs/>
          <w:color w:val="000000" w:themeColor="text1"/>
        </w:rPr>
        <w:t xml:space="preserve">, </w:t>
      </w:r>
      <w:r w:rsidR="51530189" w:rsidRPr="00B73E5F">
        <w:rPr>
          <w:rFonts w:eastAsiaTheme="minorEastAsia"/>
          <w:color w:val="000000" w:themeColor="text1"/>
        </w:rPr>
        <w:t xml:space="preserve">vol. 18, No. 1 (January 2018), pp. 39 – 48. </w:t>
      </w:r>
    </w:p>
    <w:p w14:paraId="03DF11C7" w14:textId="3C8097FA" w:rsidR="007E4D9E" w:rsidRPr="003A1B0D" w:rsidRDefault="007E4D9E" w:rsidP="06964389">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Benedict, Mark Q., and Alan S. Robinson. </w:t>
      </w:r>
      <w:r w:rsidR="00E95BF3" w:rsidRPr="00B73E5F">
        <w:rPr>
          <w:rFonts w:ascii="Times New Roman" w:hAnsi="Times New Roman" w:cs="Times New Roman"/>
          <w:color w:val="000000" w:themeColor="text1"/>
        </w:rPr>
        <w:t xml:space="preserve">The first releases of transgenic mosquitoes: An argument for the sterile insect technique. </w:t>
      </w:r>
      <w:r w:rsidR="00997837" w:rsidRPr="00B73E5F">
        <w:rPr>
          <w:rFonts w:ascii="Times New Roman" w:hAnsi="Times New Roman" w:cs="Times New Roman"/>
          <w:i/>
          <w:iCs/>
          <w:color w:val="000000" w:themeColor="text1"/>
        </w:rPr>
        <w:t>Trends in Parasitology</w:t>
      </w:r>
      <w:r w:rsidR="00997837" w:rsidRPr="00B73E5F">
        <w:rPr>
          <w:rFonts w:ascii="Times New Roman" w:hAnsi="Times New Roman" w:cs="Times New Roman"/>
          <w:color w:val="000000" w:themeColor="text1"/>
        </w:rPr>
        <w:t>, vol. 19, No (August 2003).</w:t>
      </w:r>
      <w:r w:rsidR="00997837">
        <w:rPr>
          <w:rFonts w:ascii="Times New Roman" w:hAnsi="Times New Roman" w:cs="Times New Roman"/>
          <w:color w:val="000000" w:themeColor="text1"/>
        </w:rPr>
        <w:t xml:space="preserve"> </w:t>
      </w:r>
    </w:p>
    <w:p w14:paraId="2E59DA5B" w14:textId="20A21F71"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lastRenderedPageBreak/>
        <w:t xml:space="preserve">Bolker, Benjamin B. </w:t>
      </w:r>
      <w:r w:rsidRPr="00B73E5F">
        <w:rPr>
          <w:rFonts w:ascii="Times New Roman" w:hAnsi="Times New Roman" w:cs="Times New Roman"/>
          <w:i/>
          <w:iCs/>
          <w:color w:val="000000" w:themeColor="text1"/>
        </w:rPr>
        <w:t xml:space="preserve">Ecological Models and Data in R. </w:t>
      </w:r>
      <w:r w:rsidRPr="00B73E5F">
        <w:rPr>
          <w:rFonts w:ascii="Times New Roman" w:hAnsi="Times New Roman" w:cs="Times New Roman"/>
          <w:color w:val="000000" w:themeColor="text1"/>
        </w:rPr>
        <w:t>Princeton, New Jersey: Princeton University Press, 2008.</w:t>
      </w:r>
    </w:p>
    <w:p w14:paraId="42C2DE94" w14:textId="738718CC"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Braddick, Darren, and Rina Fanny </w:t>
      </w:r>
      <w:proofErr w:type="spellStart"/>
      <w:r w:rsidRPr="00B73E5F">
        <w:rPr>
          <w:rFonts w:ascii="Times New Roman" w:hAnsi="Times New Roman" w:cs="Times New Roman"/>
          <w:color w:val="000000" w:themeColor="text1"/>
        </w:rPr>
        <w:t>Ramarohetra</w:t>
      </w:r>
      <w:proofErr w:type="spellEnd"/>
      <w:r w:rsidRPr="00B73E5F">
        <w:rPr>
          <w:rFonts w:ascii="Times New Roman" w:hAnsi="Times New Roman" w:cs="Times New Roman"/>
          <w:color w:val="000000" w:themeColor="text1"/>
        </w:rPr>
        <w:t>. Chapter 21</w:t>
      </w:r>
      <w:r w:rsidR="003C7EFE" w:rsidRPr="00B73E5F">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Emergent challenges for CRISPR: biosafety, biosecurity, patenting, and regulatory issues. </w:t>
      </w:r>
      <w:r w:rsidRPr="00B73E5F">
        <w:rPr>
          <w:rFonts w:ascii="Times New Roman" w:hAnsi="Times New Roman" w:cs="Times New Roman"/>
          <w:i/>
          <w:iCs/>
          <w:color w:val="000000" w:themeColor="text1"/>
        </w:rPr>
        <w:t xml:space="preserve">In Genome engineering via CRISPR-Cas9 System, </w:t>
      </w:r>
      <w:r w:rsidRPr="00B73E5F">
        <w:rPr>
          <w:rFonts w:ascii="Times New Roman" w:hAnsi="Times New Roman" w:cs="Times New Roman"/>
          <w:color w:val="000000" w:themeColor="text1"/>
        </w:rPr>
        <w:t>Vijai Singh, Pawan K. Dhar, eds. Cambridge, Massachusetts: Academic Press, 2020.</w:t>
      </w:r>
    </w:p>
    <w:p w14:paraId="1765E71C" w14:textId="1DC1780B" w:rsidR="00787D21" w:rsidRPr="00096C23"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Brossard, Dominique, and others. Promises and perils of gene drives: navigating the communication of complex, post-normal science. </w:t>
      </w:r>
      <w:r w:rsidRPr="00B73E5F">
        <w:rPr>
          <w:rFonts w:ascii="Times New Roman" w:hAnsi="Times New Roman" w:cs="Times New Roman"/>
          <w:i/>
          <w:iCs/>
          <w:color w:val="000000" w:themeColor="text1"/>
        </w:rPr>
        <w:t>PNAS</w:t>
      </w:r>
      <w:r w:rsidRPr="00B73E5F">
        <w:rPr>
          <w:rFonts w:ascii="Times New Roman" w:hAnsi="Times New Roman" w:cs="Times New Roman"/>
          <w:color w:val="000000" w:themeColor="text1"/>
        </w:rPr>
        <w:t>, vol. 116, No. 16 (January 2019). pp. 7692—7697.</w:t>
      </w:r>
    </w:p>
    <w:p w14:paraId="4067E0E4" w14:textId="00E1C0EF"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Buchman, Anna, and others. Engineered reciprocal chromosome translocations drive high threshold, reversible population replacement in </w:t>
      </w:r>
      <w:r w:rsidRPr="00B73E5F">
        <w:rPr>
          <w:rFonts w:ascii="Times New Roman" w:hAnsi="Times New Roman" w:cs="Times New Roman"/>
          <w:i/>
          <w:iCs/>
          <w:color w:val="000000" w:themeColor="text1"/>
        </w:rPr>
        <w:t>Drosophila</w:t>
      </w:r>
      <w:r w:rsidRPr="00B73E5F">
        <w:rPr>
          <w:rFonts w:ascii="Times New Roman" w:hAnsi="Times New Roman" w:cs="Times New Roman"/>
          <w:color w:val="000000" w:themeColor="text1"/>
        </w:rPr>
        <w:t xml:space="preserve">. </w:t>
      </w:r>
      <w:r w:rsidRPr="00B73E5F">
        <w:rPr>
          <w:rFonts w:ascii="Times New Roman" w:hAnsi="Times New Roman" w:cs="Times New Roman"/>
          <w:i/>
          <w:iCs/>
          <w:color w:val="000000" w:themeColor="text1"/>
        </w:rPr>
        <w:t>ACS publications,</w:t>
      </w:r>
      <w:r w:rsidRPr="00B73E5F">
        <w:rPr>
          <w:rFonts w:ascii="Times New Roman" w:hAnsi="Times New Roman" w:cs="Times New Roman"/>
          <w:color w:val="000000" w:themeColor="text1"/>
        </w:rPr>
        <w:t xml:space="preserve"> vol. 7, No. 5 (April 2018</w:t>
      </w:r>
      <w:r w:rsidR="249CDDD8" w:rsidRPr="00B73E5F">
        <w:rPr>
          <w:rFonts w:ascii="Times New Roman" w:hAnsi="Times New Roman" w:cs="Times New Roman"/>
          <w:color w:val="000000" w:themeColor="text1"/>
        </w:rPr>
        <w:t>a</w:t>
      </w:r>
      <w:r w:rsidRPr="00B73E5F">
        <w:rPr>
          <w:rFonts w:ascii="Times New Roman" w:hAnsi="Times New Roman" w:cs="Times New Roman"/>
          <w:color w:val="000000" w:themeColor="text1"/>
        </w:rPr>
        <w:t>), pp. 1359—1370.</w:t>
      </w:r>
    </w:p>
    <w:p w14:paraId="54AE293A" w14:textId="522E5619"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Buchman, Anna, and others. Engineered reproductively isolated species drive reversible population replacement. </w:t>
      </w:r>
      <w:r w:rsidRPr="00B73E5F">
        <w:rPr>
          <w:rFonts w:ascii="Times New Roman" w:hAnsi="Times New Roman" w:cs="Times New Roman"/>
          <w:i/>
          <w:iCs/>
          <w:color w:val="000000" w:themeColor="text1"/>
        </w:rPr>
        <w:t xml:space="preserve">Nature Communications, </w:t>
      </w:r>
      <w:r w:rsidRPr="00B73E5F">
        <w:rPr>
          <w:rFonts w:ascii="Times New Roman" w:hAnsi="Times New Roman" w:cs="Times New Roman"/>
          <w:color w:val="000000" w:themeColor="text1"/>
        </w:rPr>
        <w:t>vol. 12, No. 3281 (June 2021).</w:t>
      </w:r>
    </w:p>
    <w:p w14:paraId="4EEEF362" w14:textId="628E6D01"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Buchman, Anna, and others. Synthetically engineered</w:t>
      </w:r>
      <w:r w:rsidRPr="00B73E5F">
        <w:rPr>
          <w:rFonts w:ascii="Times New Roman" w:hAnsi="Times New Roman" w:cs="Times New Roman"/>
          <w:i/>
          <w:iCs/>
          <w:color w:val="000000" w:themeColor="text1"/>
        </w:rPr>
        <w:t xml:space="preserve"> Medea </w:t>
      </w:r>
      <w:r w:rsidRPr="00B73E5F">
        <w:rPr>
          <w:rFonts w:ascii="Times New Roman" w:hAnsi="Times New Roman" w:cs="Times New Roman"/>
          <w:color w:val="000000" w:themeColor="text1"/>
        </w:rPr>
        <w:t xml:space="preserve">gene drive system in the worldwide crop pest </w:t>
      </w:r>
      <w:r w:rsidRPr="00B73E5F">
        <w:rPr>
          <w:rFonts w:ascii="Times New Roman" w:hAnsi="Times New Roman" w:cs="Times New Roman"/>
          <w:i/>
          <w:iCs/>
          <w:color w:val="000000" w:themeColor="text1"/>
        </w:rPr>
        <w:t xml:space="preserve">Drosophila </w:t>
      </w:r>
      <w:proofErr w:type="spellStart"/>
      <w:r w:rsidRPr="00B73E5F">
        <w:rPr>
          <w:rFonts w:ascii="Times New Roman" w:hAnsi="Times New Roman" w:cs="Times New Roman"/>
          <w:i/>
          <w:iCs/>
          <w:color w:val="000000" w:themeColor="text1"/>
        </w:rPr>
        <w:t>suzukii</w:t>
      </w:r>
      <w:proofErr w:type="spellEnd"/>
      <w:r w:rsidRPr="00B73E5F">
        <w:rPr>
          <w:rFonts w:ascii="Times New Roman" w:hAnsi="Times New Roman" w:cs="Times New Roman"/>
          <w:color w:val="000000" w:themeColor="text1"/>
        </w:rPr>
        <w:t xml:space="preserve">. </w:t>
      </w:r>
      <w:r w:rsidRPr="00B73E5F">
        <w:rPr>
          <w:rFonts w:ascii="Times New Roman" w:hAnsi="Times New Roman" w:cs="Times New Roman"/>
          <w:i/>
          <w:iCs/>
          <w:color w:val="000000" w:themeColor="text1"/>
        </w:rPr>
        <w:t>PNAS</w:t>
      </w:r>
      <w:r w:rsidRPr="00B73E5F">
        <w:rPr>
          <w:rFonts w:ascii="Times New Roman" w:hAnsi="Times New Roman" w:cs="Times New Roman"/>
          <w:color w:val="000000" w:themeColor="text1"/>
        </w:rPr>
        <w:t>, vol. 116, No. 18 (April 2018</w:t>
      </w:r>
      <w:r w:rsidR="0F86B010" w:rsidRPr="00B73E5F">
        <w:rPr>
          <w:rFonts w:ascii="Times New Roman" w:hAnsi="Times New Roman" w:cs="Times New Roman"/>
          <w:color w:val="000000" w:themeColor="text1"/>
        </w:rPr>
        <w:t>b</w:t>
      </w:r>
      <w:r w:rsidRPr="00B73E5F">
        <w:rPr>
          <w:rFonts w:ascii="Times New Roman" w:hAnsi="Times New Roman" w:cs="Times New Roman"/>
          <w:color w:val="000000" w:themeColor="text1"/>
        </w:rPr>
        <w:t>), pp. 4724—4730.</w:t>
      </w:r>
      <w:r w:rsidR="00D65CA4" w:rsidRPr="00B73E5F">
        <w:rPr>
          <w:rFonts w:ascii="Times New Roman" w:hAnsi="Times New Roman" w:cs="Times New Roman"/>
          <w:color w:val="000000" w:themeColor="text1"/>
        </w:rPr>
        <w:t>\</w:t>
      </w:r>
    </w:p>
    <w:p w14:paraId="39874124" w14:textId="38A7FED5" w:rsidR="00D65CA4" w:rsidRPr="00B73E5F" w:rsidRDefault="00B25818"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Burgman, M. A., D. B. Linden</w:t>
      </w:r>
      <w:r w:rsidR="00442B20" w:rsidRPr="00B73E5F">
        <w:rPr>
          <w:rFonts w:ascii="Times New Roman" w:hAnsi="Times New Roman" w:cs="Times New Roman"/>
          <w:color w:val="000000" w:themeColor="text1"/>
        </w:rPr>
        <w:t xml:space="preserve">mayer, J. Elith. Managing landscapes for conservation under uncertainty. </w:t>
      </w:r>
      <w:r w:rsidR="00D40A80" w:rsidRPr="00B73E5F">
        <w:rPr>
          <w:rFonts w:ascii="Times New Roman" w:hAnsi="Times New Roman" w:cs="Times New Roman"/>
          <w:i/>
          <w:iCs/>
          <w:color w:val="000000" w:themeColor="text1"/>
        </w:rPr>
        <w:t>E</w:t>
      </w:r>
      <w:r w:rsidR="001E0F87" w:rsidRPr="00B73E5F">
        <w:rPr>
          <w:rFonts w:ascii="Times New Roman" w:hAnsi="Times New Roman" w:cs="Times New Roman"/>
          <w:i/>
          <w:iCs/>
          <w:color w:val="000000" w:themeColor="text1"/>
        </w:rPr>
        <w:t xml:space="preserve">cological Society of America, </w:t>
      </w:r>
      <w:r w:rsidR="001E0F87" w:rsidRPr="00B73E5F">
        <w:rPr>
          <w:rFonts w:ascii="Times New Roman" w:hAnsi="Times New Roman" w:cs="Times New Roman"/>
          <w:color w:val="000000" w:themeColor="text1"/>
        </w:rPr>
        <w:t xml:space="preserve">vol. </w:t>
      </w:r>
      <w:r w:rsidR="002D4EAF" w:rsidRPr="00B73E5F">
        <w:rPr>
          <w:rFonts w:ascii="Times New Roman" w:hAnsi="Times New Roman" w:cs="Times New Roman"/>
          <w:color w:val="000000" w:themeColor="text1"/>
        </w:rPr>
        <w:t>86, No. 8 (</w:t>
      </w:r>
      <w:r w:rsidR="00EF45BA" w:rsidRPr="00B73E5F">
        <w:rPr>
          <w:rFonts w:ascii="Times New Roman" w:hAnsi="Times New Roman" w:cs="Times New Roman"/>
          <w:color w:val="000000" w:themeColor="text1"/>
        </w:rPr>
        <w:t xml:space="preserve">August </w:t>
      </w:r>
      <w:r w:rsidR="00D17192" w:rsidRPr="00B73E5F">
        <w:rPr>
          <w:rFonts w:ascii="Times New Roman" w:hAnsi="Times New Roman" w:cs="Times New Roman"/>
          <w:color w:val="000000" w:themeColor="text1"/>
        </w:rPr>
        <w:t xml:space="preserve">2005), pp. 2007 – 2017. </w:t>
      </w:r>
    </w:p>
    <w:p w14:paraId="393C1EF3" w14:textId="751F6457"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Burt, Austin, and others. Gene drive to reduce malaria transmission in sub-Saharan Africa. </w:t>
      </w:r>
      <w:r w:rsidRPr="00B73E5F">
        <w:rPr>
          <w:rFonts w:ascii="Times New Roman" w:hAnsi="Times New Roman" w:cs="Times New Roman"/>
          <w:i/>
          <w:iCs/>
          <w:color w:val="000000" w:themeColor="text1"/>
        </w:rPr>
        <w:t>Journal of responsible innovation</w:t>
      </w:r>
      <w:r w:rsidRPr="00B73E5F">
        <w:rPr>
          <w:rFonts w:ascii="Times New Roman" w:hAnsi="Times New Roman" w:cs="Times New Roman"/>
          <w:color w:val="000000" w:themeColor="text1"/>
        </w:rPr>
        <w:t>, vol. 5, No.1 (January 2018), pp. S66—S80.</w:t>
      </w:r>
    </w:p>
    <w:p w14:paraId="7F491F80" w14:textId="55D4EBA8" w:rsidR="00787D21" w:rsidRPr="00B73E5F" w:rsidRDefault="00787D21" w:rsidP="00787D21">
      <w:pPr>
        <w:rPr>
          <w:rFonts w:ascii="Times New Roman" w:hAnsi="Times New Roman" w:cs="Times New Roman"/>
          <w:i/>
          <w:iCs/>
          <w:color w:val="000000" w:themeColor="text1"/>
        </w:rPr>
      </w:pPr>
      <w:r w:rsidRPr="00B73E5F">
        <w:rPr>
          <w:rFonts w:ascii="Times New Roman" w:hAnsi="Times New Roman" w:cs="Times New Roman"/>
          <w:color w:val="000000" w:themeColor="text1"/>
        </w:rPr>
        <w:t xml:space="preserve">Burt, Austin. Site-specific selfish genes as tools for the control and genetic engineering of natural populations. </w:t>
      </w:r>
      <w:r w:rsidRPr="00B73E5F">
        <w:rPr>
          <w:rFonts w:ascii="Times New Roman" w:hAnsi="Times New Roman" w:cs="Times New Roman"/>
          <w:i/>
          <w:iCs/>
          <w:color w:val="000000" w:themeColor="text1"/>
        </w:rPr>
        <w:t>Proceedings of the royal society B</w:t>
      </w:r>
      <w:r w:rsidRPr="00B73E5F">
        <w:rPr>
          <w:rFonts w:ascii="Times New Roman" w:hAnsi="Times New Roman" w:cs="Times New Roman"/>
          <w:color w:val="000000" w:themeColor="text1"/>
        </w:rPr>
        <w:t>, vol. 270, No. 1518 (May 2003</w:t>
      </w:r>
      <w:r w:rsidRPr="00B73E5F">
        <w:rPr>
          <w:rFonts w:ascii="Times New Roman" w:hAnsi="Times New Roman" w:cs="Times New Roman"/>
          <w:i/>
          <w:iCs/>
          <w:color w:val="000000" w:themeColor="text1"/>
        </w:rPr>
        <w:t>).</w:t>
      </w:r>
    </w:p>
    <w:p w14:paraId="6BBD3AF7" w14:textId="577B33C9" w:rsidR="37B17BA2" w:rsidRPr="00B73E5F" w:rsidRDefault="007B6E85" w:rsidP="76C96C99">
      <w:r w:rsidRPr="00B73E5F">
        <w:rPr>
          <w:rFonts w:ascii="Times New Roman" w:hAnsi="Times New Roman" w:cs="Times New Roman"/>
          <w:color w:val="000000" w:themeColor="text1"/>
        </w:rPr>
        <w:t xml:space="preserve">Cai, Tong, and others. </w:t>
      </w:r>
      <w:r w:rsidR="0009273E" w:rsidRPr="00B73E5F">
        <w:rPr>
          <w:rFonts w:ascii="Times New Roman" w:hAnsi="Times New Roman" w:cs="Times New Roman"/>
          <w:color w:val="000000" w:themeColor="text1"/>
        </w:rPr>
        <w:t xml:space="preserve">Vector competence evaluation of mosquitoes for </w:t>
      </w:r>
      <w:proofErr w:type="spellStart"/>
      <w:r w:rsidR="0009273E" w:rsidRPr="00B73E5F">
        <w:rPr>
          <w:rFonts w:ascii="Times New Roman" w:hAnsi="Times New Roman" w:cs="Times New Roman"/>
          <w:color w:val="000000" w:themeColor="text1"/>
        </w:rPr>
        <w:t>Tahyna</w:t>
      </w:r>
      <w:proofErr w:type="spellEnd"/>
      <w:r w:rsidR="0009273E" w:rsidRPr="00B73E5F">
        <w:rPr>
          <w:rFonts w:ascii="Times New Roman" w:hAnsi="Times New Roman" w:cs="Times New Roman"/>
          <w:color w:val="000000" w:themeColor="text1"/>
        </w:rPr>
        <w:t xml:space="preserve"> virus PJ01 strain, a new </w:t>
      </w:r>
      <w:proofErr w:type="spellStart"/>
      <w:r w:rsidR="0009273E" w:rsidRPr="00B73E5F">
        <w:rPr>
          <w:rFonts w:ascii="Times New Roman" w:hAnsi="Times New Roman" w:cs="Times New Roman"/>
          <w:color w:val="000000" w:themeColor="text1"/>
        </w:rPr>
        <w:t>Orthobunyavirus</w:t>
      </w:r>
      <w:proofErr w:type="spellEnd"/>
      <w:r w:rsidR="0009273E" w:rsidRPr="00B73E5F">
        <w:rPr>
          <w:rFonts w:ascii="Times New Roman" w:hAnsi="Times New Roman" w:cs="Times New Roman"/>
          <w:color w:val="000000" w:themeColor="text1"/>
        </w:rPr>
        <w:t xml:space="preserve"> in China</w:t>
      </w:r>
      <w:r w:rsidR="00F81ABC" w:rsidRPr="00B73E5F">
        <w:rPr>
          <w:rFonts w:ascii="Times New Roman" w:hAnsi="Times New Roman" w:cs="Times New Roman"/>
          <w:color w:val="000000" w:themeColor="text1"/>
        </w:rPr>
        <w:t xml:space="preserve">. </w:t>
      </w:r>
      <w:r w:rsidR="00F81ABC" w:rsidRPr="00B73E5F">
        <w:rPr>
          <w:rFonts w:ascii="Times New Roman" w:hAnsi="Times New Roman" w:cs="Times New Roman"/>
          <w:i/>
          <w:iCs/>
          <w:color w:val="000000" w:themeColor="text1"/>
        </w:rPr>
        <w:t xml:space="preserve">Front. </w:t>
      </w:r>
      <w:proofErr w:type="spellStart"/>
      <w:r w:rsidR="00F81ABC" w:rsidRPr="00B73E5F">
        <w:rPr>
          <w:rFonts w:ascii="Times New Roman" w:hAnsi="Times New Roman" w:cs="Times New Roman"/>
          <w:i/>
          <w:iCs/>
          <w:color w:val="000000" w:themeColor="text1"/>
        </w:rPr>
        <w:t>Micro</w:t>
      </w:r>
      <w:r w:rsidR="002D1666" w:rsidRPr="00B73E5F">
        <w:rPr>
          <w:rFonts w:ascii="Times New Roman" w:hAnsi="Times New Roman" w:cs="Times New Roman"/>
          <w:i/>
          <w:iCs/>
          <w:color w:val="000000" w:themeColor="text1"/>
        </w:rPr>
        <w:t>biol</w:t>
      </w:r>
      <w:proofErr w:type="spellEnd"/>
      <w:r w:rsidR="009A4B13" w:rsidRPr="00B73E5F">
        <w:rPr>
          <w:rFonts w:ascii="Times New Roman" w:hAnsi="Times New Roman" w:cs="Times New Roman"/>
          <w:i/>
          <w:iCs/>
          <w:color w:val="000000" w:themeColor="text1"/>
        </w:rPr>
        <w:t>.</w:t>
      </w:r>
      <w:r w:rsidR="00BA1401" w:rsidRPr="00B73E5F">
        <w:rPr>
          <w:rFonts w:ascii="Times New Roman" w:hAnsi="Times New Roman" w:cs="Times New Roman"/>
          <w:color w:val="000000" w:themeColor="text1"/>
        </w:rPr>
        <w:t xml:space="preserve">, </w:t>
      </w:r>
      <w:r w:rsidR="009A4B13" w:rsidRPr="00B73E5F">
        <w:rPr>
          <w:rFonts w:ascii="Times New Roman" w:hAnsi="Times New Roman" w:cs="Times New Roman"/>
          <w:color w:val="000000" w:themeColor="text1"/>
        </w:rPr>
        <w:t xml:space="preserve">vol. </w:t>
      </w:r>
      <w:r w:rsidR="00B7408C" w:rsidRPr="00B73E5F">
        <w:rPr>
          <w:rFonts w:ascii="Times New Roman" w:hAnsi="Times New Roman" w:cs="Times New Roman"/>
          <w:color w:val="000000" w:themeColor="text1"/>
        </w:rPr>
        <w:t>14 (A</w:t>
      </w:r>
      <w:r w:rsidR="00120CC4" w:rsidRPr="00B73E5F">
        <w:rPr>
          <w:rFonts w:ascii="Times New Roman" w:hAnsi="Times New Roman" w:cs="Times New Roman"/>
          <w:color w:val="000000" w:themeColor="text1"/>
        </w:rPr>
        <w:t xml:space="preserve">pril 2023). </w:t>
      </w:r>
    </w:p>
    <w:p w14:paraId="486C29FC" w14:textId="76A20ED5"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Calder, Muffy, and others. Computational modelling for decision-making: Where, why, what, who and how. </w:t>
      </w:r>
      <w:r w:rsidRPr="00B73E5F">
        <w:rPr>
          <w:rFonts w:ascii="Times New Roman" w:hAnsi="Times New Roman" w:cs="Times New Roman"/>
          <w:i/>
          <w:iCs/>
          <w:color w:val="000000" w:themeColor="text1"/>
        </w:rPr>
        <w:t>The</w:t>
      </w:r>
      <w:r w:rsidRPr="00B73E5F">
        <w:rPr>
          <w:rFonts w:ascii="Times New Roman" w:hAnsi="Times New Roman" w:cs="Times New Roman"/>
          <w:color w:val="000000" w:themeColor="text1"/>
        </w:rPr>
        <w:t xml:space="preserve"> </w:t>
      </w:r>
      <w:r w:rsidRPr="00B73E5F">
        <w:rPr>
          <w:rFonts w:ascii="Times New Roman" w:hAnsi="Times New Roman" w:cs="Times New Roman"/>
          <w:i/>
          <w:iCs/>
          <w:color w:val="000000" w:themeColor="text1"/>
        </w:rPr>
        <w:t>Royal Society Open Science</w:t>
      </w:r>
      <w:r w:rsidRPr="00B73E5F">
        <w:rPr>
          <w:rFonts w:ascii="Times New Roman" w:hAnsi="Times New Roman" w:cs="Times New Roman"/>
          <w:color w:val="000000" w:themeColor="text1"/>
        </w:rPr>
        <w:t>, vol. 5, No. 6 (June 2018).</w:t>
      </w:r>
    </w:p>
    <w:p w14:paraId="4DF54206" w14:textId="2F51CC5D" w:rsidR="00787D21" w:rsidRPr="00B73E5F" w:rsidRDefault="00787D21" w:rsidP="00787D21">
      <w:pPr>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Calzolari</w:t>
      </w:r>
      <w:proofErr w:type="spellEnd"/>
      <w:r w:rsidRPr="00B73E5F">
        <w:rPr>
          <w:rFonts w:ascii="Times New Roman" w:hAnsi="Times New Roman" w:cs="Times New Roman"/>
          <w:color w:val="000000" w:themeColor="text1"/>
        </w:rPr>
        <w:t xml:space="preserve">, Mattia, and others. Arbovirus screening in mosquitoes in Emilia-Romagna (Italy, 2021) and Isolation of </w:t>
      </w:r>
      <w:proofErr w:type="spellStart"/>
      <w:r w:rsidRPr="00B73E5F">
        <w:rPr>
          <w:rFonts w:ascii="Times New Roman" w:hAnsi="Times New Roman" w:cs="Times New Roman"/>
          <w:color w:val="000000" w:themeColor="text1"/>
        </w:rPr>
        <w:t>Tahyna</w:t>
      </w:r>
      <w:proofErr w:type="spellEnd"/>
      <w:r w:rsidRPr="00B73E5F">
        <w:rPr>
          <w:rFonts w:ascii="Times New Roman" w:hAnsi="Times New Roman" w:cs="Times New Roman"/>
          <w:color w:val="000000" w:themeColor="text1"/>
        </w:rPr>
        <w:t xml:space="preserve"> Virus. </w:t>
      </w:r>
      <w:r w:rsidRPr="00B73E5F">
        <w:rPr>
          <w:rFonts w:ascii="Times New Roman" w:hAnsi="Times New Roman" w:cs="Times New Roman"/>
          <w:i/>
          <w:iCs/>
          <w:color w:val="000000" w:themeColor="text1"/>
        </w:rPr>
        <w:t>Microbiology Spectrum</w:t>
      </w:r>
      <w:r w:rsidRPr="00B73E5F">
        <w:rPr>
          <w:rFonts w:ascii="Times New Roman" w:hAnsi="Times New Roman" w:cs="Times New Roman"/>
          <w:color w:val="000000" w:themeColor="text1"/>
        </w:rPr>
        <w:t>, vol. 10, No. 5 (September 2022).</w:t>
      </w:r>
    </w:p>
    <w:p w14:paraId="00A30ECD" w14:textId="3656A382" w:rsidR="00787D21" w:rsidRPr="00096C23"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Cancellieri, Samuele, and others. Human genetic diversity alters off-target outcomes of therapeutic gene editing. </w:t>
      </w:r>
      <w:r w:rsidRPr="00B73E5F">
        <w:rPr>
          <w:rFonts w:ascii="Times New Roman" w:hAnsi="Times New Roman" w:cs="Times New Roman"/>
          <w:i/>
          <w:iCs/>
          <w:color w:val="000000" w:themeColor="text1"/>
        </w:rPr>
        <w:t>Nature Genetics</w:t>
      </w:r>
      <w:r w:rsidRPr="00B73E5F">
        <w:rPr>
          <w:rFonts w:ascii="Times New Roman" w:hAnsi="Times New Roman" w:cs="Times New Roman"/>
          <w:color w:val="000000" w:themeColor="text1"/>
        </w:rPr>
        <w:t>, vol. 55 (202</w:t>
      </w:r>
      <w:r w:rsidR="10E308DE" w:rsidRPr="00B73E5F">
        <w:rPr>
          <w:rFonts w:ascii="Times New Roman" w:hAnsi="Times New Roman" w:cs="Times New Roman"/>
          <w:color w:val="000000" w:themeColor="text1"/>
        </w:rPr>
        <w:t>3</w:t>
      </w:r>
      <w:r w:rsidRPr="00B73E5F">
        <w:rPr>
          <w:rFonts w:ascii="Times New Roman" w:hAnsi="Times New Roman" w:cs="Times New Roman"/>
          <w:color w:val="000000" w:themeColor="text1"/>
        </w:rPr>
        <w:t>), pp. 34—43.</w:t>
      </w:r>
    </w:p>
    <w:p w14:paraId="38B6E4DA" w14:textId="5FCF0D3C" w:rsidR="00787D21" w:rsidRPr="0095438C" w:rsidRDefault="0179C126" w:rsidP="00787D21">
      <w:pPr>
        <w:rPr>
          <w:rFonts w:ascii="Times" w:eastAsia="Times" w:hAnsi="Times" w:cs="Times"/>
          <w:color w:val="000000" w:themeColor="text1"/>
          <w:lang w:val="en-US"/>
        </w:rPr>
      </w:pPr>
      <w:proofErr w:type="spellStart"/>
      <w:r w:rsidRPr="0095438C">
        <w:rPr>
          <w:rFonts w:ascii="Times" w:eastAsia="Times" w:hAnsi="Times" w:cs="Times"/>
          <w:color w:val="000000" w:themeColor="text1"/>
          <w:lang w:val="en-US"/>
        </w:rPr>
        <w:t>Carballar-Lejarazú</w:t>
      </w:r>
      <w:proofErr w:type="spellEnd"/>
      <w:r w:rsidRPr="0095438C">
        <w:rPr>
          <w:rFonts w:ascii="Times" w:eastAsia="Times" w:hAnsi="Times" w:cs="Times"/>
          <w:color w:val="000000" w:themeColor="text1"/>
          <w:lang w:val="en-US"/>
        </w:rPr>
        <w:t>, Rebeca, and others.</w:t>
      </w:r>
      <w:r w:rsidRPr="3BE0F30A">
        <w:rPr>
          <w:rFonts w:ascii="Times" w:eastAsia="Times" w:hAnsi="Times" w:cs="Times"/>
          <w:color w:val="000000" w:themeColor="text1"/>
        </w:rPr>
        <w:t xml:space="preserve"> </w:t>
      </w:r>
      <w:r w:rsidR="00787D21" w:rsidRPr="3BE0F30A">
        <w:rPr>
          <w:rFonts w:ascii="Times" w:eastAsia="Times" w:hAnsi="Times" w:cs="Times"/>
          <w:color w:val="000000" w:themeColor="text1"/>
        </w:rPr>
        <w:t xml:space="preserve">Dual effector population modification gene-drive strains of the African malaria mosquitoes, </w:t>
      </w:r>
      <w:r w:rsidR="00787D21" w:rsidRPr="3BE0F30A">
        <w:rPr>
          <w:rFonts w:ascii="Times" w:eastAsia="Times" w:hAnsi="Times" w:cs="Times"/>
          <w:i/>
          <w:color w:val="000000" w:themeColor="text1"/>
        </w:rPr>
        <w:t>Anopheles gambiae</w:t>
      </w:r>
      <w:r w:rsidR="00787D21" w:rsidRPr="3BE0F30A">
        <w:rPr>
          <w:rFonts w:ascii="Times" w:eastAsia="Times" w:hAnsi="Times" w:cs="Times"/>
          <w:color w:val="000000" w:themeColor="text1"/>
        </w:rPr>
        <w:t xml:space="preserve"> and </w:t>
      </w:r>
      <w:r w:rsidR="00787D21" w:rsidRPr="3BE0F30A">
        <w:rPr>
          <w:rFonts w:ascii="Times" w:eastAsia="Times" w:hAnsi="Times" w:cs="Times"/>
          <w:i/>
          <w:color w:val="000000" w:themeColor="text1"/>
        </w:rPr>
        <w:t xml:space="preserve">Anopheles </w:t>
      </w:r>
      <w:proofErr w:type="spellStart"/>
      <w:r w:rsidR="00787D21" w:rsidRPr="3BE0F30A">
        <w:rPr>
          <w:rFonts w:ascii="Times" w:eastAsia="Times" w:hAnsi="Times" w:cs="Times"/>
          <w:i/>
          <w:color w:val="000000" w:themeColor="text1"/>
        </w:rPr>
        <w:t>coluzzii</w:t>
      </w:r>
      <w:proofErr w:type="spellEnd"/>
      <w:r w:rsidR="00787D21" w:rsidRPr="3BE0F30A">
        <w:rPr>
          <w:rFonts w:ascii="Times" w:eastAsia="Times" w:hAnsi="Times" w:cs="Times"/>
          <w:i/>
          <w:color w:val="000000" w:themeColor="text1"/>
        </w:rPr>
        <w:t xml:space="preserve">. </w:t>
      </w:r>
      <w:r w:rsidR="00787D21" w:rsidRPr="0095438C">
        <w:rPr>
          <w:rFonts w:ascii="Times" w:eastAsia="Times" w:hAnsi="Times" w:cs="Times"/>
          <w:i/>
          <w:color w:val="000000" w:themeColor="text1"/>
          <w:lang w:val="en-US"/>
        </w:rPr>
        <w:t>PNAS</w:t>
      </w:r>
      <w:r w:rsidR="00787D21" w:rsidRPr="0095438C">
        <w:rPr>
          <w:rFonts w:ascii="Times" w:eastAsia="Times" w:hAnsi="Times" w:cs="Times"/>
          <w:color w:val="000000" w:themeColor="text1"/>
          <w:lang w:val="en-US"/>
        </w:rPr>
        <w:t>, vol. 120, No. 29 (July 2023).</w:t>
      </w:r>
    </w:p>
    <w:p w14:paraId="31A103DA" w14:textId="154C6FF6" w:rsidR="7E9C7EC6" w:rsidRPr="0095438C" w:rsidRDefault="0BF1203F" w:rsidP="7E9C7EC6">
      <w:pPr>
        <w:rPr>
          <w:rFonts w:ascii="Times" w:eastAsia="Times" w:hAnsi="Times" w:cs="Times"/>
          <w:color w:val="000000" w:themeColor="text1"/>
          <w:lang w:val="en-US"/>
        </w:rPr>
      </w:pPr>
      <w:r w:rsidRPr="3BE0F30A">
        <w:rPr>
          <w:rFonts w:ascii="Times" w:eastAsia="Times" w:hAnsi="Times" w:cs="Times"/>
          <w:color w:val="000000" w:themeColor="text1"/>
        </w:rPr>
        <w:t xml:space="preserve">__________. </w:t>
      </w:r>
      <w:r w:rsidRPr="0095438C">
        <w:rPr>
          <w:rFonts w:ascii="Times" w:eastAsia="Times" w:hAnsi="Times" w:cs="Times"/>
          <w:color w:val="000000" w:themeColor="text1"/>
          <w:lang w:val="en-US"/>
        </w:rPr>
        <w:t xml:space="preserve">Next-generation gene drive for population modification of the malaria vector mosquito, </w:t>
      </w:r>
      <w:r w:rsidRPr="0095438C">
        <w:rPr>
          <w:rFonts w:ascii="Times" w:eastAsia="Times" w:hAnsi="Times" w:cs="Times"/>
          <w:i/>
          <w:color w:val="000000" w:themeColor="text1"/>
          <w:lang w:val="en-US"/>
        </w:rPr>
        <w:t xml:space="preserve">Anopheles gambiae. Proc Natl </w:t>
      </w:r>
      <w:proofErr w:type="spellStart"/>
      <w:r w:rsidRPr="0095438C">
        <w:rPr>
          <w:rFonts w:ascii="Times" w:eastAsia="Times" w:hAnsi="Times" w:cs="Times"/>
          <w:i/>
          <w:color w:val="000000" w:themeColor="text1"/>
          <w:lang w:val="en-US"/>
        </w:rPr>
        <w:t>Acad</w:t>
      </w:r>
      <w:proofErr w:type="spellEnd"/>
      <w:r w:rsidRPr="0095438C">
        <w:rPr>
          <w:rFonts w:ascii="Times" w:eastAsia="Times" w:hAnsi="Times" w:cs="Times"/>
          <w:i/>
          <w:color w:val="000000" w:themeColor="text1"/>
          <w:lang w:val="en-US"/>
        </w:rPr>
        <w:t xml:space="preserve"> Sci U.S.A., </w:t>
      </w:r>
      <w:r w:rsidRPr="0095438C">
        <w:rPr>
          <w:rFonts w:ascii="Times" w:eastAsia="Times" w:hAnsi="Times" w:cs="Times"/>
          <w:color w:val="000000" w:themeColor="text1"/>
          <w:lang w:val="en-US"/>
        </w:rPr>
        <w:t xml:space="preserve">vol. 117, No. 37 (September 2020), pp. 22805 – 22814. </w:t>
      </w:r>
    </w:p>
    <w:p w14:paraId="572BF2C5" w14:textId="13181438" w:rsidR="0124EEDE" w:rsidRDefault="7DC90A47" w:rsidP="0124EEDE">
      <w:pPr>
        <w:rPr>
          <w:rFonts w:ascii="Times" w:eastAsia="Times" w:hAnsi="Times" w:cs="Times"/>
          <w:color w:val="000000" w:themeColor="text1"/>
        </w:rPr>
      </w:pPr>
      <w:r w:rsidRPr="3BE0F30A">
        <w:rPr>
          <w:rFonts w:ascii="Times" w:eastAsia="Times" w:hAnsi="Times" w:cs="Times"/>
          <w:color w:val="000000" w:themeColor="text1"/>
        </w:rPr>
        <w:t xml:space="preserve">__________. </w:t>
      </w:r>
      <w:proofErr w:type="spellStart"/>
      <w:r w:rsidR="433256B3" w:rsidRPr="3BE0F30A">
        <w:rPr>
          <w:rFonts w:ascii="Times" w:eastAsia="Times" w:hAnsi="Times" w:cs="Times"/>
          <w:color w:val="000000" w:themeColor="text1"/>
        </w:rPr>
        <w:t>Carballar-Lejarazú</w:t>
      </w:r>
      <w:proofErr w:type="spellEnd"/>
      <w:r w:rsidR="433256B3" w:rsidRPr="3BE0F30A">
        <w:rPr>
          <w:rFonts w:ascii="Times" w:eastAsia="Times" w:hAnsi="Times" w:cs="Times"/>
          <w:color w:val="000000" w:themeColor="text1"/>
        </w:rPr>
        <w:t xml:space="preserve"> R., </w:t>
      </w:r>
      <w:r w:rsidR="3E2FC4C6" w:rsidRPr="3BE0F30A">
        <w:rPr>
          <w:rFonts w:ascii="Times" w:eastAsia="Times" w:hAnsi="Times" w:cs="Times"/>
          <w:color w:val="000000" w:themeColor="text1"/>
        </w:rPr>
        <w:t xml:space="preserve">and Anthony A. </w:t>
      </w:r>
      <w:r w:rsidR="433256B3" w:rsidRPr="3BE0F30A">
        <w:rPr>
          <w:rFonts w:ascii="Times" w:eastAsia="Times" w:hAnsi="Times" w:cs="Times"/>
          <w:color w:val="000000" w:themeColor="text1"/>
        </w:rPr>
        <w:t>James</w:t>
      </w:r>
      <w:r w:rsidR="1C53F735" w:rsidRPr="3BE0F30A">
        <w:rPr>
          <w:rFonts w:ascii="Times" w:eastAsia="Times" w:hAnsi="Times" w:cs="Times"/>
          <w:color w:val="000000" w:themeColor="text1"/>
        </w:rPr>
        <w:t>.</w:t>
      </w:r>
      <w:r w:rsidR="433256B3" w:rsidRPr="3BE0F30A">
        <w:rPr>
          <w:rFonts w:ascii="Times" w:eastAsia="Times" w:hAnsi="Times" w:cs="Times"/>
          <w:color w:val="000000" w:themeColor="text1"/>
        </w:rPr>
        <w:t xml:space="preserve"> Population modification of Anopheline species to control malaria transmission. </w:t>
      </w:r>
      <w:proofErr w:type="spellStart"/>
      <w:r w:rsidR="433256B3" w:rsidRPr="3BE0F30A">
        <w:rPr>
          <w:rFonts w:ascii="Times" w:eastAsia="Times" w:hAnsi="Times" w:cs="Times"/>
          <w:i/>
          <w:color w:val="000000" w:themeColor="text1"/>
        </w:rPr>
        <w:t>Pathog</w:t>
      </w:r>
      <w:proofErr w:type="spellEnd"/>
      <w:r w:rsidR="433256B3" w:rsidRPr="3BE0F30A">
        <w:rPr>
          <w:rFonts w:ascii="Times" w:eastAsia="Times" w:hAnsi="Times" w:cs="Times"/>
          <w:i/>
          <w:color w:val="000000" w:themeColor="text1"/>
        </w:rPr>
        <w:t>. Glob. Health</w:t>
      </w:r>
      <w:r w:rsidR="67281566" w:rsidRPr="3BE0F30A">
        <w:rPr>
          <w:rFonts w:ascii="Times" w:eastAsia="Times" w:hAnsi="Times" w:cs="Times"/>
          <w:i/>
          <w:color w:val="000000" w:themeColor="text1"/>
        </w:rPr>
        <w:t>,</w:t>
      </w:r>
      <w:r w:rsidR="433256B3" w:rsidRPr="3BE0F30A">
        <w:rPr>
          <w:rFonts w:ascii="Times" w:eastAsia="Times" w:hAnsi="Times" w:cs="Times"/>
          <w:color w:val="000000" w:themeColor="text1"/>
        </w:rPr>
        <w:t xml:space="preserve"> </w:t>
      </w:r>
      <w:r w:rsidR="2B86135A" w:rsidRPr="3BE0F30A">
        <w:rPr>
          <w:rFonts w:ascii="Times" w:eastAsia="Times" w:hAnsi="Times" w:cs="Times"/>
          <w:color w:val="000000" w:themeColor="text1"/>
        </w:rPr>
        <w:t xml:space="preserve">vol. </w:t>
      </w:r>
      <w:r w:rsidR="433256B3" w:rsidRPr="3BE0F30A">
        <w:rPr>
          <w:rFonts w:ascii="Times" w:eastAsia="Times" w:hAnsi="Times" w:cs="Times"/>
          <w:color w:val="000000" w:themeColor="text1"/>
        </w:rPr>
        <w:t>111</w:t>
      </w:r>
      <w:r w:rsidR="1E3B5251" w:rsidRPr="3BE0F30A">
        <w:rPr>
          <w:rFonts w:ascii="Times" w:eastAsia="Times" w:hAnsi="Times" w:cs="Times"/>
          <w:color w:val="000000" w:themeColor="text1"/>
        </w:rPr>
        <w:t xml:space="preserve"> (2017), pp. </w:t>
      </w:r>
      <w:r w:rsidR="433256B3" w:rsidRPr="3BE0F30A">
        <w:rPr>
          <w:rFonts w:ascii="Times" w:eastAsia="Times" w:hAnsi="Times" w:cs="Times"/>
          <w:color w:val="000000" w:themeColor="text1"/>
        </w:rPr>
        <w:t>424–435.</w:t>
      </w:r>
    </w:p>
    <w:p w14:paraId="7A7F7370" w14:textId="3F21328D" w:rsidR="00787D21" w:rsidRPr="00B73E5F" w:rsidRDefault="00787D21" w:rsidP="00787D21">
      <w:pPr>
        <w:tabs>
          <w:tab w:val="center" w:pos="4680"/>
        </w:tabs>
        <w:jc w:val="both"/>
        <w:rPr>
          <w:rFonts w:ascii="Times New Roman" w:hAnsi="Times New Roman" w:cs="Times New Roman"/>
          <w:color w:val="000000" w:themeColor="text1"/>
        </w:rPr>
      </w:pPr>
      <w:r w:rsidRPr="00B73E5F">
        <w:rPr>
          <w:rFonts w:ascii="Times New Roman" w:hAnsi="Times New Roman" w:cs="Times New Roman"/>
          <w:color w:val="000000" w:themeColor="text1"/>
        </w:rPr>
        <w:t xml:space="preserve">Carey, Janet M., and Mark A. Burgman. Linguistic uncertainty in qualitative risk analysis and how to minimize it. </w:t>
      </w:r>
      <w:r w:rsidRPr="00B73E5F">
        <w:rPr>
          <w:rFonts w:ascii="Times New Roman" w:hAnsi="Times New Roman" w:cs="Times New Roman"/>
          <w:i/>
          <w:iCs/>
          <w:color w:val="000000" w:themeColor="text1"/>
        </w:rPr>
        <w:t xml:space="preserve">The </w:t>
      </w:r>
      <w:r w:rsidRPr="00B73E5F">
        <w:tab/>
      </w:r>
      <w:r w:rsidRPr="00B73E5F">
        <w:rPr>
          <w:rFonts w:ascii="Times New Roman" w:hAnsi="Times New Roman" w:cs="Times New Roman"/>
          <w:i/>
          <w:iCs/>
          <w:color w:val="000000" w:themeColor="text1"/>
        </w:rPr>
        <w:t>New York academy of sciences</w:t>
      </w:r>
      <w:r w:rsidRPr="00B73E5F">
        <w:rPr>
          <w:rFonts w:ascii="Times New Roman" w:hAnsi="Times New Roman" w:cs="Times New Roman"/>
          <w:color w:val="000000" w:themeColor="text1"/>
        </w:rPr>
        <w:t>, vol. 1128, No. 1 (April 2008), pp. 13—17.</w:t>
      </w:r>
    </w:p>
    <w:p w14:paraId="067C7E49" w14:textId="4A0095F1" w:rsidR="00787D21" w:rsidRPr="00096C23" w:rsidRDefault="00787D21" w:rsidP="00787D21">
      <w:pPr>
        <w:tabs>
          <w:tab w:val="center" w:pos="4680"/>
        </w:tabs>
        <w:jc w:val="both"/>
        <w:rPr>
          <w:rFonts w:ascii="Times New Roman" w:hAnsi="Times New Roman" w:cs="Times New Roman"/>
          <w:color w:val="000000" w:themeColor="text1"/>
        </w:rPr>
      </w:pPr>
      <w:r w:rsidRPr="00B73E5F">
        <w:rPr>
          <w:rFonts w:ascii="Times New Roman" w:hAnsi="Times New Roman" w:cs="Times New Roman"/>
          <w:color w:val="000000" w:themeColor="text1"/>
        </w:rPr>
        <w:t xml:space="preserve">Celone, Michael, and others. A systematic review and meta-analysis of the potential non-human animal reservoirs and arthropod vectors of the </w:t>
      </w:r>
      <w:proofErr w:type="spellStart"/>
      <w:r w:rsidRPr="00B73E5F">
        <w:rPr>
          <w:rFonts w:ascii="Times New Roman" w:hAnsi="Times New Roman" w:cs="Times New Roman"/>
          <w:color w:val="000000" w:themeColor="text1"/>
        </w:rPr>
        <w:t>mayaro</w:t>
      </w:r>
      <w:proofErr w:type="spellEnd"/>
      <w:r w:rsidRPr="00B73E5F">
        <w:rPr>
          <w:rFonts w:ascii="Times New Roman" w:hAnsi="Times New Roman" w:cs="Times New Roman"/>
          <w:color w:val="000000" w:themeColor="text1"/>
        </w:rPr>
        <w:t xml:space="preserve"> virus. </w:t>
      </w:r>
      <w:r w:rsidRPr="00B73E5F">
        <w:rPr>
          <w:rFonts w:ascii="Times New Roman" w:hAnsi="Times New Roman" w:cs="Times New Roman"/>
          <w:i/>
          <w:iCs/>
          <w:color w:val="000000" w:themeColor="text1"/>
        </w:rPr>
        <w:t>PLOS Neglected Tropical Diseases</w:t>
      </w:r>
      <w:r w:rsidRPr="00B73E5F">
        <w:rPr>
          <w:rFonts w:ascii="Times New Roman" w:hAnsi="Times New Roman" w:cs="Times New Roman"/>
          <w:color w:val="000000" w:themeColor="text1"/>
        </w:rPr>
        <w:t>, vol. 15, No. 12 (December 2021).</w:t>
      </w:r>
    </w:p>
    <w:p w14:paraId="08E48B68" w14:textId="4AB9DAB9" w:rsidR="00787D21" w:rsidRPr="00096C23"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lastRenderedPageBreak/>
        <w:t xml:space="preserve">Celone, Michael, and others. An ecological niche model to predict the geographic distribution of </w:t>
      </w:r>
      <w:proofErr w:type="spellStart"/>
      <w:r w:rsidRPr="00B73E5F">
        <w:rPr>
          <w:rFonts w:ascii="Times New Roman" w:hAnsi="Times New Roman" w:cs="Times New Roman"/>
          <w:i/>
          <w:iCs/>
          <w:color w:val="000000" w:themeColor="text1"/>
        </w:rPr>
        <w:t>haemagogus</w:t>
      </w:r>
      <w:proofErr w:type="spellEnd"/>
      <w:r w:rsidRPr="00B73E5F">
        <w:rPr>
          <w:rFonts w:ascii="Times New Roman" w:hAnsi="Times New Roman" w:cs="Times New Roman"/>
          <w:i/>
          <w:iCs/>
          <w:color w:val="000000" w:themeColor="text1"/>
        </w:rPr>
        <w:t xml:space="preserve"> </w:t>
      </w:r>
      <w:proofErr w:type="spellStart"/>
      <w:r w:rsidRPr="00B73E5F">
        <w:rPr>
          <w:rFonts w:ascii="Times New Roman" w:hAnsi="Times New Roman" w:cs="Times New Roman"/>
          <w:i/>
          <w:iCs/>
          <w:color w:val="000000" w:themeColor="text1"/>
        </w:rPr>
        <w:t>janthinomys</w:t>
      </w:r>
      <w:proofErr w:type="spellEnd"/>
      <w:r w:rsidRPr="00B73E5F">
        <w:rPr>
          <w:rFonts w:ascii="Times New Roman" w:hAnsi="Times New Roman" w:cs="Times New Roman"/>
          <w:color w:val="000000" w:themeColor="text1"/>
        </w:rPr>
        <w:t>, Dyar, 1921 a yellow fever and</w:t>
      </w:r>
      <w:r w:rsidR="00B73E5F">
        <w:rPr>
          <w:rFonts w:ascii="Times New Roman" w:hAnsi="Times New Roman" w:cs="Times New Roman"/>
          <w:color w:val="000000" w:themeColor="text1"/>
        </w:rPr>
        <w:t xml:space="preserve"> </w:t>
      </w:r>
      <w:proofErr w:type="spellStart"/>
      <w:r w:rsidR="00B73E5F">
        <w:rPr>
          <w:rFonts w:ascii="Times New Roman" w:hAnsi="Times New Roman" w:cs="Times New Roman"/>
          <w:color w:val="000000" w:themeColor="text1"/>
        </w:rPr>
        <w:t>mayar</w:t>
      </w:r>
      <w:r w:rsidRPr="00B73E5F">
        <w:rPr>
          <w:rFonts w:ascii="Times New Roman" w:hAnsi="Times New Roman" w:cs="Times New Roman"/>
          <w:color w:val="000000" w:themeColor="text1"/>
        </w:rPr>
        <w:t>o</w:t>
      </w:r>
      <w:proofErr w:type="spellEnd"/>
      <w:r w:rsidRPr="00B73E5F">
        <w:rPr>
          <w:rFonts w:ascii="Times New Roman" w:hAnsi="Times New Roman" w:cs="Times New Roman"/>
          <w:color w:val="000000" w:themeColor="text1"/>
        </w:rPr>
        <w:t xml:space="preserve"> virus vector, in South America. </w:t>
      </w:r>
      <w:r w:rsidRPr="00B73E5F">
        <w:rPr>
          <w:rFonts w:ascii="Times New Roman" w:hAnsi="Times New Roman" w:cs="Times New Roman"/>
          <w:i/>
          <w:iCs/>
          <w:color w:val="000000" w:themeColor="text1"/>
        </w:rPr>
        <w:t>PLOS Neglected Tropical Diseases</w:t>
      </w:r>
      <w:r w:rsidRPr="00B73E5F">
        <w:rPr>
          <w:rFonts w:ascii="Times New Roman" w:hAnsi="Times New Roman" w:cs="Times New Roman"/>
          <w:color w:val="000000" w:themeColor="text1"/>
        </w:rPr>
        <w:t>, vol. 16, No. 7 (July 2022).</w:t>
      </w:r>
      <w:r w:rsidRPr="00096C23">
        <w:rPr>
          <w:rFonts w:ascii="Times New Roman" w:hAnsi="Times New Roman" w:cs="Times New Roman"/>
          <w:color w:val="000000" w:themeColor="text1"/>
        </w:rPr>
        <w:t xml:space="preserve">  </w:t>
      </w:r>
    </w:p>
    <w:p w14:paraId="6477EA61" w14:textId="16338818"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Champer, Jackson, and others. A CRISPR homing gene drive targeting a </w:t>
      </w:r>
      <w:proofErr w:type="spellStart"/>
      <w:r w:rsidRPr="00B73E5F">
        <w:rPr>
          <w:rFonts w:ascii="Times New Roman" w:hAnsi="Times New Roman" w:cs="Times New Roman"/>
          <w:color w:val="000000" w:themeColor="text1"/>
        </w:rPr>
        <w:t>haplolethal</w:t>
      </w:r>
      <w:proofErr w:type="spellEnd"/>
      <w:r w:rsidRPr="00B73E5F">
        <w:rPr>
          <w:rFonts w:ascii="Times New Roman" w:hAnsi="Times New Roman" w:cs="Times New Roman"/>
          <w:color w:val="000000" w:themeColor="text1"/>
        </w:rPr>
        <w:t xml:space="preserve"> gene removes resistance alleles and successfully spreads through a cage population. </w:t>
      </w:r>
      <w:r w:rsidRPr="00B73E5F">
        <w:rPr>
          <w:rFonts w:ascii="Times New Roman" w:hAnsi="Times New Roman" w:cs="Times New Roman"/>
          <w:i/>
          <w:iCs/>
          <w:color w:val="000000" w:themeColor="text1"/>
        </w:rPr>
        <w:t>PNAS</w:t>
      </w:r>
      <w:r w:rsidRPr="00B73E5F">
        <w:rPr>
          <w:rFonts w:ascii="Times New Roman" w:hAnsi="Times New Roman" w:cs="Times New Roman"/>
          <w:color w:val="000000" w:themeColor="text1"/>
        </w:rPr>
        <w:t>, vol. 117, No. 39 (September 2020</w:t>
      </w:r>
      <w:r w:rsidR="113C7992" w:rsidRPr="00B73E5F">
        <w:rPr>
          <w:rFonts w:ascii="Times New Roman" w:hAnsi="Times New Roman" w:cs="Times New Roman"/>
          <w:color w:val="000000" w:themeColor="text1"/>
        </w:rPr>
        <w:t>a</w:t>
      </w:r>
      <w:r w:rsidRPr="00B73E5F">
        <w:rPr>
          <w:rFonts w:ascii="Times New Roman" w:hAnsi="Times New Roman" w:cs="Times New Roman"/>
          <w:color w:val="000000" w:themeColor="text1"/>
        </w:rPr>
        <w:t>), pp. 24377—24383.</w:t>
      </w:r>
    </w:p>
    <w:p w14:paraId="09CD8631" w14:textId="555C06D0"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__________</w:t>
      </w:r>
      <w:r w:rsidR="7A424495" w:rsidRPr="00B73E5F">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A toxin-antidote CRISPR gene drive system for regional population modification.</w:t>
      </w:r>
      <w:r w:rsidRPr="00B73E5F">
        <w:rPr>
          <w:rFonts w:ascii="Times New Roman" w:hAnsi="Times New Roman" w:cs="Times New Roman"/>
          <w:i/>
          <w:iCs/>
          <w:color w:val="000000" w:themeColor="text1"/>
        </w:rPr>
        <w:t xml:space="preserve"> Nature communications</w:t>
      </w:r>
      <w:r w:rsidRPr="00B73E5F">
        <w:rPr>
          <w:rFonts w:ascii="Times New Roman" w:hAnsi="Times New Roman" w:cs="Times New Roman"/>
          <w:color w:val="000000" w:themeColor="text1"/>
        </w:rPr>
        <w:t>, vol. 11, No. 1082 (February 2020</w:t>
      </w:r>
      <w:r w:rsidR="10972A99" w:rsidRPr="00B73E5F">
        <w:rPr>
          <w:rFonts w:ascii="Times New Roman" w:hAnsi="Times New Roman" w:cs="Times New Roman"/>
          <w:color w:val="000000" w:themeColor="text1"/>
        </w:rPr>
        <w:t>b</w:t>
      </w:r>
      <w:r w:rsidRPr="00B73E5F">
        <w:rPr>
          <w:rFonts w:ascii="Times New Roman" w:hAnsi="Times New Roman" w:cs="Times New Roman"/>
          <w:color w:val="000000" w:themeColor="text1"/>
        </w:rPr>
        <w:t>).</w:t>
      </w:r>
    </w:p>
    <w:p w14:paraId="555E92AB" w14:textId="557EA343"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Champer, Jackson, and others. CRISPR gene drive efficiency and resistance rate is highly heritable with no common genetic loci of large effect. </w:t>
      </w:r>
      <w:r w:rsidRPr="00B73E5F">
        <w:rPr>
          <w:rFonts w:ascii="Times New Roman" w:hAnsi="Times New Roman" w:cs="Times New Roman"/>
          <w:i/>
        </w:rPr>
        <w:t>Genetics</w:t>
      </w:r>
      <w:r w:rsidRPr="00B73E5F">
        <w:rPr>
          <w:rFonts w:ascii="Times New Roman" w:hAnsi="Times New Roman" w:cs="Times New Roman"/>
        </w:rPr>
        <w:t>, vol. 212, No. 1 (May 2019</w:t>
      </w:r>
      <w:r w:rsidR="000F3E80" w:rsidRPr="00B73E5F">
        <w:rPr>
          <w:rFonts w:ascii="Times New Roman" w:hAnsi="Times New Roman" w:cs="Times New Roman"/>
        </w:rPr>
        <w:t>a</w:t>
      </w:r>
      <w:r w:rsidRPr="00B73E5F">
        <w:rPr>
          <w:rFonts w:ascii="Times New Roman" w:hAnsi="Times New Roman" w:cs="Times New Roman"/>
        </w:rPr>
        <w:t>), pp. 333—341.</w:t>
      </w:r>
    </w:p>
    <w:p w14:paraId="7673F74B" w14:textId="6217F16B"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Champer, Jackson, and others. Design and analysis of CRISPR-based underdominance toxin-antidote gene drives. </w:t>
      </w:r>
      <w:r w:rsidRPr="00B73E5F">
        <w:rPr>
          <w:rFonts w:ascii="Times New Roman" w:hAnsi="Times New Roman" w:cs="Times New Roman"/>
          <w:i/>
          <w:iCs/>
        </w:rPr>
        <w:t>Evolutionary applications</w:t>
      </w:r>
      <w:r w:rsidRPr="00B73E5F">
        <w:rPr>
          <w:rFonts w:ascii="Times New Roman" w:hAnsi="Times New Roman" w:cs="Times New Roman"/>
        </w:rPr>
        <w:t>, vol. 14, No. 4 (December 2020</w:t>
      </w:r>
      <w:r w:rsidR="356CCD6A" w:rsidRPr="00B73E5F">
        <w:rPr>
          <w:rFonts w:ascii="Times New Roman" w:hAnsi="Times New Roman" w:cs="Times New Roman"/>
        </w:rPr>
        <w:t>c</w:t>
      </w:r>
      <w:r w:rsidRPr="00B73E5F">
        <w:rPr>
          <w:rFonts w:ascii="Times New Roman" w:hAnsi="Times New Roman" w:cs="Times New Roman"/>
        </w:rPr>
        <w:t>), pp. 1052—1069.</w:t>
      </w:r>
    </w:p>
    <w:p w14:paraId="71E6B698" w14:textId="764A25D1"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Champer, Jackson, and others. Molecular safeguarding of CRISPR gene drive experiments. </w:t>
      </w:r>
      <w:r w:rsidRPr="00B73E5F">
        <w:rPr>
          <w:rFonts w:ascii="Times New Roman" w:hAnsi="Times New Roman" w:cs="Times New Roman"/>
          <w:i/>
        </w:rPr>
        <w:t>Elife</w:t>
      </w:r>
      <w:r w:rsidRPr="00B73E5F">
        <w:rPr>
          <w:rFonts w:ascii="Times New Roman" w:hAnsi="Times New Roman" w:cs="Times New Roman"/>
        </w:rPr>
        <w:t>, vol. 8, No. 41439 (January 2019</w:t>
      </w:r>
      <w:r w:rsidR="000F3E80" w:rsidRPr="00B73E5F">
        <w:rPr>
          <w:rFonts w:ascii="Times New Roman" w:hAnsi="Times New Roman" w:cs="Times New Roman"/>
        </w:rPr>
        <w:t>b</w:t>
      </w:r>
      <w:r w:rsidRPr="00B73E5F">
        <w:rPr>
          <w:rFonts w:ascii="Times New Roman" w:hAnsi="Times New Roman" w:cs="Times New Roman"/>
        </w:rPr>
        <w:t>).</w:t>
      </w:r>
    </w:p>
    <w:p w14:paraId="4F6BFCF9" w14:textId="0ABB3C19"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Champer, Jackson, and others. Suppression gene drive in continuous space can result in unstable persistence of both drive and wild-type alleles. </w:t>
      </w:r>
      <w:r w:rsidRPr="00B73E5F">
        <w:rPr>
          <w:rFonts w:ascii="Times New Roman" w:hAnsi="Times New Roman" w:cs="Times New Roman"/>
          <w:i/>
          <w:iCs/>
          <w:color w:val="000000" w:themeColor="text1"/>
        </w:rPr>
        <w:t>Molecular Ecology</w:t>
      </w:r>
      <w:r w:rsidRPr="00B73E5F">
        <w:rPr>
          <w:rFonts w:ascii="Times New Roman" w:hAnsi="Times New Roman" w:cs="Times New Roman"/>
          <w:color w:val="000000" w:themeColor="text1"/>
        </w:rPr>
        <w:t>, vol. 30 (January 2021), pp. 1086—1101.</w:t>
      </w:r>
    </w:p>
    <w:p w14:paraId="0600C331" w14:textId="3B89E8E9" w:rsidR="00787D21" w:rsidRPr="00B73E5F" w:rsidRDefault="00787D21" w:rsidP="00787D21">
      <w:pPr>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 xml:space="preserve">Champer, Jackson, Anna Buchman, and Omar S. Akbari. Cheating evolution: Engineering gene drives to manipulate the fate of wild populations. </w:t>
      </w:r>
      <w:r w:rsidRPr="00B73E5F">
        <w:rPr>
          <w:rFonts w:ascii="Times New Roman" w:eastAsia="Times New Roman" w:hAnsi="Times New Roman" w:cs="Times New Roman"/>
          <w:i/>
          <w:iCs/>
          <w:color w:val="000000" w:themeColor="text1"/>
          <w14:ligatures w14:val="none"/>
        </w:rPr>
        <w:t>Nature Review Genetics</w:t>
      </w:r>
      <w:r w:rsidRPr="00B73E5F">
        <w:rPr>
          <w:rFonts w:ascii="Times New Roman" w:eastAsia="Times New Roman" w:hAnsi="Times New Roman" w:cs="Times New Roman"/>
          <w:color w:val="000000" w:themeColor="text1"/>
          <w14:ligatures w14:val="none"/>
        </w:rPr>
        <w:t xml:space="preserve">, vol. 17 (February 2016), pp. 146—159. </w:t>
      </w:r>
    </w:p>
    <w:p w14:paraId="2FBC8204" w14:textId="4ACB0D8A" w:rsidR="00787D21" w:rsidRPr="00787D21"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Chen, Chun-Hong, and others. A Synthetic maternal-effect selfish genetic element drives population replacement in </w:t>
      </w:r>
      <w:r w:rsidRPr="00B73E5F">
        <w:rPr>
          <w:rFonts w:ascii="Times New Roman" w:hAnsi="Times New Roman" w:cs="Times New Roman"/>
          <w:i/>
          <w:iCs/>
          <w:color w:val="000000" w:themeColor="text1"/>
        </w:rPr>
        <w:t>drosophila. Science</w:t>
      </w:r>
      <w:r w:rsidRPr="00B73E5F">
        <w:rPr>
          <w:rFonts w:ascii="Times New Roman" w:hAnsi="Times New Roman" w:cs="Times New Roman"/>
          <w:color w:val="000000" w:themeColor="text1"/>
        </w:rPr>
        <w:t>, vol. 316, No. 5824 (April 2007), pp. 587—600.</w:t>
      </w:r>
    </w:p>
    <w:p w14:paraId="11FAB414" w14:textId="79E0DBB4" w:rsidR="00787D21" w:rsidRPr="00B73E5F" w:rsidRDefault="00787D21" w:rsidP="00787D21">
      <w:pPr>
        <w:rPr>
          <w:rFonts w:ascii="Times New Roman" w:eastAsia="Times New Roman" w:hAnsi="Times New Roman" w:cs="Times New Roman"/>
          <w:color w:val="000000" w:themeColor="text1"/>
          <w14:ligatures w14:val="none"/>
        </w:rPr>
      </w:pPr>
      <w:proofErr w:type="spellStart"/>
      <w:r w:rsidRPr="00B73E5F">
        <w:rPr>
          <w:rFonts w:ascii="Times New Roman" w:eastAsia="Times New Roman" w:hAnsi="Times New Roman" w:cs="Times New Roman"/>
          <w:color w:val="000000" w:themeColor="text1"/>
          <w14:ligatures w14:val="none"/>
        </w:rPr>
        <w:t>Cisnetto</w:t>
      </w:r>
      <w:proofErr w:type="spellEnd"/>
      <w:r w:rsidRPr="00B73E5F">
        <w:rPr>
          <w:rFonts w:ascii="Times New Roman" w:eastAsia="Times New Roman" w:hAnsi="Times New Roman" w:cs="Times New Roman"/>
          <w:color w:val="000000" w:themeColor="text1"/>
          <w14:ligatures w14:val="none"/>
        </w:rPr>
        <w:t xml:space="preserve">, Valentina, and James Barlow. The development of complex and controversial innovations. Genetically modified mosquitoes for malaria eradication. </w:t>
      </w:r>
      <w:r w:rsidRPr="00B73E5F">
        <w:rPr>
          <w:rFonts w:ascii="Times New Roman" w:eastAsia="Times New Roman" w:hAnsi="Times New Roman" w:cs="Times New Roman"/>
          <w:i/>
          <w:iCs/>
          <w:color w:val="000000" w:themeColor="text1"/>
          <w14:ligatures w14:val="none"/>
        </w:rPr>
        <w:t>Research Policy,</w:t>
      </w:r>
      <w:r w:rsidRPr="00B73E5F">
        <w:rPr>
          <w:rFonts w:ascii="Times New Roman" w:eastAsia="Times New Roman" w:hAnsi="Times New Roman" w:cs="Times New Roman"/>
          <w:color w:val="000000" w:themeColor="text1"/>
          <w14:ligatures w14:val="none"/>
        </w:rPr>
        <w:t xml:space="preserve"> vol. 49, No. 103917 (April 2020).</w:t>
      </w:r>
    </w:p>
    <w:p w14:paraId="5C3AD079" w14:textId="77777777" w:rsidR="00787D21" w:rsidRPr="00B73E5F" w:rsidRDefault="00787D21" w:rsidP="00787D21">
      <w:pPr>
        <w:rPr>
          <w:rFonts w:ascii="Helvetica" w:hAnsi="Helvetica"/>
        </w:rPr>
      </w:pPr>
      <w:r w:rsidRPr="00B73E5F">
        <w:rPr>
          <w:rFonts w:ascii="Times New Roman" w:eastAsia="Times New Roman" w:hAnsi="Times New Roman" w:cs="Times New Roman"/>
          <w:color w:val="000000" w:themeColor="text1"/>
          <w14:ligatures w14:val="none"/>
        </w:rPr>
        <w:t xml:space="preserve">Clark, James S. </w:t>
      </w:r>
      <w:r w:rsidRPr="00B73E5F">
        <w:rPr>
          <w:rFonts w:ascii="Times New Roman" w:eastAsia="Times New Roman" w:hAnsi="Times New Roman" w:cs="Times New Roman"/>
          <w:i/>
          <w:iCs/>
          <w:color w:val="000000" w:themeColor="text1"/>
          <w14:ligatures w14:val="none"/>
        </w:rPr>
        <w:t xml:space="preserve">Models for Ecological Data: An Introduction. </w:t>
      </w:r>
      <w:r w:rsidRPr="00B73E5F">
        <w:rPr>
          <w:rFonts w:ascii="Times New Roman" w:eastAsia="Times New Roman" w:hAnsi="Times New Roman" w:cs="Times New Roman"/>
          <w:color w:val="000000" w:themeColor="text1"/>
          <w14:ligatures w14:val="none"/>
        </w:rPr>
        <w:t>Princeton, New Jersey: Princeton University Press,</w:t>
      </w:r>
      <w:r w:rsidRPr="00B73E5F">
        <w:rPr>
          <w:rFonts w:ascii="Times New Roman" w:eastAsia="Times New Roman" w:hAnsi="Times New Roman" w:cs="Times New Roman"/>
          <w:i/>
          <w:iCs/>
          <w:color w:val="000000" w:themeColor="text1"/>
          <w14:ligatures w14:val="none"/>
        </w:rPr>
        <w:t xml:space="preserve"> </w:t>
      </w:r>
      <w:r w:rsidRPr="00B73E5F">
        <w:rPr>
          <w:rFonts w:ascii="Times New Roman" w:eastAsia="Times New Roman" w:hAnsi="Times New Roman" w:cs="Times New Roman"/>
          <w:color w:val="000000" w:themeColor="text1"/>
          <w14:ligatures w14:val="none"/>
        </w:rPr>
        <w:t>2007.</w:t>
      </w:r>
    </w:p>
    <w:p w14:paraId="629F364D" w14:textId="12389936" w:rsidR="00451229" w:rsidRPr="00B73E5F" w:rsidRDefault="00762BF5" w:rsidP="00E82CD6">
      <w:pPr>
        <w:rPr>
          <w:rFonts w:ascii="Times New Roman" w:eastAsia="Times New Roman" w:hAnsi="Times New Roman" w:cs="Times New Roman"/>
          <w:color w:val="000000" w:themeColor="text1"/>
          <w14:ligatures w14:val="none"/>
        </w:rPr>
      </w:pPr>
      <w:r w:rsidRPr="00B73E5F">
        <w:rPr>
          <w:rFonts w:ascii="Times New Roman" w:hAnsi="Times New Roman" w:cs="Times New Roman"/>
          <w:color w:val="000000" w:themeColor="text1"/>
          <w:lang w:val="pt-PT"/>
        </w:rPr>
        <w:t>Clavero, Miguel, and E</w:t>
      </w:r>
      <w:r w:rsidR="00451229" w:rsidRPr="00B73E5F">
        <w:rPr>
          <w:rFonts w:ascii="Times New Roman" w:hAnsi="Times New Roman" w:cs="Times New Roman"/>
          <w:color w:val="000000" w:themeColor="text1"/>
          <w:lang w:val="pt-PT"/>
        </w:rPr>
        <w:t>mili Garcia-Berthou.</w:t>
      </w:r>
      <w:r w:rsidR="00724F6E" w:rsidRPr="00B73E5F">
        <w:rPr>
          <w:rFonts w:ascii="Times New Roman" w:hAnsi="Times New Roman" w:cs="Times New Roman"/>
          <w:color w:val="000000" w:themeColor="text1"/>
          <w:lang w:val="pt-PT"/>
        </w:rPr>
        <w:t xml:space="preserve"> </w:t>
      </w:r>
      <w:r w:rsidR="00724F6E" w:rsidRPr="00B73E5F">
        <w:rPr>
          <w:rFonts w:ascii="Times New Roman" w:hAnsi="Times New Roman" w:cs="Times New Roman"/>
          <w:color w:val="000000" w:themeColor="text1"/>
        </w:rPr>
        <w:t>Invasive species are a leading cause of animal extinctions.</w:t>
      </w:r>
      <w:r w:rsidR="00587F92" w:rsidRPr="00B73E5F">
        <w:rPr>
          <w:rFonts w:ascii="Times New Roman" w:hAnsi="Times New Roman" w:cs="Times New Roman"/>
          <w:color w:val="000000" w:themeColor="text1"/>
        </w:rPr>
        <w:t xml:space="preserve"> </w:t>
      </w:r>
      <w:r w:rsidR="00587F92" w:rsidRPr="00B73E5F">
        <w:rPr>
          <w:rFonts w:ascii="Times New Roman" w:hAnsi="Times New Roman" w:cs="Times New Roman"/>
          <w:i/>
          <w:iCs/>
          <w:color w:val="000000" w:themeColor="text1"/>
        </w:rPr>
        <w:t xml:space="preserve">Trends in Ecology &amp; Evolution, </w:t>
      </w:r>
      <w:r w:rsidR="003435D5" w:rsidRPr="00B73E5F">
        <w:rPr>
          <w:rFonts w:ascii="Times New Roman" w:hAnsi="Times New Roman" w:cs="Times New Roman"/>
          <w:color w:val="000000" w:themeColor="text1"/>
        </w:rPr>
        <w:t>vol. 20, No. 3 (March 2005).</w:t>
      </w:r>
    </w:p>
    <w:p w14:paraId="353B9335" w14:textId="71F1C1A8" w:rsidR="00477A06" w:rsidRPr="00B73E5F" w:rsidRDefault="00E82CD6" w:rsidP="00E82CD6">
      <w:pPr>
        <w:rPr>
          <w:rFonts w:ascii="Times New Roman" w:hAnsi="Times New Roman" w:cs="Times New Roman"/>
          <w:color w:val="000000" w:themeColor="text1"/>
        </w:rPr>
      </w:pPr>
      <w:r w:rsidRPr="00B73E5F">
        <w:rPr>
          <w:rFonts w:ascii="Times New Roman" w:hAnsi="Times New Roman" w:cs="Times New Roman"/>
          <w:color w:val="000000" w:themeColor="text1"/>
        </w:rPr>
        <w:t>Clements, A.</w:t>
      </w:r>
      <w:r w:rsidR="00A26D7C" w:rsidRPr="00B73E5F">
        <w:rPr>
          <w:rFonts w:ascii="Times New Roman" w:hAnsi="Times New Roman" w:cs="Times New Roman"/>
          <w:color w:val="000000" w:themeColor="text1"/>
        </w:rPr>
        <w:t xml:space="preserve"> </w:t>
      </w:r>
      <w:r w:rsidRPr="00B73E5F">
        <w:rPr>
          <w:rFonts w:ascii="Times New Roman" w:hAnsi="Times New Roman" w:cs="Times New Roman"/>
          <w:color w:val="000000" w:themeColor="text1"/>
        </w:rPr>
        <w:t>N.</w:t>
      </w:r>
      <w:r w:rsidR="00A26D7C" w:rsidRPr="00B73E5F">
        <w:rPr>
          <w:rFonts w:ascii="Times New Roman" w:hAnsi="Times New Roman" w:cs="Times New Roman"/>
          <w:color w:val="000000" w:themeColor="text1"/>
        </w:rPr>
        <w:t xml:space="preserve"> </w:t>
      </w:r>
      <w:r w:rsidR="004E241D" w:rsidRPr="00B73E5F">
        <w:rPr>
          <w:rFonts w:ascii="Times New Roman" w:hAnsi="Times New Roman" w:cs="Times New Roman"/>
          <w:i/>
          <w:iCs/>
          <w:color w:val="000000" w:themeColor="text1"/>
        </w:rPr>
        <w:t>B</w:t>
      </w:r>
      <w:r w:rsidRPr="00B73E5F">
        <w:rPr>
          <w:rFonts w:ascii="Times New Roman" w:hAnsi="Times New Roman" w:cs="Times New Roman"/>
          <w:i/>
          <w:iCs/>
          <w:color w:val="000000" w:themeColor="text1"/>
        </w:rPr>
        <w:t xml:space="preserve">iology of </w:t>
      </w:r>
      <w:r w:rsidR="004E241D" w:rsidRPr="00B73E5F">
        <w:rPr>
          <w:rFonts w:ascii="Times New Roman" w:hAnsi="Times New Roman" w:cs="Times New Roman"/>
          <w:i/>
          <w:iCs/>
          <w:color w:val="000000" w:themeColor="text1"/>
        </w:rPr>
        <w:t>M</w:t>
      </w:r>
      <w:r w:rsidRPr="00B73E5F">
        <w:rPr>
          <w:rFonts w:ascii="Times New Roman" w:hAnsi="Times New Roman" w:cs="Times New Roman"/>
          <w:i/>
          <w:iCs/>
          <w:color w:val="000000" w:themeColor="text1"/>
        </w:rPr>
        <w:t>osquitoes</w:t>
      </w:r>
      <w:r w:rsidR="004E241D" w:rsidRPr="00B73E5F">
        <w:rPr>
          <w:rFonts w:ascii="Times New Roman" w:hAnsi="Times New Roman" w:cs="Times New Roman"/>
          <w:i/>
          <w:iCs/>
          <w:color w:val="000000" w:themeColor="text1"/>
        </w:rPr>
        <w:t>: Development Nutrition and Reproduction.</w:t>
      </w:r>
      <w:r w:rsidRPr="00B73E5F">
        <w:rPr>
          <w:rFonts w:ascii="Times New Roman" w:hAnsi="Times New Roman" w:cs="Times New Roman"/>
          <w:color w:val="000000" w:themeColor="text1"/>
        </w:rPr>
        <w:t xml:space="preserve"> </w:t>
      </w:r>
      <w:r w:rsidR="00A52A68" w:rsidRPr="00B73E5F">
        <w:rPr>
          <w:rFonts w:ascii="Times New Roman" w:hAnsi="Times New Roman" w:cs="Times New Roman"/>
          <w:color w:val="000000" w:themeColor="text1"/>
        </w:rPr>
        <w:t>Springer Netherlands</w:t>
      </w:r>
      <w:r w:rsidR="00477A06" w:rsidRPr="00B73E5F">
        <w:rPr>
          <w:rFonts w:ascii="Times New Roman" w:hAnsi="Times New Roman" w:cs="Times New Roman"/>
          <w:color w:val="000000" w:themeColor="text1"/>
        </w:rPr>
        <w:t xml:space="preserve">, 1992. </w:t>
      </w:r>
    </w:p>
    <w:p w14:paraId="7EF2644C" w14:textId="0019492B" w:rsidR="00962ED9" w:rsidRPr="00B73E5F" w:rsidRDefault="00BB237A" w:rsidP="00E82CD6">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Collins, C. M., and others. </w:t>
      </w:r>
      <w:r w:rsidR="00962ED9" w:rsidRPr="00B73E5F">
        <w:rPr>
          <w:rFonts w:ascii="Times New Roman" w:hAnsi="Times New Roman" w:cs="Times New Roman"/>
          <w:color w:val="000000" w:themeColor="text1"/>
        </w:rPr>
        <w:t xml:space="preserve">Effects of the removal or reduction in density of the malaria mosquito, </w:t>
      </w:r>
      <w:r w:rsidR="00962ED9" w:rsidRPr="00B73E5F">
        <w:rPr>
          <w:rFonts w:ascii="Times New Roman" w:hAnsi="Times New Roman" w:cs="Times New Roman"/>
          <w:i/>
          <w:iCs/>
          <w:color w:val="000000" w:themeColor="text1"/>
        </w:rPr>
        <w:t xml:space="preserve">Anopheles gambiae </w:t>
      </w:r>
      <w:proofErr w:type="spellStart"/>
      <w:r w:rsidR="00962ED9" w:rsidRPr="00B73E5F">
        <w:rPr>
          <w:rFonts w:ascii="Times New Roman" w:hAnsi="Times New Roman" w:cs="Times New Roman"/>
          <w:i/>
          <w:iCs/>
          <w:color w:val="000000" w:themeColor="text1"/>
        </w:rPr>
        <w:t>s.l</w:t>
      </w:r>
      <w:r w:rsidR="00962ED9" w:rsidRPr="00B73E5F">
        <w:rPr>
          <w:rFonts w:ascii="Times New Roman" w:hAnsi="Times New Roman" w:cs="Times New Roman"/>
          <w:color w:val="000000" w:themeColor="text1"/>
        </w:rPr>
        <w:t>.</w:t>
      </w:r>
      <w:proofErr w:type="spellEnd"/>
      <w:r w:rsidR="00962ED9" w:rsidRPr="00B73E5F">
        <w:rPr>
          <w:rFonts w:ascii="Times New Roman" w:hAnsi="Times New Roman" w:cs="Times New Roman"/>
          <w:color w:val="000000" w:themeColor="text1"/>
        </w:rPr>
        <w:t xml:space="preserve">, on interacting predators and competitors in local ecosystems. </w:t>
      </w:r>
      <w:r w:rsidR="00962ED9" w:rsidRPr="00B73E5F">
        <w:rPr>
          <w:rFonts w:ascii="Times New Roman" w:hAnsi="Times New Roman" w:cs="Times New Roman"/>
          <w:i/>
          <w:iCs/>
          <w:color w:val="000000" w:themeColor="text1"/>
        </w:rPr>
        <w:t>Medical and Veterinary Entomology</w:t>
      </w:r>
      <w:r w:rsidR="00962ED9" w:rsidRPr="00B73E5F">
        <w:rPr>
          <w:rFonts w:ascii="Times New Roman" w:hAnsi="Times New Roman" w:cs="Times New Roman"/>
          <w:color w:val="000000" w:themeColor="text1"/>
        </w:rPr>
        <w:t>, vol. 33, No. 1 (</w:t>
      </w:r>
      <w:r w:rsidR="006A4748" w:rsidRPr="00B73E5F">
        <w:rPr>
          <w:rFonts w:ascii="Times New Roman" w:hAnsi="Times New Roman" w:cs="Times New Roman"/>
          <w:color w:val="000000" w:themeColor="text1"/>
        </w:rPr>
        <w:t>2019</w:t>
      </w:r>
      <w:r w:rsidR="00962ED9" w:rsidRPr="00B73E5F">
        <w:rPr>
          <w:rFonts w:ascii="Times New Roman" w:hAnsi="Times New Roman" w:cs="Times New Roman"/>
          <w:color w:val="000000" w:themeColor="text1"/>
        </w:rPr>
        <w:t>), pp. 1—15.</w:t>
      </w:r>
    </w:p>
    <w:p w14:paraId="78F0E63B" w14:textId="464A8E22" w:rsidR="00787D21" w:rsidRPr="00B73E5F" w:rsidRDefault="00787D21" w:rsidP="00E82CD6">
      <w:pPr>
        <w:rPr>
          <w:rFonts w:ascii="Times New Roman" w:hAnsi="Times New Roman" w:cs="Times New Roman"/>
          <w:color w:val="000000" w:themeColor="text1"/>
        </w:rPr>
      </w:pPr>
      <w:r w:rsidRPr="00B73E5F">
        <w:rPr>
          <w:rFonts w:ascii="Times New Roman" w:hAnsi="Times New Roman" w:cs="Times New Roman"/>
          <w:color w:val="000000" w:themeColor="text1"/>
        </w:rPr>
        <w:t>Colpitts, Tonya, M., and others. West Nile Virus: Biology, transmission, and human infection.</w:t>
      </w:r>
      <w:r w:rsidRPr="00B73E5F">
        <w:rPr>
          <w:rFonts w:ascii="Times New Roman" w:hAnsi="Times New Roman" w:cs="Times New Roman"/>
          <w:i/>
          <w:iCs/>
          <w:color w:val="000000" w:themeColor="text1"/>
        </w:rPr>
        <w:t xml:space="preserve"> Clin </w:t>
      </w:r>
      <w:proofErr w:type="spellStart"/>
      <w:r w:rsidRPr="00B73E5F">
        <w:rPr>
          <w:rFonts w:ascii="Times New Roman" w:hAnsi="Times New Roman" w:cs="Times New Roman"/>
          <w:i/>
          <w:iCs/>
          <w:color w:val="000000" w:themeColor="text1"/>
        </w:rPr>
        <w:t>Microbiol</w:t>
      </w:r>
      <w:proofErr w:type="spellEnd"/>
      <w:r w:rsidRPr="00B73E5F">
        <w:rPr>
          <w:rFonts w:ascii="Times New Roman" w:hAnsi="Times New Roman" w:cs="Times New Roman"/>
          <w:i/>
          <w:iCs/>
          <w:color w:val="000000" w:themeColor="text1"/>
        </w:rPr>
        <w:t xml:space="preserve"> Rev</w:t>
      </w:r>
      <w:r w:rsidRPr="00B73E5F">
        <w:rPr>
          <w:rFonts w:ascii="Times New Roman" w:hAnsi="Times New Roman" w:cs="Times New Roman"/>
          <w:color w:val="000000" w:themeColor="text1"/>
        </w:rPr>
        <w:t>, vol. 25, No. 4 (October 2012), pp. 635—648.</w:t>
      </w:r>
    </w:p>
    <w:p w14:paraId="169B0ADD" w14:textId="6DC674E3" w:rsidR="00787D21" w:rsidRPr="00B73E5F" w:rsidRDefault="00787D21" w:rsidP="00787D21">
      <w:pPr>
        <w:rPr>
          <w:rFonts w:ascii="Times New Roman" w:eastAsia="Times New Roman" w:hAnsi="Times New Roman" w:cs="Times New Roman"/>
          <w:color w:val="000000" w:themeColor="text1"/>
          <w:lang w:val="fr-FR"/>
          <w14:ligatures w14:val="none"/>
        </w:rPr>
      </w:pPr>
      <w:r w:rsidRPr="00B73E5F">
        <w:rPr>
          <w:rFonts w:ascii="Times New Roman" w:eastAsia="Times New Roman" w:hAnsi="Times New Roman" w:cs="Times New Roman"/>
          <w:color w:val="000000" w:themeColor="text1"/>
          <w14:ligatures w14:val="none"/>
        </w:rPr>
        <w:t xml:space="preserve">Combs, Matthew, A., and others. Leveraging eco-evolutionary models for gene drive risk assessment. </w:t>
      </w:r>
      <w:r w:rsidRPr="00B73E5F">
        <w:rPr>
          <w:rFonts w:ascii="Times New Roman" w:eastAsia="Times New Roman" w:hAnsi="Times New Roman" w:cs="Times New Roman"/>
          <w:i/>
          <w:iCs/>
          <w:color w:val="000000" w:themeColor="text1"/>
          <w:lang w:val="fr-FR"/>
          <w14:ligatures w14:val="none"/>
        </w:rPr>
        <w:t xml:space="preserve">Trends in </w:t>
      </w:r>
      <w:proofErr w:type="spellStart"/>
      <w:r w:rsidRPr="00B73E5F">
        <w:rPr>
          <w:rFonts w:ascii="Times New Roman" w:eastAsia="Times New Roman" w:hAnsi="Times New Roman" w:cs="Times New Roman"/>
          <w:i/>
          <w:iCs/>
          <w:color w:val="000000" w:themeColor="text1"/>
          <w:lang w:val="fr-FR"/>
          <w14:ligatures w14:val="none"/>
        </w:rPr>
        <w:t>Genetics</w:t>
      </w:r>
      <w:proofErr w:type="spellEnd"/>
      <w:r w:rsidRPr="00B73E5F">
        <w:rPr>
          <w:rFonts w:ascii="Times New Roman" w:eastAsia="Times New Roman" w:hAnsi="Times New Roman" w:cs="Times New Roman"/>
          <w:color w:val="000000" w:themeColor="text1"/>
          <w:lang w:val="fr-FR"/>
          <w14:ligatures w14:val="none"/>
        </w:rPr>
        <w:t>, vol. 39, No. 8 (August 2023), pp. 609—623.</w:t>
      </w:r>
    </w:p>
    <w:p w14:paraId="1EC5F5A5" w14:textId="03548240" w:rsidR="00E92179" w:rsidRPr="00A37CD0" w:rsidRDefault="00E92179" w:rsidP="00787D21">
      <w:pPr>
        <w:rPr>
          <w:rFonts w:ascii="Times New Roman" w:eastAsia="Times New Roman" w:hAnsi="Times New Roman" w:cs="Times New Roman"/>
          <w:color w:val="000000" w:themeColor="text1"/>
          <w:lang w:val="fr-FR"/>
          <w14:ligatures w14:val="none"/>
        </w:rPr>
      </w:pPr>
      <w:r w:rsidRPr="00B73E5F">
        <w:rPr>
          <w:rFonts w:ascii="Times New Roman" w:eastAsia="Times New Roman" w:hAnsi="Times New Roman" w:cs="Times New Roman"/>
          <w:color w:val="000000" w:themeColor="text1"/>
          <w:lang w:val="fr-FR"/>
          <w14:ligatures w14:val="none"/>
        </w:rPr>
        <w:t xml:space="preserve">Comité scientifique du Haut Conseil </w:t>
      </w:r>
      <w:r w:rsidR="00B73E5F">
        <w:rPr>
          <w:rFonts w:ascii="Times New Roman" w:eastAsia="Times New Roman" w:hAnsi="Times New Roman" w:cs="Times New Roman"/>
          <w:color w:val="000000" w:themeColor="text1"/>
          <w:lang w:val="fr-FR"/>
          <w14:ligatures w14:val="none"/>
        </w:rPr>
        <w:t>d</w:t>
      </w:r>
      <w:r w:rsidRPr="00B73E5F">
        <w:rPr>
          <w:rFonts w:ascii="Times New Roman" w:eastAsia="Times New Roman" w:hAnsi="Times New Roman" w:cs="Times New Roman"/>
          <w:color w:val="000000" w:themeColor="text1"/>
          <w:lang w:val="fr-FR"/>
          <w14:ligatures w14:val="none"/>
        </w:rPr>
        <w:t xml:space="preserve">es </w:t>
      </w:r>
      <w:r w:rsidR="00B73E5F">
        <w:rPr>
          <w:rFonts w:ascii="Times New Roman" w:eastAsia="Times New Roman" w:hAnsi="Times New Roman" w:cs="Times New Roman"/>
          <w:color w:val="000000" w:themeColor="text1"/>
          <w:lang w:val="fr-FR"/>
          <w14:ligatures w14:val="none"/>
        </w:rPr>
        <w:t>B</w:t>
      </w:r>
      <w:r w:rsidRPr="00B73E5F">
        <w:rPr>
          <w:rFonts w:ascii="Times New Roman" w:eastAsia="Times New Roman" w:hAnsi="Times New Roman" w:cs="Times New Roman"/>
          <w:color w:val="000000" w:themeColor="text1"/>
          <w:lang w:val="fr-FR"/>
          <w14:ligatures w14:val="none"/>
        </w:rPr>
        <w:t xml:space="preserve">iotechnologies, </w:t>
      </w:r>
      <w:r w:rsidRPr="00B73E5F">
        <w:rPr>
          <w:rFonts w:ascii="Times New Roman" w:eastAsia="Times New Roman" w:hAnsi="Times New Roman" w:cs="Times New Roman"/>
          <w:i/>
          <w:color w:val="000000" w:themeColor="text1"/>
          <w:lang w:val="fr-FR"/>
          <w14:ligatures w14:val="none"/>
        </w:rPr>
        <w:t>Avis en réponse à la saisine du 12 octobre 2015 concernant l’utilisation de moustiques génétiquement modifiés dans le cadre de la lutte antivectorielle</w:t>
      </w:r>
      <w:r w:rsidRPr="00B73E5F">
        <w:rPr>
          <w:rFonts w:ascii="Times New Roman" w:eastAsia="Times New Roman" w:hAnsi="Times New Roman" w:cs="Times New Roman"/>
          <w:color w:val="000000" w:themeColor="text1"/>
          <w:lang w:val="fr-FR"/>
          <w14:ligatures w14:val="none"/>
        </w:rPr>
        <w:t>, Advisory opinion, 31 May 2017.</w:t>
      </w:r>
    </w:p>
    <w:p w14:paraId="02AF10EE" w14:textId="3F44977B"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lastRenderedPageBreak/>
        <w:t xml:space="preserve">Connolly, John, B. </w:t>
      </w:r>
      <w:r w:rsidRPr="00B73E5F">
        <w:rPr>
          <w:rFonts w:ascii="Times New Roman" w:hAnsi="Times New Roman" w:cs="Times New Roman"/>
          <w:i/>
          <w:color w:val="000000" w:themeColor="text1"/>
        </w:rPr>
        <w:t>Defi</w:t>
      </w:r>
      <w:r w:rsidRPr="00B73E5F">
        <w:rPr>
          <w:rFonts w:ascii="Times New Roman" w:hAnsi="Times New Roman" w:cs="Times New Roman"/>
          <w:i/>
          <w:iCs/>
          <w:color w:val="000000" w:themeColor="text1"/>
        </w:rPr>
        <w:t xml:space="preserve">ning Transformation Events for Gene Drive </w:t>
      </w:r>
      <w:proofErr w:type="gramStart"/>
      <w:r w:rsidRPr="00B73E5F">
        <w:rPr>
          <w:rFonts w:ascii="Times New Roman" w:hAnsi="Times New Roman" w:cs="Times New Roman"/>
          <w:i/>
          <w:iCs/>
          <w:color w:val="000000" w:themeColor="text1"/>
        </w:rPr>
        <w:t>In</w:t>
      </w:r>
      <w:proofErr w:type="gramEnd"/>
      <w:r w:rsidRPr="00B73E5F">
        <w:rPr>
          <w:rFonts w:ascii="Times New Roman" w:hAnsi="Times New Roman" w:cs="Times New Roman"/>
          <w:i/>
          <w:iCs/>
          <w:color w:val="000000" w:themeColor="text1"/>
        </w:rPr>
        <w:t xml:space="preserve"> Species Complexes. </w:t>
      </w:r>
      <w:r w:rsidRPr="00B73E5F">
        <w:rPr>
          <w:rFonts w:ascii="Times New Roman" w:hAnsi="Times New Roman" w:cs="Times New Roman"/>
          <w:color w:val="000000" w:themeColor="text1"/>
        </w:rPr>
        <w:t>Imperial College, London, 2023</w:t>
      </w:r>
      <w:r w:rsidR="414437E3" w:rsidRPr="00B73E5F">
        <w:rPr>
          <w:rFonts w:ascii="Times New Roman" w:hAnsi="Times New Roman" w:cs="Times New Roman"/>
          <w:color w:val="000000" w:themeColor="text1"/>
        </w:rPr>
        <w:t>a</w:t>
      </w:r>
      <w:r w:rsidRPr="00B73E5F">
        <w:rPr>
          <w:rFonts w:ascii="Times New Roman" w:hAnsi="Times New Roman" w:cs="Times New Roman"/>
          <w:color w:val="000000" w:themeColor="text1"/>
        </w:rPr>
        <w:t>.</w:t>
      </w:r>
    </w:p>
    <w:p w14:paraId="73F9802D" w14:textId="3A3C3B92" w:rsidR="00787D21" w:rsidRPr="00B73E5F" w:rsidRDefault="00787D21" w:rsidP="00787D21">
      <w:pPr>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 xml:space="preserve">Connolly, John, B., and others. Gene drive in species complexes: Defining target organisms. </w:t>
      </w:r>
      <w:r w:rsidRPr="00B73E5F">
        <w:rPr>
          <w:rFonts w:ascii="Times New Roman" w:eastAsia="Times New Roman" w:hAnsi="Times New Roman" w:cs="Times New Roman"/>
          <w:i/>
          <w:iCs/>
          <w:color w:val="000000" w:themeColor="text1"/>
          <w14:ligatures w14:val="none"/>
        </w:rPr>
        <w:t xml:space="preserve">Trends </w:t>
      </w:r>
      <w:proofErr w:type="spellStart"/>
      <w:r w:rsidRPr="00B73E5F">
        <w:rPr>
          <w:rFonts w:ascii="Times New Roman" w:eastAsia="Times New Roman" w:hAnsi="Times New Roman" w:cs="Times New Roman"/>
          <w:i/>
          <w:iCs/>
          <w:color w:val="000000" w:themeColor="text1"/>
          <w14:ligatures w14:val="none"/>
        </w:rPr>
        <w:t>Biotechnol</w:t>
      </w:r>
      <w:proofErr w:type="spellEnd"/>
      <w:r w:rsidRPr="00B73E5F">
        <w:rPr>
          <w:rFonts w:ascii="Times New Roman" w:eastAsia="Times New Roman" w:hAnsi="Times New Roman" w:cs="Times New Roman"/>
          <w:i/>
          <w:iCs/>
          <w:color w:val="000000" w:themeColor="text1"/>
          <w14:ligatures w14:val="none"/>
        </w:rPr>
        <w:t xml:space="preserve">, </w:t>
      </w:r>
      <w:r w:rsidRPr="00B73E5F">
        <w:rPr>
          <w:rFonts w:ascii="Times New Roman" w:eastAsia="Times New Roman" w:hAnsi="Times New Roman" w:cs="Times New Roman"/>
          <w:color w:val="000000" w:themeColor="text1"/>
          <w14:ligatures w14:val="none"/>
        </w:rPr>
        <w:t>vol. 41, No. 2 (February 2023</w:t>
      </w:r>
      <w:r w:rsidR="4FA9A555" w:rsidRPr="00B73E5F">
        <w:rPr>
          <w:rFonts w:ascii="Times New Roman" w:eastAsia="Times New Roman" w:hAnsi="Times New Roman" w:cs="Times New Roman"/>
          <w:color w:val="000000" w:themeColor="text1"/>
          <w14:ligatures w14:val="none"/>
        </w:rPr>
        <w:t>b</w:t>
      </w:r>
      <w:r w:rsidRPr="00B73E5F">
        <w:rPr>
          <w:rFonts w:ascii="Times New Roman" w:eastAsia="Times New Roman" w:hAnsi="Times New Roman" w:cs="Times New Roman"/>
          <w:color w:val="000000" w:themeColor="text1"/>
          <w14:ligatures w14:val="none"/>
        </w:rPr>
        <w:t>), pp. 154—164.</w:t>
      </w:r>
    </w:p>
    <w:p w14:paraId="23012C4C" w14:textId="69EE7234" w:rsidR="00787D21" w:rsidRPr="00B73E5F" w:rsidRDefault="00787D21" w:rsidP="00787D21">
      <w:pPr>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 xml:space="preserve">Connolly, John, B., and others. Recommendations for environmental risk assessment of gene drive applications for malaria vector control. </w:t>
      </w:r>
      <w:r w:rsidRPr="00B73E5F">
        <w:rPr>
          <w:rFonts w:ascii="Times New Roman" w:eastAsia="Times New Roman" w:hAnsi="Times New Roman" w:cs="Times New Roman"/>
          <w:i/>
          <w:iCs/>
          <w:color w:val="000000" w:themeColor="text1"/>
          <w14:ligatures w14:val="none"/>
        </w:rPr>
        <w:t>Malaria journal</w:t>
      </w:r>
      <w:r w:rsidRPr="00B73E5F">
        <w:rPr>
          <w:rFonts w:ascii="Times New Roman" w:eastAsia="Times New Roman" w:hAnsi="Times New Roman" w:cs="Times New Roman"/>
          <w:color w:val="000000" w:themeColor="text1"/>
          <w14:ligatures w14:val="none"/>
        </w:rPr>
        <w:t>, vol. 152, No. 152 (May 2022).</w:t>
      </w:r>
    </w:p>
    <w:p w14:paraId="7353E77E" w14:textId="77777777" w:rsidR="00787D21" w:rsidRPr="00B73E5F" w:rsidRDefault="00787D21" w:rsidP="00787D21">
      <w:pPr>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 xml:space="preserve">Connolly, John, B., and others. Systematic identification of plausible pathways to potential harm via problem formulation for investigational releases of a population suppression gene drive to control the human malaria vector </w:t>
      </w:r>
      <w:r w:rsidRPr="00B73E5F">
        <w:rPr>
          <w:rFonts w:ascii="Times New Roman" w:eastAsia="Times New Roman" w:hAnsi="Times New Roman" w:cs="Times New Roman"/>
          <w:i/>
          <w:iCs/>
          <w:color w:val="000000" w:themeColor="text1"/>
          <w14:ligatures w14:val="none"/>
        </w:rPr>
        <w:t>Anopheles</w:t>
      </w:r>
      <w:r w:rsidRPr="00B73E5F">
        <w:rPr>
          <w:rFonts w:ascii="Times New Roman" w:eastAsia="Times New Roman" w:hAnsi="Times New Roman" w:cs="Times New Roman"/>
          <w:color w:val="000000" w:themeColor="text1"/>
          <w14:ligatures w14:val="none"/>
        </w:rPr>
        <w:t xml:space="preserve"> </w:t>
      </w:r>
      <w:r w:rsidRPr="00B73E5F">
        <w:rPr>
          <w:rFonts w:ascii="Times New Roman" w:eastAsia="Times New Roman" w:hAnsi="Times New Roman" w:cs="Times New Roman"/>
          <w:i/>
          <w:iCs/>
          <w:color w:val="000000" w:themeColor="text1"/>
          <w14:ligatures w14:val="none"/>
        </w:rPr>
        <w:t>gambiae</w:t>
      </w:r>
      <w:r w:rsidRPr="00B73E5F">
        <w:rPr>
          <w:rFonts w:ascii="Times New Roman" w:eastAsia="Times New Roman" w:hAnsi="Times New Roman" w:cs="Times New Roman"/>
          <w:color w:val="000000" w:themeColor="text1"/>
          <w14:ligatures w14:val="none"/>
        </w:rPr>
        <w:t xml:space="preserve"> in West Africa. </w:t>
      </w:r>
      <w:r w:rsidRPr="00B73E5F">
        <w:rPr>
          <w:rFonts w:ascii="Times New Roman" w:eastAsia="Times New Roman" w:hAnsi="Times New Roman" w:cs="Times New Roman"/>
          <w:i/>
          <w:iCs/>
          <w:color w:val="000000" w:themeColor="text1"/>
          <w14:ligatures w14:val="none"/>
        </w:rPr>
        <w:t>Malaria Journal</w:t>
      </w:r>
      <w:r w:rsidRPr="00B73E5F">
        <w:rPr>
          <w:rFonts w:ascii="Times New Roman" w:eastAsia="Times New Roman" w:hAnsi="Times New Roman" w:cs="Times New Roman"/>
          <w:color w:val="000000" w:themeColor="text1"/>
          <w14:ligatures w14:val="none"/>
        </w:rPr>
        <w:t>, vol. 20, No. 170 (March 2021).</w:t>
      </w:r>
    </w:p>
    <w:p w14:paraId="088FBD9D" w14:textId="2E28EE8A" w:rsidR="00787D21" w:rsidRPr="00B73E5F" w:rsidRDefault="00787D21" w:rsidP="00787D21">
      <w:pPr>
        <w:rPr>
          <w:rFonts w:ascii="Times New Roman" w:eastAsia="Times New Roman" w:hAnsi="Times New Roman" w:cs="Times New Roman"/>
          <w:color w:val="000000" w:themeColor="text1"/>
          <w14:ligatures w14:val="none"/>
        </w:rPr>
      </w:pPr>
      <w:r w:rsidRPr="00B73E5F">
        <w:rPr>
          <w:rFonts w:ascii="Times New Roman" w:hAnsi="Times New Roman" w:cs="Times New Roman"/>
          <w:color w:val="000000" w:themeColor="text1"/>
        </w:rPr>
        <w:t xml:space="preserve">Cornel, A., J., P. G. Jupp, and N. K Blackburn. Environmental temperature on the vector competence of </w:t>
      </w:r>
      <w:r w:rsidRPr="00B73E5F">
        <w:rPr>
          <w:rFonts w:ascii="Times New Roman" w:hAnsi="Times New Roman" w:cs="Times New Roman"/>
          <w:i/>
          <w:iCs/>
          <w:color w:val="000000" w:themeColor="text1"/>
        </w:rPr>
        <w:t xml:space="preserve">Culex </w:t>
      </w:r>
      <w:proofErr w:type="spellStart"/>
      <w:r w:rsidRPr="00B73E5F">
        <w:rPr>
          <w:rFonts w:ascii="Times New Roman" w:hAnsi="Times New Roman" w:cs="Times New Roman"/>
          <w:i/>
          <w:iCs/>
          <w:color w:val="000000" w:themeColor="text1"/>
        </w:rPr>
        <w:t>univittatus</w:t>
      </w:r>
      <w:proofErr w:type="spellEnd"/>
      <w:r w:rsidRPr="00B73E5F">
        <w:rPr>
          <w:rFonts w:ascii="Times New Roman" w:hAnsi="Times New Roman" w:cs="Times New Roman"/>
          <w:i/>
          <w:iCs/>
          <w:color w:val="000000" w:themeColor="text1"/>
        </w:rPr>
        <w:t xml:space="preserve"> (Diptera: Culicidae</w:t>
      </w:r>
      <w:r w:rsidRPr="00B73E5F">
        <w:rPr>
          <w:rFonts w:ascii="Times New Roman" w:hAnsi="Times New Roman" w:cs="Times New Roman"/>
          <w:color w:val="000000" w:themeColor="text1"/>
        </w:rPr>
        <w:t xml:space="preserve">) for West Nile virus. </w:t>
      </w:r>
      <w:r w:rsidRPr="00B73E5F">
        <w:rPr>
          <w:rFonts w:ascii="Times New Roman" w:hAnsi="Times New Roman" w:cs="Times New Roman"/>
          <w:i/>
          <w:iCs/>
          <w:color w:val="000000" w:themeColor="text1"/>
        </w:rPr>
        <w:t xml:space="preserve">J Med </w:t>
      </w:r>
      <w:proofErr w:type="spellStart"/>
      <w:r w:rsidRPr="00B73E5F">
        <w:rPr>
          <w:rFonts w:ascii="Times New Roman" w:hAnsi="Times New Roman" w:cs="Times New Roman"/>
          <w:i/>
          <w:iCs/>
          <w:color w:val="000000" w:themeColor="text1"/>
        </w:rPr>
        <w:t>Entomol</w:t>
      </w:r>
      <w:proofErr w:type="spellEnd"/>
      <w:r w:rsidRPr="00B73E5F">
        <w:rPr>
          <w:rFonts w:ascii="Times New Roman" w:hAnsi="Times New Roman" w:cs="Times New Roman"/>
          <w:color w:val="000000" w:themeColor="text1"/>
        </w:rPr>
        <w:t>, vol. 30, No. 2 (March 1993), pp. 449—456.</w:t>
      </w:r>
    </w:p>
    <w:p w14:paraId="342714CB" w14:textId="1172D1D5" w:rsidR="00787D21" w:rsidRPr="00B73E5F" w:rsidRDefault="00787D21" w:rsidP="00787D21">
      <w:pPr>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 xml:space="preserve">Cotter, Janet, Katharina Kawall, and Christoph Then. </w:t>
      </w:r>
      <w:r w:rsidRPr="00B73E5F">
        <w:rPr>
          <w:rFonts w:ascii="Times New Roman" w:eastAsia="Times New Roman" w:hAnsi="Times New Roman" w:cs="Times New Roman"/>
          <w:i/>
          <w:iCs/>
          <w:color w:val="000000" w:themeColor="text1"/>
          <w14:ligatures w14:val="none"/>
        </w:rPr>
        <w:t>New Genetic Engineering Technologies</w:t>
      </w:r>
      <w:r w:rsidRPr="00B73E5F">
        <w:rPr>
          <w:rFonts w:ascii="Times New Roman" w:eastAsia="Times New Roman" w:hAnsi="Times New Roman" w:cs="Times New Roman"/>
          <w:color w:val="000000" w:themeColor="text1"/>
          <w14:ligatures w14:val="none"/>
        </w:rPr>
        <w:t xml:space="preserve">. </w:t>
      </w:r>
      <w:proofErr w:type="spellStart"/>
      <w:r w:rsidRPr="00B73E5F">
        <w:rPr>
          <w:rFonts w:ascii="Times New Roman" w:eastAsia="Times New Roman" w:hAnsi="Times New Roman" w:cs="Times New Roman"/>
          <w:color w:val="000000" w:themeColor="text1"/>
          <w14:ligatures w14:val="none"/>
        </w:rPr>
        <w:t>Testbiotech</w:t>
      </w:r>
      <w:proofErr w:type="spellEnd"/>
      <w:r w:rsidRPr="00B73E5F">
        <w:rPr>
          <w:rFonts w:ascii="Times New Roman" w:eastAsia="Times New Roman" w:hAnsi="Times New Roman" w:cs="Times New Roman"/>
          <w:color w:val="000000" w:themeColor="text1"/>
          <w14:ligatures w14:val="none"/>
        </w:rPr>
        <w:t>, Munich, Germany, 2020.</w:t>
      </w:r>
    </w:p>
    <w:p w14:paraId="1F7206D2" w14:textId="585A5E11" w:rsidR="00787D21" w:rsidRPr="00610E9F" w:rsidRDefault="00787D21" w:rsidP="00787D21">
      <w:pPr>
        <w:rPr>
          <w:rFonts w:ascii="Times New Roman" w:hAnsi="Times New Roman" w:cs="Times New Roman"/>
          <w:color w:val="000000" w:themeColor="text1"/>
        </w:rPr>
      </w:pPr>
      <w:bookmarkStart w:id="97" w:name="OLE_LINK3"/>
      <w:bookmarkStart w:id="98" w:name="OLE_LINK4"/>
      <w:r w:rsidRPr="00B73E5F">
        <w:rPr>
          <w:rFonts w:ascii="Times New Roman" w:hAnsi="Times New Roman" w:cs="Times New Roman"/>
          <w:color w:val="000000" w:themeColor="text1"/>
        </w:rPr>
        <w:t>Council of Canadian academies, expert panel on regulating gene-edited organisms for pest control. “</w:t>
      </w:r>
      <w:r w:rsidRPr="00B73E5F">
        <w:rPr>
          <w:rFonts w:ascii="Times New Roman" w:hAnsi="Times New Roman" w:cs="Times New Roman"/>
          <w:i/>
          <w:iCs/>
          <w:color w:val="000000" w:themeColor="text1"/>
        </w:rPr>
        <w:t>Framing Challenges and Opportunities for Canada</w:t>
      </w:r>
      <w:r w:rsidRPr="00B73E5F">
        <w:rPr>
          <w:rFonts w:ascii="Times New Roman" w:hAnsi="Times New Roman" w:cs="Times New Roman"/>
          <w:color w:val="000000" w:themeColor="text1"/>
        </w:rPr>
        <w:t>”. Ottawa: Council of Canadian Academies, 2023.</w:t>
      </w:r>
      <w:bookmarkEnd w:id="97"/>
      <w:bookmarkEnd w:id="98"/>
    </w:p>
    <w:p w14:paraId="63D12BC0" w14:textId="2A86B078" w:rsidR="00787D21" w:rsidRPr="00B73E5F" w:rsidRDefault="00787D21" w:rsidP="00787D21">
      <w:pPr>
        <w:rPr>
          <w:rFonts w:ascii="Times New Roman" w:eastAsia="Times New Roman" w:hAnsi="Times New Roman" w:cs="Times New Roman"/>
          <w:i/>
          <w:iCs/>
          <w:color w:val="000000" w:themeColor="text1"/>
          <w14:ligatures w14:val="none"/>
        </w:rPr>
      </w:pPr>
      <w:r w:rsidRPr="00B73E5F">
        <w:rPr>
          <w:rFonts w:ascii="Times New Roman" w:eastAsia="Times New Roman" w:hAnsi="Times New Roman" w:cs="Times New Roman"/>
          <w:color w:val="000000" w:themeColor="text1"/>
          <w14:ligatures w14:val="none"/>
        </w:rPr>
        <w:t>Courtier-</w:t>
      </w:r>
      <w:proofErr w:type="spellStart"/>
      <w:r w:rsidRPr="00B73E5F">
        <w:rPr>
          <w:rFonts w:ascii="Times New Roman" w:eastAsia="Times New Roman" w:hAnsi="Times New Roman" w:cs="Times New Roman"/>
          <w:color w:val="000000" w:themeColor="text1"/>
          <w14:ligatures w14:val="none"/>
        </w:rPr>
        <w:t>Orgogozo</w:t>
      </w:r>
      <w:proofErr w:type="spellEnd"/>
      <w:r w:rsidRPr="00B73E5F">
        <w:rPr>
          <w:rFonts w:ascii="Times New Roman" w:eastAsia="Times New Roman" w:hAnsi="Times New Roman" w:cs="Times New Roman"/>
          <w:color w:val="000000" w:themeColor="text1"/>
          <w14:ligatures w14:val="none"/>
        </w:rPr>
        <w:t xml:space="preserve">, Virginie, and others. Evaluating the probability of CRISPR-based gene drive contaminating another species. </w:t>
      </w:r>
      <w:proofErr w:type="spellStart"/>
      <w:r w:rsidRPr="00B73E5F">
        <w:rPr>
          <w:rFonts w:ascii="Times New Roman" w:eastAsia="Times New Roman" w:hAnsi="Times New Roman" w:cs="Times New Roman"/>
          <w:i/>
          <w:iCs/>
          <w:color w:val="000000" w:themeColor="text1"/>
          <w14:ligatures w14:val="none"/>
        </w:rPr>
        <w:t>Evol</w:t>
      </w:r>
      <w:proofErr w:type="spellEnd"/>
      <w:r w:rsidRPr="00B73E5F">
        <w:rPr>
          <w:rFonts w:ascii="Times New Roman" w:eastAsia="Times New Roman" w:hAnsi="Times New Roman" w:cs="Times New Roman"/>
          <w:i/>
          <w:iCs/>
          <w:color w:val="000000" w:themeColor="text1"/>
          <w14:ligatures w14:val="none"/>
        </w:rPr>
        <w:t xml:space="preserve"> Appl,</w:t>
      </w:r>
      <w:r w:rsidRPr="00B73E5F">
        <w:rPr>
          <w:rFonts w:ascii="Times New Roman" w:eastAsia="Times New Roman" w:hAnsi="Times New Roman" w:cs="Times New Roman"/>
          <w:color w:val="000000" w:themeColor="text1"/>
          <w14:ligatures w14:val="none"/>
        </w:rPr>
        <w:t xml:space="preserve"> vol. 13, No. 8 (April 2018), pp. 1888—1905.</w:t>
      </w:r>
      <w:r w:rsidRPr="00B73E5F">
        <w:rPr>
          <w:rFonts w:ascii="Times New Roman" w:eastAsia="Times New Roman" w:hAnsi="Times New Roman" w:cs="Times New Roman"/>
          <w:i/>
          <w:iCs/>
          <w:color w:val="000000" w:themeColor="text1"/>
          <w14:ligatures w14:val="none"/>
        </w:rPr>
        <w:t xml:space="preserve"> </w:t>
      </w:r>
    </w:p>
    <w:p w14:paraId="2AEAB8CD" w14:textId="5934C0E3" w:rsidR="04CFA083" w:rsidRPr="00B73E5F" w:rsidRDefault="00E75D6F" w:rsidP="04CFA083">
      <w:r w:rsidRPr="00B73E5F">
        <w:rPr>
          <w:rFonts w:ascii="Times New Roman" w:eastAsia="Times New Roman" w:hAnsi="Times New Roman" w:cs="Times New Roman"/>
          <w:color w:val="000000" w:themeColor="text1"/>
          <w14:ligatures w14:val="none"/>
        </w:rPr>
        <w:t xml:space="preserve">Cox </w:t>
      </w:r>
      <w:r w:rsidR="00D8619B" w:rsidRPr="00B73E5F">
        <w:rPr>
          <w:rFonts w:ascii="Times New Roman" w:eastAsia="Times New Roman" w:hAnsi="Times New Roman" w:cs="Times New Roman"/>
          <w:color w:val="000000" w:themeColor="text1"/>
          <w14:ligatures w14:val="none"/>
        </w:rPr>
        <w:t xml:space="preserve">Jr., Louis Anthony (Tony). Confronting </w:t>
      </w:r>
      <w:r w:rsidR="005C45B8" w:rsidRPr="00B73E5F">
        <w:rPr>
          <w:rFonts w:ascii="Times New Roman" w:eastAsia="Times New Roman" w:hAnsi="Times New Roman" w:cs="Times New Roman"/>
          <w:color w:val="000000" w:themeColor="text1"/>
          <w14:ligatures w14:val="none"/>
        </w:rPr>
        <w:t>d</w:t>
      </w:r>
      <w:r w:rsidR="00D8619B" w:rsidRPr="00B73E5F">
        <w:rPr>
          <w:rFonts w:ascii="Times New Roman" w:eastAsia="Times New Roman" w:hAnsi="Times New Roman" w:cs="Times New Roman"/>
          <w:color w:val="000000" w:themeColor="text1"/>
          <w14:ligatures w14:val="none"/>
        </w:rPr>
        <w:t xml:space="preserve">eep </w:t>
      </w:r>
      <w:r w:rsidR="005C45B8" w:rsidRPr="00B73E5F">
        <w:rPr>
          <w:rFonts w:ascii="Times New Roman" w:eastAsia="Times New Roman" w:hAnsi="Times New Roman" w:cs="Times New Roman"/>
          <w:color w:val="000000" w:themeColor="text1"/>
          <w14:ligatures w14:val="none"/>
        </w:rPr>
        <w:t xml:space="preserve">uncertainties in risk analysis. </w:t>
      </w:r>
      <w:r w:rsidR="005C45B8" w:rsidRPr="00B73E5F">
        <w:rPr>
          <w:rFonts w:ascii="Times New Roman" w:eastAsia="Times New Roman" w:hAnsi="Times New Roman" w:cs="Times New Roman"/>
          <w:i/>
          <w:iCs/>
          <w:color w:val="000000" w:themeColor="text1"/>
          <w14:ligatures w14:val="none"/>
        </w:rPr>
        <w:t xml:space="preserve">Risk analysis, </w:t>
      </w:r>
      <w:r w:rsidR="005C45B8" w:rsidRPr="00B73E5F">
        <w:rPr>
          <w:rFonts w:ascii="Times New Roman" w:eastAsia="Times New Roman" w:hAnsi="Times New Roman" w:cs="Times New Roman"/>
          <w:color w:val="000000" w:themeColor="text1"/>
          <w14:ligatures w14:val="none"/>
        </w:rPr>
        <w:t xml:space="preserve">vol. 32, No. 10 (October 2012), pp. 1607 </w:t>
      </w:r>
      <w:r w:rsidR="0046136D" w:rsidRPr="00B73E5F">
        <w:rPr>
          <w:rFonts w:ascii="Times New Roman" w:eastAsia="Times New Roman" w:hAnsi="Times New Roman" w:cs="Times New Roman"/>
          <w:color w:val="000000" w:themeColor="text1"/>
          <w14:ligatures w14:val="none"/>
        </w:rPr>
        <w:t>–</w:t>
      </w:r>
      <w:r w:rsidR="005C45B8" w:rsidRPr="00B73E5F">
        <w:rPr>
          <w:rFonts w:ascii="Times New Roman" w:eastAsia="Times New Roman" w:hAnsi="Times New Roman" w:cs="Times New Roman"/>
          <w:color w:val="000000" w:themeColor="text1"/>
          <w14:ligatures w14:val="none"/>
        </w:rPr>
        <w:t xml:space="preserve"> </w:t>
      </w:r>
      <w:r w:rsidR="0046136D" w:rsidRPr="00B73E5F">
        <w:rPr>
          <w:rFonts w:ascii="Times New Roman" w:eastAsia="Times New Roman" w:hAnsi="Times New Roman" w:cs="Times New Roman"/>
          <w:color w:val="000000" w:themeColor="text1"/>
          <w14:ligatures w14:val="none"/>
        </w:rPr>
        <w:t xml:space="preserve">1629. </w:t>
      </w:r>
    </w:p>
    <w:p w14:paraId="097F6564" w14:textId="53404006" w:rsidR="00787D21" w:rsidRPr="00610E9F" w:rsidRDefault="00787D21" w:rsidP="00787D21">
      <w:pPr>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 xml:space="preserve">Critical Scientists Switzerland, </w:t>
      </w:r>
      <w:proofErr w:type="spellStart"/>
      <w:r w:rsidRPr="00B73E5F">
        <w:rPr>
          <w:rFonts w:ascii="Times New Roman" w:eastAsia="Times New Roman" w:hAnsi="Times New Roman" w:cs="Times New Roman"/>
          <w:color w:val="000000" w:themeColor="text1"/>
          <w14:ligatures w14:val="none"/>
        </w:rPr>
        <w:t>Vereinigung</w:t>
      </w:r>
      <w:proofErr w:type="spellEnd"/>
      <w:r w:rsidRPr="00B73E5F">
        <w:rPr>
          <w:rFonts w:ascii="Times New Roman" w:eastAsia="Times New Roman" w:hAnsi="Times New Roman" w:cs="Times New Roman"/>
          <w:color w:val="000000" w:themeColor="text1"/>
          <w14:ligatures w14:val="none"/>
        </w:rPr>
        <w:t xml:space="preserve"> Deutscher </w:t>
      </w:r>
      <w:proofErr w:type="spellStart"/>
      <w:r w:rsidRPr="00B73E5F">
        <w:rPr>
          <w:rFonts w:ascii="Times New Roman" w:eastAsia="Times New Roman" w:hAnsi="Times New Roman" w:cs="Times New Roman"/>
          <w:color w:val="000000" w:themeColor="text1"/>
          <w14:ligatures w14:val="none"/>
        </w:rPr>
        <w:t>Wissenschaftler</w:t>
      </w:r>
      <w:proofErr w:type="spellEnd"/>
      <w:r w:rsidRPr="00B73E5F">
        <w:rPr>
          <w:rFonts w:ascii="Times New Roman" w:eastAsia="Times New Roman" w:hAnsi="Times New Roman" w:cs="Times New Roman"/>
          <w:color w:val="000000" w:themeColor="text1"/>
          <w14:ligatures w14:val="none"/>
        </w:rPr>
        <w:t>, and European Network of Scientists for Social and Environmental Responsibility.</w:t>
      </w:r>
      <w:r w:rsidRPr="00B73E5F">
        <w:rPr>
          <w:rFonts w:ascii="Times New Roman" w:eastAsia="Times New Roman" w:hAnsi="Times New Roman" w:cs="Times New Roman"/>
          <w:i/>
          <w:iCs/>
          <w:color w:val="000000" w:themeColor="text1"/>
          <w14:ligatures w14:val="none"/>
        </w:rPr>
        <w:t xml:space="preserve"> Gene drives: A report on their science, applications, social aspects, </w:t>
      </w:r>
      <w:proofErr w:type="gramStart"/>
      <w:r w:rsidRPr="00B73E5F">
        <w:rPr>
          <w:rFonts w:ascii="Times New Roman" w:eastAsia="Times New Roman" w:hAnsi="Times New Roman" w:cs="Times New Roman"/>
          <w:i/>
          <w:iCs/>
          <w:color w:val="000000" w:themeColor="text1"/>
          <w14:ligatures w14:val="none"/>
        </w:rPr>
        <w:t>ethics</w:t>
      </w:r>
      <w:proofErr w:type="gramEnd"/>
      <w:r w:rsidRPr="00B73E5F">
        <w:rPr>
          <w:rFonts w:ascii="Times New Roman" w:eastAsia="Times New Roman" w:hAnsi="Times New Roman" w:cs="Times New Roman"/>
          <w:i/>
          <w:iCs/>
          <w:color w:val="000000" w:themeColor="text1"/>
          <w14:ligatures w14:val="none"/>
        </w:rPr>
        <w:t xml:space="preserve"> and regulations. </w:t>
      </w:r>
      <w:r w:rsidRPr="00B73E5F">
        <w:rPr>
          <w:rFonts w:ascii="Times New Roman" w:eastAsia="Times New Roman" w:hAnsi="Times New Roman" w:cs="Times New Roman"/>
          <w:color w:val="000000" w:themeColor="text1"/>
          <w14:ligatures w14:val="none"/>
        </w:rPr>
        <w:t xml:space="preserve">May 2019. Available at </w:t>
      </w:r>
      <w:hyperlink r:id="rId32">
        <w:r w:rsidRPr="00B73E5F">
          <w:rPr>
            <w:rStyle w:val="Hyperlink"/>
            <w:rFonts w:ascii="Times New Roman" w:eastAsia="Times New Roman" w:hAnsi="Times New Roman" w:cs="Times New Roman"/>
          </w:rPr>
          <w:t>https://genedrives.ch/report</w:t>
        </w:r>
      </w:hyperlink>
      <w:r w:rsidRPr="00B73E5F">
        <w:rPr>
          <w:rFonts w:ascii="Times New Roman" w:eastAsia="Times New Roman" w:hAnsi="Times New Roman" w:cs="Times New Roman"/>
          <w:color w:val="000000" w:themeColor="text1"/>
          <w14:ligatures w14:val="none"/>
        </w:rPr>
        <w:t>.</w:t>
      </w:r>
    </w:p>
    <w:p w14:paraId="0789EFC7" w14:textId="04518A1D" w:rsidR="2BF411F1" w:rsidRPr="00B73E5F" w:rsidRDefault="00787D21" w:rsidP="00E34DAD">
      <w:pPr>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 xml:space="preserve">Cullen, Alison, C., and H. Christopher Frey. </w:t>
      </w:r>
      <w:r w:rsidRPr="00B73E5F">
        <w:rPr>
          <w:rFonts w:ascii="Times New Roman" w:eastAsia="Times New Roman" w:hAnsi="Times New Roman" w:cs="Times New Roman"/>
          <w:i/>
          <w:color w:val="000000" w:themeColor="text1"/>
          <w14:ligatures w14:val="none"/>
        </w:rPr>
        <w:t>Probabilistic techniques in exposure assessment: a handbook for dealing with variability and uncertainty in models and inputs.</w:t>
      </w:r>
      <w:r w:rsidRPr="00B73E5F">
        <w:rPr>
          <w:rFonts w:ascii="Times New Roman" w:eastAsia="Times New Roman" w:hAnsi="Times New Roman" w:cs="Times New Roman"/>
          <w:color w:val="000000" w:themeColor="text1"/>
          <w14:ligatures w14:val="none"/>
        </w:rPr>
        <w:t xml:space="preserve"> Kluwer Boston incorporated, 1994.</w:t>
      </w:r>
    </w:p>
    <w:p w14:paraId="70444B4D" w14:textId="508E4BA4" w:rsidR="00787D21" w:rsidRPr="00096C23"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Curren, Emily, J., and others. St. Louis encephalitis virus disease in the United States, 2003-2017. </w:t>
      </w:r>
      <w:r w:rsidRPr="00B73E5F">
        <w:rPr>
          <w:rFonts w:ascii="Times New Roman" w:hAnsi="Times New Roman" w:cs="Times New Roman"/>
          <w:i/>
          <w:iCs/>
          <w:color w:val="000000" w:themeColor="text1"/>
        </w:rPr>
        <w:t xml:space="preserve">Am J Trop Med </w:t>
      </w:r>
      <w:proofErr w:type="spellStart"/>
      <w:r w:rsidRPr="00B73E5F">
        <w:rPr>
          <w:rFonts w:ascii="Times New Roman" w:hAnsi="Times New Roman" w:cs="Times New Roman"/>
          <w:i/>
          <w:iCs/>
          <w:color w:val="000000" w:themeColor="text1"/>
        </w:rPr>
        <w:t>Hyg</w:t>
      </w:r>
      <w:proofErr w:type="spellEnd"/>
      <w:r w:rsidRPr="00B73E5F">
        <w:rPr>
          <w:rFonts w:ascii="Times New Roman" w:hAnsi="Times New Roman" w:cs="Times New Roman"/>
          <w:color w:val="000000" w:themeColor="text1"/>
        </w:rPr>
        <w:t>, vol. 99, No. 4 (October 2018), pp. 1074—1079.</w:t>
      </w:r>
    </w:p>
    <w:p w14:paraId="7C101FBC" w14:textId="28C2216F" w:rsidR="00787D21" w:rsidRPr="00B73E5F" w:rsidRDefault="00787D21" w:rsidP="00787D21">
      <w:pPr>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 xml:space="preserve">Dambacher, Jeffrey, M., Hiram W. Li, and Philippe A. Rossignol. Qualitative predictions in model ecosystems. </w:t>
      </w:r>
      <w:r w:rsidRPr="00B73E5F">
        <w:rPr>
          <w:rFonts w:ascii="Times New Roman" w:eastAsia="Times New Roman" w:hAnsi="Times New Roman" w:cs="Times New Roman"/>
          <w:i/>
          <w:iCs/>
          <w:color w:val="000000" w:themeColor="text1"/>
          <w14:ligatures w14:val="none"/>
        </w:rPr>
        <w:t>Ecological modelling,</w:t>
      </w:r>
      <w:r w:rsidRPr="00B73E5F">
        <w:rPr>
          <w:rFonts w:ascii="Times New Roman" w:eastAsia="Times New Roman" w:hAnsi="Times New Roman" w:cs="Times New Roman"/>
          <w:color w:val="000000" w:themeColor="text1"/>
          <w14:ligatures w14:val="none"/>
        </w:rPr>
        <w:t xml:space="preserve"> vol. 161 (March 2003), pp. 79—93.</w:t>
      </w:r>
    </w:p>
    <w:p w14:paraId="6C37A982" w14:textId="767B87F5" w:rsidR="6D03F2AC" w:rsidRPr="00B73E5F" w:rsidRDefault="0010246B" w:rsidP="56AEF754">
      <w:pPr>
        <w:rPr>
          <w:rFonts w:ascii="Segoe UI" w:eastAsia="Segoe UI" w:hAnsi="Segoe UI" w:cs="Segoe UI"/>
          <w:sz w:val="18"/>
          <w:szCs w:val="18"/>
        </w:rPr>
      </w:pPr>
      <w:r w:rsidRPr="00B73E5F">
        <w:rPr>
          <w:rFonts w:ascii="Times New Roman" w:eastAsia="Times New Roman" w:hAnsi="Times New Roman" w:cs="Times New Roman"/>
          <w:color w:val="000000" w:themeColor="text1"/>
          <w14:ligatures w14:val="none"/>
        </w:rPr>
        <w:t xml:space="preserve">Da Silva, Ramon Wilk, and others. </w:t>
      </w:r>
      <w:r w:rsidR="00404ECA" w:rsidRPr="00B73E5F">
        <w:rPr>
          <w:rFonts w:ascii="Times New Roman" w:eastAsia="Times New Roman" w:hAnsi="Times New Roman" w:cs="Times New Roman"/>
          <w:color w:val="000000" w:themeColor="text1"/>
          <w14:ligatures w14:val="none"/>
        </w:rPr>
        <w:t xml:space="preserve">Influence of landscape composition and configuration on the richness and abundance of potential sylvatic yellow fever vectors in a remnant of Atlantic Forest in the city of São Paulo, Brazil. </w:t>
      </w:r>
      <w:r w:rsidR="00404ECA" w:rsidRPr="00B73E5F">
        <w:rPr>
          <w:rFonts w:ascii="Times New Roman" w:eastAsia="Times New Roman" w:hAnsi="Times New Roman" w:cs="Times New Roman"/>
          <w:i/>
          <w:iCs/>
          <w:color w:val="000000" w:themeColor="text1"/>
          <w14:ligatures w14:val="none"/>
        </w:rPr>
        <w:t xml:space="preserve">Acta </w:t>
      </w:r>
      <w:proofErr w:type="spellStart"/>
      <w:r w:rsidR="00404ECA" w:rsidRPr="00B73E5F">
        <w:rPr>
          <w:rFonts w:ascii="Times New Roman" w:eastAsia="Times New Roman" w:hAnsi="Times New Roman" w:cs="Times New Roman"/>
          <w:i/>
          <w:iCs/>
          <w:color w:val="000000" w:themeColor="text1"/>
          <w14:ligatures w14:val="none"/>
        </w:rPr>
        <w:t>Tropica</w:t>
      </w:r>
      <w:proofErr w:type="spellEnd"/>
      <w:r w:rsidR="00404ECA" w:rsidRPr="00B73E5F">
        <w:rPr>
          <w:rFonts w:ascii="Times New Roman" w:eastAsia="Times New Roman" w:hAnsi="Times New Roman" w:cs="Times New Roman"/>
          <w:i/>
          <w:iCs/>
          <w:color w:val="000000" w:themeColor="text1"/>
          <w14:ligatures w14:val="none"/>
        </w:rPr>
        <w:t xml:space="preserve">, </w:t>
      </w:r>
      <w:r w:rsidR="00404ECA" w:rsidRPr="00B73E5F">
        <w:rPr>
          <w:rFonts w:ascii="Times New Roman" w:eastAsia="Times New Roman" w:hAnsi="Times New Roman" w:cs="Times New Roman"/>
          <w:color w:val="000000" w:themeColor="text1"/>
          <w14:ligatures w14:val="none"/>
        </w:rPr>
        <w:t xml:space="preserve">vol. 204 (April 2020). </w:t>
      </w:r>
    </w:p>
    <w:p w14:paraId="21A03B34" w14:textId="77777777" w:rsidR="00787D21" w:rsidRPr="00096C23" w:rsidRDefault="00787D21" w:rsidP="00787D21">
      <w:pPr>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David, Aaron S., and others. Release of genetically engineered insects: A framework to identify potential ecological effects.</w:t>
      </w:r>
      <w:r w:rsidRPr="00B73E5F">
        <w:rPr>
          <w:rFonts w:ascii="Times New Roman" w:eastAsia="Times New Roman" w:hAnsi="Times New Roman" w:cs="Times New Roman"/>
          <w:i/>
          <w:iCs/>
          <w:color w:val="000000" w:themeColor="text1"/>
          <w14:ligatures w14:val="none"/>
        </w:rPr>
        <w:t xml:space="preserve"> Ecology and Evolution</w:t>
      </w:r>
      <w:r w:rsidRPr="00B73E5F">
        <w:rPr>
          <w:rFonts w:ascii="Times New Roman" w:eastAsia="Times New Roman" w:hAnsi="Times New Roman" w:cs="Times New Roman"/>
          <w:color w:val="000000" w:themeColor="text1"/>
          <w14:ligatures w14:val="none"/>
        </w:rPr>
        <w:t>, vol. 3, No. 11 (October 2013), pp. 4000—4015.</w:t>
      </w:r>
    </w:p>
    <w:p w14:paraId="3B5AAA21" w14:textId="4113D0FD" w:rsidR="4DB9E7ED" w:rsidRPr="00B73E5F" w:rsidRDefault="00FA4183" w:rsidP="4DB9E7ED">
      <w:pPr>
        <w:rPr>
          <w:rFonts w:ascii="Times New Roman" w:hAnsi="Times New Roman" w:cs="Times New Roman"/>
          <w:color w:val="000000" w:themeColor="text1"/>
        </w:rPr>
      </w:pPr>
      <w:hyperlink r:id="rId33">
        <w:r w:rsidR="00082F94" w:rsidRPr="00B73E5F">
          <w:rPr>
            <w:rFonts w:ascii="Times New Roman" w:hAnsi="Times New Roman" w:cs="Times New Roman"/>
            <w:color w:val="000000" w:themeColor="text1"/>
          </w:rPr>
          <w:t>D</w:t>
        </w:r>
      </w:hyperlink>
      <w:r w:rsidR="00082F94" w:rsidRPr="00B73E5F">
        <w:rPr>
          <w:rFonts w:ascii="Times New Roman" w:hAnsi="Times New Roman" w:cs="Times New Roman"/>
          <w:color w:val="000000" w:themeColor="text1"/>
        </w:rPr>
        <w:t>eplazes</w:t>
      </w:r>
      <w:r w:rsidR="006E5436" w:rsidRPr="00B73E5F">
        <w:rPr>
          <w:rFonts w:ascii="Times New Roman" w:hAnsi="Times New Roman" w:cs="Times New Roman"/>
          <w:color w:val="000000" w:themeColor="text1"/>
        </w:rPr>
        <w:t xml:space="preserve">-Zemp, Anna, and others. </w:t>
      </w:r>
      <w:r w:rsidR="00A40A0A" w:rsidRPr="00B73E5F">
        <w:rPr>
          <w:rFonts w:ascii="Times New Roman" w:hAnsi="Times New Roman" w:cs="Times New Roman"/>
          <w:color w:val="000000" w:themeColor="text1"/>
        </w:rPr>
        <w:t xml:space="preserve">Gene drives: benefits, risks, and possible applications. </w:t>
      </w:r>
      <w:r w:rsidR="00A40A0A" w:rsidRPr="00B73E5F">
        <w:rPr>
          <w:rFonts w:ascii="Times New Roman" w:hAnsi="Times New Roman" w:cs="Times New Roman"/>
          <w:i/>
          <w:iCs/>
          <w:color w:val="000000" w:themeColor="text1"/>
        </w:rPr>
        <w:t xml:space="preserve">Swiss Academies Factsheet, </w:t>
      </w:r>
      <w:r w:rsidR="00A40A0A" w:rsidRPr="00B73E5F">
        <w:rPr>
          <w:rFonts w:ascii="Times New Roman" w:hAnsi="Times New Roman" w:cs="Times New Roman"/>
          <w:color w:val="000000" w:themeColor="text1"/>
        </w:rPr>
        <w:t>vol. 1</w:t>
      </w:r>
      <w:r w:rsidR="001C76D3" w:rsidRPr="00B73E5F">
        <w:rPr>
          <w:rFonts w:ascii="Times New Roman" w:hAnsi="Times New Roman" w:cs="Times New Roman"/>
          <w:color w:val="000000" w:themeColor="text1"/>
        </w:rPr>
        <w:t xml:space="preserve">5, No. 4 (2020). </w:t>
      </w:r>
    </w:p>
    <w:p w14:paraId="00F70783" w14:textId="57D5E016" w:rsidR="00787D21" w:rsidRPr="00B73E5F" w:rsidRDefault="00787D21" w:rsidP="00787D21">
      <w:pPr>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lastRenderedPageBreak/>
        <w:t>Deredec</w:t>
      </w:r>
      <w:proofErr w:type="spellEnd"/>
      <w:r w:rsidRPr="00B73E5F">
        <w:rPr>
          <w:rFonts w:ascii="Times New Roman" w:hAnsi="Times New Roman" w:cs="Times New Roman"/>
          <w:color w:val="000000" w:themeColor="text1"/>
        </w:rPr>
        <w:t xml:space="preserve">, Anne, and others. Requirements for effective malaria control with homing endonuclease genes. </w:t>
      </w:r>
      <w:r w:rsidRPr="00B73E5F">
        <w:rPr>
          <w:rFonts w:ascii="Times New Roman" w:hAnsi="Times New Roman" w:cs="Times New Roman"/>
          <w:i/>
          <w:iCs/>
          <w:color w:val="000000" w:themeColor="text1"/>
        </w:rPr>
        <w:t xml:space="preserve">PNAS, </w:t>
      </w:r>
      <w:r w:rsidRPr="00B73E5F">
        <w:rPr>
          <w:rFonts w:ascii="Times New Roman" w:hAnsi="Times New Roman" w:cs="Times New Roman"/>
          <w:color w:val="000000" w:themeColor="text1"/>
        </w:rPr>
        <w:t xml:space="preserve">vol. 108, No. 43 (October 2011). </w:t>
      </w:r>
    </w:p>
    <w:p w14:paraId="20014187" w14:textId="77474F2F" w:rsidR="00787D21" w:rsidRPr="00610E9F" w:rsidRDefault="00787D21" w:rsidP="00787D21">
      <w:pPr>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 xml:space="preserve">Devos, Yann, and others. Gene Drive-Modified Organisms: Developing Practical Risk Assessment Guidance. </w:t>
      </w:r>
      <w:r w:rsidRPr="00B73E5F">
        <w:rPr>
          <w:rFonts w:ascii="Times New Roman" w:eastAsia="Times New Roman" w:hAnsi="Times New Roman" w:cs="Times New Roman"/>
          <w:i/>
          <w:iCs/>
          <w:color w:val="000000" w:themeColor="text1"/>
          <w14:ligatures w14:val="none"/>
        </w:rPr>
        <w:t xml:space="preserve">Trends </w:t>
      </w:r>
      <w:proofErr w:type="spellStart"/>
      <w:r w:rsidRPr="00B73E5F">
        <w:rPr>
          <w:rFonts w:ascii="Times New Roman" w:eastAsia="Times New Roman" w:hAnsi="Times New Roman" w:cs="Times New Roman"/>
          <w:i/>
          <w:iCs/>
          <w:color w:val="000000" w:themeColor="text1"/>
          <w14:ligatures w14:val="none"/>
        </w:rPr>
        <w:t>Biotechnol</w:t>
      </w:r>
      <w:proofErr w:type="spellEnd"/>
      <w:r w:rsidRPr="00B73E5F">
        <w:rPr>
          <w:rFonts w:ascii="Times New Roman" w:eastAsia="Times New Roman" w:hAnsi="Times New Roman" w:cs="Times New Roman"/>
          <w:i/>
          <w:iCs/>
          <w:color w:val="000000" w:themeColor="text1"/>
          <w14:ligatures w14:val="none"/>
        </w:rPr>
        <w:t xml:space="preserve">, </w:t>
      </w:r>
      <w:r w:rsidRPr="00B73E5F">
        <w:rPr>
          <w:rFonts w:ascii="Times New Roman" w:eastAsia="Times New Roman" w:hAnsi="Times New Roman" w:cs="Times New Roman"/>
          <w:color w:val="000000" w:themeColor="text1"/>
          <w14:ligatures w14:val="none"/>
        </w:rPr>
        <w:t>vol. 39, No. 9 (</w:t>
      </w:r>
      <w:r w:rsidR="00F01597" w:rsidRPr="00B73E5F">
        <w:rPr>
          <w:rFonts w:ascii="Times New Roman" w:eastAsia="Times New Roman" w:hAnsi="Times New Roman" w:cs="Times New Roman"/>
          <w:color w:val="000000" w:themeColor="text1"/>
          <w14:ligatures w14:val="none"/>
        </w:rPr>
        <w:t>September 2021</w:t>
      </w:r>
      <w:r w:rsidR="2DB0F365" w:rsidRPr="00B73E5F">
        <w:rPr>
          <w:rFonts w:ascii="Times New Roman" w:eastAsia="Times New Roman" w:hAnsi="Times New Roman" w:cs="Times New Roman"/>
          <w:color w:val="000000" w:themeColor="text1"/>
          <w14:ligatures w14:val="none"/>
        </w:rPr>
        <w:t>a</w:t>
      </w:r>
      <w:r w:rsidRPr="00B73E5F">
        <w:rPr>
          <w:rFonts w:ascii="Times New Roman" w:eastAsia="Times New Roman" w:hAnsi="Times New Roman" w:cs="Times New Roman"/>
          <w:color w:val="000000" w:themeColor="text1"/>
          <w14:ligatures w14:val="none"/>
        </w:rPr>
        <w:t>), pp. 853—956.</w:t>
      </w:r>
    </w:p>
    <w:p w14:paraId="6AC6BC7C" w14:textId="28C3A3C8"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Devos, Yann, and oth</w:t>
      </w:r>
      <w:r w:rsidR="008C52B4" w:rsidRPr="00B73E5F">
        <w:rPr>
          <w:rFonts w:ascii="Times New Roman" w:hAnsi="Times New Roman" w:cs="Times New Roman"/>
          <w:color w:val="000000" w:themeColor="text1"/>
        </w:rPr>
        <w:t>e</w:t>
      </w:r>
      <w:r w:rsidRPr="00B73E5F">
        <w:rPr>
          <w:rFonts w:ascii="Times New Roman" w:hAnsi="Times New Roman" w:cs="Times New Roman"/>
          <w:color w:val="000000" w:themeColor="text1"/>
        </w:rPr>
        <w:t xml:space="preserve">rs. Optimising environmental risk assessments: Accounting for ecosystem services helps to translate broad policy protection goals into specific operational ones for environmental risk assessments. </w:t>
      </w:r>
      <w:r w:rsidRPr="00B73E5F">
        <w:rPr>
          <w:rFonts w:ascii="Times New Roman" w:hAnsi="Times New Roman" w:cs="Times New Roman"/>
          <w:i/>
          <w:iCs/>
          <w:color w:val="000000" w:themeColor="text1"/>
        </w:rPr>
        <w:t xml:space="preserve">EMBO rep, </w:t>
      </w:r>
      <w:r w:rsidRPr="00B73E5F">
        <w:rPr>
          <w:rFonts w:ascii="Times New Roman" w:hAnsi="Times New Roman" w:cs="Times New Roman"/>
          <w:color w:val="000000" w:themeColor="text1"/>
        </w:rPr>
        <w:t>vol. 16, No. 9 (September 2015), pp. 1060—1063.</w:t>
      </w:r>
    </w:p>
    <w:p w14:paraId="75DCC484" w14:textId="01D2A29B" w:rsidR="00787D21" w:rsidRPr="00B73E5F" w:rsidRDefault="00787D21" w:rsidP="00787D21">
      <w:pPr>
        <w:rPr>
          <w:rFonts w:ascii="Times New Roman" w:eastAsia="Times New Roman" w:hAnsi="Times New Roman" w:cs="Times New Roman"/>
          <w:i/>
          <w:color w:val="000000" w:themeColor="text1"/>
          <w14:ligatures w14:val="none"/>
        </w:rPr>
      </w:pPr>
      <w:r w:rsidRPr="00B73E5F">
        <w:rPr>
          <w:rFonts w:ascii="Times New Roman" w:eastAsia="Times New Roman" w:hAnsi="Times New Roman" w:cs="Times New Roman"/>
          <w:color w:val="000000" w:themeColor="text1"/>
          <w14:ligatures w14:val="none"/>
        </w:rPr>
        <w:t>Devos, Yann, and others. Potential use of gene drive modified insects against disease vectors, agricultural pests and invasive species poses new challenges for risk assessment.</w:t>
      </w:r>
      <w:r w:rsidRPr="00B73E5F">
        <w:rPr>
          <w:rFonts w:ascii="Times New Roman" w:eastAsia="Times New Roman" w:hAnsi="Times New Roman" w:cs="Times New Roman"/>
          <w:i/>
          <w:iCs/>
          <w:color w:val="000000" w:themeColor="text1"/>
          <w14:ligatures w14:val="none"/>
        </w:rPr>
        <w:t xml:space="preserve"> Critical reviews in Biotechnology, </w:t>
      </w:r>
      <w:r w:rsidRPr="00B73E5F">
        <w:rPr>
          <w:rFonts w:ascii="Times New Roman" w:eastAsia="Times New Roman" w:hAnsi="Times New Roman" w:cs="Times New Roman"/>
          <w:color w:val="000000" w:themeColor="text1"/>
          <w14:ligatures w14:val="none"/>
        </w:rPr>
        <w:t>vol. 42, No. 2 (June 2021</w:t>
      </w:r>
      <w:r w:rsidR="6AFBEAF0" w:rsidRPr="00B73E5F">
        <w:rPr>
          <w:rFonts w:ascii="Times New Roman" w:eastAsia="Times New Roman" w:hAnsi="Times New Roman" w:cs="Times New Roman"/>
          <w:color w:val="000000" w:themeColor="text1"/>
          <w14:ligatures w14:val="none"/>
        </w:rPr>
        <w:t>b</w:t>
      </w:r>
      <w:r w:rsidRPr="00B73E5F">
        <w:rPr>
          <w:rFonts w:ascii="Times New Roman" w:eastAsia="Times New Roman" w:hAnsi="Times New Roman" w:cs="Times New Roman"/>
          <w:color w:val="000000" w:themeColor="text1"/>
          <w14:ligatures w14:val="none"/>
        </w:rPr>
        <w:t>), pp. 254—270.</w:t>
      </w:r>
      <w:r w:rsidRPr="00B73E5F">
        <w:rPr>
          <w:rFonts w:ascii="Times New Roman" w:eastAsia="Times New Roman" w:hAnsi="Times New Roman" w:cs="Times New Roman"/>
          <w:i/>
          <w:iCs/>
          <w:color w:val="000000" w:themeColor="text1"/>
          <w14:ligatures w14:val="none"/>
        </w:rPr>
        <w:t xml:space="preserve"> </w:t>
      </w:r>
    </w:p>
    <w:p w14:paraId="22040681" w14:textId="77777777" w:rsidR="00787D21" w:rsidRPr="00B73E5F" w:rsidRDefault="00787D21" w:rsidP="00610E9F">
      <w:pPr>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 xml:space="preserve">Devos, Yann, and others. Risk management recommendations for environmental releases of gene drive modified insects. </w:t>
      </w:r>
      <w:r w:rsidRPr="00B73E5F">
        <w:rPr>
          <w:rFonts w:ascii="Times New Roman" w:eastAsia="Times New Roman" w:hAnsi="Times New Roman" w:cs="Times New Roman"/>
          <w:i/>
          <w:iCs/>
          <w:color w:val="000000" w:themeColor="text1"/>
          <w14:ligatures w14:val="none"/>
        </w:rPr>
        <w:t>Biotechnology Advances,</w:t>
      </w:r>
      <w:r w:rsidRPr="00B73E5F">
        <w:rPr>
          <w:rFonts w:ascii="Times New Roman" w:eastAsia="Times New Roman" w:hAnsi="Times New Roman" w:cs="Times New Roman"/>
          <w:color w:val="000000" w:themeColor="text1"/>
          <w14:ligatures w14:val="none"/>
        </w:rPr>
        <w:t xml:space="preserve"> vol. 54, No. 107807 (January—February 2022).</w:t>
      </w:r>
    </w:p>
    <w:p w14:paraId="51239FB4" w14:textId="572F29A9" w:rsidR="4EFFE892" w:rsidRPr="00B73E5F" w:rsidRDefault="008E6453" w:rsidP="45A44680">
      <w:pPr>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 xml:space="preserve">Devos, </w:t>
      </w:r>
      <w:r w:rsidR="009B224D" w:rsidRPr="00B73E5F">
        <w:rPr>
          <w:rFonts w:ascii="Times New Roman" w:eastAsia="Times New Roman" w:hAnsi="Times New Roman" w:cs="Times New Roman"/>
          <w:color w:val="000000" w:themeColor="text1"/>
          <w14:ligatures w14:val="none"/>
        </w:rPr>
        <w:t>Yann</w:t>
      </w:r>
      <w:r w:rsidR="00680107" w:rsidRPr="00B73E5F">
        <w:rPr>
          <w:rFonts w:ascii="Times New Roman" w:eastAsia="Times New Roman" w:hAnsi="Times New Roman" w:cs="Times New Roman"/>
          <w:color w:val="000000" w:themeColor="text1"/>
          <w14:ligatures w14:val="none"/>
        </w:rPr>
        <w:t>, and others</w:t>
      </w:r>
      <w:r w:rsidR="009B224D" w:rsidRPr="00B73E5F">
        <w:rPr>
          <w:rFonts w:ascii="Times New Roman" w:eastAsia="Times New Roman" w:hAnsi="Times New Roman" w:cs="Times New Roman"/>
          <w:color w:val="000000" w:themeColor="text1"/>
          <w14:ligatures w14:val="none"/>
        </w:rPr>
        <w:t xml:space="preserve">. </w:t>
      </w:r>
      <w:r w:rsidR="000555CF" w:rsidRPr="00B73E5F">
        <w:rPr>
          <w:rFonts w:ascii="Times New Roman" w:eastAsia="Times New Roman" w:hAnsi="Times New Roman" w:cs="Times New Roman"/>
          <w:color w:val="000000" w:themeColor="text1"/>
          <w14:ligatures w14:val="none"/>
        </w:rPr>
        <w:t xml:space="preserve">Using problem formulation for fit-for-purpose pre-market environmental risk assessments of regulated stressors. </w:t>
      </w:r>
      <w:r w:rsidR="00CF413B" w:rsidRPr="00B73E5F">
        <w:rPr>
          <w:rFonts w:ascii="Times New Roman" w:eastAsia="Times New Roman" w:hAnsi="Times New Roman" w:cs="Times New Roman"/>
          <w:i/>
          <w:iCs/>
          <w:color w:val="000000" w:themeColor="text1"/>
          <w14:ligatures w14:val="none"/>
        </w:rPr>
        <w:t xml:space="preserve">EFSA </w:t>
      </w:r>
      <w:r w:rsidR="002300FA" w:rsidRPr="00B73E5F">
        <w:rPr>
          <w:rFonts w:ascii="Times New Roman" w:eastAsia="Times New Roman" w:hAnsi="Times New Roman" w:cs="Times New Roman"/>
          <w:i/>
          <w:iCs/>
          <w:color w:val="000000" w:themeColor="text1"/>
          <w14:ligatures w14:val="none"/>
        </w:rPr>
        <w:t>Jo</w:t>
      </w:r>
      <w:r w:rsidR="0009676C" w:rsidRPr="00B73E5F">
        <w:rPr>
          <w:rFonts w:ascii="Times New Roman" w:eastAsia="Times New Roman" w:hAnsi="Times New Roman" w:cs="Times New Roman"/>
          <w:i/>
          <w:iCs/>
          <w:color w:val="000000" w:themeColor="text1"/>
          <w14:ligatures w14:val="none"/>
        </w:rPr>
        <w:t xml:space="preserve">urnal, </w:t>
      </w:r>
      <w:r w:rsidR="0009676C" w:rsidRPr="00B73E5F">
        <w:rPr>
          <w:rFonts w:ascii="Times New Roman" w:eastAsia="Times New Roman" w:hAnsi="Times New Roman" w:cs="Times New Roman"/>
          <w:color w:val="000000" w:themeColor="text1"/>
          <w14:ligatures w14:val="none"/>
        </w:rPr>
        <w:t>vol. 17, No. S1 (</w:t>
      </w:r>
      <w:r w:rsidR="00680107" w:rsidRPr="00B73E5F">
        <w:rPr>
          <w:rFonts w:ascii="Times New Roman" w:eastAsia="Times New Roman" w:hAnsi="Times New Roman" w:cs="Times New Roman"/>
          <w:color w:val="000000" w:themeColor="text1"/>
          <w14:ligatures w14:val="none"/>
        </w:rPr>
        <w:t>July 2019).</w:t>
      </w:r>
      <w:r w:rsidR="4EFFE892" w:rsidRPr="00B73E5F">
        <w:rPr>
          <w:rFonts w:ascii="Times New Roman" w:eastAsia="Times New Roman" w:hAnsi="Times New Roman" w:cs="Times New Roman"/>
          <w:color w:val="000000" w:themeColor="text1"/>
          <w14:ligatures w14:val="none"/>
        </w:rPr>
        <w:t xml:space="preserve"> </w:t>
      </w:r>
    </w:p>
    <w:p w14:paraId="3737A6B4" w14:textId="115A52B5" w:rsidR="00787D21" w:rsidRPr="00B73E5F" w:rsidRDefault="00787D21" w:rsidP="008E6453">
      <w:pPr>
        <w:rPr>
          <w:rFonts w:ascii="Times New Roman" w:eastAsia="Times New Roman" w:hAnsi="Times New Roman" w:cs="Times New Roman"/>
          <w:color w:val="000000" w:themeColor="text1"/>
          <w14:ligatures w14:val="none"/>
        </w:rPr>
      </w:pPr>
      <w:r w:rsidRPr="00B73E5F">
        <w:rPr>
          <w:rFonts w:ascii="Times New Roman" w:hAnsi="Times New Roman" w:cs="Times New Roman"/>
          <w:color w:val="000000" w:themeColor="text1"/>
        </w:rPr>
        <w:t xml:space="preserve">Dhole, Sumit, Alun L. Lloyd, and Fred Gould. Gene drive dynamics in natural populations: The importance of density dependence, space, and sex. </w:t>
      </w:r>
      <w:r w:rsidRPr="00B73E5F">
        <w:rPr>
          <w:rFonts w:ascii="Times New Roman" w:hAnsi="Times New Roman" w:cs="Times New Roman"/>
          <w:i/>
          <w:iCs/>
          <w:color w:val="000000" w:themeColor="text1"/>
        </w:rPr>
        <w:t xml:space="preserve">Annual Review of Ecology, Evolution, and Systematics, </w:t>
      </w:r>
      <w:r w:rsidRPr="00B73E5F">
        <w:rPr>
          <w:rFonts w:ascii="Times New Roman" w:hAnsi="Times New Roman" w:cs="Times New Roman"/>
          <w:color w:val="000000" w:themeColor="text1"/>
        </w:rPr>
        <w:t>vol. 51 (August 2020), pp. 505—531.</w:t>
      </w:r>
    </w:p>
    <w:p w14:paraId="2CD3BDF6" w14:textId="1AF08F10" w:rsidR="00787D21" w:rsidRPr="00610E9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Dhole, Sumit, Alun L. Lloyd, Fred Gould. Tethered homing gene drives: A new design for spatially restricted population replacement and suppression. </w:t>
      </w:r>
      <w:r w:rsidRPr="00B73E5F">
        <w:rPr>
          <w:rFonts w:ascii="Times New Roman" w:hAnsi="Times New Roman" w:cs="Times New Roman"/>
          <w:i/>
          <w:iCs/>
          <w:color w:val="000000" w:themeColor="text1"/>
        </w:rPr>
        <w:t xml:space="preserve">Evolutionary Applications, </w:t>
      </w:r>
      <w:r w:rsidRPr="00B73E5F">
        <w:rPr>
          <w:rFonts w:ascii="Times New Roman" w:hAnsi="Times New Roman" w:cs="Times New Roman"/>
          <w:color w:val="000000" w:themeColor="text1"/>
        </w:rPr>
        <w:t xml:space="preserve">vol. 12, No. 8 (September 2019), pp. </w:t>
      </w:r>
      <w:r w:rsidRPr="00B73E5F">
        <w:rPr>
          <w:rFonts w:ascii="Times New Roman" w:eastAsia="Times New Roman" w:hAnsi="Times New Roman" w:cs="Times New Roman"/>
          <w:color w:val="000000" w:themeColor="text1"/>
          <w14:ligatures w14:val="none"/>
        </w:rPr>
        <w:t>1688 – 1702.</w:t>
      </w:r>
    </w:p>
    <w:p w14:paraId="609E9665" w14:textId="5052BDE1" w:rsidR="00787D21" w:rsidRPr="00610E9F" w:rsidRDefault="00787D21" w:rsidP="00787D21">
      <w:pPr>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 xml:space="preserve">Dhole, Sumit, and others. Invasion and migration of spatially self-limiting gene drives: A comparative analysis. </w:t>
      </w:r>
      <w:r w:rsidRPr="00B73E5F">
        <w:rPr>
          <w:rFonts w:ascii="Times New Roman" w:eastAsia="Times New Roman" w:hAnsi="Times New Roman" w:cs="Times New Roman"/>
          <w:i/>
          <w:iCs/>
          <w:color w:val="000000" w:themeColor="text1"/>
          <w14:ligatures w14:val="none"/>
        </w:rPr>
        <w:t>Evolutionary Applications</w:t>
      </w:r>
      <w:r w:rsidRPr="00B73E5F">
        <w:rPr>
          <w:rFonts w:ascii="Times New Roman" w:eastAsia="Times New Roman" w:hAnsi="Times New Roman" w:cs="Times New Roman"/>
          <w:color w:val="000000" w:themeColor="text1"/>
          <w14:ligatures w14:val="none"/>
        </w:rPr>
        <w:t>, vol. 11, No. 12583 (December 201</w:t>
      </w:r>
      <w:r w:rsidR="004B3E45" w:rsidRPr="00B73E5F">
        <w:rPr>
          <w:rFonts w:ascii="Times New Roman" w:eastAsia="Times New Roman" w:hAnsi="Times New Roman" w:cs="Times New Roman"/>
          <w:color w:val="000000" w:themeColor="text1"/>
          <w14:ligatures w14:val="none"/>
        </w:rPr>
        <w:t>8</w:t>
      </w:r>
      <w:r w:rsidRPr="00B73E5F">
        <w:rPr>
          <w:rFonts w:ascii="Times New Roman" w:eastAsia="Times New Roman" w:hAnsi="Times New Roman" w:cs="Times New Roman"/>
          <w:color w:val="000000" w:themeColor="text1"/>
          <w14:ligatures w14:val="none"/>
        </w:rPr>
        <w:t>), pp. 794—808.</w:t>
      </w:r>
    </w:p>
    <w:p w14:paraId="6FA808E9" w14:textId="32C0321D" w:rsidR="00787D21" w:rsidRPr="00B73E5F" w:rsidRDefault="00787D21" w:rsidP="00610E9F">
      <w:pPr>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Djihinto</w:t>
      </w:r>
      <w:proofErr w:type="spellEnd"/>
      <w:r w:rsidRPr="00B73E5F">
        <w:rPr>
          <w:rFonts w:ascii="Times New Roman" w:hAnsi="Times New Roman" w:cs="Times New Roman"/>
          <w:color w:val="000000" w:themeColor="text1"/>
        </w:rPr>
        <w:t xml:space="preserve">, Oswald Y., and others. Malaria-transmitting vectors microbiota: overview and interactions with </w:t>
      </w:r>
      <w:r w:rsidRPr="00B73E5F">
        <w:rPr>
          <w:rFonts w:ascii="Times New Roman" w:hAnsi="Times New Roman" w:cs="Times New Roman"/>
          <w:i/>
          <w:iCs/>
          <w:color w:val="000000" w:themeColor="text1"/>
        </w:rPr>
        <w:t>Anopheles</w:t>
      </w:r>
      <w:r w:rsidRPr="00B73E5F">
        <w:rPr>
          <w:rFonts w:ascii="Times New Roman" w:hAnsi="Times New Roman" w:cs="Times New Roman"/>
          <w:color w:val="000000" w:themeColor="text1"/>
        </w:rPr>
        <w:t xml:space="preserve"> mosquito biology.</w:t>
      </w:r>
      <w:r w:rsidRPr="00B73E5F">
        <w:rPr>
          <w:rFonts w:ascii="Times New Roman" w:hAnsi="Times New Roman" w:cs="Times New Roman"/>
          <w:i/>
          <w:iCs/>
          <w:color w:val="000000" w:themeColor="text1"/>
        </w:rPr>
        <w:t xml:space="preserve"> Frontiers in Microbiology</w:t>
      </w:r>
      <w:r w:rsidRPr="00B73E5F">
        <w:rPr>
          <w:rFonts w:ascii="Times New Roman" w:hAnsi="Times New Roman" w:cs="Times New Roman"/>
          <w:color w:val="000000" w:themeColor="text1"/>
        </w:rPr>
        <w:t>, vol. 13, No. 891573 (May 2022).</w:t>
      </w:r>
    </w:p>
    <w:p w14:paraId="4C9388B2" w14:textId="62D193BE" w:rsidR="38A55A32" w:rsidRPr="00B73E5F" w:rsidRDefault="38A55A32" w:rsidP="00B73E5F">
      <w:pPr>
        <w:tabs>
          <w:tab w:val="center" w:pos="4680"/>
        </w:tabs>
        <w:rPr>
          <w:rFonts w:ascii="Times New Roman" w:hAnsi="Times New Roman" w:cs="Times New Roman"/>
          <w:color w:val="000000" w:themeColor="text1"/>
        </w:rPr>
      </w:pPr>
      <w:r w:rsidRPr="00B73E5F">
        <w:rPr>
          <w:rFonts w:ascii="Times New Roman" w:hAnsi="Times New Roman" w:cs="Times New Roman"/>
          <w:color w:val="000000" w:themeColor="text1"/>
        </w:rPr>
        <w:t xml:space="preserve">Dolezel, Marion, and others. Are </w:t>
      </w:r>
      <w:r w:rsidR="4F904B44" w:rsidRPr="00B73E5F">
        <w:rPr>
          <w:rFonts w:ascii="Times New Roman" w:hAnsi="Times New Roman" w:cs="Times New Roman"/>
          <w:color w:val="000000" w:themeColor="text1"/>
        </w:rPr>
        <w:t>L</w:t>
      </w:r>
      <w:r w:rsidRPr="00B73E5F">
        <w:rPr>
          <w:rFonts w:ascii="Times New Roman" w:hAnsi="Times New Roman" w:cs="Times New Roman"/>
          <w:color w:val="000000" w:themeColor="text1"/>
        </w:rPr>
        <w:t xml:space="preserve">imits of </w:t>
      </w:r>
      <w:r w:rsidR="3F6DC8A5" w:rsidRPr="00B73E5F">
        <w:rPr>
          <w:rFonts w:ascii="Times New Roman" w:hAnsi="Times New Roman" w:cs="Times New Roman"/>
          <w:color w:val="000000" w:themeColor="text1"/>
        </w:rPr>
        <w:t>C</w:t>
      </w:r>
      <w:r w:rsidRPr="00B73E5F">
        <w:rPr>
          <w:rFonts w:ascii="Times New Roman" w:hAnsi="Times New Roman" w:cs="Times New Roman"/>
          <w:color w:val="000000" w:themeColor="text1"/>
        </w:rPr>
        <w:t xml:space="preserve">oncern a useful concept to improve the environmental risk assessment of GM plants? </w:t>
      </w:r>
      <w:r w:rsidRPr="00B73E5F">
        <w:rPr>
          <w:rFonts w:ascii="Times New Roman" w:hAnsi="Times New Roman" w:cs="Times New Roman"/>
          <w:i/>
          <w:iCs/>
          <w:color w:val="000000" w:themeColor="text1"/>
        </w:rPr>
        <w:t xml:space="preserve">Environmental Sciences Europe, </w:t>
      </w:r>
      <w:r w:rsidRPr="00B73E5F">
        <w:rPr>
          <w:rFonts w:ascii="Times New Roman" w:hAnsi="Times New Roman" w:cs="Times New Roman"/>
          <w:color w:val="000000" w:themeColor="text1"/>
        </w:rPr>
        <w:t>vol. 2</w:t>
      </w:r>
      <w:r w:rsidR="203054D3" w:rsidRPr="00B73E5F">
        <w:rPr>
          <w:rFonts w:ascii="Times New Roman" w:hAnsi="Times New Roman" w:cs="Times New Roman"/>
          <w:color w:val="000000" w:themeColor="text1"/>
        </w:rPr>
        <w:t>9, No. 7 (February 2017).</w:t>
      </w:r>
      <w:r w:rsidR="203054D3" w:rsidRPr="5B4F2CFC">
        <w:rPr>
          <w:rFonts w:ascii="Times New Roman" w:hAnsi="Times New Roman" w:cs="Times New Roman"/>
          <w:color w:val="000000" w:themeColor="text1"/>
        </w:rPr>
        <w:t xml:space="preserve"> </w:t>
      </w:r>
    </w:p>
    <w:p w14:paraId="1C6AC969" w14:textId="77777777" w:rsidR="00787D21" w:rsidRPr="00B73E5F" w:rsidRDefault="00787D21" w:rsidP="00787D21">
      <w:pPr>
        <w:tabs>
          <w:tab w:val="center" w:pos="4680"/>
        </w:tabs>
        <w:rPr>
          <w:rFonts w:ascii="Times New Roman" w:hAnsi="Times New Roman" w:cs="Times New Roman"/>
          <w:color w:val="000000" w:themeColor="text1"/>
        </w:rPr>
      </w:pPr>
      <w:r w:rsidRPr="00B73E5F">
        <w:rPr>
          <w:rFonts w:ascii="Times New Roman" w:hAnsi="Times New Roman" w:cs="Times New Roman"/>
          <w:color w:val="000000" w:themeColor="text1"/>
        </w:rPr>
        <w:t xml:space="preserve">Dolezel, Marion, Christoph </w:t>
      </w:r>
      <w:proofErr w:type="spellStart"/>
      <w:r w:rsidRPr="00B73E5F">
        <w:rPr>
          <w:rFonts w:ascii="Times New Roman" w:hAnsi="Times New Roman" w:cs="Times New Roman"/>
          <w:color w:val="000000" w:themeColor="text1"/>
        </w:rPr>
        <w:t>Lüthi</w:t>
      </w:r>
      <w:proofErr w:type="spellEnd"/>
      <w:r w:rsidRPr="00B73E5F">
        <w:rPr>
          <w:rFonts w:ascii="Times New Roman" w:hAnsi="Times New Roman" w:cs="Times New Roman"/>
          <w:color w:val="000000" w:themeColor="text1"/>
        </w:rPr>
        <w:t xml:space="preserve">, and Helmut </w:t>
      </w:r>
      <w:proofErr w:type="spellStart"/>
      <w:r w:rsidRPr="00B73E5F">
        <w:rPr>
          <w:rFonts w:ascii="Times New Roman" w:hAnsi="Times New Roman" w:cs="Times New Roman"/>
          <w:color w:val="000000" w:themeColor="text1"/>
        </w:rPr>
        <w:t>Gaugitsch</w:t>
      </w:r>
      <w:proofErr w:type="spellEnd"/>
      <w:r w:rsidRPr="00B73E5F">
        <w:rPr>
          <w:rFonts w:ascii="Times New Roman" w:hAnsi="Times New Roman" w:cs="Times New Roman"/>
          <w:color w:val="000000" w:themeColor="text1"/>
        </w:rPr>
        <w:t xml:space="preserve">. Beyond limits – the pitfalls of global gene drives for environmental risk assessment in the European Union. </w:t>
      </w:r>
      <w:proofErr w:type="spellStart"/>
      <w:r w:rsidRPr="00B73E5F">
        <w:rPr>
          <w:rFonts w:ascii="Times New Roman" w:hAnsi="Times New Roman" w:cs="Times New Roman"/>
          <w:i/>
          <w:iCs/>
          <w:color w:val="000000" w:themeColor="text1"/>
        </w:rPr>
        <w:t>BioRisk</w:t>
      </w:r>
      <w:proofErr w:type="spellEnd"/>
      <w:r w:rsidRPr="00B73E5F">
        <w:rPr>
          <w:rFonts w:ascii="Times New Roman" w:hAnsi="Times New Roman" w:cs="Times New Roman"/>
          <w:i/>
          <w:iCs/>
          <w:color w:val="000000" w:themeColor="text1"/>
        </w:rPr>
        <w:t xml:space="preserve">, </w:t>
      </w:r>
      <w:r w:rsidRPr="00B73E5F">
        <w:rPr>
          <w:rFonts w:ascii="Times New Roman" w:hAnsi="Times New Roman" w:cs="Times New Roman"/>
          <w:color w:val="000000" w:themeColor="text1"/>
        </w:rPr>
        <w:t>vol. 15 (May 2020), pp. 1—29.</w:t>
      </w:r>
    </w:p>
    <w:p w14:paraId="591A823C" w14:textId="42DB6001" w:rsidR="4FA2A540" w:rsidRDefault="42E22D43" w:rsidP="4FA2A540">
      <w:pPr>
        <w:tabs>
          <w:tab w:val="center" w:pos="4680"/>
        </w:tabs>
        <w:rPr>
          <w:rFonts w:ascii="Times New Roman" w:hAnsi="Times New Roman" w:cs="Times New Roman"/>
          <w:color w:val="000000" w:themeColor="text1"/>
        </w:rPr>
      </w:pPr>
      <w:r w:rsidRPr="00B73E5F">
        <w:rPr>
          <w:rFonts w:ascii="Times New Roman" w:hAnsi="Times New Roman" w:cs="Times New Roman"/>
          <w:color w:val="000000" w:themeColor="text1"/>
        </w:rPr>
        <w:t xml:space="preserve">Dolezel, Marion, and others. Limits of Concern: suggestions for the operationalisation of a concept to determine the relevance of adverse effects in the ERA of GMOs. </w:t>
      </w:r>
      <w:r w:rsidR="5ED64971" w:rsidRPr="00B73E5F">
        <w:rPr>
          <w:rFonts w:ascii="Times New Roman" w:hAnsi="Times New Roman" w:cs="Times New Roman"/>
          <w:i/>
          <w:iCs/>
          <w:color w:val="000000" w:themeColor="text1"/>
        </w:rPr>
        <w:t xml:space="preserve">Environmental Sciences Europe, </w:t>
      </w:r>
      <w:r w:rsidR="5ED64971" w:rsidRPr="00B73E5F">
        <w:rPr>
          <w:rFonts w:ascii="Times New Roman" w:hAnsi="Times New Roman" w:cs="Times New Roman"/>
          <w:color w:val="000000" w:themeColor="text1"/>
        </w:rPr>
        <w:t>vol. 30, No. 39 (October 2018).</w:t>
      </w:r>
      <w:r w:rsidR="5ED64971" w:rsidRPr="1F7270D8">
        <w:rPr>
          <w:rFonts w:ascii="Times New Roman" w:hAnsi="Times New Roman" w:cs="Times New Roman"/>
          <w:color w:val="000000" w:themeColor="text1"/>
        </w:rPr>
        <w:t xml:space="preserve"> </w:t>
      </w:r>
    </w:p>
    <w:p w14:paraId="6BE26D0E" w14:textId="2FEF37CE"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Duffy, Mark R., and others. Zika virus outbreak on yap island, federated states of Micronesia. </w:t>
      </w:r>
      <w:r w:rsidRPr="00B73E5F">
        <w:rPr>
          <w:rFonts w:ascii="Times New Roman" w:hAnsi="Times New Roman" w:cs="Times New Roman"/>
          <w:i/>
          <w:iCs/>
          <w:color w:val="000000" w:themeColor="text1"/>
        </w:rPr>
        <w:t>The New England Journal of Medicine</w:t>
      </w:r>
      <w:r w:rsidRPr="00B73E5F">
        <w:rPr>
          <w:rFonts w:ascii="Times New Roman" w:hAnsi="Times New Roman" w:cs="Times New Roman"/>
          <w:color w:val="000000" w:themeColor="text1"/>
        </w:rPr>
        <w:t>, vol. 360 (June 2009), pp. 2535—2543.</w:t>
      </w:r>
    </w:p>
    <w:p w14:paraId="5CA2140C" w14:textId="51B430A8" w:rsidR="00787D21" w:rsidRPr="00B73E5F" w:rsidRDefault="00787D21" w:rsidP="00787D21">
      <w:pPr>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Dufourd</w:t>
      </w:r>
      <w:proofErr w:type="spellEnd"/>
      <w:r w:rsidRPr="00B73E5F">
        <w:rPr>
          <w:rFonts w:ascii="Times New Roman" w:hAnsi="Times New Roman" w:cs="Times New Roman"/>
          <w:color w:val="000000" w:themeColor="text1"/>
        </w:rPr>
        <w:t xml:space="preserve">, Claire, and others. Impact of environmental factors on mosquito dispersal in the prospect of sterile insect technique control. </w:t>
      </w:r>
      <w:r w:rsidRPr="00B73E5F">
        <w:rPr>
          <w:rFonts w:ascii="Times New Roman" w:hAnsi="Times New Roman" w:cs="Times New Roman"/>
          <w:i/>
          <w:iCs/>
          <w:color w:val="000000" w:themeColor="text1"/>
        </w:rPr>
        <w:t>Computers and Mathematics with Applications</w:t>
      </w:r>
      <w:r w:rsidRPr="00B73E5F">
        <w:rPr>
          <w:rFonts w:ascii="Times New Roman" w:hAnsi="Times New Roman" w:cs="Times New Roman"/>
          <w:color w:val="000000" w:themeColor="text1"/>
        </w:rPr>
        <w:t>, vol. 66, No. 9 (November 2013), pp. 1695—1715.</w:t>
      </w:r>
    </w:p>
    <w:p w14:paraId="70B96287" w14:textId="186BCBD0"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Eckhoff, Philip A., and others. Impact of mosquito gene drive on malaria elimination in a computational model with explicit spatial and temporal dynamics. </w:t>
      </w:r>
      <w:r w:rsidRPr="00B73E5F">
        <w:rPr>
          <w:rFonts w:ascii="Times New Roman" w:hAnsi="Times New Roman" w:cs="Times New Roman"/>
          <w:i/>
          <w:iCs/>
          <w:color w:val="000000" w:themeColor="text1"/>
        </w:rPr>
        <w:t>PNAS</w:t>
      </w:r>
      <w:r w:rsidRPr="00B73E5F">
        <w:rPr>
          <w:rFonts w:ascii="Times New Roman" w:hAnsi="Times New Roman" w:cs="Times New Roman"/>
          <w:color w:val="000000" w:themeColor="text1"/>
        </w:rPr>
        <w:t>, vol. 114, No. 2 (</w:t>
      </w:r>
      <w:r w:rsidR="5F3DEC2D" w:rsidRPr="00B73E5F">
        <w:rPr>
          <w:rFonts w:ascii="Times New Roman" w:hAnsi="Times New Roman" w:cs="Times New Roman"/>
          <w:color w:val="000000" w:themeColor="text1"/>
        </w:rPr>
        <w:t>2017</w:t>
      </w:r>
      <w:r w:rsidRPr="00B73E5F">
        <w:rPr>
          <w:rFonts w:ascii="Times New Roman" w:hAnsi="Times New Roman" w:cs="Times New Roman"/>
          <w:color w:val="000000" w:themeColor="text1"/>
        </w:rPr>
        <w:t>).</w:t>
      </w:r>
    </w:p>
    <w:p w14:paraId="5E6BAABE" w14:textId="5B08FFF5" w:rsidR="00787D21" w:rsidRPr="00096C23"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Edgington, Matthew P., and Luke S. </w:t>
      </w:r>
      <w:proofErr w:type="spellStart"/>
      <w:r w:rsidRPr="00B73E5F">
        <w:rPr>
          <w:rFonts w:ascii="Times New Roman" w:hAnsi="Times New Roman" w:cs="Times New Roman"/>
          <w:color w:val="000000" w:themeColor="text1"/>
        </w:rPr>
        <w:t>Alphey</w:t>
      </w:r>
      <w:proofErr w:type="spellEnd"/>
      <w:r w:rsidRPr="00B73E5F">
        <w:rPr>
          <w:rFonts w:ascii="Times New Roman" w:hAnsi="Times New Roman" w:cs="Times New Roman"/>
          <w:color w:val="000000" w:themeColor="text1"/>
        </w:rPr>
        <w:t>. Conditions for success of engineered underdominance gene drive systems.</w:t>
      </w:r>
      <w:r w:rsidRPr="00B73E5F">
        <w:rPr>
          <w:rFonts w:ascii="Times New Roman" w:hAnsi="Times New Roman" w:cs="Times New Roman"/>
          <w:i/>
          <w:iCs/>
          <w:color w:val="000000" w:themeColor="text1"/>
        </w:rPr>
        <w:t xml:space="preserve"> Journal of Theoretical Biology</w:t>
      </w:r>
      <w:r w:rsidRPr="00B73E5F">
        <w:rPr>
          <w:rFonts w:ascii="Times New Roman" w:hAnsi="Times New Roman" w:cs="Times New Roman"/>
          <w:color w:val="000000" w:themeColor="text1"/>
        </w:rPr>
        <w:t>, vol. 430 (October 2017), pp. 128—140.</w:t>
      </w:r>
    </w:p>
    <w:p w14:paraId="4DE8383A" w14:textId="5437F2BE" w:rsidR="00BC2C77" w:rsidRPr="00B73E5F" w:rsidRDefault="00557665" w:rsidP="00787D21">
      <w:pPr>
        <w:rPr>
          <w:rFonts w:ascii="Times New Roman" w:hAnsi="Times New Roman" w:cs="Times New Roman"/>
        </w:rPr>
      </w:pPr>
      <w:r w:rsidRPr="00B73E5F">
        <w:rPr>
          <w:rFonts w:ascii="Times New Roman" w:hAnsi="Times New Roman" w:cs="Times New Roman"/>
        </w:rPr>
        <w:lastRenderedPageBreak/>
        <w:t xml:space="preserve">Elridge, Bruce F., </w:t>
      </w:r>
      <w:r w:rsidR="00674065" w:rsidRPr="00B73E5F">
        <w:rPr>
          <w:rFonts w:ascii="Times New Roman" w:hAnsi="Times New Roman" w:cs="Times New Roman"/>
        </w:rPr>
        <w:t>and others. Arbovirus diseases</w:t>
      </w:r>
      <w:r w:rsidR="00E84461" w:rsidRPr="00B73E5F">
        <w:rPr>
          <w:rFonts w:ascii="Times New Roman" w:hAnsi="Times New Roman" w:cs="Times New Roman"/>
        </w:rPr>
        <w:t xml:space="preserve">. </w:t>
      </w:r>
      <w:r w:rsidR="00E84461" w:rsidRPr="00B73E5F">
        <w:rPr>
          <w:rFonts w:ascii="Times New Roman" w:hAnsi="Times New Roman" w:cs="Times New Roman"/>
          <w:i/>
          <w:iCs/>
        </w:rPr>
        <w:t xml:space="preserve">Medical entomology, </w:t>
      </w:r>
      <w:r w:rsidR="00BC2C77" w:rsidRPr="00B73E5F">
        <w:rPr>
          <w:rFonts w:ascii="Times New Roman" w:hAnsi="Times New Roman" w:cs="Times New Roman"/>
        </w:rPr>
        <w:t>In: Eldridge, B.F., Edman, J.D. (ed</w:t>
      </w:r>
      <w:r w:rsidR="004F7699" w:rsidRPr="00B73E5F">
        <w:rPr>
          <w:rFonts w:ascii="Times New Roman" w:hAnsi="Times New Roman" w:cs="Times New Roman"/>
        </w:rPr>
        <w:t>s)</w:t>
      </w:r>
      <w:r w:rsidR="00BC2C77" w:rsidRPr="00B73E5F">
        <w:rPr>
          <w:rFonts w:ascii="Times New Roman" w:hAnsi="Times New Roman" w:cs="Times New Roman"/>
        </w:rPr>
        <w:t>. Springer, Dordrecht</w:t>
      </w:r>
      <w:r w:rsidR="00D636B8" w:rsidRPr="00B73E5F">
        <w:rPr>
          <w:rFonts w:ascii="Times New Roman" w:hAnsi="Times New Roman" w:cs="Times New Roman"/>
        </w:rPr>
        <w:t xml:space="preserve">, 2004. </w:t>
      </w:r>
    </w:p>
    <w:p w14:paraId="152B70E1" w14:textId="57070707" w:rsidR="00787D21" w:rsidRPr="00096C23" w:rsidRDefault="00787D21" w:rsidP="00787D21">
      <w:pPr>
        <w:rPr>
          <w:rFonts w:ascii="Times New Roman" w:hAnsi="Times New Roman" w:cs="Times New Roman"/>
        </w:rPr>
      </w:pPr>
      <w:r w:rsidRPr="00B73E5F">
        <w:rPr>
          <w:rFonts w:ascii="Times New Roman" w:hAnsi="Times New Roman" w:cs="Times New Roman"/>
        </w:rPr>
        <w:t xml:space="preserve">Ellis, David A., and others. Testing non-autonomous antimalarial gene drive effectors using self-eliminating drivers in the African mosquito vector </w:t>
      </w:r>
      <w:r w:rsidRPr="00B73E5F">
        <w:rPr>
          <w:rFonts w:ascii="Times New Roman" w:hAnsi="Times New Roman" w:cs="Times New Roman"/>
          <w:i/>
          <w:iCs/>
        </w:rPr>
        <w:t>Anopheles gambiae.</w:t>
      </w:r>
      <w:r w:rsidRPr="00B73E5F">
        <w:rPr>
          <w:rFonts w:ascii="Times New Roman" w:hAnsi="Times New Roman" w:cs="Times New Roman"/>
        </w:rPr>
        <w:t xml:space="preserve"> </w:t>
      </w:r>
      <w:r w:rsidRPr="00B73E5F">
        <w:rPr>
          <w:rFonts w:ascii="Times New Roman" w:hAnsi="Times New Roman" w:cs="Times New Roman"/>
          <w:i/>
          <w:iCs/>
        </w:rPr>
        <w:t>PLOS Genetics</w:t>
      </w:r>
      <w:r w:rsidRPr="00B73E5F">
        <w:rPr>
          <w:rFonts w:ascii="Times New Roman" w:hAnsi="Times New Roman" w:cs="Times New Roman"/>
        </w:rPr>
        <w:t>, vol. 18, No. 6 (June 2022).</w:t>
      </w:r>
    </w:p>
    <w:p w14:paraId="00A4EA63" w14:textId="381245A6" w:rsidR="00787D21" w:rsidRPr="00B73E5F" w:rsidRDefault="00787D21" w:rsidP="00787D21">
      <w:pPr>
        <w:rPr>
          <w:rFonts w:ascii="Times New Roman" w:hAnsi="Times New Roman" w:cs="Times New Roman"/>
        </w:rPr>
      </w:pPr>
      <w:proofErr w:type="spellStart"/>
      <w:r w:rsidRPr="00B73E5F">
        <w:rPr>
          <w:rFonts w:ascii="Times New Roman" w:hAnsi="Times New Roman" w:cs="Times New Roman"/>
        </w:rPr>
        <w:t>Epelboin</w:t>
      </w:r>
      <w:proofErr w:type="spellEnd"/>
      <w:r w:rsidRPr="00B73E5F">
        <w:rPr>
          <w:rFonts w:ascii="Times New Roman" w:hAnsi="Times New Roman" w:cs="Times New Roman"/>
        </w:rPr>
        <w:t xml:space="preserve">, </w:t>
      </w:r>
      <w:proofErr w:type="spellStart"/>
      <w:r w:rsidRPr="00B73E5F">
        <w:rPr>
          <w:rFonts w:ascii="Times New Roman" w:hAnsi="Times New Roman" w:cs="Times New Roman"/>
        </w:rPr>
        <w:t>Yanouk</w:t>
      </w:r>
      <w:proofErr w:type="spellEnd"/>
      <w:r w:rsidRPr="00B73E5F">
        <w:rPr>
          <w:rFonts w:ascii="Times New Roman" w:hAnsi="Times New Roman" w:cs="Times New Roman"/>
        </w:rPr>
        <w:t xml:space="preserve">, and others. Zika virus: An updated review of competent or naturally infected mosquitoes. </w:t>
      </w:r>
      <w:r w:rsidRPr="00B73E5F">
        <w:rPr>
          <w:rFonts w:ascii="Times New Roman" w:hAnsi="Times New Roman" w:cs="Times New Roman"/>
          <w:i/>
          <w:iCs/>
        </w:rPr>
        <w:t>PLOS Neglected Tropical Diseases</w:t>
      </w:r>
      <w:r w:rsidRPr="00B73E5F">
        <w:rPr>
          <w:rFonts w:ascii="Times New Roman" w:hAnsi="Times New Roman" w:cs="Times New Roman"/>
        </w:rPr>
        <w:t>, vol. 11, No. 1371 (November 2017).</w:t>
      </w:r>
    </w:p>
    <w:p w14:paraId="642ACEC8" w14:textId="70F55674" w:rsidR="00787D21" w:rsidRPr="00B73E5F" w:rsidRDefault="00787D21" w:rsidP="00787D21">
      <w:pPr>
        <w:rPr>
          <w:rFonts w:ascii="Times New Roman" w:hAnsi="Times New Roman" w:cs="Times New Roman"/>
        </w:rPr>
      </w:pPr>
      <w:proofErr w:type="spellStart"/>
      <w:r w:rsidRPr="00B73E5F">
        <w:rPr>
          <w:rFonts w:ascii="Times New Roman" w:hAnsi="Times New Roman" w:cs="Times New Roman"/>
        </w:rPr>
        <w:t>Epopa</w:t>
      </w:r>
      <w:proofErr w:type="spellEnd"/>
      <w:r w:rsidRPr="00B73E5F">
        <w:rPr>
          <w:rFonts w:ascii="Times New Roman" w:hAnsi="Times New Roman" w:cs="Times New Roman"/>
        </w:rPr>
        <w:t xml:space="preserve">, Patric Stephane, and others. Seasonal malaria vector and transmission dynamics in western Burkina Faso. </w:t>
      </w:r>
      <w:r w:rsidRPr="00B73E5F">
        <w:rPr>
          <w:rFonts w:ascii="Times New Roman" w:hAnsi="Times New Roman" w:cs="Times New Roman"/>
          <w:i/>
          <w:iCs/>
        </w:rPr>
        <w:t>Malaria Journal</w:t>
      </w:r>
      <w:r w:rsidRPr="00B73E5F">
        <w:rPr>
          <w:rFonts w:ascii="Times New Roman" w:hAnsi="Times New Roman" w:cs="Times New Roman"/>
        </w:rPr>
        <w:t>, vol. 18, No. 113 (April 2019).</w:t>
      </w:r>
    </w:p>
    <w:p w14:paraId="47C81395" w14:textId="4A623FE0" w:rsidR="00787D21" w:rsidRPr="00096C23" w:rsidRDefault="00787D21" w:rsidP="00787D21">
      <w:pPr>
        <w:rPr>
          <w:rFonts w:ascii="Times New Roman" w:hAnsi="Times New Roman" w:cs="Times New Roman"/>
        </w:rPr>
      </w:pPr>
      <w:proofErr w:type="spellStart"/>
      <w:r w:rsidRPr="00B73E5F">
        <w:rPr>
          <w:rFonts w:ascii="Times New Roman" w:hAnsi="Times New Roman" w:cs="Times New Roman"/>
        </w:rPr>
        <w:t>Eritja</w:t>
      </w:r>
      <w:proofErr w:type="spellEnd"/>
      <w:r w:rsidRPr="00B73E5F">
        <w:rPr>
          <w:rFonts w:ascii="Times New Roman" w:hAnsi="Times New Roman" w:cs="Times New Roman"/>
        </w:rPr>
        <w:t xml:space="preserve">, Roger, and others. Direct evidence of adult </w:t>
      </w:r>
      <w:r w:rsidRPr="00B73E5F">
        <w:rPr>
          <w:rFonts w:ascii="Times New Roman" w:hAnsi="Times New Roman" w:cs="Times New Roman"/>
          <w:i/>
          <w:iCs/>
        </w:rPr>
        <w:t xml:space="preserve">Aedes albopictus </w:t>
      </w:r>
      <w:r w:rsidRPr="00B73E5F">
        <w:rPr>
          <w:rFonts w:ascii="Times New Roman" w:hAnsi="Times New Roman" w:cs="Times New Roman"/>
        </w:rPr>
        <w:t xml:space="preserve">dispersal by car. </w:t>
      </w:r>
      <w:r w:rsidRPr="00B73E5F">
        <w:rPr>
          <w:rFonts w:ascii="Times New Roman" w:hAnsi="Times New Roman" w:cs="Times New Roman"/>
          <w:i/>
          <w:iCs/>
        </w:rPr>
        <w:t>Scientific reports</w:t>
      </w:r>
      <w:r w:rsidRPr="00B73E5F">
        <w:rPr>
          <w:rFonts w:ascii="Times New Roman" w:hAnsi="Times New Roman" w:cs="Times New Roman"/>
        </w:rPr>
        <w:t>, vol. 7, No. 14399 (October 2017).</w:t>
      </w:r>
    </w:p>
    <w:p w14:paraId="7966F65C" w14:textId="00E47E44" w:rsidR="00787D21" w:rsidRPr="00B73E5F" w:rsidRDefault="00787D21" w:rsidP="00787D21">
      <w:pPr>
        <w:tabs>
          <w:tab w:val="left" w:pos="5964"/>
        </w:tabs>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Esvelt</w:t>
      </w:r>
      <w:proofErr w:type="spellEnd"/>
      <w:r w:rsidRPr="00B73E5F">
        <w:rPr>
          <w:rFonts w:ascii="Times New Roman" w:hAnsi="Times New Roman" w:cs="Times New Roman"/>
          <w:color w:val="000000" w:themeColor="text1"/>
        </w:rPr>
        <w:t xml:space="preserve">, Kevin, M., and others. Emerging technology: concerning RNA-guided gene drives for the alteration of wild populations. </w:t>
      </w:r>
      <w:r w:rsidRPr="00B73E5F">
        <w:rPr>
          <w:rFonts w:ascii="Times New Roman" w:hAnsi="Times New Roman" w:cs="Times New Roman"/>
          <w:i/>
          <w:iCs/>
          <w:color w:val="000000" w:themeColor="text1"/>
        </w:rPr>
        <w:t xml:space="preserve">Elife, </w:t>
      </w:r>
      <w:r w:rsidRPr="00B73E5F">
        <w:rPr>
          <w:rFonts w:ascii="Times New Roman" w:hAnsi="Times New Roman" w:cs="Times New Roman"/>
          <w:color w:val="000000" w:themeColor="text1"/>
        </w:rPr>
        <w:t>No. 03401 (July 2014).</w:t>
      </w:r>
    </w:p>
    <w:p w14:paraId="4BA6E841" w14:textId="550782F3" w:rsidR="00787D21" w:rsidRPr="00B73E5F" w:rsidRDefault="00787D21" w:rsidP="00787D21">
      <w:pPr>
        <w:rPr>
          <w:rFonts w:ascii="Times New Roman" w:hAnsi="Times New Roman" w:cs="Times New Roman"/>
        </w:rPr>
      </w:pPr>
      <w:r w:rsidRPr="00B73E5F">
        <w:rPr>
          <w:rFonts w:ascii="Times New Roman" w:hAnsi="Times New Roman" w:cs="Times New Roman"/>
        </w:rPr>
        <w:t>European centre for disease prevention and control.</w:t>
      </w:r>
      <w:r w:rsidRPr="00B73E5F">
        <w:rPr>
          <w:rFonts w:ascii="Times New Roman" w:hAnsi="Times New Roman" w:cs="Times New Roman"/>
          <w:i/>
          <w:iCs/>
        </w:rPr>
        <w:t xml:space="preserve"> Aedes aegypti</w:t>
      </w:r>
      <w:r w:rsidR="003C7EFE" w:rsidRPr="00B73E5F">
        <w:rPr>
          <w:rFonts w:ascii="Times New Roman" w:hAnsi="Times New Roman" w:cs="Times New Roman"/>
        </w:rPr>
        <w:t>–</w:t>
      </w:r>
      <w:r w:rsidRPr="00B73E5F">
        <w:rPr>
          <w:rFonts w:ascii="Times New Roman" w:hAnsi="Times New Roman" w:cs="Times New Roman"/>
        </w:rPr>
        <w:t xml:space="preserve">- Factsheet for experts. Available at </w:t>
      </w:r>
      <w:hyperlink r:id="rId34" w:anchor="Geographical" w:history="1">
        <w:r w:rsidRPr="00B73E5F">
          <w:rPr>
            <w:rStyle w:val="Hyperlink"/>
            <w:rFonts w:ascii="Times New Roman" w:hAnsi="Times New Roman" w:cs="Times New Roman"/>
          </w:rPr>
          <w:t>https://www.ecdc.europa.eu/en/disease-vectors/facts/mosquito-factsheets/aedes-aegypti#Geographical</w:t>
        </w:r>
      </w:hyperlink>
    </w:p>
    <w:p w14:paraId="5D28F255" w14:textId="77777777"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European centre for disease prevention and control. Increasing risk of mosquito-borne diseases in EU/EEA following spread of </w:t>
      </w:r>
      <w:r w:rsidRPr="00B73E5F">
        <w:rPr>
          <w:rFonts w:ascii="Times New Roman" w:hAnsi="Times New Roman" w:cs="Times New Roman"/>
          <w:i/>
          <w:iCs/>
          <w:color w:val="000000" w:themeColor="text1"/>
        </w:rPr>
        <w:t>Aedes</w:t>
      </w:r>
      <w:r w:rsidRPr="00B73E5F">
        <w:rPr>
          <w:rFonts w:ascii="Times New Roman" w:hAnsi="Times New Roman" w:cs="Times New Roman"/>
          <w:color w:val="000000" w:themeColor="text1"/>
        </w:rPr>
        <w:t xml:space="preserve"> species, 22 June 2023.</w:t>
      </w:r>
    </w:p>
    <w:p w14:paraId="72472BF6" w14:textId="7C577BD5" w:rsidR="00787D21" w:rsidRPr="00B73E5F" w:rsidRDefault="00787D21" w:rsidP="00787D21">
      <w:pPr>
        <w:rPr>
          <w:rFonts w:ascii="Times New Roman" w:hAnsi="Times New Roman" w:cs="Times New Roman"/>
          <w:color w:val="000000" w:themeColor="text1"/>
        </w:rPr>
      </w:pPr>
      <w:r w:rsidRPr="00B73E5F">
        <w:rPr>
          <w:rFonts w:ascii="Times New Roman" w:eastAsia="Times New Roman" w:hAnsi="Times New Roman" w:cs="Times New Roman"/>
          <w:color w:val="000000" w:themeColor="text1"/>
          <w14:ligatures w14:val="none"/>
        </w:rPr>
        <w:t>European food safety authority</w:t>
      </w:r>
      <w:r w:rsidRPr="00B73E5F">
        <w:rPr>
          <w:rFonts w:ascii="Times New Roman" w:hAnsi="Times New Roman" w:cs="Times New Roman"/>
          <w:color w:val="000000" w:themeColor="text1"/>
        </w:rPr>
        <w:t xml:space="preserve"> panel on genetically modified organisms. Guidance on the environmental risk assessment of genetically modified animals. </w:t>
      </w:r>
      <w:r w:rsidRPr="00B73E5F">
        <w:rPr>
          <w:rFonts w:ascii="Times New Roman" w:hAnsi="Times New Roman" w:cs="Times New Roman"/>
          <w:i/>
          <w:iCs/>
          <w:color w:val="000000" w:themeColor="text1"/>
        </w:rPr>
        <w:t xml:space="preserve">EFSA Journal, </w:t>
      </w:r>
      <w:r w:rsidRPr="00B73E5F">
        <w:rPr>
          <w:rFonts w:ascii="Times New Roman" w:hAnsi="Times New Roman" w:cs="Times New Roman"/>
          <w:color w:val="000000" w:themeColor="text1"/>
        </w:rPr>
        <w:t>vol. 11, No. 3200 (May 2013).</w:t>
      </w:r>
    </w:p>
    <w:p w14:paraId="3AF3F06F" w14:textId="75995C33"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European food safety authority panel on genetically modified organisms, and others. Evaluation of existing guidelines for their adequacy for the food and feed risk assessment of genetically modified plants obtained through synthetic biology. </w:t>
      </w:r>
      <w:r w:rsidRPr="00B73E5F">
        <w:rPr>
          <w:rFonts w:ascii="Times New Roman" w:hAnsi="Times New Roman" w:cs="Times New Roman"/>
          <w:i/>
          <w:iCs/>
          <w:color w:val="000000" w:themeColor="text1"/>
        </w:rPr>
        <w:t>EFSA Journal</w:t>
      </w:r>
      <w:r w:rsidRPr="00B73E5F">
        <w:rPr>
          <w:rFonts w:ascii="Times New Roman" w:hAnsi="Times New Roman" w:cs="Times New Roman"/>
          <w:color w:val="000000" w:themeColor="text1"/>
        </w:rPr>
        <w:t xml:space="preserve">, vol. 20, No. 7 (July 2022). </w:t>
      </w:r>
    </w:p>
    <w:p w14:paraId="47BA6F7D" w14:textId="2F3C0E79"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European food safety authority scientific community, and others. Guidance on the use of the weight of evidence approach in scientific assessments. </w:t>
      </w:r>
      <w:bookmarkStart w:id="99" w:name="_Hlk159331399"/>
      <w:r w:rsidRPr="00B73E5F">
        <w:rPr>
          <w:rFonts w:ascii="Times New Roman" w:hAnsi="Times New Roman" w:cs="Times New Roman"/>
          <w:i/>
          <w:iCs/>
          <w:color w:val="000000" w:themeColor="text1"/>
        </w:rPr>
        <w:t xml:space="preserve">EFSA </w:t>
      </w:r>
      <w:bookmarkEnd w:id="99"/>
      <w:r w:rsidRPr="00B73E5F">
        <w:rPr>
          <w:rFonts w:ascii="Times New Roman" w:hAnsi="Times New Roman" w:cs="Times New Roman"/>
          <w:i/>
          <w:iCs/>
          <w:color w:val="000000" w:themeColor="text1"/>
        </w:rPr>
        <w:t xml:space="preserve">Journal, </w:t>
      </w:r>
      <w:r w:rsidRPr="00B73E5F">
        <w:rPr>
          <w:rFonts w:ascii="Times New Roman" w:hAnsi="Times New Roman" w:cs="Times New Roman"/>
          <w:color w:val="000000" w:themeColor="text1"/>
        </w:rPr>
        <w:t>vol.15. No. 4971 (August 2017).</w:t>
      </w:r>
    </w:p>
    <w:p w14:paraId="390E923D" w14:textId="3E8886CB" w:rsidR="00787D21" w:rsidRPr="00B73E5F" w:rsidRDefault="00787D21" w:rsidP="00787D21">
      <w:pPr>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 xml:space="preserve">European food safety authority, </w:t>
      </w:r>
      <w:r w:rsidRPr="00B73E5F">
        <w:rPr>
          <w:rFonts w:ascii="Times New Roman" w:eastAsia="Times New Roman" w:hAnsi="Times New Roman" w:cs="Times New Roman"/>
          <w:i/>
          <w:iCs/>
          <w:color w:val="000000" w:themeColor="text1"/>
          <w14:ligatures w14:val="none"/>
        </w:rPr>
        <w:t xml:space="preserve">Using problem formulation for fit‐for‐purpose pre‐market environmental risk assessments of regulated stressors. </w:t>
      </w:r>
      <w:r w:rsidRPr="00B73E5F">
        <w:rPr>
          <w:rFonts w:ascii="Times New Roman" w:eastAsia="Times New Roman" w:hAnsi="Times New Roman" w:cs="Times New Roman"/>
          <w:color w:val="000000" w:themeColor="text1"/>
          <w14:ligatures w14:val="none"/>
        </w:rPr>
        <w:t>April 2019.</w:t>
      </w:r>
    </w:p>
    <w:p w14:paraId="311883C3" w14:textId="6B83A4F8"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__________. Adequacy</w:t>
      </w:r>
      <w:r w:rsidRPr="00B73E5F">
        <w:rPr>
          <w:rFonts w:ascii="Times New Roman" w:hAnsi="Times New Roman" w:cs="Times New Roman"/>
          <w:b/>
          <w:bCs/>
        </w:rPr>
        <w:t xml:space="preserve"> </w:t>
      </w:r>
      <w:r w:rsidRPr="00B73E5F">
        <w:rPr>
          <w:rFonts w:ascii="Times New Roman" w:hAnsi="Times New Roman" w:cs="Times New Roman"/>
          <w:color w:val="000000" w:themeColor="text1"/>
        </w:rPr>
        <w:t xml:space="preserve">and sufficiency evaluation of existing EFSA guidelines for the molecular characterisation, environmental risk assessment and post-market environmental monitoring of genetically modified insects containing engineered gene drives. </w:t>
      </w:r>
      <w:r w:rsidRPr="00B73E5F">
        <w:rPr>
          <w:rFonts w:ascii="Times New Roman" w:eastAsia="Times New Roman" w:hAnsi="Times New Roman" w:cs="Times New Roman"/>
          <w:i/>
          <w:iCs/>
          <w:color w:val="000000"/>
          <w:lang w:eastAsia="en-CA"/>
          <w14:ligatures w14:val="none"/>
        </w:rPr>
        <w:t xml:space="preserve">EFSA </w:t>
      </w:r>
      <w:r w:rsidRPr="00B73E5F">
        <w:rPr>
          <w:rFonts w:ascii="Times New Roman" w:hAnsi="Times New Roman" w:cs="Times New Roman"/>
          <w:i/>
          <w:iCs/>
          <w:color w:val="000000" w:themeColor="text1"/>
        </w:rPr>
        <w:t xml:space="preserve">Journal, </w:t>
      </w:r>
      <w:r w:rsidRPr="00B73E5F">
        <w:rPr>
          <w:rFonts w:ascii="Times New Roman" w:hAnsi="Times New Roman" w:cs="Times New Roman"/>
          <w:color w:val="000000" w:themeColor="text1"/>
        </w:rPr>
        <w:t>vol. 18, No .1 (November 2020).</w:t>
      </w:r>
    </w:p>
    <w:p w14:paraId="6C8D8423" w14:textId="154D3CCB" w:rsidR="00D02305" w:rsidRPr="00B73E5F" w:rsidRDefault="003B4C10" w:rsidP="00E83074">
      <w:pPr>
        <w:rPr>
          <w:rFonts w:eastAsia="Times New Roman"/>
          <w:color w:val="FF0000"/>
        </w:rPr>
      </w:pPr>
      <w:r w:rsidRPr="00B73E5F">
        <w:rPr>
          <w:rFonts w:ascii="Times New Roman" w:hAnsi="Times New Roman" w:cs="Times New Roman"/>
          <w:color w:val="000000" w:themeColor="text1"/>
        </w:rPr>
        <w:t xml:space="preserve">__________. Guidance on the environmental risk assessment of genetically modified plants. </w:t>
      </w:r>
      <w:r w:rsidR="00224F34" w:rsidRPr="00B73E5F">
        <w:rPr>
          <w:rFonts w:ascii="Times New Roman" w:hAnsi="Times New Roman" w:cs="Times New Roman"/>
          <w:i/>
          <w:iCs/>
          <w:color w:val="000000" w:themeColor="text1"/>
        </w:rPr>
        <w:t>EFSA</w:t>
      </w:r>
      <w:r w:rsidRPr="00B73E5F">
        <w:rPr>
          <w:rFonts w:ascii="Times New Roman" w:hAnsi="Times New Roman" w:cs="Times New Roman"/>
          <w:i/>
          <w:iCs/>
          <w:color w:val="000000" w:themeColor="text1"/>
        </w:rPr>
        <w:t xml:space="preserve"> Journal</w:t>
      </w:r>
      <w:r w:rsidRPr="00B73E5F">
        <w:rPr>
          <w:rFonts w:ascii="Times New Roman" w:hAnsi="Times New Roman" w:cs="Times New Roman"/>
          <w:color w:val="000000" w:themeColor="text1"/>
        </w:rPr>
        <w:t xml:space="preserve">, </w:t>
      </w:r>
      <w:r w:rsidR="00224F34" w:rsidRPr="00B73E5F">
        <w:rPr>
          <w:rFonts w:ascii="Times New Roman" w:hAnsi="Times New Roman" w:cs="Times New Roman"/>
          <w:color w:val="000000" w:themeColor="text1"/>
        </w:rPr>
        <w:t>vol. 8, No. 11</w:t>
      </w:r>
      <w:r w:rsidRPr="00B73E5F">
        <w:rPr>
          <w:rFonts w:ascii="Times New Roman" w:hAnsi="Times New Roman" w:cs="Times New Roman"/>
          <w:color w:val="000000" w:themeColor="text1"/>
        </w:rPr>
        <w:t xml:space="preserve"> (November 2010).</w:t>
      </w:r>
      <w:r w:rsidR="00E83074" w:rsidRPr="00B73E5F">
        <w:rPr>
          <w:rFonts w:eastAsia="Times New Roman"/>
          <w:color w:val="FF0000"/>
        </w:rPr>
        <w:t xml:space="preserve"> </w:t>
      </w:r>
    </w:p>
    <w:p w14:paraId="6F23FA4D" w14:textId="71B1DD55"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__________. Glossary, taxonomy terms. November </w:t>
      </w:r>
      <w:r w:rsidR="2067B216" w:rsidRPr="00B73E5F">
        <w:rPr>
          <w:rFonts w:ascii="Times New Roman" w:hAnsi="Times New Roman" w:cs="Times New Roman"/>
        </w:rPr>
        <w:t>2016</w:t>
      </w:r>
      <w:r w:rsidR="7FF1851D" w:rsidRPr="00B73E5F">
        <w:rPr>
          <w:rFonts w:ascii="Times New Roman" w:hAnsi="Times New Roman" w:cs="Times New Roman"/>
        </w:rPr>
        <w:t>a</w:t>
      </w:r>
      <w:r w:rsidR="2067B216" w:rsidRPr="00B73E5F">
        <w:rPr>
          <w:rFonts w:ascii="Times New Roman" w:hAnsi="Times New Roman" w:cs="Times New Roman"/>
        </w:rPr>
        <w:t>.</w:t>
      </w:r>
      <w:r w:rsidRPr="00B73E5F">
        <w:rPr>
          <w:rFonts w:ascii="Times New Roman" w:hAnsi="Times New Roman" w:cs="Times New Roman"/>
        </w:rPr>
        <w:t xml:space="preserve"> Available at </w:t>
      </w:r>
      <w:hyperlink r:id="rId35">
        <w:r w:rsidRPr="00B73E5F">
          <w:rPr>
            <w:rStyle w:val="Hyperlink"/>
            <w:rFonts w:ascii="Times New Roman" w:hAnsi="Times New Roman" w:cs="Times New Roman"/>
          </w:rPr>
          <w:t>https://www.efsa.europa.eu/en/glossary-taxonomy-terms</w:t>
        </w:r>
      </w:hyperlink>
      <w:r w:rsidRPr="00B73E5F">
        <w:rPr>
          <w:rFonts w:ascii="Times New Roman" w:hAnsi="Times New Roman" w:cs="Times New Roman"/>
        </w:rPr>
        <w:t>.</w:t>
      </w:r>
    </w:p>
    <w:p w14:paraId="6CB3257A" w14:textId="1AB050A3"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__________. Hazard vs. risk. November </w:t>
      </w:r>
      <w:r w:rsidR="2067B216" w:rsidRPr="00B73E5F">
        <w:rPr>
          <w:rFonts w:ascii="Times New Roman" w:hAnsi="Times New Roman" w:cs="Times New Roman"/>
        </w:rPr>
        <w:t>2016</w:t>
      </w:r>
      <w:r w:rsidR="2DAC3D6A" w:rsidRPr="00B73E5F">
        <w:rPr>
          <w:rFonts w:ascii="Times New Roman" w:hAnsi="Times New Roman" w:cs="Times New Roman"/>
        </w:rPr>
        <w:t>b</w:t>
      </w:r>
      <w:r w:rsidR="2067B216" w:rsidRPr="00B73E5F">
        <w:rPr>
          <w:rFonts w:ascii="Times New Roman" w:hAnsi="Times New Roman" w:cs="Times New Roman"/>
        </w:rPr>
        <w:t>.</w:t>
      </w:r>
      <w:r w:rsidRPr="00B73E5F">
        <w:rPr>
          <w:rFonts w:ascii="Times New Roman" w:hAnsi="Times New Roman" w:cs="Times New Roman"/>
        </w:rPr>
        <w:t xml:space="preserve"> Available at </w:t>
      </w:r>
      <w:hyperlink r:id="rId36">
        <w:r w:rsidRPr="00B73E5F">
          <w:rPr>
            <w:rStyle w:val="Hyperlink"/>
            <w:rFonts w:ascii="Times New Roman" w:hAnsi="Times New Roman" w:cs="Times New Roman"/>
          </w:rPr>
          <w:t>https://www.efsa.europa.eu/en/discover/infographics/hazard-vs-risk</w:t>
        </w:r>
      </w:hyperlink>
      <w:r w:rsidRPr="00B73E5F">
        <w:rPr>
          <w:rFonts w:ascii="Times New Roman" w:hAnsi="Times New Roman" w:cs="Times New Roman"/>
        </w:rPr>
        <w:t>.</w:t>
      </w:r>
    </w:p>
    <w:p w14:paraId="4D89597C" w14:textId="1E892DE4" w:rsidR="00787D21" w:rsidRPr="00096C23"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European food safety scientific community, and others. Guidance on uncertainty analysis in scientific assessments. </w:t>
      </w:r>
      <w:r w:rsidRPr="00B73E5F">
        <w:rPr>
          <w:rFonts w:ascii="Times New Roman" w:eastAsia="Times New Roman" w:hAnsi="Times New Roman" w:cs="Times New Roman"/>
          <w:i/>
          <w:iCs/>
          <w:color w:val="000000"/>
          <w:lang w:eastAsia="en-CA"/>
          <w14:ligatures w14:val="none"/>
        </w:rPr>
        <w:t xml:space="preserve">EFSA </w:t>
      </w:r>
      <w:r w:rsidRPr="00B73E5F">
        <w:rPr>
          <w:rFonts w:ascii="Times New Roman" w:hAnsi="Times New Roman" w:cs="Times New Roman"/>
          <w:i/>
          <w:iCs/>
          <w:color w:val="000000" w:themeColor="text1"/>
        </w:rPr>
        <w:t xml:space="preserve">Journal, </w:t>
      </w:r>
      <w:r w:rsidRPr="00B73E5F">
        <w:rPr>
          <w:rFonts w:ascii="Times New Roman" w:hAnsi="Times New Roman" w:cs="Times New Roman"/>
          <w:color w:val="000000" w:themeColor="text1"/>
        </w:rPr>
        <w:t>vol. 16, no. 5123 (January 2018).</w:t>
      </w:r>
      <w:r w:rsidRPr="00096C23">
        <w:rPr>
          <w:rFonts w:ascii="Times New Roman" w:hAnsi="Times New Roman" w:cs="Times New Roman"/>
          <w:color w:val="000000" w:themeColor="text1"/>
        </w:rPr>
        <w:t xml:space="preserve"> </w:t>
      </w:r>
    </w:p>
    <w:p w14:paraId="4E938BF9" w14:textId="1DCF8AFA" w:rsidR="00787D21" w:rsidRPr="00610E9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lastRenderedPageBreak/>
        <w:t>European union. Commission Directive (EU) 2018/350 of 8 March 2018 amending directive 2001/18/EC of the</w:t>
      </w:r>
      <w:r w:rsidRPr="00096C23">
        <w:rPr>
          <w:rFonts w:ascii="Times New Roman" w:hAnsi="Times New Roman" w:cs="Times New Roman"/>
          <w:color w:val="000000" w:themeColor="text1"/>
        </w:rPr>
        <w:t xml:space="preserve"> European Parliament and of the council as regards the environmental risk assessment of genetically modified organisms. </w:t>
      </w:r>
      <w:r w:rsidRPr="00096C23">
        <w:rPr>
          <w:rFonts w:ascii="Times New Roman" w:hAnsi="Times New Roman" w:cs="Times New Roman"/>
          <w:i/>
          <w:iCs/>
          <w:color w:val="000000" w:themeColor="text1"/>
        </w:rPr>
        <w:t xml:space="preserve">Official </w:t>
      </w:r>
      <w:r>
        <w:rPr>
          <w:rFonts w:ascii="Times New Roman" w:hAnsi="Times New Roman" w:cs="Times New Roman"/>
          <w:i/>
          <w:iCs/>
          <w:color w:val="000000" w:themeColor="text1"/>
        </w:rPr>
        <w:t>J</w:t>
      </w:r>
      <w:r w:rsidRPr="00096C23">
        <w:rPr>
          <w:rFonts w:ascii="Times New Roman" w:hAnsi="Times New Roman" w:cs="Times New Roman"/>
          <w:i/>
          <w:iCs/>
          <w:color w:val="000000" w:themeColor="text1"/>
        </w:rPr>
        <w:t xml:space="preserve">ournal of the </w:t>
      </w:r>
      <w:r>
        <w:rPr>
          <w:rFonts w:ascii="Times New Roman" w:hAnsi="Times New Roman" w:cs="Times New Roman"/>
          <w:i/>
          <w:iCs/>
          <w:color w:val="000000" w:themeColor="text1"/>
        </w:rPr>
        <w:t>E</w:t>
      </w:r>
      <w:r w:rsidRPr="00096C23">
        <w:rPr>
          <w:rFonts w:ascii="Times New Roman" w:hAnsi="Times New Roman" w:cs="Times New Roman"/>
          <w:i/>
          <w:iCs/>
          <w:color w:val="000000" w:themeColor="text1"/>
        </w:rPr>
        <w:t xml:space="preserve">uropean </w:t>
      </w:r>
      <w:r>
        <w:rPr>
          <w:rFonts w:ascii="Times New Roman" w:hAnsi="Times New Roman" w:cs="Times New Roman"/>
          <w:i/>
          <w:iCs/>
          <w:color w:val="000000" w:themeColor="text1"/>
        </w:rPr>
        <w:t>U</w:t>
      </w:r>
      <w:r w:rsidRPr="00096C23">
        <w:rPr>
          <w:rFonts w:ascii="Times New Roman" w:hAnsi="Times New Roman" w:cs="Times New Roman"/>
          <w:i/>
          <w:iCs/>
          <w:color w:val="000000" w:themeColor="text1"/>
        </w:rPr>
        <w:t xml:space="preserve">nion </w:t>
      </w:r>
      <w:r w:rsidRPr="00096C23">
        <w:rPr>
          <w:rFonts w:ascii="Times New Roman" w:hAnsi="Times New Roman" w:cs="Times New Roman"/>
          <w:color w:val="000000" w:themeColor="text1"/>
        </w:rPr>
        <w:t>(2018).</w:t>
      </w:r>
    </w:p>
    <w:p w14:paraId="432438DC" w14:textId="50FC2122" w:rsidR="00787D21" w:rsidRPr="00610E9F" w:rsidRDefault="00D02305" w:rsidP="00787D21">
      <w:pPr>
        <w:rPr>
          <w:rFonts w:ascii="Times New Roman" w:hAnsi="Times New Roman" w:cs="Times New Roman"/>
        </w:rPr>
      </w:pPr>
      <w:r>
        <w:rPr>
          <w:rFonts w:ascii="Times New Roman" w:hAnsi="Times New Roman" w:cs="Times New Roman"/>
        </w:rPr>
        <w:t>Eu</w:t>
      </w:r>
      <w:r w:rsidR="004B3E45">
        <w:rPr>
          <w:rFonts w:ascii="Times New Roman" w:hAnsi="Times New Roman" w:cs="Times New Roman"/>
        </w:rPr>
        <w:t>rope</w:t>
      </w:r>
      <w:r w:rsidR="00787D21" w:rsidRPr="00096C23">
        <w:rPr>
          <w:rFonts w:ascii="Times New Roman" w:hAnsi="Times New Roman" w:cs="Times New Roman"/>
        </w:rPr>
        <w:t xml:space="preserve">. ISO 14971 Basic concepts – hazard, hazardous </w:t>
      </w:r>
      <w:proofErr w:type="gramStart"/>
      <w:r w:rsidR="00787D21" w:rsidRPr="00096C23">
        <w:rPr>
          <w:rFonts w:ascii="Times New Roman" w:hAnsi="Times New Roman" w:cs="Times New Roman"/>
        </w:rPr>
        <w:t>situation</w:t>
      </w:r>
      <w:proofErr w:type="gramEnd"/>
      <w:r w:rsidR="00787D21" w:rsidRPr="00096C23">
        <w:rPr>
          <w:rFonts w:ascii="Times New Roman" w:hAnsi="Times New Roman" w:cs="Times New Roman"/>
        </w:rPr>
        <w:t xml:space="preserve"> and harm. Available at </w:t>
      </w:r>
      <w:hyperlink r:id="rId37" w:history="1">
        <w:r w:rsidR="00787D21" w:rsidRPr="00096C23">
          <w:rPr>
            <w:rStyle w:val="Hyperlink"/>
            <w:rFonts w:ascii="Times New Roman" w:hAnsi="Times New Roman" w:cs="Times New Roman"/>
          </w:rPr>
          <w:t>https://exeedqm.com/new-blog/iso-14971-basic-concepts-hazard-hazardous-situation-and-harm</w:t>
        </w:r>
      </w:hyperlink>
      <w:r w:rsidR="00787D21" w:rsidRPr="00096C23">
        <w:rPr>
          <w:rFonts w:ascii="Times New Roman" w:hAnsi="Times New Roman" w:cs="Times New Roman"/>
        </w:rPr>
        <w:t>.</w:t>
      </w:r>
    </w:p>
    <w:p w14:paraId="70DFE5C1" w14:textId="634DD6AF" w:rsidR="00F63124" w:rsidRDefault="00F63124" w:rsidP="00787D21">
      <w:pPr>
        <w:rPr>
          <w:rFonts w:ascii="Times New Roman" w:hAnsi="Times New Roman" w:cs="Times New Roman"/>
          <w:color w:val="000000" w:themeColor="text1"/>
          <w:highlight w:val="yellow"/>
        </w:rPr>
      </w:pPr>
      <w:proofErr w:type="spellStart"/>
      <w:r>
        <w:rPr>
          <w:rFonts w:ascii="Times New Roman" w:hAnsi="Times New Roman" w:cs="Times New Roman"/>
          <w:color w:val="000000" w:themeColor="text1"/>
        </w:rPr>
        <w:t>Facch</w:t>
      </w:r>
      <w:r w:rsidR="00076A1A">
        <w:rPr>
          <w:rFonts w:ascii="Times New Roman" w:hAnsi="Times New Roman" w:cs="Times New Roman"/>
          <w:color w:val="000000" w:themeColor="text1"/>
        </w:rPr>
        <w:t>inelli</w:t>
      </w:r>
      <w:proofErr w:type="spellEnd"/>
      <w:r w:rsidR="00076A1A">
        <w:rPr>
          <w:rFonts w:ascii="Times New Roman" w:hAnsi="Times New Roman" w:cs="Times New Roman"/>
          <w:color w:val="000000" w:themeColor="text1"/>
        </w:rPr>
        <w:t xml:space="preserve">, </w:t>
      </w:r>
      <w:r w:rsidR="00E26FE8">
        <w:rPr>
          <w:rFonts w:ascii="Times New Roman" w:hAnsi="Times New Roman" w:cs="Times New Roman"/>
          <w:color w:val="000000" w:themeColor="text1"/>
        </w:rPr>
        <w:t xml:space="preserve">Luca, and others. </w:t>
      </w:r>
      <w:r w:rsidRPr="00F63124">
        <w:rPr>
          <w:rFonts w:ascii="Times New Roman" w:hAnsi="Times New Roman" w:cs="Times New Roman"/>
          <w:color w:val="000000" w:themeColor="text1"/>
        </w:rPr>
        <w:t>Large-cage assessment of a transgenic sex-ratio distortion strain on populations of an African malaria vector</w:t>
      </w:r>
      <w:r w:rsidR="008B15A0">
        <w:rPr>
          <w:rFonts w:ascii="Times New Roman" w:hAnsi="Times New Roman" w:cs="Times New Roman"/>
          <w:color w:val="000000" w:themeColor="text1"/>
        </w:rPr>
        <w:t xml:space="preserve">. </w:t>
      </w:r>
      <w:r w:rsidR="008B15A0">
        <w:rPr>
          <w:rFonts w:ascii="Times New Roman" w:hAnsi="Times New Roman" w:cs="Times New Roman"/>
          <w:i/>
          <w:iCs/>
          <w:color w:val="000000" w:themeColor="text1"/>
        </w:rPr>
        <w:t>Parasites &amp; Vectors</w:t>
      </w:r>
      <w:r w:rsidR="001B2920">
        <w:rPr>
          <w:rFonts w:ascii="Times New Roman" w:hAnsi="Times New Roman" w:cs="Times New Roman"/>
          <w:color w:val="000000" w:themeColor="text1"/>
        </w:rPr>
        <w:t xml:space="preserve">, vol. 12, No. 70 (February 2019). </w:t>
      </w:r>
    </w:p>
    <w:p w14:paraId="56DCD2AA" w14:textId="629B0A1D"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Food and agriculture organization. Integrated pest management. Available at </w:t>
      </w:r>
      <w:hyperlink r:id="rId38">
        <w:r w:rsidRPr="00B73E5F">
          <w:rPr>
            <w:rStyle w:val="Hyperlink"/>
            <w:rFonts w:ascii="Times New Roman" w:hAnsi="Times New Roman" w:cs="Times New Roman"/>
          </w:rPr>
          <w:t>https://www.fao.org/pest-and-pesticide-management/ipm/integrated-pest-management/en/</w:t>
        </w:r>
      </w:hyperlink>
      <w:r w:rsidRPr="00B73E5F">
        <w:rPr>
          <w:rFonts w:ascii="Times New Roman" w:hAnsi="Times New Roman" w:cs="Times New Roman"/>
          <w:color w:val="000000" w:themeColor="text1"/>
        </w:rPr>
        <w:t>.</w:t>
      </w:r>
      <w:r w:rsidR="40CF2C64" w:rsidRPr="00B73E5F">
        <w:rPr>
          <w:rFonts w:ascii="Times New Roman" w:hAnsi="Times New Roman" w:cs="Times New Roman"/>
          <w:color w:val="000000" w:themeColor="text1"/>
        </w:rPr>
        <w:t xml:space="preserve"> (FAO, 2024) </w:t>
      </w:r>
    </w:p>
    <w:p w14:paraId="12313838" w14:textId="1C377AF9" w:rsidR="00787D21" w:rsidRPr="00B73E5F" w:rsidRDefault="00787D21" w:rsidP="00787D21">
      <w:pPr>
        <w:tabs>
          <w:tab w:val="left" w:pos="8029"/>
        </w:tabs>
        <w:rPr>
          <w:rFonts w:ascii="Times New Roman" w:hAnsi="Times New Roman" w:cs="Times New Roman"/>
        </w:rPr>
      </w:pPr>
      <w:r w:rsidRPr="00B73E5F">
        <w:rPr>
          <w:rFonts w:ascii="Times New Roman" w:hAnsi="Times New Roman" w:cs="Times New Roman"/>
        </w:rPr>
        <w:t>Foster, Woodbridge A., and Edward D. Walker. Chapter 15</w:t>
      </w:r>
      <w:r w:rsidR="003C7EFE" w:rsidRPr="00B73E5F">
        <w:rPr>
          <w:rFonts w:ascii="Times New Roman" w:hAnsi="Times New Roman" w:cs="Times New Roman"/>
        </w:rPr>
        <w:t>–</w:t>
      </w:r>
      <w:r w:rsidRPr="00B73E5F">
        <w:rPr>
          <w:rFonts w:ascii="Times New Roman" w:hAnsi="Times New Roman" w:cs="Times New Roman"/>
        </w:rPr>
        <w:t>- Mosquitoes (</w:t>
      </w:r>
      <w:r w:rsidRPr="00B73E5F">
        <w:rPr>
          <w:rFonts w:ascii="Times New Roman" w:hAnsi="Times New Roman" w:cs="Times New Roman"/>
          <w:i/>
          <w:iCs/>
        </w:rPr>
        <w:t>Culicidae</w:t>
      </w:r>
      <w:r w:rsidRPr="00B73E5F">
        <w:rPr>
          <w:rFonts w:ascii="Times New Roman" w:hAnsi="Times New Roman" w:cs="Times New Roman"/>
        </w:rPr>
        <w:t xml:space="preserve">). </w:t>
      </w:r>
      <w:r w:rsidRPr="00B73E5F">
        <w:rPr>
          <w:rFonts w:ascii="Times New Roman" w:hAnsi="Times New Roman" w:cs="Times New Roman"/>
          <w:i/>
          <w:iCs/>
        </w:rPr>
        <w:t xml:space="preserve">In Medical and Veterinary Entomology, </w:t>
      </w:r>
      <w:r w:rsidRPr="00B73E5F">
        <w:rPr>
          <w:rFonts w:ascii="Times New Roman" w:hAnsi="Times New Roman" w:cs="Times New Roman"/>
        </w:rPr>
        <w:t>Mullen, Gary R., and Lance A., eds</w:t>
      </w:r>
      <w:r w:rsidRPr="00B73E5F">
        <w:rPr>
          <w:rFonts w:ascii="Times New Roman" w:hAnsi="Times New Roman" w:cs="Times New Roman"/>
          <w:i/>
          <w:iCs/>
        </w:rPr>
        <w:t xml:space="preserve">. </w:t>
      </w:r>
      <w:r w:rsidRPr="00B73E5F">
        <w:rPr>
          <w:rFonts w:ascii="Times New Roman" w:hAnsi="Times New Roman" w:cs="Times New Roman"/>
        </w:rPr>
        <w:t>Third edition, Durden Academic Press, 2019.</w:t>
      </w:r>
    </w:p>
    <w:p w14:paraId="05468973" w14:textId="4162C7D1"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Foundation for the National Institutes of Health, Hayes, Keith, R., and others. Identifying and detecting potentially adverse ecological outcomes associated with the release of gene-drive modified organisms. </w:t>
      </w:r>
      <w:r w:rsidRPr="00B73E5F">
        <w:rPr>
          <w:rFonts w:ascii="Times New Roman" w:hAnsi="Times New Roman" w:cs="Times New Roman"/>
          <w:i/>
          <w:iCs/>
        </w:rPr>
        <w:t xml:space="preserve">Journal of Responsible Innovation, </w:t>
      </w:r>
      <w:r w:rsidRPr="00B73E5F">
        <w:rPr>
          <w:rFonts w:ascii="Times New Roman" w:hAnsi="Times New Roman" w:cs="Times New Roman"/>
        </w:rPr>
        <w:t>vol. 5, No. 1 (January 2018).</w:t>
      </w:r>
    </w:p>
    <w:p w14:paraId="7CF4B39E" w14:textId="33F138DE" w:rsidR="5E020BFF" w:rsidRPr="00B73E5F" w:rsidRDefault="003F1C01" w:rsidP="009F4BCE">
      <w:pPr>
        <w:pStyle w:val="NoSpacing"/>
        <w:spacing w:after="160" w:line="259" w:lineRule="auto"/>
      </w:pPr>
      <w:r w:rsidRPr="00B73E5F">
        <w:rPr>
          <w:rFonts w:ascii="Times" w:hAnsi="Times" w:cs="Times"/>
          <w:lang w:val="en-GB"/>
        </w:rPr>
        <w:t xml:space="preserve">Franz, </w:t>
      </w:r>
      <w:r w:rsidR="00CC0B8F" w:rsidRPr="00B73E5F">
        <w:rPr>
          <w:rFonts w:ascii="Times" w:hAnsi="Times" w:cs="Times"/>
          <w:lang w:val="en-GB"/>
        </w:rPr>
        <w:t xml:space="preserve">Alexander W. E., </w:t>
      </w:r>
      <w:r w:rsidR="002D7268" w:rsidRPr="00B73E5F">
        <w:rPr>
          <w:rFonts w:ascii="Times" w:hAnsi="Times" w:cs="Times"/>
          <w:lang w:val="en-GB"/>
        </w:rPr>
        <w:t xml:space="preserve">and others. Engineering RNA interference-based resistance to dengue virus type 2 in genetically modified </w:t>
      </w:r>
      <w:r w:rsidR="002D7268" w:rsidRPr="00B73E5F">
        <w:rPr>
          <w:rFonts w:ascii="Times" w:hAnsi="Times" w:cs="Times"/>
          <w:i/>
          <w:iCs/>
          <w:lang w:val="en-GB"/>
        </w:rPr>
        <w:t xml:space="preserve">Aedes aegypti. </w:t>
      </w:r>
      <w:r w:rsidR="0073058E" w:rsidRPr="00B73E5F">
        <w:rPr>
          <w:rFonts w:ascii="Times" w:hAnsi="Times" w:cs="Times"/>
          <w:i/>
          <w:iCs/>
          <w:lang w:val="en-GB"/>
        </w:rPr>
        <w:t>PNAS</w:t>
      </w:r>
      <w:r w:rsidR="0073058E" w:rsidRPr="00B73E5F">
        <w:rPr>
          <w:rFonts w:ascii="Times" w:hAnsi="Times" w:cs="Times"/>
          <w:lang w:val="en-GB"/>
        </w:rPr>
        <w:t>, vol. 103, No. 11 (March 2006)</w:t>
      </w:r>
      <w:r w:rsidR="009F4BCE" w:rsidRPr="00B73E5F">
        <w:rPr>
          <w:rFonts w:ascii="Times" w:hAnsi="Times" w:cs="Times"/>
          <w:lang w:val="en-GB"/>
        </w:rPr>
        <w:t xml:space="preserve">, pp. 4198 – 4203. </w:t>
      </w:r>
    </w:p>
    <w:p w14:paraId="546FD95D" w14:textId="051FC4F8"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Friedman, Robert, M., John M. Marshall, Omar S. Akbari. Gene drives: New and improved. </w:t>
      </w:r>
      <w:r w:rsidRPr="00B73E5F">
        <w:rPr>
          <w:rFonts w:ascii="Times New Roman" w:hAnsi="Times New Roman" w:cs="Times New Roman"/>
          <w:i/>
          <w:iCs/>
        </w:rPr>
        <w:t xml:space="preserve">Issues in Science and Technology, </w:t>
      </w:r>
      <w:r w:rsidRPr="00B73E5F">
        <w:rPr>
          <w:rFonts w:ascii="Times New Roman" w:hAnsi="Times New Roman" w:cs="Times New Roman"/>
        </w:rPr>
        <w:t>vol. 36, No. 2 (2020), pp. 72—78.</w:t>
      </w:r>
    </w:p>
    <w:p w14:paraId="33F5AF36" w14:textId="4591C7F3" w:rsidR="00787D21" w:rsidRPr="00B73E5F" w:rsidRDefault="00787D21" w:rsidP="00787D21">
      <w:pPr>
        <w:rPr>
          <w:rFonts w:ascii="Times New Roman" w:hAnsi="Times New Roman" w:cs="Times New Roman"/>
        </w:rPr>
      </w:pPr>
      <w:proofErr w:type="spellStart"/>
      <w:r w:rsidRPr="00B73E5F">
        <w:rPr>
          <w:rFonts w:ascii="Times New Roman" w:hAnsi="Times New Roman" w:cs="Times New Roman"/>
        </w:rPr>
        <w:t>Frieß</w:t>
      </w:r>
      <w:proofErr w:type="spellEnd"/>
      <w:r w:rsidRPr="00B73E5F">
        <w:rPr>
          <w:rFonts w:ascii="Times New Roman" w:hAnsi="Times New Roman" w:cs="Times New Roman"/>
        </w:rPr>
        <w:t xml:space="preserve">, Johannes L, Arnim von Gleich, and Bernd Giese. Gene drives as a new quality in GMO releases—a comparative technology characterization. </w:t>
      </w:r>
      <w:proofErr w:type="spellStart"/>
      <w:r w:rsidRPr="00B73E5F">
        <w:rPr>
          <w:rFonts w:ascii="Times New Roman" w:hAnsi="Times New Roman" w:cs="Times New Roman"/>
          <w:i/>
          <w:iCs/>
        </w:rPr>
        <w:t>PeerJ</w:t>
      </w:r>
      <w:proofErr w:type="spellEnd"/>
      <w:r w:rsidRPr="00B73E5F">
        <w:rPr>
          <w:rFonts w:ascii="Times New Roman" w:hAnsi="Times New Roman" w:cs="Times New Roman"/>
          <w:i/>
          <w:iCs/>
        </w:rPr>
        <w:t xml:space="preserve">, </w:t>
      </w:r>
      <w:r w:rsidRPr="00B73E5F">
        <w:rPr>
          <w:rFonts w:ascii="Times New Roman" w:hAnsi="Times New Roman" w:cs="Times New Roman"/>
        </w:rPr>
        <w:t>(May 2019).</w:t>
      </w:r>
    </w:p>
    <w:p w14:paraId="4BAD98C8" w14:textId="360A3756" w:rsidR="00787D21" w:rsidRPr="00096C23" w:rsidRDefault="00787D21" w:rsidP="00787D21">
      <w:pPr>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Frieß</w:t>
      </w:r>
      <w:proofErr w:type="spellEnd"/>
      <w:r w:rsidRPr="00B73E5F">
        <w:rPr>
          <w:rFonts w:ascii="Times New Roman" w:hAnsi="Times New Roman" w:cs="Times New Roman"/>
          <w:color w:val="000000" w:themeColor="text1"/>
        </w:rPr>
        <w:t xml:space="preserve">, Johannes L., and others. Review of gene drive modelling and implications for risk assessment of gene drive organisms. </w:t>
      </w:r>
      <w:r w:rsidRPr="00B73E5F">
        <w:rPr>
          <w:rFonts w:ascii="Times New Roman" w:hAnsi="Times New Roman" w:cs="Times New Roman"/>
          <w:i/>
          <w:iCs/>
          <w:color w:val="000000" w:themeColor="text1"/>
        </w:rPr>
        <w:t xml:space="preserve">Ecological Modelling, </w:t>
      </w:r>
      <w:r w:rsidRPr="00B73E5F">
        <w:rPr>
          <w:rFonts w:ascii="Times New Roman" w:hAnsi="Times New Roman" w:cs="Times New Roman"/>
          <w:color w:val="000000" w:themeColor="text1"/>
        </w:rPr>
        <w:t>vol. 478, No. 110285 (April 2023).</w:t>
      </w:r>
    </w:p>
    <w:p w14:paraId="5195B1D4" w14:textId="073F1239" w:rsidR="002418E9" w:rsidRPr="00B73E5F" w:rsidRDefault="00631882" w:rsidP="62021061">
      <w:pPr>
        <w:ind w:left="-20" w:right="-20"/>
        <w:rPr>
          <w:rFonts w:ascii="Times" w:hAnsi="Times" w:cs="Times"/>
        </w:rPr>
      </w:pPr>
      <w:proofErr w:type="spellStart"/>
      <w:r w:rsidRPr="00B73E5F">
        <w:rPr>
          <w:rFonts w:ascii="Times" w:hAnsi="Times" w:cs="Times"/>
        </w:rPr>
        <w:t>Galizi</w:t>
      </w:r>
      <w:proofErr w:type="spellEnd"/>
      <w:r w:rsidRPr="00B73E5F">
        <w:rPr>
          <w:rFonts w:ascii="Times" w:hAnsi="Times" w:cs="Times"/>
        </w:rPr>
        <w:t xml:space="preserve">, Roberto, and others. </w:t>
      </w:r>
      <w:r w:rsidR="002418E9" w:rsidRPr="00B73E5F">
        <w:rPr>
          <w:rFonts w:ascii="Times" w:hAnsi="Times" w:cs="Times"/>
        </w:rPr>
        <w:t xml:space="preserve">A CRISPR-Cas9 sex-ratio distortion system for genetic control. </w:t>
      </w:r>
      <w:r w:rsidR="002418E9" w:rsidRPr="00B73E5F">
        <w:rPr>
          <w:rFonts w:ascii="Times" w:hAnsi="Times" w:cs="Times"/>
          <w:i/>
          <w:iCs/>
        </w:rPr>
        <w:t>Nature</w:t>
      </w:r>
      <w:r w:rsidR="002418E9" w:rsidRPr="00B73E5F">
        <w:rPr>
          <w:rFonts w:ascii="Times" w:hAnsi="Times" w:cs="Times"/>
        </w:rPr>
        <w:t xml:space="preserve">, </w:t>
      </w:r>
      <w:r w:rsidR="00C44CB3" w:rsidRPr="00B73E5F">
        <w:rPr>
          <w:rFonts w:ascii="Times" w:hAnsi="Times" w:cs="Times"/>
        </w:rPr>
        <w:t xml:space="preserve">vol. 6, No. 31139 (August 2016). </w:t>
      </w:r>
    </w:p>
    <w:p w14:paraId="79796703" w14:textId="3ADE9357" w:rsidR="1FE61C7F" w:rsidRPr="00B73E5F" w:rsidRDefault="00DB256A" w:rsidP="62021061">
      <w:pPr>
        <w:ind w:left="-20" w:right="-20"/>
        <w:rPr>
          <w:rFonts w:ascii="Times" w:hAnsi="Times" w:cs="Times"/>
          <w:color w:val="222222"/>
        </w:rPr>
      </w:pPr>
      <w:proofErr w:type="spellStart"/>
      <w:r w:rsidRPr="00B73E5F">
        <w:rPr>
          <w:rFonts w:ascii="Times" w:hAnsi="Times" w:cs="Times"/>
        </w:rPr>
        <w:t>Galizi</w:t>
      </w:r>
      <w:proofErr w:type="spellEnd"/>
      <w:r w:rsidRPr="00B73E5F">
        <w:rPr>
          <w:rFonts w:ascii="Times" w:hAnsi="Times" w:cs="Times"/>
        </w:rPr>
        <w:t>, Roberto, and others.</w:t>
      </w:r>
      <w:r w:rsidR="00293207" w:rsidRPr="00B73E5F">
        <w:rPr>
          <w:rFonts w:ascii="Times" w:hAnsi="Times" w:cs="Times"/>
        </w:rPr>
        <w:t xml:space="preserve"> </w:t>
      </w:r>
      <w:r w:rsidRPr="00B73E5F">
        <w:rPr>
          <w:rFonts w:ascii="Times" w:hAnsi="Times" w:cs="Times"/>
          <w:color w:val="222222"/>
        </w:rPr>
        <w:t>A synthetic sex ratio distortion system for the control of the human malaria mosquito</w:t>
      </w:r>
      <w:r w:rsidR="003011DC" w:rsidRPr="00B73E5F">
        <w:rPr>
          <w:rFonts w:ascii="Times" w:hAnsi="Times" w:cs="Times"/>
          <w:color w:val="222222"/>
        </w:rPr>
        <w:t xml:space="preserve">. </w:t>
      </w:r>
      <w:r w:rsidR="00036766" w:rsidRPr="00B73E5F">
        <w:rPr>
          <w:rFonts w:ascii="Times" w:hAnsi="Times" w:cs="Times"/>
          <w:i/>
          <w:iCs/>
          <w:color w:val="222222"/>
        </w:rPr>
        <w:t xml:space="preserve">Nature, </w:t>
      </w:r>
      <w:r w:rsidR="00036766" w:rsidRPr="00B73E5F">
        <w:rPr>
          <w:rFonts w:ascii="Times" w:hAnsi="Times" w:cs="Times"/>
          <w:color w:val="222222"/>
        </w:rPr>
        <w:t>vol. 5, No. 3977</w:t>
      </w:r>
      <w:r w:rsidR="00460CD4" w:rsidRPr="00B73E5F">
        <w:rPr>
          <w:rFonts w:ascii="Times" w:hAnsi="Times" w:cs="Times"/>
          <w:color w:val="222222"/>
        </w:rPr>
        <w:t xml:space="preserve"> (June 2014). </w:t>
      </w:r>
    </w:p>
    <w:p w14:paraId="3670B934" w14:textId="4583C8B7" w:rsidR="00636B37" w:rsidRPr="00B73E5F" w:rsidRDefault="00CF57DC" w:rsidP="00636B37">
      <w:pPr>
        <w:ind w:left="-20" w:right="-20"/>
        <w:rPr>
          <w:rFonts w:ascii="Times" w:hAnsi="Times" w:cs="Times"/>
          <w:color w:val="222222"/>
        </w:rPr>
      </w:pPr>
      <w:r w:rsidRPr="00B73E5F">
        <w:rPr>
          <w:rFonts w:ascii="Times" w:hAnsi="Times" w:cs="Times"/>
          <w:color w:val="222222"/>
        </w:rPr>
        <w:t xml:space="preserve">Fulton, Elizabeth A. </w:t>
      </w:r>
      <w:r w:rsidR="00636B37" w:rsidRPr="00B73E5F">
        <w:rPr>
          <w:rStyle w:val="title-text"/>
          <w:rFonts w:ascii="Times" w:hAnsi="Times" w:cs="Times"/>
          <w:color w:val="1F1F1F"/>
        </w:rPr>
        <w:t>Approaches to end-to-end ecosystem models</w:t>
      </w:r>
      <w:r w:rsidR="00DF6B18" w:rsidRPr="00B73E5F">
        <w:rPr>
          <w:rStyle w:val="title-text"/>
          <w:rFonts w:ascii="Times" w:hAnsi="Times" w:cs="Times"/>
          <w:color w:val="1F1F1F"/>
        </w:rPr>
        <w:t xml:space="preserve">. </w:t>
      </w:r>
      <w:r w:rsidR="00304BCA" w:rsidRPr="00B73E5F">
        <w:rPr>
          <w:rStyle w:val="title-text"/>
          <w:rFonts w:ascii="Times" w:hAnsi="Times" w:cs="Times"/>
          <w:i/>
          <w:iCs/>
          <w:color w:val="1F1F1F"/>
        </w:rPr>
        <w:t>Journal of Marine Systems</w:t>
      </w:r>
      <w:r w:rsidR="00E80042" w:rsidRPr="00B73E5F">
        <w:rPr>
          <w:rStyle w:val="title-text"/>
          <w:rFonts w:ascii="Times" w:hAnsi="Times" w:cs="Times"/>
          <w:color w:val="1F1F1F"/>
        </w:rPr>
        <w:t xml:space="preserve">, vol. 81, No. 1-2 (April 2010), pp. 171 – 183. </w:t>
      </w:r>
    </w:p>
    <w:p w14:paraId="45D0C24F" w14:textId="60CD846D"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Gantz, Valentino M., and others. Highly efficient Cas9-mediated gene drive for population modification of the malaria vector mosquito </w:t>
      </w:r>
      <w:r w:rsidRPr="00B73E5F">
        <w:rPr>
          <w:rFonts w:ascii="Times New Roman" w:hAnsi="Times New Roman" w:cs="Times New Roman"/>
          <w:i/>
          <w:iCs/>
        </w:rPr>
        <w:t xml:space="preserve">Anopheles </w:t>
      </w:r>
      <w:proofErr w:type="spellStart"/>
      <w:r w:rsidRPr="00B73E5F">
        <w:rPr>
          <w:rFonts w:ascii="Times New Roman" w:hAnsi="Times New Roman" w:cs="Times New Roman"/>
          <w:i/>
          <w:iCs/>
        </w:rPr>
        <w:t>stephensi</w:t>
      </w:r>
      <w:proofErr w:type="spellEnd"/>
      <w:r w:rsidRPr="00B73E5F">
        <w:rPr>
          <w:rFonts w:ascii="Times New Roman" w:hAnsi="Times New Roman" w:cs="Times New Roman"/>
          <w:i/>
          <w:iCs/>
        </w:rPr>
        <w:t>. PNAS,</w:t>
      </w:r>
      <w:r w:rsidRPr="00B73E5F">
        <w:rPr>
          <w:rFonts w:ascii="Times New Roman" w:hAnsi="Times New Roman" w:cs="Times New Roman"/>
        </w:rPr>
        <w:t xml:space="preserve"> vol. 112, No. 49 (November 2015).</w:t>
      </w:r>
    </w:p>
    <w:p w14:paraId="4BF6FAD2" w14:textId="666EE512" w:rsidR="00787D21" w:rsidRPr="00096C23" w:rsidRDefault="00787D21" w:rsidP="00787D21">
      <w:pPr>
        <w:rPr>
          <w:rFonts w:ascii="Times New Roman" w:hAnsi="Times New Roman" w:cs="Times New Roman"/>
        </w:rPr>
      </w:pPr>
      <w:r w:rsidRPr="00B73E5F">
        <w:rPr>
          <w:rFonts w:ascii="Times New Roman" w:hAnsi="Times New Roman" w:cs="Times New Roman"/>
        </w:rPr>
        <w:t xml:space="preserve">Garcia-Alonso, Monica, and Alan Raybould. Protection goals in environmental risk assessment: A practical approach. </w:t>
      </w:r>
      <w:r w:rsidRPr="00B73E5F">
        <w:rPr>
          <w:rFonts w:ascii="Times New Roman" w:hAnsi="Times New Roman" w:cs="Times New Roman"/>
          <w:i/>
          <w:iCs/>
        </w:rPr>
        <w:t xml:space="preserve">Transgenic research. </w:t>
      </w:r>
      <w:r w:rsidRPr="00B73E5F">
        <w:rPr>
          <w:rFonts w:ascii="Times New Roman" w:hAnsi="Times New Roman" w:cs="Times New Roman"/>
        </w:rPr>
        <w:t>Vol. 23 (</w:t>
      </w:r>
      <w:r w:rsidR="62AAE114" w:rsidRPr="00B73E5F">
        <w:rPr>
          <w:rFonts w:ascii="Times New Roman" w:hAnsi="Times New Roman" w:cs="Times New Roman"/>
        </w:rPr>
        <w:t>D</w:t>
      </w:r>
      <w:r w:rsidR="00D642D3" w:rsidRPr="00B73E5F">
        <w:rPr>
          <w:rFonts w:ascii="Times New Roman" w:hAnsi="Times New Roman" w:cs="Times New Roman"/>
        </w:rPr>
        <w:t>e</w:t>
      </w:r>
      <w:r w:rsidR="62AAE114" w:rsidRPr="00B73E5F">
        <w:rPr>
          <w:rFonts w:ascii="Times New Roman" w:hAnsi="Times New Roman" w:cs="Times New Roman"/>
        </w:rPr>
        <w:t xml:space="preserve">cember </w:t>
      </w:r>
      <w:r w:rsidRPr="00B73E5F">
        <w:rPr>
          <w:rFonts w:ascii="Times New Roman" w:hAnsi="Times New Roman" w:cs="Times New Roman"/>
        </w:rPr>
        <w:t>201</w:t>
      </w:r>
      <w:r w:rsidR="751AE3DC" w:rsidRPr="00B73E5F">
        <w:rPr>
          <w:rFonts w:ascii="Times New Roman" w:hAnsi="Times New Roman" w:cs="Times New Roman"/>
        </w:rPr>
        <w:t>4</w:t>
      </w:r>
      <w:r w:rsidRPr="00B73E5F">
        <w:rPr>
          <w:rFonts w:ascii="Times New Roman" w:hAnsi="Times New Roman" w:cs="Times New Roman"/>
        </w:rPr>
        <w:t>), pp. 945—956.</w:t>
      </w:r>
    </w:p>
    <w:p w14:paraId="63B9BA92" w14:textId="79EFD2D6" w:rsidR="00787D21" w:rsidRPr="00B73E5F" w:rsidRDefault="00787D21" w:rsidP="00787D21">
      <w:pPr>
        <w:rPr>
          <w:rFonts w:ascii="Times New Roman" w:hAnsi="Times New Roman" w:cs="Times New Roman"/>
        </w:rPr>
      </w:pPr>
      <w:r w:rsidRPr="00B73E5F">
        <w:rPr>
          <w:rFonts w:ascii="Times New Roman" w:hAnsi="Times New Roman" w:cs="Times New Roman"/>
        </w:rPr>
        <w:t>Geci, René, Katie Willis, and Austin Burt. Gene drive designs for efficient and localisable population suppression using Y-linked editors.</w:t>
      </w:r>
      <w:r w:rsidRPr="00B73E5F">
        <w:rPr>
          <w:rFonts w:ascii="Times New Roman" w:hAnsi="Times New Roman" w:cs="Times New Roman"/>
          <w:i/>
          <w:iCs/>
        </w:rPr>
        <w:t xml:space="preserve"> PLOS genetics</w:t>
      </w:r>
      <w:r w:rsidRPr="00B73E5F">
        <w:rPr>
          <w:rFonts w:ascii="Times New Roman" w:hAnsi="Times New Roman" w:cs="Times New Roman"/>
        </w:rPr>
        <w:t>, vol. 18, No. 12 (December 2022).</w:t>
      </w:r>
    </w:p>
    <w:p w14:paraId="548F2BBB" w14:textId="3B47795A" w:rsidR="00787D21" w:rsidRPr="00096C23" w:rsidRDefault="00787D21" w:rsidP="00787D21">
      <w:pPr>
        <w:rPr>
          <w:rFonts w:ascii="Times New Roman" w:hAnsi="Times New Roman" w:cs="Times New Roman"/>
        </w:rPr>
      </w:pPr>
      <w:r w:rsidRPr="00B73E5F">
        <w:rPr>
          <w:rFonts w:ascii="Times New Roman" w:hAnsi="Times New Roman" w:cs="Times New Roman"/>
        </w:rPr>
        <w:t xml:space="preserve">Giese, Bernd, and others. Gene drives: Dynamics and regulatory matters—a report from the workshop “evaluation of spatial and temporal control of gene drives,” April 4–5, 2019, Vienna. </w:t>
      </w:r>
      <w:proofErr w:type="spellStart"/>
      <w:r w:rsidRPr="00B73E5F">
        <w:rPr>
          <w:rFonts w:ascii="Times New Roman" w:hAnsi="Times New Roman" w:cs="Times New Roman"/>
          <w:i/>
          <w:iCs/>
        </w:rPr>
        <w:t>BioEssays</w:t>
      </w:r>
      <w:proofErr w:type="spellEnd"/>
      <w:r w:rsidRPr="00B73E5F">
        <w:rPr>
          <w:rFonts w:ascii="Times New Roman" w:hAnsi="Times New Roman" w:cs="Times New Roman"/>
          <w:i/>
          <w:iCs/>
        </w:rPr>
        <w:t xml:space="preserve">, </w:t>
      </w:r>
      <w:r w:rsidRPr="00B73E5F">
        <w:rPr>
          <w:rFonts w:ascii="Times New Roman" w:hAnsi="Times New Roman" w:cs="Times New Roman"/>
        </w:rPr>
        <w:t>vol. 41, No. 11 (October 2019).</w:t>
      </w:r>
    </w:p>
    <w:p w14:paraId="6B31324F" w14:textId="1EBA3D0B" w:rsidR="000153BA" w:rsidRPr="00B73E5F" w:rsidRDefault="000D177F" w:rsidP="000153BA">
      <w:pPr>
        <w:rPr>
          <w:rFonts w:ascii="Times" w:hAnsi="Times" w:cs="Times"/>
        </w:rPr>
      </w:pPr>
      <w:r w:rsidRPr="00B73E5F">
        <w:rPr>
          <w:rFonts w:ascii="Times" w:hAnsi="Times" w:cs="Times"/>
        </w:rPr>
        <w:lastRenderedPageBreak/>
        <w:t xml:space="preserve">Girardin, Léo, Vincent Calvez, and Florence </w:t>
      </w:r>
      <w:proofErr w:type="spellStart"/>
      <w:r w:rsidRPr="00B73E5F">
        <w:rPr>
          <w:rFonts w:ascii="Times" w:hAnsi="Times" w:cs="Times"/>
        </w:rPr>
        <w:t>Débarre</w:t>
      </w:r>
      <w:proofErr w:type="spellEnd"/>
      <w:r w:rsidRPr="00B73E5F">
        <w:rPr>
          <w:rFonts w:ascii="Times" w:hAnsi="Times" w:cs="Times"/>
        </w:rPr>
        <w:t xml:space="preserve">. </w:t>
      </w:r>
      <w:r w:rsidR="00A23960" w:rsidRPr="00B73E5F">
        <w:rPr>
          <w:rFonts w:ascii="Times" w:hAnsi="Times" w:cs="Times"/>
        </w:rPr>
        <w:t>Catch me if you can: A spatial model for a brake-driven gene drive reversal.</w:t>
      </w:r>
      <w:r w:rsidR="000153BA" w:rsidRPr="00B73E5F">
        <w:rPr>
          <w:rFonts w:ascii="Times" w:hAnsi="Times" w:cs="Times"/>
        </w:rPr>
        <w:t xml:space="preserve"> </w:t>
      </w:r>
      <w:r w:rsidR="000153BA" w:rsidRPr="00B73E5F">
        <w:rPr>
          <w:rFonts w:ascii="Times" w:hAnsi="Times" w:cs="Times"/>
          <w:i/>
          <w:iCs/>
        </w:rPr>
        <w:t xml:space="preserve">Bulletin of </w:t>
      </w:r>
      <w:proofErr w:type="spellStart"/>
      <w:r w:rsidR="000153BA" w:rsidRPr="00B73E5F">
        <w:rPr>
          <w:rFonts w:ascii="Times" w:hAnsi="Times" w:cs="Times"/>
          <w:i/>
          <w:iCs/>
        </w:rPr>
        <w:t>Mathetical</w:t>
      </w:r>
      <w:proofErr w:type="spellEnd"/>
      <w:r w:rsidR="000153BA" w:rsidRPr="00B73E5F">
        <w:rPr>
          <w:rFonts w:ascii="Times" w:hAnsi="Times" w:cs="Times"/>
          <w:i/>
          <w:iCs/>
        </w:rPr>
        <w:t xml:space="preserve"> Biology</w:t>
      </w:r>
      <w:r w:rsidR="00C15F5C" w:rsidRPr="00B73E5F">
        <w:rPr>
          <w:rFonts w:ascii="Times" w:hAnsi="Times" w:cs="Times"/>
          <w:i/>
          <w:iCs/>
        </w:rPr>
        <w:t xml:space="preserve">, </w:t>
      </w:r>
      <w:r w:rsidR="00C15F5C" w:rsidRPr="00B73E5F">
        <w:rPr>
          <w:rFonts w:ascii="Times" w:hAnsi="Times" w:cs="Times"/>
        </w:rPr>
        <w:t>vol. 81 (October 2019), pp. 5054</w:t>
      </w:r>
      <w:r w:rsidR="00573330" w:rsidRPr="00B73E5F">
        <w:rPr>
          <w:rFonts w:ascii="Times" w:hAnsi="Times" w:cs="Times"/>
        </w:rPr>
        <w:t xml:space="preserve"> – 5088. </w:t>
      </w:r>
    </w:p>
    <w:p w14:paraId="0C19ED95" w14:textId="71DD61E2" w:rsidR="00787D21" w:rsidRPr="00B73E5F" w:rsidRDefault="00787D21" w:rsidP="00787D21">
      <w:pPr>
        <w:rPr>
          <w:rFonts w:ascii="Times New Roman" w:hAnsi="Times New Roman" w:cs="Times New Roman"/>
        </w:rPr>
      </w:pPr>
      <w:proofErr w:type="spellStart"/>
      <w:r w:rsidRPr="00B73E5F">
        <w:rPr>
          <w:rFonts w:ascii="Times New Roman" w:hAnsi="Times New Roman" w:cs="Times New Roman"/>
        </w:rPr>
        <w:t>Giunti</w:t>
      </w:r>
      <w:proofErr w:type="spellEnd"/>
      <w:r w:rsidRPr="00B73E5F">
        <w:rPr>
          <w:rFonts w:ascii="Times New Roman" w:hAnsi="Times New Roman" w:cs="Times New Roman"/>
        </w:rPr>
        <w:t xml:space="preserve">, Giulia, and others. What do we know about the invasive mosquitoes </w:t>
      </w:r>
      <w:r w:rsidRPr="00B73E5F">
        <w:rPr>
          <w:rFonts w:ascii="Times New Roman" w:hAnsi="Times New Roman" w:cs="Times New Roman"/>
          <w:i/>
          <w:iCs/>
        </w:rPr>
        <w:t xml:space="preserve">Aedes </w:t>
      </w:r>
      <w:proofErr w:type="spellStart"/>
      <w:r w:rsidR="00B73E5F">
        <w:rPr>
          <w:rFonts w:ascii="Times New Roman" w:hAnsi="Times New Roman" w:cs="Times New Roman"/>
          <w:i/>
          <w:iCs/>
        </w:rPr>
        <w:t>a</w:t>
      </w:r>
      <w:r w:rsidRPr="00B73E5F">
        <w:rPr>
          <w:rFonts w:ascii="Times New Roman" w:hAnsi="Times New Roman" w:cs="Times New Roman"/>
          <w:i/>
          <w:iCs/>
        </w:rPr>
        <w:t>tropalpus</w:t>
      </w:r>
      <w:proofErr w:type="spellEnd"/>
      <w:r w:rsidRPr="00B73E5F">
        <w:rPr>
          <w:rFonts w:ascii="Times New Roman" w:hAnsi="Times New Roman" w:cs="Times New Roman"/>
        </w:rPr>
        <w:t xml:space="preserve"> and </w:t>
      </w:r>
      <w:r w:rsidRPr="00B73E5F">
        <w:rPr>
          <w:rFonts w:ascii="Times New Roman" w:hAnsi="Times New Roman" w:cs="Times New Roman"/>
          <w:i/>
          <w:iCs/>
        </w:rPr>
        <w:t xml:space="preserve">Aedes </w:t>
      </w:r>
      <w:proofErr w:type="spellStart"/>
      <w:r w:rsidR="00B73E5F">
        <w:rPr>
          <w:rFonts w:ascii="Times New Roman" w:hAnsi="Times New Roman" w:cs="Times New Roman"/>
          <w:i/>
          <w:iCs/>
        </w:rPr>
        <w:t>t</w:t>
      </w:r>
      <w:r w:rsidRPr="00B73E5F">
        <w:rPr>
          <w:rFonts w:ascii="Times New Roman" w:hAnsi="Times New Roman" w:cs="Times New Roman"/>
          <w:i/>
          <w:iCs/>
        </w:rPr>
        <w:t>riseriatus</w:t>
      </w:r>
      <w:proofErr w:type="spellEnd"/>
      <w:r w:rsidRPr="00B73E5F">
        <w:rPr>
          <w:rFonts w:ascii="Times New Roman" w:hAnsi="Times New Roman" w:cs="Times New Roman"/>
        </w:rPr>
        <w:t xml:space="preserve">? </w:t>
      </w:r>
      <w:r w:rsidRPr="00B73E5F">
        <w:rPr>
          <w:rFonts w:ascii="Times New Roman" w:hAnsi="Times New Roman" w:cs="Times New Roman"/>
          <w:i/>
          <w:iCs/>
        </w:rPr>
        <w:t>Current Tropical Medicine Reports</w:t>
      </w:r>
      <w:r w:rsidRPr="00B73E5F">
        <w:rPr>
          <w:rFonts w:ascii="Times New Roman" w:hAnsi="Times New Roman" w:cs="Times New Roman"/>
        </w:rPr>
        <w:t>, vol. 10, (February 2023), pp. 41—46.</w:t>
      </w:r>
    </w:p>
    <w:p w14:paraId="21022E92" w14:textId="1511797E" w:rsidR="00787D21" w:rsidRPr="00B73E5F" w:rsidRDefault="00787D21" w:rsidP="00787D21">
      <w:pPr>
        <w:rPr>
          <w:rFonts w:ascii="Times New Roman" w:hAnsi="Times New Roman" w:cs="Times New Roman"/>
        </w:rPr>
      </w:pPr>
      <w:r w:rsidRPr="00B73E5F">
        <w:rPr>
          <w:rFonts w:ascii="Times New Roman" w:hAnsi="Times New Roman" w:cs="Times New Roman"/>
        </w:rPr>
        <w:t>Golnar, Andrew, J., and others. Embracing dynamic models for gene drive management.</w:t>
      </w:r>
      <w:r w:rsidRPr="00B73E5F">
        <w:rPr>
          <w:rFonts w:ascii="Times New Roman" w:hAnsi="Times New Roman" w:cs="Times New Roman"/>
          <w:i/>
          <w:iCs/>
        </w:rPr>
        <w:t xml:space="preserve"> Trends in Biotechnology</w:t>
      </w:r>
      <w:r w:rsidRPr="00B73E5F">
        <w:rPr>
          <w:rFonts w:ascii="Times New Roman" w:hAnsi="Times New Roman" w:cs="Times New Roman"/>
        </w:rPr>
        <w:t>, vol. 39, No. 3 (March 2021), pp. 211—214.</w:t>
      </w:r>
    </w:p>
    <w:p w14:paraId="721DB292" w14:textId="56420706"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Gould, Fred, and others. A killer–rescue system for self-limiting gene drive of anti-pathogen constructs. </w:t>
      </w:r>
      <w:r w:rsidRPr="00B73E5F">
        <w:rPr>
          <w:rFonts w:ascii="Times New Roman" w:hAnsi="Times New Roman" w:cs="Times New Roman"/>
          <w:i/>
          <w:iCs/>
        </w:rPr>
        <w:t>Proceedings of the Royal Society B</w:t>
      </w:r>
      <w:r w:rsidRPr="00B73E5F">
        <w:rPr>
          <w:rFonts w:ascii="Times New Roman" w:hAnsi="Times New Roman" w:cs="Times New Roman"/>
        </w:rPr>
        <w:t>, vol. 275, No. 1653, (December 2008).</w:t>
      </w:r>
    </w:p>
    <w:p w14:paraId="4A28F1D2" w14:textId="2015A20B" w:rsidR="00787D21" w:rsidRPr="00B73E5F" w:rsidRDefault="00787D21" w:rsidP="00787D21">
      <w:pPr>
        <w:rPr>
          <w:rFonts w:ascii="Times" w:hAnsi="Times" w:cs="Times"/>
        </w:rPr>
      </w:pPr>
      <w:r w:rsidRPr="00B73E5F">
        <w:rPr>
          <w:rFonts w:ascii="Times New Roman" w:hAnsi="Times New Roman" w:cs="Times New Roman"/>
        </w:rPr>
        <w:t xml:space="preserve">Gregor, K.M., and others. Rift Valley fever virus detection in susceptible hosts with special emphasis </w:t>
      </w:r>
      <w:r w:rsidRPr="00B73E5F">
        <w:rPr>
          <w:rFonts w:ascii="Times" w:hAnsi="Times" w:cs="Times"/>
        </w:rPr>
        <w:t xml:space="preserve">in insects. </w:t>
      </w:r>
      <w:r w:rsidRPr="00B73E5F">
        <w:rPr>
          <w:rFonts w:ascii="Times" w:hAnsi="Times" w:cs="Times"/>
          <w:i/>
          <w:iCs/>
        </w:rPr>
        <w:t>Scientific reports,</w:t>
      </w:r>
      <w:r w:rsidRPr="00B73E5F">
        <w:rPr>
          <w:rFonts w:ascii="Times" w:hAnsi="Times" w:cs="Times"/>
        </w:rPr>
        <w:t xml:space="preserve"> vol. 11, No. 9822 (May 2021).</w:t>
      </w:r>
    </w:p>
    <w:p w14:paraId="34385A96" w14:textId="1D60A883" w:rsidR="00432D05" w:rsidRDefault="16656B05" w:rsidP="00AC1F31">
      <w:pPr>
        <w:rPr>
          <w:rFonts w:ascii="Times" w:eastAsia="Segoe UI" w:hAnsi="Times" w:cs="Times"/>
          <w:color w:val="333132"/>
        </w:rPr>
      </w:pPr>
      <w:r w:rsidRPr="00B73E5F">
        <w:rPr>
          <w:rFonts w:ascii="Times" w:eastAsia="Segoe UI" w:hAnsi="Times" w:cs="Times"/>
          <w:color w:val="333132"/>
        </w:rPr>
        <w:t>Guichard</w:t>
      </w:r>
      <w:r w:rsidR="00432D05" w:rsidRPr="00B73E5F">
        <w:rPr>
          <w:rFonts w:ascii="Times" w:eastAsia="Segoe UI" w:hAnsi="Times" w:cs="Times"/>
          <w:color w:val="333132"/>
        </w:rPr>
        <w:t xml:space="preserve">, </w:t>
      </w:r>
      <w:r w:rsidRPr="00B73E5F">
        <w:rPr>
          <w:rFonts w:ascii="Times" w:eastAsia="Segoe UI" w:hAnsi="Times" w:cs="Times"/>
          <w:color w:val="333132"/>
        </w:rPr>
        <w:t>A</w:t>
      </w:r>
      <w:r w:rsidR="00432D05" w:rsidRPr="00B73E5F">
        <w:rPr>
          <w:rFonts w:ascii="Times" w:eastAsia="Segoe UI" w:hAnsi="Times" w:cs="Times"/>
          <w:color w:val="333132"/>
        </w:rPr>
        <w:t xml:space="preserve">nnabel, and others. </w:t>
      </w:r>
      <w:r w:rsidRPr="00B73E5F">
        <w:rPr>
          <w:rFonts w:ascii="Times" w:eastAsia="Segoe UI" w:hAnsi="Times" w:cs="Times"/>
          <w:color w:val="333132"/>
        </w:rPr>
        <w:t xml:space="preserve">Efficient </w:t>
      </w:r>
      <w:proofErr w:type="gramStart"/>
      <w:r w:rsidRPr="00B73E5F">
        <w:rPr>
          <w:rFonts w:ascii="Times" w:eastAsia="Segoe UI" w:hAnsi="Times" w:cs="Times"/>
          <w:color w:val="333132"/>
        </w:rPr>
        <w:t>allelic-drive</w:t>
      </w:r>
      <w:proofErr w:type="gramEnd"/>
      <w:r w:rsidRPr="00B73E5F">
        <w:rPr>
          <w:rFonts w:ascii="Times" w:eastAsia="Segoe UI" w:hAnsi="Times" w:cs="Times"/>
          <w:color w:val="333132"/>
        </w:rPr>
        <w:t xml:space="preserve"> in </w:t>
      </w:r>
      <w:r w:rsidRPr="00B73E5F">
        <w:rPr>
          <w:rFonts w:ascii="Times" w:eastAsia="Segoe UI" w:hAnsi="Times" w:cs="Times"/>
          <w:i/>
          <w:iCs/>
          <w:color w:val="333132"/>
        </w:rPr>
        <w:t>Drosophila</w:t>
      </w:r>
      <w:r w:rsidRPr="00B73E5F">
        <w:rPr>
          <w:rFonts w:ascii="Times" w:eastAsia="Segoe UI" w:hAnsi="Times" w:cs="Times"/>
          <w:color w:val="333132"/>
        </w:rPr>
        <w:t xml:space="preserve">. </w:t>
      </w:r>
      <w:r w:rsidRPr="00B73E5F">
        <w:rPr>
          <w:rFonts w:ascii="Times" w:eastAsia="Segoe UI" w:hAnsi="Times" w:cs="Times"/>
          <w:i/>
          <w:iCs/>
          <w:color w:val="333132"/>
        </w:rPr>
        <w:t xml:space="preserve">Nat. </w:t>
      </w:r>
      <w:proofErr w:type="spellStart"/>
      <w:r w:rsidRPr="00B73E5F">
        <w:rPr>
          <w:rFonts w:ascii="Times" w:eastAsia="Segoe UI" w:hAnsi="Times" w:cs="Times"/>
          <w:i/>
          <w:iCs/>
          <w:color w:val="333132"/>
        </w:rPr>
        <w:t>Commun</w:t>
      </w:r>
      <w:proofErr w:type="spellEnd"/>
      <w:r w:rsidRPr="00B73E5F">
        <w:rPr>
          <w:rFonts w:ascii="Times" w:eastAsia="Segoe UI" w:hAnsi="Times" w:cs="Times"/>
          <w:i/>
          <w:iCs/>
          <w:color w:val="333132"/>
        </w:rPr>
        <w:t>.</w:t>
      </w:r>
      <w:r w:rsidR="00432D05" w:rsidRPr="00B73E5F">
        <w:rPr>
          <w:rFonts w:ascii="Times" w:eastAsia="Segoe UI" w:hAnsi="Times" w:cs="Times"/>
          <w:i/>
          <w:iCs/>
          <w:color w:val="333132"/>
        </w:rPr>
        <w:t xml:space="preserve">, </w:t>
      </w:r>
      <w:r w:rsidR="00432D05" w:rsidRPr="00B73E5F">
        <w:rPr>
          <w:rFonts w:ascii="Times" w:eastAsia="Segoe UI" w:hAnsi="Times" w:cs="Times"/>
          <w:color w:val="333132"/>
        </w:rPr>
        <w:t>vol. 10, No. 1</w:t>
      </w:r>
      <w:r w:rsidRPr="00B73E5F">
        <w:rPr>
          <w:rFonts w:ascii="Times" w:eastAsia="Segoe UI" w:hAnsi="Times" w:cs="Times"/>
          <w:color w:val="333132"/>
        </w:rPr>
        <w:t>640</w:t>
      </w:r>
      <w:r w:rsidR="00432D05" w:rsidRPr="00B73E5F">
        <w:rPr>
          <w:rFonts w:ascii="Times" w:eastAsia="Segoe UI" w:hAnsi="Times" w:cs="Times"/>
          <w:color w:val="333132"/>
        </w:rPr>
        <w:t xml:space="preserve"> (April 2019).</w:t>
      </w:r>
    </w:p>
    <w:p w14:paraId="5E9E231B" w14:textId="17DD0221" w:rsidR="00EE37C6" w:rsidRPr="00B73E5F" w:rsidRDefault="009D5AF9" w:rsidP="00AC1F31">
      <w:pPr>
        <w:rPr>
          <w:rFonts w:ascii="Times" w:eastAsia="Segoe UI" w:hAnsi="Times" w:cs="Times"/>
          <w:color w:val="333132"/>
        </w:rPr>
      </w:pPr>
      <w:r w:rsidRPr="00B73E5F">
        <w:rPr>
          <w:rFonts w:ascii="Times" w:eastAsia="Segoe UI" w:hAnsi="Times" w:cs="Times"/>
          <w:color w:val="333132"/>
        </w:rPr>
        <w:t xml:space="preserve">Guo, </w:t>
      </w:r>
      <w:r w:rsidR="00897329" w:rsidRPr="00B73E5F">
        <w:rPr>
          <w:rFonts w:ascii="Times" w:eastAsia="Segoe UI" w:hAnsi="Times" w:cs="Times"/>
          <w:color w:val="333132"/>
        </w:rPr>
        <w:t xml:space="preserve">Ya, and others. </w:t>
      </w:r>
      <w:r w:rsidR="00EE37C6" w:rsidRPr="00B73E5F">
        <w:rPr>
          <w:rFonts w:ascii="Times" w:eastAsia="Segoe UI" w:hAnsi="Times" w:cs="Times"/>
          <w:color w:val="333132"/>
        </w:rPr>
        <w:t>Aphid viruses: A brief view of a long history</w:t>
      </w:r>
      <w:r w:rsidR="001C303D" w:rsidRPr="00B73E5F">
        <w:rPr>
          <w:rFonts w:ascii="Times" w:eastAsia="Segoe UI" w:hAnsi="Times" w:cs="Times"/>
          <w:color w:val="333132"/>
        </w:rPr>
        <w:t xml:space="preserve">. </w:t>
      </w:r>
      <w:r w:rsidR="001C303D" w:rsidRPr="00B73E5F">
        <w:rPr>
          <w:rFonts w:ascii="Times" w:eastAsia="Segoe UI" w:hAnsi="Times" w:cs="Times"/>
          <w:i/>
          <w:iCs/>
          <w:color w:val="333132"/>
        </w:rPr>
        <w:t xml:space="preserve">Front. Insect Sci., </w:t>
      </w:r>
      <w:r w:rsidR="001C303D" w:rsidRPr="00B73E5F">
        <w:rPr>
          <w:rFonts w:ascii="Times" w:eastAsia="Segoe UI" w:hAnsi="Times" w:cs="Times"/>
          <w:color w:val="333132"/>
        </w:rPr>
        <w:t xml:space="preserve">vol. </w:t>
      </w:r>
      <w:r w:rsidR="0095007F" w:rsidRPr="00B73E5F">
        <w:rPr>
          <w:rFonts w:ascii="Times" w:eastAsia="Segoe UI" w:hAnsi="Times" w:cs="Times"/>
          <w:color w:val="333132"/>
        </w:rPr>
        <w:t xml:space="preserve">2 (February 2022). </w:t>
      </w:r>
    </w:p>
    <w:p w14:paraId="229FDAD7" w14:textId="7104218A"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Haddow, A. J., and others. Twelve isolations of Zika virus from </w:t>
      </w:r>
      <w:r w:rsidRPr="00B73E5F">
        <w:rPr>
          <w:rFonts w:ascii="Times New Roman" w:hAnsi="Times New Roman" w:cs="Times New Roman"/>
          <w:i/>
          <w:iCs/>
        </w:rPr>
        <w:t>Aedes (</w:t>
      </w:r>
      <w:proofErr w:type="spellStart"/>
      <w:r w:rsidRPr="00B73E5F">
        <w:rPr>
          <w:rFonts w:ascii="Times New Roman" w:hAnsi="Times New Roman" w:cs="Times New Roman"/>
          <w:i/>
          <w:iCs/>
        </w:rPr>
        <w:t>Stegomyia</w:t>
      </w:r>
      <w:proofErr w:type="spellEnd"/>
      <w:r w:rsidRPr="00B73E5F">
        <w:rPr>
          <w:rFonts w:ascii="Times New Roman" w:hAnsi="Times New Roman" w:cs="Times New Roman"/>
          <w:i/>
          <w:iCs/>
        </w:rPr>
        <w:t>)</w:t>
      </w:r>
      <w:r w:rsidRPr="00B73E5F">
        <w:rPr>
          <w:rFonts w:ascii="Times New Roman" w:hAnsi="Times New Roman" w:cs="Times New Roman"/>
        </w:rPr>
        <w:t xml:space="preserve"> </w:t>
      </w:r>
      <w:r w:rsidRPr="00B73E5F">
        <w:rPr>
          <w:rFonts w:ascii="Times New Roman" w:hAnsi="Times New Roman" w:cs="Times New Roman"/>
          <w:i/>
          <w:iCs/>
        </w:rPr>
        <w:t>africanus (Theobald)</w:t>
      </w:r>
      <w:r w:rsidRPr="00B73E5F">
        <w:rPr>
          <w:rFonts w:ascii="Times New Roman" w:hAnsi="Times New Roman" w:cs="Times New Roman"/>
        </w:rPr>
        <w:t xml:space="preserve"> taken in and above a Uganda forest. </w:t>
      </w:r>
      <w:r w:rsidRPr="00B73E5F">
        <w:rPr>
          <w:rFonts w:ascii="Times New Roman" w:hAnsi="Times New Roman" w:cs="Times New Roman"/>
          <w:i/>
          <w:iCs/>
        </w:rPr>
        <w:t>Bull World Health Organ</w:t>
      </w:r>
      <w:r w:rsidRPr="00B73E5F">
        <w:rPr>
          <w:rFonts w:ascii="Times New Roman" w:hAnsi="Times New Roman" w:cs="Times New Roman"/>
        </w:rPr>
        <w:t>, vol. 31, No. 1 (1964), pp. 57—69.</w:t>
      </w:r>
    </w:p>
    <w:p w14:paraId="2B06524C" w14:textId="5878CB5A"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Hamel, Rodolphe, and others. Identification of the </w:t>
      </w:r>
      <w:proofErr w:type="spellStart"/>
      <w:r w:rsidRPr="00B73E5F">
        <w:rPr>
          <w:rFonts w:ascii="Times New Roman" w:hAnsi="Times New Roman" w:cs="Times New Roman"/>
        </w:rPr>
        <w:t>Tembusu</w:t>
      </w:r>
      <w:proofErr w:type="spellEnd"/>
      <w:r w:rsidRPr="00B73E5F">
        <w:rPr>
          <w:rFonts w:ascii="Times New Roman" w:hAnsi="Times New Roman" w:cs="Times New Roman"/>
        </w:rPr>
        <w:t xml:space="preserve"> virus in mosquitoes in Northern Thailand. </w:t>
      </w:r>
      <w:r w:rsidRPr="00B73E5F">
        <w:rPr>
          <w:rFonts w:ascii="Times New Roman" w:hAnsi="Times New Roman" w:cs="Times New Roman"/>
          <w:i/>
          <w:iCs/>
        </w:rPr>
        <w:t>Viruses</w:t>
      </w:r>
      <w:r w:rsidRPr="00B73E5F">
        <w:rPr>
          <w:rFonts w:ascii="Times New Roman" w:hAnsi="Times New Roman" w:cs="Times New Roman"/>
        </w:rPr>
        <w:t>, vol. 16, No. 7 (June 2023).</w:t>
      </w:r>
    </w:p>
    <w:p w14:paraId="29F8255B" w14:textId="64F2CADB"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Hammond, Andrew, and others. A CRISPR-Cas9 gene drive system targeting female reproduction in the malaria mosquito vector </w:t>
      </w:r>
      <w:r w:rsidRPr="00B73E5F">
        <w:rPr>
          <w:rFonts w:ascii="Times New Roman" w:hAnsi="Times New Roman" w:cs="Times New Roman"/>
          <w:i/>
          <w:iCs/>
        </w:rPr>
        <w:t>Anopheles gambiae. Nature Biotechnology</w:t>
      </w:r>
      <w:r w:rsidRPr="00B73E5F">
        <w:rPr>
          <w:rFonts w:ascii="Times New Roman" w:hAnsi="Times New Roman" w:cs="Times New Roman"/>
        </w:rPr>
        <w:t>, vol. 34 (January 2016), pp. 78—83.</w:t>
      </w:r>
    </w:p>
    <w:p w14:paraId="21783388" w14:textId="07CFB8AA"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Hammond, Andrew, and others. Gene-drive suppression of mosquito populations in large cages as a bridge between lab and field. </w:t>
      </w:r>
      <w:r w:rsidRPr="00B73E5F">
        <w:rPr>
          <w:rFonts w:ascii="Times New Roman" w:hAnsi="Times New Roman" w:cs="Times New Roman"/>
          <w:i/>
          <w:iCs/>
        </w:rPr>
        <w:t>Nature Communications</w:t>
      </w:r>
      <w:r w:rsidRPr="00B73E5F">
        <w:rPr>
          <w:rFonts w:ascii="Times New Roman" w:hAnsi="Times New Roman" w:cs="Times New Roman"/>
        </w:rPr>
        <w:t>, vol. 12, No. 4589 (July 2021).</w:t>
      </w:r>
    </w:p>
    <w:p w14:paraId="20CD7085" w14:textId="27561046"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Harbach, Ralph E., and Richard C Wilkerson. The insupportable validity of mosquito subspecies </w:t>
      </w:r>
      <w:r w:rsidRPr="00B73E5F">
        <w:rPr>
          <w:rFonts w:ascii="Times New Roman" w:hAnsi="Times New Roman" w:cs="Times New Roman"/>
          <w:i/>
          <w:iCs/>
        </w:rPr>
        <w:t>(Diptera: Culicidae</w:t>
      </w:r>
      <w:r w:rsidRPr="00B73E5F">
        <w:rPr>
          <w:rFonts w:ascii="Times New Roman" w:hAnsi="Times New Roman" w:cs="Times New Roman"/>
        </w:rPr>
        <w:t xml:space="preserve">) and their exclusion from culicid classification. </w:t>
      </w:r>
      <w:r w:rsidRPr="00B73E5F">
        <w:rPr>
          <w:rFonts w:ascii="Times New Roman" w:hAnsi="Times New Roman" w:cs="Times New Roman"/>
          <w:i/>
          <w:iCs/>
        </w:rPr>
        <w:t>Zootaxa</w:t>
      </w:r>
      <w:r w:rsidRPr="00B73E5F">
        <w:rPr>
          <w:rFonts w:ascii="Times New Roman" w:hAnsi="Times New Roman" w:cs="Times New Roman"/>
        </w:rPr>
        <w:t>, vol. 5303, No. 1 (June 2023).</w:t>
      </w:r>
    </w:p>
    <w:p w14:paraId="50384D3F" w14:textId="234397F9"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Hartley, Sarah, and others. Engagement on risk assessment for gene drive mosquitoes by EFSA and target malaria. </w:t>
      </w:r>
      <w:r w:rsidRPr="00B73E5F">
        <w:rPr>
          <w:rFonts w:ascii="Times New Roman" w:hAnsi="Times New Roman" w:cs="Times New Roman"/>
          <w:i/>
          <w:iCs/>
        </w:rPr>
        <w:t>Environmental Science and Policy,</w:t>
      </w:r>
      <w:r w:rsidRPr="00B73E5F">
        <w:rPr>
          <w:rFonts w:ascii="Times New Roman" w:hAnsi="Times New Roman" w:cs="Times New Roman"/>
        </w:rPr>
        <w:t xml:space="preserve"> vol. 142 (April 2023), pp. 183—193.</w:t>
      </w:r>
    </w:p>
    <w:p w14:paraId="42509C79" w14:textId="11F84A8E" w:rsidR="00787D21" w:rsidRPr="00096C23" w:rsidRDefault="00787D21" w:rsidP="00787D21">
      <w:pPr>
        <w:rPr>
          <w:rFonts w:ascii="Times New Roman" w:hAnsi="Times New Roman" w:cs="Times New Roman"/>
        </w:rPr>
      </w:pPr>
      <w:r w:rsidRPr="00B73E5F">
        <w:rPr>
          <w:rFonts w:ascii="Times New Roman" w:hAnsi="Times New Roman" w:cs="Times New Roman"/>
        </w:rPr>
        <w:t xml:space="preserve">Harvey-Samuel, Tim, and others. CRISPR-based gene drives generate super-mendelian inheritance in the disease vector </w:t>
      </w:r>
      <w:r w:rsidRPr="00B73E5F">
        <w:rPr>
          <w:rFonts w:ascii="Times New Roman" w:hAnsi="Times New Roman" w:cs="Times New Roman"/>
          <w:i/>
          <w:iCs/>
        </w:rPr>
        <w:t xml:space="preserve">Culex </w:t>
      </w:r>
      <w:proofErr w:type="spellStart"/>
      <w:r w:rsidRPr="00B73E5F">
        <w:rPr>
          <w:rFonts w:ascii="Times New Roman" w:hAnsi="Times New Roman" w:cs="Times New Roman"/>
          <w:i/>
          <w:iCs/>
        </w:rPr>
        <w:t>quinquefasciatus</w:t>
      </w:r>
      <w:proofErr w:type="spellEnd"/>
      <w:r w:rsidRPr="00B73E5F">
        <w:rPr>
          <w:rFonts w:ascii="Times New Roman" w:hAnsi="Times New Roman" w:cs="Times New Roman"/>
          <w:i/>
          <w:iCs/>
        </w:rPr>
        <w:t xml:space="preserve">. </w:t>
      </w:r>
      <w:proofErr w:type="spellStart"/>
      <w:r w:rsidRPr="00B73E5F">
        <w:rPr>
          <w:rFonts w:ascii="Times New Roman" w:hAnsi="Times New Roman" w:cs="Times New Roman"/>
          <w:i/>
          <w:iCs/>
        </w:rPr>
        <w:t>BioRxiv</w:t>
      </w:r>
      <w:proofErr w:type="spellEnd"/>
      <w:r w:rsidRPr="00B73E5F">
        <w:rPr>
          <w:rFonts w:ascii="Times New Roman" w:hAnsi="Times New Roman" w:cs="Times New Roman"/>
        </w:rPr>
        <w:t>, (June 2023).</w:t>
      </w:r>
    </w:p>
    <w:p w14:paraId="27AFFE21" w14:textId="5DF2A659"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Hay, Bruce A., Georg Oberhofer, and Ming Guo. Engineering the composition and fate of wild populations with gene drive. </w:t>
      </w:r>
      <w:r w:rsidRPr="00B73E5F">
        <w:rPr>
          <w:rFonts w:ascii="Times New Roman" w:hAnsi="Times New Roman" w:cs="Times New Roman"/>
          <w:i/>
          <w:iCs/>
        </w:rPr>
        <w:t xml:space="preserve">Annual Review of Entomology, </w:t>
      </w:r>
      <w:r w:rsidRPr="00B73E5F">
        <w:rPr>
          <w:rFonts w:ascii="Times New Roman" w:hAnsi="Times New Roman" w:cs="Times New Roman"/>
        </w:rPr>
        <w:t>vol. 66 (202</w:t>
      </w:r>
      <w:r w:rsidR="00937548" w:rsidRPr="00B73E5F">
        <w:rPr>
          <w:rFonts w:ascii="Times New Roman" w:hAnsi="Times New Roman" w:cs="Times New Roman"/>
        </w:rPr>
        <w:t>1</w:t>
      </w:r>
      <w:r w:rsidRPr="00B73E5F">
        <w:rPr>
          <w:rFonts w:ascii="Times New Roman" w:hAnsi="Times New Roman" w:cs="Times New Roman"/>
        </w:rPr>
        <w:t>), pp. 407—434.</w:t>
      </w:r>
    </w:p>
    <w:p w14:paraId="02C699AC" w14:textId="1D464526" w:rsidR="00787D21" w:rsidRPr="00B73E5F" w:rsidRDefault="00787D21" w:rsidP="00787D21">
      <w:pPr>
        <w:rPr>
          <w:rFonts w:ascii="Times New Roman" w:hAnsi="Times New Roman" w:cs="Times New Roman"/>
        </w:rPr>
      </w:pPr>
      <w:r w:rsidRPr="00B73E5F">
        <w:rPr>
          <w:rFonts w:ascii="Times New Roman" w:hAnsi="Times New Roman" w:cs="Times New Roman"/>
        </w:rPr>
        <w:t>Hayes, Keith R., and others. Meeting the challenge of quantitative risk assessment for genetic control techniques: A framework and some methods applied to the common Carp (</w:t>
      </w:r>
      <w:r w:rsidRPr="00B73E5F">
        <w:rPr>
          <w:rFonts w:ascii="Times New Roman" w:hAnsi="Times New Roman" w:cs="Times New Roman"/>
          <w:i/>
          <w:iCs/>
        </w:rPr>
        <w:t xml:space="preserve">Cyprinus </w:t>
      </w:r>
      <w:proofErr w:type="spellStart"/>
      <w:r w:rsidRPr="00B73E5F">
        <w:rPr>
          <w:rFonts w:ascii="Times New Roman" w:hAnsi="Times New Roman" w:cs="Times New Roman"/>
          <w:i/>
          <w:iCs/>
        </w:rPr>
        <w:t>carpio</w:t>
      </w:r>
      <w:proofErr w:type="spellEnd"/>
      <w:r w:rsidRPr="00B73E5F">
        <w:rPr>
          <w:rFonts w:ascii="Times New Roman" w:hAnsi="Times New Roman" w:cs="Times New Roman"/>
        </w:rPr>
        <w:t xml:space="preserve">) in Australia. </w:t>
      </w:r>
      <w:r w:rsidRPr="00B73E5F">
        <w:rPr>
          <w:rFonts w:ascii="Times New Roman" w:hAnsi="Times New Roman" w:cs="Times New Roman"/>
          <w:i/>
          <w:iCs/>
        </w:rPr>
        <w:t>Biological Invasions</w:t>
      </w:r>
      <w:r w:rsidRPr="00B73E5F">
        <w:rPr>
          <w:rFonts w:ascii="Times New Roman" w:hAnsi="Times New Roman" w:cs="Times New Roman"/>
        </w:rPr>
        <w:t>, vol. 16, (</w:t>
      </w:r>
      <w:r w:rsidR="1C4BB98D" w:rsidRPr="00B73E5F">
        <w:rPr>
          <w:rFonts w:ascii="Times New Roman" w:hAnsi="Times New Roman" w:cs="Times New Roman"/>
        </w:rPr>
        <w:t>2014</w:t>
      </w:r>
      <w:r w:rsidRPr="00B73E5F">
        <w:rPr>
          <w:rFonts w:ascii="Times New Roman" w:hAnsi="Times New Roman" w:cs="Times New Roman"/>
        </w:rPr>
        <w:t>), pp. 1273—1288.</w:t>
      </w:r>
    </w:p>
    <w:p w14:paraId="1F2D85C3" w14:textId="08210446" w:rsidR="00787D21" w:rsidRPr="00096C23" w:rsidRDefault="00787D21" w:rsidP="00787D21">
      <w:pPr>
        <w:rPr>
          <w:rFonts w:ascii="Times New Roman" w:hAnsi="Times New Roman" w:cs="Times New Roman"/>
        </w:rPr>
      </w:pPr>
      <w:r w:rsidRPr="00B73E5F">
        <w:rPr>
          <w:rFonts w:ascii="Times New Roman" w:hAnsi="Times New Roman" w:cs="Times New Roman"/>
        </w:rPr>
        <w:t>Hayes, Keith, R., and others. “</w:t>
      </w:r>
      <w:r w:rsidRPr="00B73E5F">
        <w:rPr>
          <w:rFonts w:ascii="Times New Roman" w:hAnsi="Times New Roman" w:cs="Times New Roman"/>
          <w:i/>
          <w:iCs/>
        </w:rPr>
        <w:t>Risk assessment for controlling mosquito vectors with engineered nucleases: controlled field release for sterile male construct</w:t>
      </w:r>
      <w:r w:rsidRPr="00B73E5F">
        <w:rPr>
          <w:rFonts w:ascii="Times New Roman" w:hAnsi="Times New Roman" w:cs="Times New Roman"/>
        </w:rPr>
        <w:t>”. Hobart, Tasmania, May 2018</w:t>
      </w:r>
      <w:r w:rsidR="4D820290" w:rsidRPr="00B73E5F">
        <w:rPr>
          <w:rFonts w:ascii="Times New Roman" w:hAnsi="Times New Roman" w:cs="Times New Roman"/>
        </w:rPr>
        <w:t>a</w:t>
      </w:r>
      <w:r w:rsidRPr="00B73E5F">
        <w:rPr>
          <w:rFonts w:ascii="Times New Roman" w:hAnsi="Times New Roman" w:cs="Times New Roman"/>
        </w:rPr>
        <w:t>.</w:t>
      </w:r>
    </w:p>
    <w:p w14:paraId="07B0EB68" w14:textId="152C47E4" w:rsidR="00787D21" w:rsidRPr="00B73E5F" w:rsidRDefault="00787D21" w:rsidP="00787D21">
      <w:pPr>
        <w:rPr>
          <w:rFonts w:ascii="Times New Roman" w:hAnsi="Times New Roman" w:cs="Times New Roman"/>
        </w:rPr>
      </w:pPr>
      <w:r w:rsidRPr="00B73E5F">
        <w:rPr>
          <w:rFonts w:ascii="Times New Roman" w:hAnsi="Times New Roman" w:cs="Times New Roman"/>
        </w:rPr>
        <w:lastRenderedPageBreak/>
        <w:t xml:space="preserve">Hayes, Keith, R., and others. Identifying and detecting potentially adverse ecological outcomes associated with the release of gene-drive modified organisms. </w:t>
      </w:r>
      <w:r w:rsidRPr="00B73E5F">
        <w:rPr>
          <w:rFonts w:ascii="Times New Roman" w:hAnsi="Times New Roman" w:cs="Times New Roman"/>
          <w:i/>
          <w:iCs/>
        </w:rPr>
        <w:t xml:space="preserve">Journal of responsible innovation, </w:t>
      </w:r>
      <w:r w:rsidRPr="00B73E5F">
        <w:rPr>
          <w:rFonts w:ascii="Times New Roman" w:hAnsi="Times New Roman" w:cs="Times New Roman"/>
        </w:rPr>
        <w:t>vol. 5 (January 2018</w:t>
      </w:r>
      <w:r w:rsidR="22162F83" w:rsidRPr="00B73E5F">
        <w:rPr>
          <w:rFonts w:ascii="Times New Roman" w:hAnsi="Times New Roman" w:cs="Times New Roman"/>
        </w:rPr>
        <w:t>b</w:t>
      </w:r>
      <w:r w:rsidRPr="00B73E5F">
        <w:rPr>
          <w:rFonts w:ascii="Times New Roman" w:hAnsi="Times New Roman" w:cs="Times New Roman"/>
        </w:rPr>
        <w:t>), pp. S139—S158.</w:t>
      </w:r>
    </w:p>
    <w:p w14:paraId="21EF58F9" w14:textId="61E0D49B" w:rsidR="3B6BCCD3" w:rsidRDefault="3E9A8486" w:rsidP="3B6BCCD3">
      <w:pPr>
        <w:rPr>
          <w:rFonts w:ascii="Times New Roman" w:hAnsi="Times New Roman" w:cs="Times New Roman"/>
        </w:rPr>
      </w:pPr>
      <w:r w:rsidRPr="00B73E5F">
        <w:rPr>
          <w:rFonts w:ascii="Times New Roman" w:hAnsi="Times New Roman" w:cs="Times New Roman"/>
        </w:rPr>
        <w:t xml:space="preserve">Hayes, Keith, H. M. Regan, and M. A. Burgman. </w:t>
      </w:r>
      <w:r w:rsidRPr="00B73E5F">
        <w:rPr>
          <w:rFonts w:ascii="Times New Roman" w:hAnsi="Times New Roman" w:cs="Times New Roman"/>
          <w:i/>
          <w:iCs/>
        </w:rPr>
        <w:t>Introduction to the concepts and methods of uncertainty analysi</w:t>
      </w:r>
      <w:r w:rsidRPr="00B73E5F">
        <w:rPr>
          <w:rFonts w:ascii="Times New Roman" w:hAnsi="Times New Roman" w:cs="Times New Roman"/>
          <w:i/>
        </w:rPr>
        <w:t>s</w:t>
      </w:r>
      <w:r w:rsidRPr="00B73E5F">
        <w:rPr>
          <w:rFonts w:ascii="Times New Roman" w:hAnsi="Times New Roman" w:cs="Times New Roman"/>
        </w:rPr>
        <w:t>. In: Environmental risk assessment of genetically modified organisms, Volume 3. Methodologies for transgenic fish</w:t>
      </w:r>
      <w:r w:rsidR="2750910A" w:rsidRPr="00B73E5F">
        <w:rPr>
          <w:rFonts w:ascii="Times New Roman" w:hAnsi="Times New Roman" w:cs="Times New Roman"/>
        </w:rPr>
        <w:t>, 2007.</w:t>
      </w:r>
      <w:r w:rsidR="2750910A" w:rsidRPr="38AF6ECE">
        <w:rPr>
          <w:rFonts w:ascii="Times New Roman" w:hAnsi="Times New Roman" w:cs="Times New Roman"/>
        </w:rPr>
        <w:t xml:space="preserve"> </w:t>
      </w:r>
    </w:p>
    <w:p w14:paraId="64C97BAF" w14:textId="06CF134B" w:rsidR="00780EBB" w:rsidRPr="00B73E5F" w:rsidRDefault="004F248D" w:rsidP="00780EBB">
      <w:pPr>
        <w:jc w:val="both"/>
        <w:rPr>
          <w:rFonts w:ascii="Times" w:hAnsi="Times" w:cs="Times"/>
        </w:rPr>
      </w:pPr>
      <w:r w:rsidRPr="00B73E5F">
        <w:rPr>
          <w:rFonts w:ascii="Times New Roman" w:hAnsi="Times New Roman" w:cs="Times New Roman"/>
        </w:rPr>
        <w:t xml:space="preserve">Hegde, </w:t>
      </w:r>
      <w:r w:rsidR="00A8183E" w:rsidRPr="00B73E5F">
        <w:rPr>
          <w:rFonts w:ascii="Times New Roman" w:hAnsi="Times New Roman" w:cs="Times New Roman"/>
        </w:rPr>
        <w:t xml:space="preserve">Shivanand, and Grant L. Hughes. </w:t>
      </w:r>
      <w:r w:rsidR="00780EBB" w:rsidRPr="00B73E5F">
        <w:rPr>
          <w:rFonts w:ascii="Times" w:hAnsi="Times" w:cs="Times"/>
        </w:rPr>
        <w:t xml:space="preserve">Population modification of </w:t>
      </w:r>
      <w:r w:rsidR="00780EBB" w:rsidRPr="00B73E5F">
        <w:rPr>
          <w:rFonts w:ascii="Times" w:hAnsi="Times" w:cs="Times"/>
          <w:i/>
          <w:iCs/>
        </w:rPr>
        <w:t>Anopheles</w:t>
      </w:r>
      <w:r w:rsidR="00780EBB" w:rsidRPr="00B73E5F">
        <w:rPr>
          <w:rFonts w:ascii="Times" w:hAnsi="Times" w:cs="Times"/>
        </w:rPr>
        <w:t xml:space="preserve"> mosquitoes for malaria control: Pathways to implementation. </w:t>
      </w:r>
      <w:r w:rsidR="00780EBB" w:rsidRPr="00B73E5F">
        <w:rPr>
          <w:rFonts w:ascii="Times" w:hAnsi="Times" w:cs="Times"/>
          <w:i/>
          <w:iCs/>
        </w:rPr>
        <w:t xml:space="preserve">Pathogens and Global Health, </w:t>
      </w:r>
      <w:r w:rsidR="00780EBB" w:rsidRPr="00B73E5F">
        <w:rPr>
          <w:rFonts w:ascii="Times" w:hAnsi="Times" w:cs="Times"/>
        </w:rPr>
        <w:t xml:space="preserve">vol. 111, </w:t>
      </w:r>
      <w:r w:rsidR="00CA4768" w:rsidRPr="00B73E5F">
        <w:rPr>
          <w:rFonts w:ascii="Times" w:hAnsi="Times" w:cs="Times"/>
        </w:rPr>
        <w:t xml:space="preserve">No. 8 (2017). </w:t>
      </w:r>
    </w:p>
    <w:p w14:paraId="79DDA851" w14:textId="1EE095F7" w:rsidR="00787D21" w:rsidRPr="00B73E5F" w:rsidRDefault="00787D21" w:rsidP="00787D21">
      <w:pPr>
        <w:jc w:val="both"/>
        <w:rPr>
          <w:rFonts w:ascii="Times New Roman" w:hAnsi="Times New Roman" w:cs="Times New Roman"/>
        </w:rPr>
      </w:pPr>
      <w:r w:rsidRPr="00B73E5F">
        <w:rPr>
          <w:rFonts w:ascii="Times New Roman" w:hAnsi="Times New Roman" w:cs="Times New Roman"/>
        </w:rPr>
        <w:t xml:space="preserve">Hilborn, Ray, and Marc Mangel. </w:t>
      </w:r>
      <w:r w:rsidRPr="00B73E5F">
        <w:rPr>
          <w:rFonts w:ascii="Times New Roman" w:hAnsi="Times New Roman" w:cs="Times New Roman"/>
          <w:i/>
          <w:iCs/>
        </w:rPr>
        <w:t>The Ecological Detective: Confronting Models with Data (MPB-28).</w:t>
      </w:r>
      <w:r w:rsidRPr="00B73E5F">
        <w:rPr>
          <w:rFonts w:ascii="Times New Roman" w:hAnsi="Times New Roman" w:cs="Times New Roman"/>
        </w:rPr>
        <w:t xml:space="preserve"> Princeton University Press, 1997.</w:t>
      </w:r>
    </w:p>
    <w:p w14:paraId="56A6FDFB" w14:textId="585B65A2"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Hoch, A. L., and others. An outbreak of Mayaro virus disease in Belterra, Brazil. III. Entomological and ecological studies. Am </w:t>
      </w:r>
      <w:r w:rsidRPr="00B73E5F">
        <w:rPr>
          <w:rFonts w:ascii="Times New Roman" w:hAnsi="Times New Roman" w:cs="Times New Roman"/>
          <w:i/>
          <w:iCs/>
        </w:rPr>
        <w:t xml:space="preserve">J Trop Med </w:t>
      </w:r>
      <w:proofErr w:type="spellStart"/>
      <w:r w:rsidRPr="00B73E5F">
        <w:rPr>
          <w:rFonts w:ascii="Times New Roman" w:hAnsi="Times New Roman" w:cs="Times New Roman"/>
          <w:i/>
          <w:iCs/>
        </w:rPr>
        <w:t>Hyg</w:t>
      </w:r>
      <w:proofErr w:type="spellEnd"/>
      <w:r w:rsidRPr="00B73E5F">
        <w:rPr>
          <w:rFonts w:ascii="Times New Roman" w:hAnsi="Times New Roman" w:cs="Times New Roman"/>
        </w:rPr>
        <w:t xml:space="preserve">, vol. 30, No. 3 (May 1981), pp. 689—698. </w:t>
      </w:r>
    </w:p>
    <w:p w14:paraId="10E3E17B" w14:textId="0354F25A"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Hoermann, Astrid, and others. Converting endogenous genes of the malaria mosquito into simple non-autonomous gene drives for population replacement. </w:t>
      </w:r>
      <w:r w:rsidRPr="00B73E5F">
        <w:rPr>
          <w:rFonts w:ascii="Times New Roman" w:hAnsi="Times New Roman" w:cs="Times New Roman"/>
          <w:i/>
          <w:iCs/>
        </w:rPr>
        <w:t>Elife</w:t>
      </w:r>
      <w:r w:rsidRPr="00B73E5F">
        <w:rPr>
          <w:rFonts w:ascii="Times New Roman" w:hAnsi="Times New Roman" w:cs="Times New Roman"/>
        </w:rPr>
        <w:t>, vol. 10, No. 58791 (April 2021).</w:t>
      </w:r>
    </w:p>
    <w:p w14:paraId="75C9FECB" w14:textId="10CCF563" w:rsidR="00787D21" w:rsidRPr="00096C23" w:rsidRDefault="00787D21" w:rsidP="00787D21">
      <w:pPr>
        <w:rPr>
          <w:rFonts w:ascii="Times New Roman" w:hAnsi="Times New Roman" w:cs="Times New Roman"/>
        </w:rPr>
      </w:pPr>
      <w:r w:rsidRPr="00B73E5F">
        <w:rPr>
          <w:rFonts w:ascii="Times New Roman" w:hAnsi="Times New Roman" w:cs="Times New Roman"/>
        </w:rPr>
        <w:t xml:space="preserve">Hoermann, Astrid, and others. Gene drive mosquitoes can aid malaria elimination by retarding Plasmodium </w:t>
      </w:r>
      <w:proofErr w:type="spellStart"/>
      <w:r w:rsidRPr="00B73E5F">
        <w:rPr>
          <w:rFonts w:ascii="Times New Roman" w:hAnsi="Times New Roman" w:cs="Times New Roman"/>
        </w:rPr>
        <w:t>sporogonic</w:t>
      </w:r>
      <w:proofErr w:type="spellEnd"/>
      <w:r w:rsidRPr="00B73E5F">
        <w:rPr>
          <w:rFonts w:ascii="Times New Roman" w:hAnsi="Times New Roman" w:cs="Times New Roman"/>
        </w:rPr>
        <w:t xml:space="preserve"> development. </w:t>
      </w:r>
      <w:r w:rsidRPr="00B73E5F">
        <w:rPr>
          <w:rFonts w:ascii="Times New Roman" w:hAnsi="Times New Roman" w:cs="Times New Roman"/>
          <w:i/>
          <w:iCs/>
        </w:rPr>
        <w:t>Science Advances</w:t>
      </w:r>
      <w:r w:rsidRPr="00B73E5F">
        <w:rPr>
          <w:rFonts w:ascii="Times New Roman" w:hAnsi="Times New Roman" w:cs="Times New Roman"/>
        </w:rPr>
        <w:t>, vol. 8, No. 38 (September 2022).</w:t>
      </w:r>
    </w:p>
    <w:p w14:paraId="6FD8B942" w14:textId="2B3F0438" w:rsidR="006A531C" w:rsidRPr="00B73E5F" w:rsidRDefault="00BB691F" w:rsidP="00787D21">
      <w:pPr>
        <w:rPr>
          <w:rFonts w:ascii="Times New Roman" w:hAnsi="Times New Roman" w:cs="Times New Roman"/>
        </w:rPr>
      </w:pPr>
      <w:r w:rsidRPr="00B73E5F">
        <w:rPr>
          <w:rFonts w:ascii="Times New Roman" w:hAnsi="Times New Roman" w:cs="Times New Roman"/>
        </w:rPr>
        <w:t xml:space="preserve">Holman, Luke. </w:t>
      </w:r>
      <w:r w:rsidR="006A531C" w:rsidRPr="00B73E5F">
        <w:rPr>
          <w:rFonts w:ascii="Times" w:hAnsi="Times" w:cs="Times"/>
          <w:color w:val="333132"/>
        </w:rPr>
        <w:t>Evolutionary simulations of </w:t>
      </w:r>
      <w:r w:rsidR="006A531C" w:rsidRPr="00B73E5F">
        <w:rPr>
          <w:rFonts w:ascii="Times" w:hAnsi="Times" w:cs="Times"/>
          <w:i/>
          <w:iCs/>
          <w:color w:val="333132"/>
        </w:rPr>
        <w:t>Z</w:t>
      </w:r>
      <w:r w:rsidR="006A531C" w:rsidRPr="00B73E5F">
        <w:rPr>
          <w:rFonts w:ascii="Times" w:hAnsi="Times" w:cs="Times"/>
          <w:color w:val="333132"/>
        </w:rPr>
        <w:t xml:space="preserve">-linked suppression gene drives. </w:t>
      </w:r>
      <w:r w:rsidR="00B95C1E" w:rsidRPr="00B73E5F">
        <w:rPr>
          <w:rFonts w:ascii="Times" w:hAnsi="Times" w:cs="Times"/>
          <w:i/>
          <w:iCs/>
          <w:color w:val="333132"/>
        </w:rPr>
        <w:t xml:space="preserve">Proceedings of the Royal Society B, </w:t>
      </w:r>
      <w:r w:rsidR="00B95C1E" w:rsidRPr="00B73E5F">
        <w:rPr>
          <w:rFonts w:ascii="Times" w:hAnsi="Times" w:cs="Times"/>
          <w:color w:val="333132"/>
        </w:rPr>
        <w:t>vol. 286, No. 1912</w:t>
      </w:r>
      <w:r w:rsidR="00B90B18" w:rsidRPr="00B73E5F">
        <w:rPr>
          <w:rFonts w:ascii="Times" w:hAnsi="Times" w:cs="Times"/>
          <w:color w:val="333132"/>
        </w:rPr>
        <w:t xml:space="preserve"> (October 2019).</w:t>
      </w:r>
    </w:p>
    <w:p w14:paraId="3CE17504" w14:textId="0A27FED3"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Holt, Robert D., and Michael B. Bonsall. Apparent Competition. </w:t>
      </w:r>
      <w:r w:rsidRPr="00B73E5F">
        <w:rPr>
          <w:rFonts w:ascii="Times New Roman" w:hAnsi="Times New Roman" w:cs="Times New Roman"/>
          <w:i/>
          <w:iCs/>
        </w:rPr>
        <w:t>Annual Review of Ecology, Evolution, and Systematics</w:t>
      </w:r>
      <w:r w:rsidRPr="00B73E5F">
        <w:rPr>
          <w:rFonts w:ascii="Times New Roman" w:hAnsi="Times New Roman" w:cs="Times New Roman"/>
        </w:rPr>
        <w:t>, vol. 48, No. 1146 (November 2017), pp. 447—471.</w:t>
      </w:r>
    </w:p>
    <w:p w14:paraId="245DF5DB" w14:textId="25A4E8C7"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Hosack, Geoffrey R., Adrien </w:t>
      </w:r>
      <w:proofErr w:type="spellStart"/>
      <w:r w:rsidRPr="00B73E5F">
        <w:rPr>
          <w:rFonts w:ascii="Times New Roman" w:hAnsi="Times New Roman" w:cs="Times New Roman"/>
        </w:rPr>
        <w:t>Ickowicz</w:t>
      </w:r>
      <w:proofErr w:type="spellEnd"/>
      <w:r w:rsidRPr="00B73E5F">
        <w:rPr>
          <w:rFonts w:ascii="Times New Roman" w:hAnsi="Times New Roman" w:cs="Times New Roman"/>
        </w:rPr>
        <w:t xml:space="preserve">, and Keith R. Hayes. Quantifying the risk of vector-borne disease transmission attributable to genetically modified vectors. </w:t>
      </w:r>
      <w:r w:rsidRPr="00B73E5F">
        <w:rPr>
          <w:rFonts w:ascii="Times New Roman" w:hAnsi="Times New Roman" w:cs="Times New Roman"/>
          <w:i/>
          <w:iCs/>
        </w:rPr>
        <w:t xml:space="preserve">Royal Society Open Science, </w:t>
      </w:r>
      <w:r w:rsidRPr="00B73E5F">
        <w:rPr>
          <w:rFonts w:ascii="Times New Roman" w:hAnsi="Times New Roman" w:cs="Times New Roman"/>
        </w:rPr>
        <w:t>vol. 8, No. 3 (March 2021).</w:t>
      </w:r>
    </w:p>
    <w:p w14:paraId="6244B5EC" w14:textId="4215076A"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Hosack, Goeffrey R., and others. </w:t>
      </w:r>
      <w:r w:rsidRPr="00B73E5F">
        <w:rPr>
          <w:rFonts w:ascii="Times New Roman" w:hAnsi="Times New Roman" w:cs="Times New Roman"/>
          <w:i/>
          <w:iCs/>
        </w:rPr>
        <w:t>Risk assessment for controlling mosquito vectors with engineered nucleases: paternal male bias construct</w:t>
      </w:r>
      <w:r w:rsidRPr="00B73E5F">
        <w:rPr>
          <w:rFonts w:ascii="Times New Roman" w:hAnsi="Times New Roman" w:cs="Times New Roman"/>
        </w:rPr>
        <w:t>. Report No. EP2022-4945. Hobart, Australia: CSIRO, 2023.</w:t>
      </w:r>
      <w:r w:rsidR="00ED0021" w:rsidRPr="00B73E5F">
        <w:rPr>
          <w:rFonts w:ascii="Times New Roman" w:hAnsi="Times New Roman" w:cs="Times New Roman"/>
        </w:rPr>
        <w:t xml:space="preserve"> Available at </w:t>
      </w:r>
      <w:hyperlink r:id="rId39">
        <w:r w:rsidRPr="00B73E5F">
          <w:rPr>
            <w:rStyle w:val="Hyperlink"/>
            <w:rFonts w:ascii="Times New Roman" w:hAnsi="Times New Roman" w:cs="Times New Roman"/>
          </w:rPr>
          <w:t>https://www.who.int/news-room/fact-sheets/detail/lymphatic-filariasis</w:t>
        </w:r>
      </w:hyperlink>
      <w:r w:rsidRPr="00B73E5F">
        <w:rPr>
          <w:rFonts w:ascii="Times New Roman" w:hAnsi="Times New Roman" w:cs="Times New Roman"/>
        </w:rPr>
        <w:t>.</w:t>
      </w:r>
    </w:p>
    <w:p w14:paraId="13E4C8BA" w14:textId="54F03382"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Hume, C.C., Emily J. Lyons, and Karen P. Day.  Human migration, </w:t>
      </w:r>
      <w:proofErr w:type="gramStart"/>
      <w:r w:rsidRPr="00B73E5F">
        <w:rPr>
          <w:rFonts w:ascii="Times New Roman" w:hAnsi="Times New Roman" w:cs="Times New Roman"/>
        </w:rPr>
        <w:t>mosquitoes</w:t>
      </w:r>
      <w:proofErr w:type="gramEnd"/>
      <w:r w:rsidRPr="00B73E5F">
        <w:rPr>
          <w:rFonts w:ascii="Times New Roman" w:hAnsi="Times New Roman" w:cs="Times New Roman"/>
        </w:rPr>
        <w:t xml:space="preserve"> and the evolution of </w:t>
      </w:r>
      <w:r w:rsidRPr="00B73E5F">
        <w:rPr>
          <w:rFonts w:ascii="Times New Roman" w:hAnsi="Times New Roman" w:cs="Times New Roman"/>
          <w:i/>
          <w:iCs/>
        </w:rPr>
        <w:t>Plasmodium falciparum</w:t>
      </w:r>
      <w:r w:rsidRPr="00B73E5F">
        <w:rPr>
          <w:rFonts w:ascii="Times New Roman" w:hAnsi="Times New Roman" w:cs="Times New Roman"/>
        </w:rPr>
        <w:t xml:space="preserve">. </w:t>
      </w:r>
      <w:r w:rsidRPr="00B73E5F">
        <w:rPr>
          <w:rFonts w:ascii="Times New Roman" w:hAnsi="Times New Roman" w:cs="Times New Roman"/>
          <w:i/>
          <w:iCs/>
        </w:rPr>
        <w:t>Trends in Parasitology</w:t>
      </w:r>
      <w:r w:rsidRPr="00B73E5F">
        <w:rPr>
          <w:rFonts w:ascii="Times New Roman" w:hAnsi="Times New Roman" w:cs="Times New Roman"/>
        </w:rPr>
        <w:t>, vol. 19, No. 3 (March 2003), pp. 144—149.</w:t>
      </w:r>
    </w:p>
    <w:p w14:paraId="3F9EB93C" w14:textId="2CFB2895"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Huestis, Diana L., and others. Windborne long-distance migration of malaria mosquitoes in the Sahel. </w:t>
      </w:r>
      <w:r w:rsidRPr="00B73E5F">
        <w:rPr>
          <w:rFonts w:ascii="Times New Roman" w:hAnsi="Times New Roman" w:cs="Times New Roman"/>
          <w:i/>
          <w:iCs/>
        </w:rPr>
        <w:t>Nature</w:t>
      </w:r>
      <w:r w:rsidRPr="00B73E5F">
        <w:rPr>
          <w:rFonts w:ascii="Times New Roman" w:hAnsi="Times New Roman" w:cs="Times New Roman"/>
        </w:rPr>
        <w:t xml:space="preserve">, vol. 574, (October 2019), pp. 404—408. </w:t>
      </w:r>
    </w:p>
    <w:p w14:paraId="5B5A820E" w14:textId="236BE8C2" w:rsidR="00787D21" w:rsidRPr="00B73E5F" w:rsidRDefault="00787D21" w:rsidP="00787D21">
      <w:pPr>
        <w:rPr>
          <w:rFonts w:ascii="Times New Roman" w:hAnsi="Times New Roman" w:cs="Times New Roman"/>
        </w:rPr>
      </w:pPr>
      <w:proofErr w:type="spellStart"/>
      <w:r w:rsidRPr="00B73E5F">
        <w:rPr>
          <w:rFonts w:ascii="Times New Roman" w:hAnsi="Times New Roman" w:cs="Times New Roman"/>
        </w:rPr>
        <w:t>Ickowicz</w:t>
      </w:r>
      <w:proofErr w:type="spellEnd"/>
      <w:r w:rsidRPr="00B73E5F">
        <w:rPr>
          <w:rFonts w:ascii="Times New Roman" w:hAnsi="Times New Roman" w:cs="Times New Roman"/>
        </w:rPr>
        <w:t>, Adrien, and others. Predicting the spread and persistence of genetically modified dominant sterile male mosquitoes.</w:t>
      </w:r>
      <w:r w:rsidRPr="00B73E5F">
        <w:rPr>
          <w:rFonts w:ascii="Times New Roman" w:hAnsi="Times New Roman" w:cs="Times New Roman"/>
          <w:i/>
          <w:iCs/>
        </w:rPr>
        <w:t xml:space="preserve"> Parasite and Vectors, </w:t>
      </w:r>
      <w:r w:rsidRPr="00B73E5F">
        <w:rPr>
          <w:rFonts w:ascii="Times New Roman" w:hAnsi="Times New Roman" w:cs="Times New Roman"/>
        </w:rPr>
        <w:t>vol. 14, No. 480 (September 2021).</w:t>
      </w:r>
    </w:p>
    <w:p w14:paraId="57B450F9" w14:textId="653D4789" w:rsidR="00EB05FB" w:rsidRPr="00C00698" w:rsidRDefault="009312DC" w:rsidP="00EB05FB">
      <w:pPr>
        <w:rPr>
          <w:rFonts w:ascii="Times" w:hAnsi="Times" w:cs="Times"/>
        </w:rPr>
      </w:pPr>
      <w:r w:rsidRPr="00B73E5F">
        <w:rPr>
          <w:rFonts w:ascii="Times" w:hAnsi="Times" w:cs="Times"/>
        </w:rPr>
        <w:t xml:space="preserve">Institute of Medicine, Board on Population </w:t>
      </w:r>
      <w:proofErr w:type="gramStart"/>
      <w:r w:rsidRPr="00B73E5F">
        <w:rPr>
          <w:rFonts w:ascii="Times" w:hAnsi="Times" w:cs="Times"/>
        </w:rPr>
        <w:t>Health</w:t>
      </w:r>
      <w:proofErr w:type="gramEnd"/>
      <w:r w:rsidRPr="00B73E5F">
        <w:rPr>
          <w:rFonts w:ascii="Times" w:hAnsi="Times" w:cs="Times"/>
        </w:rPr>
        <w:t xml:space="preserve"> and Public Health Practice, and</w:t>
      </w:r>
      <w:r w:rsidR="00EB05FB" w:rsidRPr="00B73E5F">
        <w:rPr>
          <w:rFonts w:ascii="Times" w:hAnsi="Times" w:cs="Times"/>
        </w:rPr>
        <w:t xml:space="preserve"> </w:t>
      </w:r>
      <w:r w:rsidRPr="00B73E5F">
        <w:rPr>
          <w:rFonts w:ascii="Times" w:hAnsi="Times" w:cs="Times"/>
        </w:rPr>
        <w:t xml:space="preserve">Committee on Decision Making Under Uncertainty. </w:t>
      </w:r>
      <w:r w:rsidR="00EB05FB" w:rsidRPr="00B73E5F">
        <w:rPr>
          <w:rFonts w:ascii="Times" w:hAnsi="Times" w:cs="Times"/>
          <w:i/>
          <w:iCs/>
        </w:rPr>
        <w:t>E</w:t>
      </w:r>
      <w:r w:rsidR="00C00698" w:rsidRPr="00B73E5F">
        <w:rPr>
          <w:rFonts w:ascii="Times" w:hAnsi="Times" w:cs="Times"/>
          <w:i/>
          <w:iCs/>
        </w:rPr>
        <w:t>nvironmental decisions in the face of uncertainty</w:t>
      </w:r>
      <w:r w:rsidR="00C00698" w:rsidRPr="00B73E5F">
        <w:rPr>
          <w:rFonts w:ascii="Times" w:hAnsi="Times" w:cs="Times"/>
        </w:rPr>
        <w:t>. The National Academies Press, Washin</w:t>
      </w:r>
      <w:r w:rsidR="00824DB4" w:rsidRPr="00B73E5F">
        <w:rPr>
          <w:rFonts w:ascii="Times" w:hAnsi="Times" w:cs="Times"/>
        </w:rPr>
        <w:t>gton DC, 2013.</w:t>
      </w:r>
      <w:r w:rsidR="00824DB4">
        <w:rPr>
          <w:rFonts w:ascii="Times" w:hAnsi="Times" w:cs="Times"/>
        </w:rPr>
        <w:t xml:space="preserve"> </w:t>
      </w:r>
    </w:p>
    <w:p w14:paraId="72B3E3A8" w14:textId="3B9341CA" w:rsidR="009312DC" w:rsidRPr="00EB05FB" w:rsidRDefault="00EB05FB" w:rsidP="00EB05FB">
      <w:pPr>
        <w:rPr>
          <w:rFonts w:ascii="Times" w:hAnsi="Times" w:cs="Times"/>
        </w:rPr>
      </w:pPr>
      <w:r w:rsidRPr="00EB05FB">
        <w:rPr>
          <w:rFonts w:ascii="Times" w:hAnsi="Times" w:cs="Times"/>
        </w:rPr>
        <w:t>National Academies of Sciences, Engineering, and Medicine. 2013. Environmental Decisions in the Face of Uncertainty. Washington, DC: The National Academies Press. https://doi.org/10.17226/12568.</w:t>
      </w:r>
    </w:p>
    <w:p w14:paraId="33AAF9B7" w14:textId="021174A1" w:rsidR="00787D21" w:rsidRPr="00096C23" w:rsidRDefault="00787D21" w:rsidP="00787D21">
      <w:pPr>
        <w:rPr>
          <w:rFonts w:ascii="Times New Roman" w:hAnsi="Times New Roman" w:cs="Times New Roman"/>
        </w:rPr>
      </w:pPr>
      <w:r w:rsidRPr="00B73E5F">
        <w:rPr>
          <w:rFonts w:ascii="Times New Roman" w:hAnsi="Times New Roman" w:cs="Times New Roman"/>
        </w:rPr>
        <w:t xml:space="preserve">International union for conservation of nature, the invasive species specialist group. Global invasive species database. 2024. Available at </w:t>
      </w:r>
      <w:hyperlink r:id="rId40">
        <w:r w:rsidRPr="00B73E5F">
          <w:rPr>
            <w:rStyle w:val="Hyperlink"/>
            <w:rFonts w:ascii="Times New Roman" w:hAnsi="Times New Roman" w:cs="Times New Roman"/>
          </w:rPr>
          <w:t>https://www.iucngisd.org/gisd/100_worst.php</w:t>
        </w:r>
      </w:hyperlink>
      <w:r w:rsidRPr="00B73E5F">
        <w:rPr>
          <w:rFonts w:ascii="Times New Roman" w:hAnsi="Times New Roman" w:cs="Times New Roman"/>
        </w:rPr>
        <w:t>.</w:t>
      </w:r>
    </w:p>
    <w:p w14:paraId="5C2A3F71" w14:textId="013E907B" w:rsidR="426BE209" w:rsidRPr="00B73E5F" w:rsidRDefault="0D1A5BEA" w:rsidP="45845E6E">
      <w:pPr>
        <w:rPr>
          <w:rFonts w:ascii="Times New Roman" w:hAnsi="Times New Roman" w:cs="Times New Roman"/>
        </w:rPr>
      </w:pPr>
      <w:r w:rsidRPr="00B73E5F">
        <w:rPr>
          <w:rFonts w:ascii="Times New Roman" w:hAnsi="Times New Roman" w:cs="Times New Roman"/>
        </w:rPr>
        <w:lastRenderedPageBreak/>
        <w:t xml:space="preserve">ISO 14971:2019 content from: </w:t>
      </w:r>
      <w:proofErr w:type="spellStart"/>
      <w:r w:rsidRPr="00B73E5F">
        <w:rPr>
          <w:rFonts w:ascii="Times New Roman" w:hAnsi="Times New Roman" w:cs="Times New Roman"/>
        </w:rPr>
        <w:t>ExceedTM</w:t>
      </w:r>
      <w:proofErr w:type="spellEnd"/>
      <w:r w:rsidRPr="00B73E5F">
        <w:rPr>
          <w:rFonts w:ascii="Times New Roman" w:hAnsi="Times New Roman" w:cs="Times New Roman"/>
        </w:rPr>
        <w:t xml:space="preserve"> “ISO 14971 Basic Concepts – Hazard, Hazardous Situation and Harm”. Available at: https://exeedqm.com/new-blog/iso-14971-basic-concepts-hazard-hazardous-situation-and-harm (accessed 9 Jan 2024)</w:t>
      </w:r>
    </w:p>
    <w:p w14:paraId="291983D3" w14:textId="6672142C" w:rsidR="00787D21" w:rsidRPr="00B73E5F" w:rsidRDefault="4BE868BA" w:rsidP="074E8A81">
      <w:pPr>
        <w:rPr>
          <w:rFonts w:ascii="Times New Roman" w:hAnsi="Times New Roman" w:cs="Times New Roman"/>
        </w:rPr>
      </w:pPr>
      <w:r w:rsidRPr="00B73E5F">
        <w:rPr>
          <w:rFonts w:ascii="Times New Roman" w:hAnsi="Times New Roman" w:cs="Times New Roman"/>
        </w:rPr>
        <w:t xml:space="preserve">James, Stephanie L., and others. Pathway to deployment of gene drive mosquitoes as a potential biocontrol tool for elimination of malaria in Sub-Saharan Africa: Recommendations of a scientific working group. </w:t>
      </w:r>
      <w:r w:rsidRPr="00B73E5F">
        <w:rPr>
          <w:rFonts w:ascii="Times New Roman" w:hAnsi="Times New Roman" w:cs="Times New Roman"/>
          <w:i/>
        </w:rPr>
        <w:t xml:space="preserve">Am J Trop Med </w:t>
      </w:r>
      <w:proofErr w:type="spellStart"/>
      <w:r w:rsidRPr="00B73E5F">
        <w:rPr>
          <w:rFonts w:ascii="Times New Roman" w:hAnsi="Times New Roman" w:cs="Times New Roman"/>
          <w:i/>
        </w:rPr>
        <w:t>Hyg</w:t>
      </w:r>
      <w:proofErr w:type="spellEnd"/>
      <w:r w:rsidRPr="00B73E5F">
        <w:rPr>
          <w:rFonts w:ascii="Times New Roman" w:hAnsi="Times New Roman" w:cs="Times New Roman"/>
          <w:i/>
        </w:rPr>
        <w:t xml:space="preserve">, </w:t>
      </w:r>
      <w:r w:rsidRPr="00B73E5F">
        <w:rPr>
          <w:rFonts w:ascii="Times New Roman" w:hAnsi="Times New Roman" w:cs="Times New Roman"/>
        </w:rPr>
        <w:t xml:space="preserve">vol. 98, No. 6 (June 2018), pp. 18—0083. </w:t>
      </w:r>
    </w:p>
    <w:p w14:paraId="27A0A38C" w14:textId="2750F6B3" w:rsidR="00787D21" w:rsidRPr="00096C23" w:rsidRDefault="00787D21" w:rsidP="00787D21">
      <w:pPr>
        <w:rPr>
          <w:rFonts w:ascii="Times New Roman" w:hAnsi="Times New Roman" w:cs="Times New Roman"/>
        </w:rPr>
      </w:pPr>
      <w:r w:rsidRPr="00B73E5F">
        <w:rPr>
          <w:rFonts w:ascii="Times New Roman" w:hAnsi="Times New Roman" w:cs="Times New Roman"/>
        </w:rPr>
        <w:t>James, Stephanie L., and others. Toward the definition of efficacy and safety criteria for advancing gene drive-modified mosquitoes to field testing.</w:t>
      </w:r>
      <w:r w:rsidRPr="00B73E5F">
        <w:rPr>
          <w:rFonts w:ascii="Times New Roman" w:hAnsi="Times New Roman" w:cs="Times New Roman"/>
          <w:i/>
          <w:iCs/>
        </w:rPr>
        <w:t xml:space="preserve"> Vector Borne Zoonotic Diseases,</w:t>
      </w:r>
      <w:r w:rsidRPr="00B73E5F">
        <w:rPr>
          <w:rFonts w:ascii="Times New Roman" w:hAnsi="Times New Roman" w:cs="Times New Roman"/>
        </w:rPr>
        <w:t xml:space="preserve"> vol. 20, No. 4 (April 2020).</w:t>
      </w:r>
    </w:p>
    <w:p w14:paraId="4279AD9E" w14:textId="6BC858CD" w:rsidR="00787D21" w:rsidRPr="00B73E5F" w:rsidRDefault="00787D21" w:rsidP="00787D21">
      <w:pPr>
        <w:rPr>
          <w:rFonts w:ascii="Times New Roman" w:hAnsi="Times New Roman" w:cs="Times New Roman"/>
        </w:rPr>
      </w:pPr>
      <w:proofErr w:type="spellStart"/>
      <w:r w:rsidRPr="00B73E5F">
        <w:rPr>
          <w:rFonts w:ascii="Times New Roman" w:hAnsi="Times New Roman" w:cs="Times New Roman"/>
        </w:rPr>
        <w:t>Jeyaprakasam</w:t>
      </w:r>
      <w:proofErr w:type="spellEnd"/>
      <w:r w:rsidRPr="00B73E5F">
        <w:rPr>
          <w:rFonts w:ascii="Times New Roman" w:hAnsi="Times New Roman" w:cs="Times New Roman"/>
        </w:rPr>
        <w:t xml:space="preserve">, Nantha Kumar, and others. Blood meal analysis of </w:t>
      </w:r>
      <w:r w:rsidRPr="00B73E5F">
        <w:rPr>
          <w:rFonts w:ascii="Times New Roman" w:hAnsi="Times New Roman" w:cs="Times New Roman"/>
          <w:i/>
          <w:iCs/>
        </w:rPr>
        <w:t>Anopheles</w:t>
      </w:r>
      <w:r w:rsidRPr="00B73E5F">
        <w:rPr>
          <w:rFonts w:ascii="Times New Roman" w:hAnsi="Times New Roman" w:cs="Times New Roman"/>
        </w:rPr>
        <w:t xml:space="preserve"> vectors of simian malaria based on laboratory and field studies.</w:t>
      </w:r>
      <w:r w:rsidRPr="00B73E5F">
        <w:rPr>
          <w:rFonts w:ascii="Times New Roman" w:hAnsi="Times New Roman" w:cs="Times New Roman"/>
          <w:i/>
          <w:iCs/>
        </w:rPr>
        <w:t xml:space="preserve"> Scientific Reports</w:t>
      </w:r>
      <w:r w:rsidRPr="00B73E5F">
        <w:rPr>
          <w:rFonts w:ascii="Times New Roman" w:hAnsi="Times New Roman" w:cs="Times New Roman"/>
        </w:rPr>
        <w:t>, vol. 12, No. 354 (January 2022).</w:t>
      </w:r>
    </w:p>
    <w:p w14:paraId="6A9C80BE" w14:textId="643B0BCE" w:rsidR="00401C75" w:rsidRPr="00401C75" w:rsidRDefault="000526EA" w:rsidP="00401C75">
      <w:pPr>
        <w:rPr>
          <w:rFonts w:ascii="Times New Roman" w:hAnsi="Times New Roman" w:cs="Times New Roman"/>
          <w:i/>
          <w:iCs/>
        </w:rPr>
      </w:pPr>
      <w:proofErr w:type="spellStart"/>
      <w:r w:rsidRPr="00B73E5F">
        <w:rPr>
          <w:rFonts w:ascii="Times New Roman" w:hAnsi="Times New Roman" w:cs="Times New Roman"/>
        </w:rPr>
        <w:t>Jupatanakul</w:t>
      </w:r>
      <w:proofErr w:type="spellEnd"/>
      <w:r w:rsidRPr="00B73E5F">
        <w:rPr>
          <w:rFonts w:ascii="Times New Roman" w:hAnsi="Times New Roman" w:cs="Times New Roman"/>
        </w:rPr>
        <w:t xml:space="preserve">, </w:t>
      </w:r>
      <w:proofErr w:type="spellStart"/>
      <w:r w:rsidRPr="00B73E5F">
        <w:rPr>
          <w:rFonts w:ascii="Times New Roman" w:hAnsi="Times New Roman" w:cs="Times New Roman"/>
        </w:rPr>
        <w:t>Natapong</w:t>
      </w:r>
      <w:proofErr w:type="spellEnd"/>
      <w:r w:rsidRPr="00B73E5F">
        <w:rPr>
          <w:rFonts w:ascii="Times New Roman" w:hAnsi="Times New Roman" w:cs="Times New Roman"/>
        </w:rPr>
        <w:t>, and others</w:t>
      </w:r>
      <w:r w:rsidRPr="00B73E5F">
        <w:rPr>
          <w:rFonts w:ascii="Times" w:hAnsi="Times" w:cs="Times"/>
        </w:rPr>
        <w:t xml:space="preserve">. </w:t>
      </w:r>
      <w:r w:rsidR="00401C75" w:rsidRPr="00B73E5F">
        <w:rPr>
          <w:rFonts w:ascii="Times" w:hAnsi="Times" w:cs="Times"/>
          <w:color w:val="202020"/>
        </w:rPr>
        <w:t>Engineered </w:t>
      </w:r>
      <w:r w:rsidR="00401C75" w:rsidRPr="00B73E5F">
        <w:rPr>
          <w:rFonts w:ascii="Times" w:hAnsi="Times" w:cs="Times"/>
          <w:i/>
          <w:iCs/>
          <w:color w:val="202020"/>
        </w:rPr>
        <w:t>Aedes aegypti</w:t>
      </w:r>
      <w:r w:rsidR="00401C75" w:rsidRPr="00B73E5F">
        <w:rPr>
          <w:rFonts w:ascii="Times" w:hAnsi="Times" w:cs="Times"/>
          <w:color w:val="202020"/>
        </w:rPr>
        <w:t xml:space="preserve"> JAK/STAT Pathway-Mediated Immunity to Dengue Virus. </w:t>
      </w:r>
      <w:r w:rsidR="00401C75" w:rsidRPr="00B73E5F">
        <w:rPr>
          <w:rFonts w:ascii="Times" w:hAnsi="Times" w:cs="Times"/>
          <w:i/>
          <w:iCs/>
          <w:color w:val="202020"/>
        </w:rPr>
        <w:t>PLOS Neglected Tropical Diseases</w:t>
      </w:r>
      <w:r w:rsidR="00B80E12" w:rsidRPr="00B73E5F">
        <w:rPr>
          <w:rFonts w:ascii="Times" w:hAnsi="Times" w:cs="Times"/>
          <w:i/>
          <w:iCs/>
          <w:color w:val="202020"/>
        </w:rPr>
        <w:t xml:space="preserve"> </w:t>
      </w:r>
      <w:r w:rsidR="00B80E12" w:rsidRPr="00B73E5F">
        <w:rPr>
          <w:rFonts w:ascii="Times" w:hAnsi="Times" w:cs="Times"/>
          <w:color w:val="202020"/>
        </w:rPr>
        <w:t>(January 2017).</w:t>
      </w:r>
    </w:p>
    <w:p w14:paraId="6BEF929D" w14:textId="2D5C71F1" w:rsidR="00787D21" w:rsidRPr="00B73E5F" w:rsidRDefault="00787D21" w:rsidP="00787D21">
      <w:pPr>
        <w:rPr>
          <w:rFonts w:ascii="Times New Roman" w:hAnsi="Times New Roman" w:cs="Times New Roman"/>
        </w:rPr>
      </w:pPr>
      <w:proofErr w:type="spellStart"/>
      <w:r w:rsidRPr="00B73E5F">
        <w:rPr>
          <w:rFonts w:ascii="Times New Roman" w:hAnsi="Times New Roman" w:cs="Times New Roman"/>
        </w:rPr>
        <w:t>Kandul</w:t>
      </w:r>
      <w:proofErr w:type="spellEnd"/>
      <w:r w:rsidRPr="00B73E5F">
        <w:rPr>
          <w:rFonts w:ascii="Times New Roman" w:hAnsi="Times New Roman" w:cs="Times New Roman"/>
        </w:rPr>
        <w:t xml:space="preserve">, Nikolay P., and others. A confinable home-and-rescue gene drive for population modification. </w:t>
      </w:r>
      <w:r w:rsidRPr="00B73E5F">
        <w:rPr>
          <w:rFonts w:ascii="Times New Roman" w:hAnsi="Times New Roman" w:cs="Times New Roman"/>
          <w:i/>
          <w:iCs/>
        </w:rPr>
        <w:t>Elife</w:t>
      </w:r>
      <w:r w:rsidRPr="00B73E5F">
        <w:rPr>
          <w:rFonts w:ascii="Times New Roman" w:hAnsi="Times New Roman" w:cs="Times New Roman"/>
        </w:rPr>
        <w:t>, vol. 10 (March 2021).</w:t>
      </w:r>
    </w:p>
    <w:p w14:paraId="6FB8BDC9" w14:textId="21FD7DA8"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Kauffman, and Elizabeth B., Laura D. Kramer. Zika virus mosquito vectors: competence, biology, and vector control. </w:t>
      </w:r>
      <w:r w:rsidRPr="00B73E5F">
        <w:rPr>
          <w:rFonts w:ascii="Times New Roman" w:hAnsi="Times New Roman" w:cs="Times New Roman"/>
          <w:i/>
          <w:iCs/>
        </w:rPr>
        <w:t>J Infect Dis</w:t>
      </w:r>
      <w:r w:rsidRPr="00B73E5F">
        <w:rPr>
          <w:rFonts w:ascii="Times New Roman" w:hAnsi="Times New Roman" w:cs="Times New Roman"/>
        </w:rPr>
        <w:t>, vol. 216, No. 1093 (December 2017), pp. S976—S990.</w:t>
      </w:r>
    </w:p>
    <w:p w14:paraId="7DC6F1B2" w14:textId="67C841BA"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Keiper, Felicity, and Ana </w:t>
      </w:r>
      <w:proofErr w:type="spellStart"/>
      <w:r w:rsidRPr="00B73E5F">
        <w:rPr>
          <w:rFonts w:ascii="Times New Roman" w:hAnsi="Times New Roman" w:cs="Times New Roman"/>
        </w:rPr>
        <w:t>Atanassova</w:t>
      </w:r>
      <w:proofErr w:type="spellEnd"/>
      <w:r w:rsidRPr="00B73E5F">
        <w:rPr>
          <w:rFonts w:ascii="Times New Roman" w:hAnsi="Times New Roman" w:cs="Times New Roman"/>
        </w:rPr>
        <w:t xml:space="preserve">. Regulation of synthetic biology: Developments under the convention on biological diversity and its protocols. </w:t>
      </w:r>
      <w:r w:rsidRPr="00B73E5F">
        <w:rPr>
          <w:rFonts w:ascii="Times New Roman" w:hAnsi="Times New Roman" w:cs="Times New Roman"/>
          <w:i/>
          <w:iCs/>
        </w:rPr>
        <w:t>Frontiers in Bioengineering and Biotechnology,</w:t>
      </w:r>
      <w:r w:rsidRPr="00B73E5F">
        <w:rPr>
          <w:rFonts w:ascii="Times New Roman" w:hAnsi="Times New Roman" w:cs="Times New Roman"/>
        </w:rPr>
        <w:t xml:space="preserve"> vol. 8 (April 2020).</w:t>
      </w:r>
    </w:p>
    <w:p w14:paraId="4C8D67D4" w14:textId="3DB99465" w:rsidR="00787D21" w:rsidRPr="00096C23" w:rsidRDefault="00787D21" w:rsidP="00787D21">
      <w:pPr>
        <w:rPr>
          <w:rFonts w:ascii="Times New Roman" w:hAnsi="Times New Roman" w:cs="Times New Roman"/>
        </w:rPr>
      </w:pPr>
      <w:r w:rsidRPr="00B73E5F">
        <w:rPr>
          <w:rFonts w:ascii="Times New Roman" w:hAnsi="Times New Roman" w:cs="Times New Roman"/>
        </w:rPr>
        <w:t xml:space="preserve">Kelsey, Adam, and others. Global governing bodies: a pathway for gene drive governance for vector mosquito control. </w:t>
      </w:r>
      <w:r w:rsidRPr="00B73E5F">
        <w:rPr>
          <w:rFonts w:ascii="Times New Roman" w:hAnsi="Times New Roman" w:cs="Times New Roman"/>
          <w:i/>
          <w:iCs/>
        </w:rPr>
        <w:t xml:space="preserve">Am J trop Med </w:t>
      </w:r>
      <w:proofErr w:type="spellStart"/>
      <w:r w:rsidRPr="00B73E5F">
        <w:rPr>
          <w:rFonts w:ascii="Times New Roman" w:hAnsi="Times New Roman" w:cs="Times New Roman"/>
          <w:i/>
          <w:iCs/>
        </w:rPr>
        <w:t>Hyg</w:t>
      </w:r>
      <w:proofErr w:type="spellEnd"/>
      <w:r w:rsidRPr="00B73E5F">
        <w:rPr>
          <w:rFonts w:ascii="Times New Roman" w:hAnsi="Times New Roman" w:cs="Times New Roman"/>
          <w:i/>
          <w:iCs/>
        </w:rPr>
        <w:t xml:space="preserve">, </w:t>
      </w:r>
      <w:r w:rsidRPr="00B73E5F">
        <w:rPr>
          <w:rFonts w:ascii="Times New Roman" w:hAnsi="Times New Roman" w:cs="Times New Roman"/>
        </w:rPr>
        <w:t>vol. 103, No. 3 (September 2020), pp. 976—985.</w:t>
      </w:r>
    </w:p>
    <w:p w14:paraId="78A6AB8A" w14:textId="57DAF363"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Kim, </w:t>
      </w:r>
      <w:proofErr w:type="spellStart"/>
      <w:r w:rsidRPr="00B73E5F">
        <w:rPr>
          <w:rFonts w:ascii="Times New Roman" w:hAnsi="Times New Roman" w:cs="Times New Roman"/>
        </w:rPr>
        <w:t>Jaehee</w:t>
      </w:r>
      <w:proofErr w:type="spellEnd"/>
      <w:r w:rsidRPr="00B73E5F">
        <w:rPr>
          <w:rFonts w:ascii="Times New Roman" w:hAnsi="Times New Roman" w:cs="Times New Roman"/>
        </w:rPr>
        <w:t xml:space="preserve">, and others. Incorporating ecology into gene drive modelling. </w:t>
      </w:r>
      <w:r w:rsidRPr="00B73E5F">
        <w:rPr>
          <w:rFonts w:ascii="Times New Roman" w:hAnsi="Times New Roman" w:cs="Times New Roman"/>
          <w:i/>
          <w:iCs/>
        </w:rPr>
        <w:t xml:space="preserve">Ecology Letters, </w:t>
      </w:r>
      <w:r w:rsidRPr="00B73E5F">
        <w:rPr>
          <w:rFonts w:ascii="Times New Roman" w:hAnsi="Times New Roman" w:cs="Times New Roman"/>
        </w:rPr>
        <w:t>vol. 26, No. 1 (September 2023), pp. S62—S80.</w:t>
      </w:r>
    </w:p>
    <w:p w14:paraId="31DCD819" w14:textId="19A55BC8"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Kokotovich, Adam E., and others. Stakeholder engagement to inform the risk assessment and governance of gene drive technology to manage spotted-wing drosophila. </w:t>
      </w:r>
      <w:r w:rsidRPr="00B73E5F">
        <w:rPr>
          <w:rFonts w:ascii="Times New Roman" w:hAnsi="Times New Roman" w:cs="Times New Roman"/>
          <w:i/>
          <w:iCs/>
        </w:rPr>
        <w:t xml:space="preserve">Journal of Environmental Management, </w:t>
      </w:r>
      <w:r w:rsidRPr="00B73E5F">
        <w:rPr>
          <w:rFonts w:ascii="Times New Roman" w:hAnsi="Times New Roman" w:cs="Times New Roman"/>
        </w:rPr>
        <w:t xml:space="preserve">vol. 307 (April 2022). </w:t>
      </w:r>
    </w:p>
    <w:p w14:paraId="3EA2768E" w14:textId="2C3DFE87" w:rsidR="00787D21" w:rsidRPr="00921F1A" w:rsidRDefault="00787D21" w:rsidP="00787D21">
      <w:pPr>
        <w:rPr>
          <w:rFonts w:ascii="Times New Roman" w:hAnsi="Times New Roman" w:cs="Times New Roman"/>
        </w:rPr>
      </w:pPr>
      <w:r w:rsidRPr="00B73E5F">
        <w:rPr>
          <w:rFonts w:ascii="Times New Roman" w:hAnsi="Times New Roman" w:cs="Times New Roman"/>
        </w:rPr>
        <w:t xml:space="preserve">Kormos, Ana, and others. </w:t>
      </w:r>
      <w:r w:rsidRPr="00B73E5F">
        <w:rPr>
          <w:rFonts w:ascii="Times New Roman" w:eastAsia="Times New Roman" w:hAnsi="Times New Roman" w:cs="Times New Roman"/>
          <w:color w:val="000000"/>
          <w:lang w:eastAsia="en-CA"/>
          <w14:ligatures w14:val="none"/>
        </w:rPr>
        <w:t xml:space="preserve">Conceptual risk assessment of mosquito population modification gene-drive systems to control malaria transmission: Preliminary hazards list workshops. </w:t>
      </w:r>
      <w:r w:rsidRPr="00B73E5F">
        <w:rPr>
          <w:rFonts w:ascii="Times New Roman" w:hAnsi="Times New Roman" w:cs="Times New Roman"/>
          <w:i/>
          <w:iCs/>
        </w:rPr>
        <w:t>Frontiers in Bioengineering and Biotechnology</w:t>
      </w:r>
      <w:r w:rsidRPr="00B73E5F">
        <w:rPr>
          <w:rFonts w:ascii="Times New Roman" w:hAnsi="Times New Roman" w:cs="Times New Roman"/>
        </w:rPr>
        <w:t>, vol. 11 (October 2023).</w:t>
      </w:r>
      <w:r w:rsidRPr="00096C23">
        <w:rPr>
          <w:rFonts w:ascii="Times New Roman" w:hAnsi="Times New Roman" w:cs="Times New Roman"/>
        </w:rPr>
        <w:t xml:space="preserve"> </w:t>
      </w:r>
    </w:p>
    <w:p w14:paraId="21AD6391" w14:textId="7A8A2E0F" w:rsidR="00787D21" w:rsidRPr="00B73E5F" w:rsidRDefault="00433E4B" w:rsidP="00787D21">
      <w:pPr>
        <w:rPr>
          <w:rFonts w:ascii="Times New Roman" w:hAnsi="Times New Roman" w:cs="Times New Roman"/>
        </w:rPr>
      </w:pPr>
      <w:r w:rsidRPr="00B73E5F">
        <w:rPr>
          <w:rFonts w:ascii="Times New Roman" w:hAnsi="Times New Roman" w:cs="Times New Roman"/>
        </w:rPr>
        <w:t xml:space="preserve">Kuzma, Jennifer. Procedurally robust risk assessment framework for novel genetically engineered organisms and gene drives. </w:t>
      </w:r>
      <w:r w:rsidRPr="00B73E5F">
        <w:rPr>
          <w:rFonts w:ascii="Times New Roman" w:hAnsi="Times New Roman" w:cs="Times New Roman"/>
          <w:i/>
          <w:iCs/>
        </w:rPr>
        <w:t>Regulation &amp; Governance</w:t>
      </w:r>
      <w:r w:rsidR="00787D21" w:rsidRPr="00B73E5F">
        <w:rPr>
          <w:rFonts w:ascii="Times New Roman" w:hAnsi="Times New Roman" w:cs="Times New Roman"/>
          <w:i/>
          <w:iCs/>
        </w:rPr>
        <w:t xml:space="preserve"> </w:t>
      </w:r>
      <w:r w:rsidR="00787D21" w:rsidRPr="00B73E5F">
        <w:rPr>
          <w:rFonts w:ascii="Times New Roman" w:hAnsi="Times New Roman" w:cs="Times New Roman"/>
        </w:rPr>
        <w:t xml:space="preserve">(March 2019). </w:t>
      </w:r>
    </w:p>
    <w:p w14:paraId="3D995295" w14:textId="7ED708DB" w:rsidR="00787D21" w:rsidRPr="00921F1A" w:rsidRDefault="6E56B647" w:rsidP="00787D21">
      <w:pPr>
        <w:rPr>
          <w:rFonts w:ascii="Times New Roman" w:hAnsi="Times New Roman" w:cs="Times New Roman"/>
        </w:rPr>
      </w:pPr>
      <w:r w:rsidRPr="00B73E5F">
        <w:rPr>
          <w:rFonts w:ascii="Times New Roman" w:hAnsi="Times New Roman" w:cs="Times New Roman"/>
        </w:rPr>
        <w:t xml:space="preserve"> </w:t>
      </w:r>
      <w:r w:rsidR="00787D21" w:rsidRPr="00B73E5F">
        <w:rPr>
          <w:rFonts w:ascii="Times New Roman" w:hAnsi="Times New Roman" w:cs="Times New Roman"/>
        </w:rPr>
        <w:t xml:space="preserve">Kyrou, </w:t>
      </w:r>
      <w:proofErr w:type="spellStart"/>
      <w:r w:rsidR="00787D21" w:rsidRPr="00B73E5F">
        <w:rPr>
          <w:rFonts w:ascii="Times New Roman" w:hAnsi="Times New Roman" w:cs="Times New Roman"/>
        </w:rPr>
        <w:t>Kryos</w:t>
      </w:r>
      <w:proofErr w:type="spellEnd"/>
      <w:r w:rsidR="00787D21" w:rsidRPr="00B73E5F">
        <w:rPr>
          <w:rFonts w:ascii="Times New Roman" w:hAnsi="Times New Roman" w:cs="Times New Roman"/>
        </w:rPr>
        <w:t xml:space="preserve">, and others. A CRISPR–Cas9 gene drive targeting </w:t>
      </w:r>
      <w:proofErr w:type="spellStart"/>
      <w:r w:rsidR="00787D21" w:rsidRPr="00B73E5F">
        <w:rPr>
          <w:rFonts w:ascii="Times New Roman" w:hAnsi="Times New Roman" w:cs="Times New Roman"/>
        </w:rPr>
        <w:t>doublesex</w:t>
      </w:r>
      <w:proofErr w:type="spellEnd"/>
      <w:r w:rsidR="00787D21" w:rsidRPr="00B73E5F">
        <w:rPr>
          <w:rFonts w:ascii="Times New Roman" w:hAnsi="Times New Roman" w:cs="Times New Roman"/>
        </w:rPr>
        <w:t xml:space="preserve"> causes complete population suppression in caged </w:t>
      </w:r>
      <w:r w:rsidR="00787D21" w:rsidRPr="00B73E5F">
        <w:rPr>
          <w:rFonts w:ascii="Times New Roman" w:hAnsi="Times New Roman" w:cs="Times New Roman"/>
          <w:i/>
          <w:iCs/>
        </w:rPr>
        <w:t>Anopheles gambiae</w:t>
      </w:r>
      <w:r w:rsidR="00787D21" w:rsidRPr="00B73E5F">
        <w:rPr>
          <w:rFonts w:ascii="Times New Roman" w:hAnsi="Times New Roman" w:cs="Times New Roman"/>
        </w:rPr>
        <w:t xml:space="preserve"> mosquitoes. </w:t>
      </w:r>
      <w:r w:rsidR="00787D21" w:rsidRPr="00B73E5F">
        <w:rPr>
          <w:rFonts w:ascii="Times New Roman" w:hAnsi="Times New Roman" w:cs="Times New Roman"/>
          <w:i/>
          <w:iCs/>
        </w:rPr>
        <w:t>Nature Biotechnology</w:t>
      </w:r>
      <w:r w:rsidR="00787D21" w:rsidRPr="00B73E5F">
        <w:rPr>
          <w:rFonts w:ascii="Times New Roman" w:hAnsi="Times New Roman" w:cs="Times New Roman"/>
        </w:rPr>
        <w:t>, vol. 36, No. 4245 (September 2018), pp. 1062—1066.</w:t>
      </w:r>
    </w:p>
    <w:p w14:paraId="4F156DA0" w14:textId="063AB25F" w:rsidR="000815D3" w:rsidRPr="00B73E5F" w:rsidRDefault="000815D3" w:rsidP="00787D21">
      <w:pPr>
        <w:rPr>
          <w:rFonts w:ascii="Times New Roman" w:hAnsi="Times New Roman" w:cs="Times New Roman"/>
        </w:rPr>
      </w:pPr>
      <w:r w:rsidRPr="00B73E5F">
        <w:rPr>
          <w:rFonts w:ascii="Times New Roman" w:hAnsi="Times New Roman" w:cs="Times New Roman"/>
        </w:rPr>
        <w:t xml:space="preserve">Leftwich, Philip T., and others. </w:t>
      </w:r>
      <w:r w:rsidR="00D90D23" w:rsidRPr="00B73E5F">
        <w:rPr>
          <w:rFonts w:ascii="Times New Roman" w:hAnsi="Times New Roman" w:cs="Times New Roman"/>
        </w:rPr>
        <w:t xml:space="preserve">Recent advances in threshold-dependent gene drives for mosquitoes. </w:t>
      </w:r>
      <w:proofErr w:type="spellStart"/>
      <w:r w:rsidR="00D90D23" w:rsidRPr="00B73E5F">
        <w:rPr>
          <w:rFonts w:ascii="Times New Roman" w:hAnsi="Times New Roman" w:cs="Times New Roman"/>
          <w:i/>
          <w:iCs/>
        </w:rPr>
        <w:t>Biochem</w:t>
      </w:r>
      <w:proofErr w:type="spellEnd"/>
      <w:r w:rsidR="00D90D23" w:rsidRPr="00B73E5F">
        <w:rPr>
          <w:rFonts w:ascii="Times New Roman" w:hAnsi="Times New Roman" w:cs="Times New Roman"/>
          <w:i/>
          <w:iCs/>
        </w:rPr>
        <w:t xml:space="preserve"> Soc Trans, </w:t>
      </w:r>
      <w:r w:rsidR="00D90D23" w:rsidRPr="00B73E5F">
        <w:rPr>
          <w:rFonts w:ascii="Times New Roman" w:hAnsi="Times New Roman" w:cs="Times New Roman"/>
        </w:rPr>
        <w:t xml:space="preserve">vol. </w:t>
      </w:r>
      <w:r w:rsidR="00453E43" w:rsidRPr="00B73E5F">
        <w:rPr>
          <w:rFonts w:ascii="Times New Roman" w:hAnsi="Times New Roman" w:cs="Times New Roman"/>
        </w:rPr>
        <w:t xml:space="preserve">46, No. 5 (2018), pp. 1203 – 1212. </w:t>
      </w:r>
    </w:p>
    <w:p w14:paraId="2E64F2F9" w14:textId="112EE50A" w:rsidR="00787D21" w:rsidRPr="00B73E5F" w:rsidRDefault="00787D21" w:rsidP="00787D21">
      <w:pPr>
        <w:rPr>
          <w:rFonts w:ascii="Times New Roman" w:hAnsi="Times New Roman" w:cs="Times New Roman"/>
        </w:rPr>
      </w:pPr>
      <w:proofErr w:type="spellStart"/>
      <w:r w:rsidRPr="00B73E5F">
        <w:rPr>
          <w:rFonts w:ascii="Times New Roman" w:hAnsi="Times New Roman" w:cs="Times New Roman"/>
        </w:rPr>
        <w:t>Legros</w:t>
      </w:r>
      <w:proofErr w:type="spellEnd"/>
      <w:r w:rsidRPr="00B73E5F">
        <w:rPr>
          <w:rFonts w:ascii="Times New Roman" w:hAnsi="Times New Roman" w:cs="Times New Roman"/>
        </w:rPr>
        <w:t xml:space="preserve">, Mathieu, and others. Gene drive strategies of pest control in agricultural systems: Challenges and opportunities. </w:t>
      </w:r>
      <w:r w:rsidRPr="00B73E5F">
        <w:rPr>
          <w:rFonts w:ascii="Times New Roman" w:hAnsi="Times New Roman" w:cs="Times New Roman"/>
          <w:i/>
        </w:rPr>
        <w:t xml:space="preserve">Evolutionary Applications, </w:t>
      </w:r>
      <w:r w:rsidRPr="00B73E5F">
        <w:rPr>
          <w:rFonts w:ascii="Times New Roman" w:hAnsi="Times New Roman" w:cs="Times New Roman"/>
        </w:rPr>
        <w:t xml:space="preserve">vol. 14, No. 9 (July 2021), pp. 2162 —2178. </w:t>
      </w:r>
    </w:p>
    <w:p w14:paraId="3E43ECDC" w14:textId="77777777" w:rsidR="00787D21" w:rsidRPr="00096C23" w:rsidRDefault="00787D21" w:rsidP="00787D21">
      <w:pPr>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Legros</w:t>
      </w:r>
      <w:proofErr w:type="spellEnd"/>
      <w:r w:rsidRPr="00B73E5F">
        <w:rPr>
          <w:rFonts w:ascii="Times New Roman" w:hAnsi="Times New Roman" w:cs="Times New Roman"/>
          <w:color w:val="000000" w:themeColor="text1"/>
        </w:rPr>
        <w:t xml:space="preserve">, Mathieu, and others. </w:t>
      </w:r>
      <w:proofErr w:type="spellStart"/>
      <w:r w:rsidRPr="00B73E5F">
        <w:rPr>
          <w:rFonts w:ascii="Times New Roman" w:hAnsi="Times New Roman" w:cs="Times New Roman"/>
          <w:color w:val="000000" w:themeColor="text1"/>
        </w:rPr>
        <w:t>Modeling</w:t>
      </w:r>
      <w:proofErr w:type="spellEnd"/>
      <w:r w:rsidRPr="00B73E5F">
        <w:rPr>
          <w:rFonts w:ascii="Times New Roman" w:hAnsi="Times New Roman" w:cs="Times New Roman"/>
          <w:color w:val="000000" w:themeColor="text1"/>
        </w:rPr>
        <w:t xml:space="preserve"> the dynamics of a non-limited and a self-limited gene drive system in structured </w:t>
      </w:r>
      <w:r w:rsidRPr="00B73E5F">
        <w:rPr>
          <w:rFonts w:ascii="Times New Roman" w:hAnsi="Times New Roman" w:cs="Times New Roman"/>
          <w:i/>
          <w:iCs/>
          <w:color w:val="000000" w:themeColor="text1"/>
        </w:rPr>
        <w:t>Aedes aegypti</w:t>
      </w:r>
      <w:r w:rsidRPr="00B73E5F">
        <w:rPr>
          <w:rFonts w:ascii="Times New Roman" w:hAnsi="Times New Roman" w:cs="Times New Roman"/>
          <w:color w:val="000000" w:themeColor="text1"/>
        </w:rPr>
        <w:t xml:space="preserve"> populations. </w:t>
      </w:r>
      <w:proofErr w:type="spellStart"/>
      <w:r w:rsidR="003C7EFE" w:rsidRPr="00B73E5F">
        <w:rPr>
          <w:rFonts w:ascii="Times New Roman" w:hAnsi="Times New Roman" w:cs="Times New Roman"/>
          <w:i/>
          <w:iCs/>
          <w:color w:val="000000" w:themeColor="text1"/>
        </w:rPr>
        <w:t>p</w:t>
      </w:r>
      <w:r w:rsidRPr="00B73E5F">
        <w:rPr>
          <w:rFonts w:ascii="Times New Roman" w:hAnsi="Times New Roman" w:cs="Times New Roman"/>
          <w:i/>
          <w:iCs/>
          <w:color w:val="000000" w:themeColor="text1"/>
        </w:rPr>
        <w:t>LoS</w:t>
      </w:r>
      <w:proofErr w:type="spellEnd"/>
      <w:r w:rsidRPr="00B73E5F">
        <w:rPr>
          <w:rFonts w:ascii="Times New Roman" w:hAnsi="Times New Roman" w:cs="Times New Roman"/>
          <w:i/>
          <w:iCs/>
          <w:color w:val="000000" w:themeColor="text1"/>
        </w:rPr>
        <w:t xml:space="preserve"> ONE</w:t>
      </w:r>
      <w:r w:rsidRPr="00B73E5F">
        <w:rPr>
          <w:rFonts w:ascii="Times New Roman" w:hAnsi="Times New Roman" w:cs="Times New Roman"/>
          <w:color w:val="000000" w:themeColor="text1"/>
        </w:rPr>
        <w:t>, vol. 8, No. 12 (December 2013).</w:t>
      </w:r>
      <w:r w:rsidRPr="00096C23">
        <w:rPr>
          <w:rFonts w:ascii="Times New Roman" w:hAnsi="Times New Roman" w:cs="Times New Roman"/>
          <w:color w:val="000000" w:themeColor="text1"/>
        </w:rPr>
        <w:t xml:space="preserve"> </w:t>
      </w:r>
    </w:p>
    <w:p w14:paraId="6218022D" w14:textId="6FDBED05" w:rsidR="00BD5088" w:rsidRPr="00B73E5F" w:rsidRDefault="00BD5088" w:rsidP="00787D21">
      <w:pPr>
        <w:rPr>
          <w:rFonts w:ascii="Times New Roman" w:hAnsi="Times New Roman" w:cs="Times New Roman"/>
          <w:color w:val="000000" w:themeColor="text1"/>
        </w:rPr>
      </w:pPr>
      <w:r w:rsidRPr="00B73E5F">
        <w:rPr>
          <w:rFonts w:ascii="Times New Roman" w:hAnsi="Times New Roman" w:cs="Times New Roman"/>
          <w:color w:val="000000" w:themeColor="text1"/>
        </w:rPr>
        <w:lastRenderedPageBreak/>
        <w:t>Leit</w:t>
      </w:r>
      <w:r w:rsidR="002731D3" w:rsidRPr="00B73E5F">
        <w:rPr>
          <w:rFonts w:ascii="Times New Roman" w:hAnsi="Times New Roman" w:cs="Times New Roman"/>
          <w:color w:val="000000" w:themeColor="text1"/>
        </w:rPr>
        <w:t xml:space="preserve">schuh, Caroline M., and others. Developing gene drive technologies to eradicate invasive rodents from islands. </w:t>
      </w:r>
      <w:r w:rsidR="002731D3" w:rsidRPr="00B73E5F">
        <w:rPr>
          <w:rFonts w:ascii="Times New Roman" w:hAnsi="Times New Roman" w:cs="Times New Roman"/>
          <w:i/>
          <w:iCs/>
          <w:color w:val="000000" w:themeColor="text1"/>
        </w:rPr>
        <w:t>Journal of Responsible Innovation</w:t>
      </w:r>
      <w:r w:rsidR="00334B10" w:rsidRPr="00B73E5F">
        <w:rPr>
          <w:rFonts w:ascii="Times New Roman" w:hAnsi="Times New Roman" w:cs="Times New Roman"/>
          <w:color w:val="000000" w:themeColor="text1"/>
        </w:rPr>
        <w:t xml:space="preserve">, vol. 5, No. Suppl. 1 (2018), pp. S121 – S138. </w:t>
      </w:r>
    </w:p>
    <w:p w14:paraId="54FB0BE3" w14:textId="31B9C193"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Lessard, Bryan D., and others. Detection of the Japanese encephalitis vector mosquito </w:t>
      </w:r>
      <w:r w:rsidRPr="00B73E5F">
        <w:rPr>
          <w:rFonts w:ascii="Times New Roman" w:hAnsi="Times New Roman" w:cs="Times New Roman"/>
          <w:i/>
          <w:iCs/>
          <w:color w:val="000000" w:themeColor="text1"/>
        </w:rPr>
        <w:t xml:space="preserve">Culex </w:t>
      </w:r>
      <w:proofErr w:type="spellStart"/>
      <w:r w:rsidRPr="00B73E5F">
        <w:rPr>
          <w:rFonts w:ascii="Times New Roman" w:hAnsi="Times New Roman" w:cs="Times New Roman"/>
          <w:i/>
          <w:iCs/>
          <w:color w:val="000000" w:themeColor="text1"/>
        </w:rPr>
        <w:t>tritaeniorhynchus</w:t>
      </w:r>
      <w:proofErr w:type="spellEnd"/>
      <w:r w:rsidRPr="00B73E5F">
        <w:rPr>
          <w:rFonts w:ascii="Times New Roman" w:hAnsi="Times New Roman" w:cs="Times New Roman"/>
          <w:i/>
          <w:iCs/>
          <w:color w:val="000000" w:themeColor="text1"/>
        </w:rPr>
        <w:t xml:space="preserve"> </w:t>
      </w:r>
      <w:r w:rsidRPr="00B73E5F">
        <w:rPr>
          <w:rFonts w:ascii="Times New Roman" w:hAnsi="Times New Roman" w:cs="Times New Roman"/>
          <w:color w:val="000000" w:themeColor="text1"/>
        </w:rPr>
        <w:t xml:space="preserve">in Australia using molecular diagnostics and morphology. </w:t>
      </w:r>
      <w:r w:rsidRPr="00B73E5F">
        <w:rPr>
          <w:rFonts w:ascii="Times New Roman" w:hAnsi="Times New Roman" w:cs="Times New Roman"/>
          <w:i/>
          <w:iCs/>
          <w:color w:val="000000" w:themeColor="text1"/>
        </w:rPr>
        <w:t>Parasites &amp; Vectors</w:t>
      </w:r>
      <w:r w:rsidRPr="00B73E5F">
        <w:rPr>
          <w:rFonts w:ascii="Times New Roman" w:hAnsi="Times New Roman" w:cs="Times New Roman"/>
          <w:color w:val="000000" w:themeColor="text1"/>
        </w:rPr>
        <w:t xml:space="preserve">, vol. 14, No. 411 (August 2021). </w:t>
      </w:r>
    </w:p>
    <w:p w14:paraId="355C2A5D" w14:textId="3C71409B"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Levins, Richard, and others. Qualitative mathematics for understanding, prediction, and intervention in complex ecosystems. </w:t>
      </w:r>
      <w:proofErr w:type="spellStart"/>
      <w:r w:rsidRPr="00B73E5F">
        <w:rPr>
          <w:rFonts w:ascii="Times New Roman" w:hAnsi="Times New Roman" w:cs="Times New Roman"/>
          <w:i/>
          <w:iCs/>
        </w:rPr>
        <w:t>Ecosyst</w:t>
      </w:r>
      <w:proofErr w:type="spellEnd"/>
      <w:r w:rsidRPr="00B73E5F">
        <w:rPr>
          <w:rFonts w:ascii="Times New Roman" w:hAnsi="Times New Roman" w:cs="Times New Roman"/>
          <w:i/>
          <w:iCs/>
        </w:rPr>
        <w:t>. Health</w:t>
      </w:r>
      <w:r w:rsidRPr="00B73E5F">
        <w:rPr>
          <w:rFonts w:ascii="Times New Roman" w:hAnsi="Times New Roman" w:cs="Times New Roman"/>
        </w:rPr>
        <w:t>, (1998), pp. 178—204.</w:t>
      </w:r>
    </w:p>
    <w:p w14:paraId="30ED0F23" w14:textId="62E15727"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Li, Ming, and others. Development of a confinable gene drive system in the human disease vector </w:t>
      </w:r>
      <w:r w:rsidRPr="00B73E5F">
        <w:rPr>
          <w:rFonts w:ascii="Times New Roman" w:hAnsi="Times New Roman" w:cs="Times New Roman"/>
          <w:i/>
          <w:iCs/>
          <w:color w:val="000000" w:themeColor="text1"/>
        </w:rPr>
        <w:t>Aedes aegypti</w:t>
      </w:r>
      <w:r w:rsidRPr="00B73E5F">
        <w:rPr>
          <w:rFonts w:ascii="Times New Roman" w:hAnsi="Times New Roman" w:cs="Times New Roman"/>
          <w:color w:val="000000" w:themeColor="text1"/>
        </w:rPr>
        <w:t xml:space="preserve">. </w:t>
      </w:r>
      <w:proofErr w:type="spellStart"/>
      <w:r w:rsidRPr="00B73E5F">
        <w:rPr>
          <w:rFonts w:ascii="Times New Roman" w:hAnsi="Times New Roman" w:cs="Times New Roman"/>
          <w:i/>
          <w:iCs/>
          <w:color w:val="000000" w:themeColor="text1"/>
        </w:rPr>
        <w:t>eLife</w:t>
      </w:r>
      <w:proofErr w:type="spellEnd"/>
      <w:r w:rsidRPr="00B73E5F">
        <w:rPr>
          <w:rFonts w:ascii="Times New Roman" w:hAnsi="Times New Roman" w:cs="Times New Roman"/>
          <w:color w:val="000000" w:themeColor="text1"/>
        </w:rPr>
        <w:t xml:space="preserve">, vol. 9, No. e51701 (January 2020), pp. 1 – 22. </w:t>
      </w:r>
    </w:p>
    <w:p w14:paraId="40786CC0" w14:textId="7FA02F4A" w:rsidR="00787D21" w:rsidRPr="00096C23"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Li, Ming, Omar S. Akbari, and Bradley J. White. Highly efficient site-specific mutagenesis in malaria mosquitoes using CRISPR. </w:t>
      </w:r>
      <w:r w:rsidRPr="00B73E5F">
        <w:rPr>
          <w:rFonts w:ascii="Times New Roman" w:hAnsi="Times New Roman" w:cs="Times New Roman"/>
          <w:i/>
          <w:iCs/>
          <w:color w:val="000000" w:themeColor="text1"/>
        </w:rPr>
        <w:t>G3 Genes, Genomes, Genetics</w:t>
      </w:r>
      <w:r w:rsidRPr="00B73E5F">
        <w:rPr>
          <w:rFonts w:ascii="Times New Roman" w:hAnsi="Times New Roman" w:cs="Times New Roman"/>
          <w:color w:val="000000" w:themeColor="text1"/>
        </w:rPr>
        <w:t>, vol. 8, No. 2 (February 2018).</w:t>
      </w:r>
      <w:r w:rsidRPr="00096C23">
        <w:rPr>
          <w:rFonts w:ascii="Times New Roman" w:hAnsi="Times New Roman" w:cs="Times New Roman"/>
          <w:color w:val="000000" w:themeColor="text1"/>
        </w:rPr>
        <w:t xml:space="preserve"> </w:t>
      </w:r>
    </w:p>
    <w:p w14:paraId="46319036" w14:textId="583F27D9" w:rsidR="00787D21" w:rsidRPr="00B73E5F" w:rsidRDefault="00787D21" w:rsidP="00787D21">
      <w:pPr>
        <w:rPr>
          <w:rFonts w:ascii="Times New Roman" w:hAnsi="Times New Roman" w:cs="Times New Roman"/>
        </w:rPr>
      </w:pPr>
      <w:r w:rsidRPr="00B73E5F">
        <w:rPr>
          <w:rFonts w:ascii="Times New Roman" w:hAnsi="Times New Roman" w:cs="Times New Roman"/>
          <w:color w:val="000000" w:themeColor="text1"/>
        </w:rPr>
        <w:t xml:space="preserve">Little, Eliza A. H., and others. Host interactions of </w:t>
      </w:r>
      <w:r w:rsidRPr="00B73E5F">
        <w:rPr>
          <w:rFonts w:ascii="Times New Roman" w:hAnsi="Times New Roman" w:cs="Times New Roman"/>
          <w:i/>
          <w:iCs/>
          <w:color w:val="000000" w:themeColor="text1"/>
        </w:rPr>
        <w:t>Aedes albopictus</w:t>
      </w:r>
      <w:r w:rsidRPr="00B73E5F">
        <w:rPr>
          <w:rFonts w:ascii="Times New Roman" w:hAnsi="Times New Roman" w:cs="Times New Roman"/>
          <w:color w:val="000000" w:themeColor="text1"/>
        </w:rPr>
        <w:t xml:space="preserve">, an invasive vector of arboviruses. </w:t>
      </w:r>
      <w:proofErr w:type="spellStart"/>
      <w:r w:rsidR="003C7EFE" w:rsidRPr="00B73E5F">
        <w:rPr>
          <w:rFonts w:ascii="Times New Roman" w:hAnsi="Times New Roman" w:cs="Times New Roman"/>
          <w:i/>
          <w:iCs/>
        </w:rPr>
        <w:t>p</w:t>
      </w:r>
      <w:r w:rsidRPr="00B73E5F">
        <w:rPr>
          <w:rFonts w:ascii="Times New Roman" w:hAnsi="Times New Roman" w:cs="Times New Roman"/>
          <w:i/>
          <w:iCs/>
        </w:rPr>
        <w:t>LoS</w:t>
      </w:r>
      <w:proofErr w:type="spellEnd"/>
      <w:r w:rsidRPr="00B73E5F">
        <w:rPr>
          <w:rFonts w:ascii="Times New Roman" w:hAnsi="Times New Roman" w:cs="Times New Roman"/>
          <w:i/>
          <w:iCs/>
        </w:rPr>
        <w:t xml:space="preserve"> </w:t>
      </w:r>
      <w:proofErr w:type="spellStart"/>
      <w:r w:rsidRPr="00B73E5F">
        <w:rPr>
          <w:rFonts w:ascii="Times New Roman" w:hAnsi="Times New Roman" w:cs="Times New Roman"/>
          <w:i/>
          <w:iCs/>
        </w:rPr>
        <w:t>Negl</w:t>
      </w:r>
      <w:proofErr w:type="spellEnd"/>
      <w:r w:rsidRPr="00B73E5F">
        <w:rPr>
          <w:rFonts w:ascii="Times New Roman" w:hAnsi="Times New Roman" w:cs="Times New Roman"/>
          <w:i/>
          <w:iCs/>
        </w:rPr>
        <w:t xml:space="preserve"> Trop Dis.</w:t>
      </w:r>
      <w:r w:rsidRPr="00B73E5F">
        <w:rPr>
          <w:rFonts w:ascii="Times New Roman" w:hAnsi="Times New Roman" w:cs="Times New Roman"/>
        </w:rPr>
        <w:t xml:space="preserve">, vol. 15, No. 2 (February 2021). </w:t>
      </w:r>
    </w:p>
    <w:p w14:paraId="3104DF53" w14:textId="0900967A"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Lopez Del Amo, Victor, and others. A </w:t>
      </w:r>
      <w:proofErr w:type="spellStart"/>
      <w:r w:rsidRPr="00B73E5F">
        <w:rPr>
          <w:rFonts w:ascii="Times New Roman" w:hAnsi="Times New Roman" w:cs="Times New Roman"/>
          <w:color w:val="000000" w:themeColor="text1"/>
        </w:rPr>
        <w:t>transcomplementing</w:t>
      </w:r>
      <w:proofErr w:type="spellEnd"/>
      <w:r w:rsidRPr="00B73E5F">
        <w:rPr>
          <w:rFonts w:ascii="Times New Roman" w:hAnsi="Times New Roman" w:cs="Times New Roman"/>
          <w:color w:val="000000" w:themeColor="text1"/>
        </w:rPr>
        <w:t xml:space="preserve"> gene drive provides a flexible platform for laboratory investigation and potential field deployment. </w:t>
      </w:r>
      <w:r w:rsidRPr="00B73E5F">
        <w:rPr>
          <w:rFonts w:ascii="Times New Roman" w:hAnsi="Times New Roman" w:cs="Times New Roman"/>
          <w:i/>
          <w:iCs/>
          <w:color w:val="000000" w:themeColor="text1"/>
        </w:rPr>
        <w:t>Nature Communications</w:t>
      </w:r>
      <w:r w:rsidRPr="00B73E5F">
        <w:rPr>
          <w:rFonts w:ascii="Times New Roman" w:hAnsi="Times New Roman" w:cs="Times New Roman"/>
          <w:color w:val="000000" w:themeColor="text1"/>
        </w:rPr>
        <w:t>, vol. 11, No. 352 (January 2020).</w:t>
      </w:r>
    </w:p>
    <w:p w14:paraId="0F3F7F12" w14:textId="5DA745C8" w:rsidR="3C51167B" w:rsidRPr="00B73E5F" w:rsidRDefault="6AB90A7C" w:rsidP="3C51167B">
      <w:pPr>
        <w:rPr>
          <w:rFonts w:ascii="Times New Roman" w:eastAsia="Times New Roman" w:hAnsi="Times New Roman" w:cs="Times New Roman"/>
        </w:rPr>
      </w:pPr>
      <w:r w:rsidRPr="00B73E5F">
        <w:rPr>
          <w:rFonts w:ascii="Times New Roman" w:eastAsia="Times New Roman" w:hAnsi="Times New Roman" w:cs="Times New Roman"/>
        </w:rPr>
        <w:t>MacFarlane, Gus R., Simon Lillico,</w:t>
      </w:r>
      <w:r w:rsidR="49DEFCFF" w:rsidRPr="00B73E5F">
        <w:rPr>
          <w:rFonts w:ascii="Times New Roman" w:eastAsia="Times New Roman" w:hAnsi="Times New Roman" w:cs="Times New Roman"/>
        </w:rPr>
        <w:t xml:space="preserve"> and </w:t>
      </w:r>
      <w:r w:rsidRPr="00B73E5F">
        <w:rPr>
          <w:rFonts w:ascii="Times New Roman" w:eastAsia="Times New Roman" w:hAnsi="Times New Roman" w:cs="Times New Roman"/>
        </w:rPr>
        <w:t>Bruce</w:t>
      </w:r>
      <w:r w:rsidR="5C6661BC" w:rsidRPr="00B73E5F">
        <w:rPr>
          <w:rFonts w:ascii="Times New Roman" w:eastAsia="Times New Roman" w:hAnsi="Times New Roman" w:cs="Times New Roman"/>
        </w:rPr>
        <w:t xml:space="preserve"> </w:t>
      </w:r>
      <w:r w:rsidRPr="00B73E5F">
        <w:rPr>
          <w:rFonts w:ascii="Times New Roman" w:eastAsia="Times New Roman" w:hAnsi="Times New Roman" w:cs="Times New Roman"/>
        </w:rPr>
        <w:t>Whitelaw</w:t>
      </w:r>
      <w:r w:rsidR="70F8FA9A" w:rsidRPr="00B73E5F">
        <w:rPr>
          <w:rFonts w:ascii="Times New Roman" w:eastAsia="Times New Roman" w:hAnsi="Times New Roman" w:cs="Times New Roman"/>
        </w:rPr>
        <w:t>.</w:t>
      </w:r>
      <w:r w:rsidRPr="00B73E5F">
        <w:rPr>
          <w:rFonts w:ascii="Times New Roman" w:eastAsia="Times New Roman" w:hAnsi="Times New Roman" w:cs="Times New Roman"/>
        </w:rPr>
        <w:t xml:space="preserve"> Gene drive: Past, </w:t>
      </w:r>
      <w:proofErr w:type="gramStart"/>
      <w:r w:rsidRPr="00B73E5F">
        <w:rPr>
          <w:rFonts w:ascii="Times New Roman" w:eastAsia="Times New Roman" w:hAnsi="Times New Roman" w:cs="Times New Roman"/>
        </w:rPr>
        <w:t>present</w:t>
      </w:r>
      <w:proofErr w:type="gramEnd"/>
      <w:r w:rsidRPr="00B73E5F">
        <w:rPr>
          <w:rFonts w:ascii="Times New Roman" w:eastAsia="Times New Roman" w:hAnsi="Times New Roman" w:cs="Times New Roman"/>
        </w:rPr>
        <w:t xml:space="preserve"> and future roads to vertebrate biocontrol. </w:t>
      </w:r>
      <w:r w:rsidRPr="00B73E5F">
        <w:rPr>
          <w:rFonts w:ascii="Times New Roman" w:eastAsia="Times New Roman" w:hAnsi="Times New Roman" w:cs="Times New Roman"/>
          <w:i/>
        </w:rPr>
        <w:t>Applied Biosciences</w:t>
      </w:r>
      <w:r w:rsidR="54A86622" w:rsidRPr="00B73E5F">
        <w:rPr>
          <w:rFonts w:ascii="Times New Roman" w:eastAsia="Times New Roman" w:hAnsi="Times New Roman" w:cs="Times New Roman"/>
          <w:i/>
          <w:iCs/>
        </w:rPr>
        <w:t xml:space="preserve">, </w:t>
      </w:r>
      <w:r w:rsidR="54A86622" w:rsidRPr="00B73E5F">
        <w:rPr>
          <w:rFonts w:ascii="Times New Roman" w:eastAsia="Times New Roman" w:hAnsi="Times New Roman" w:cs="Times New Roman"/>
        </w:rPr>
        <w:t>vol.</w:t>
      </w:r>
      <w:r w:rsidRPr="00B73E5F">
        <w:rPr>
          <w:rFonts w:ascii="Times New Roman" w:eastAsia="Times New Roman" w:hAnsi="Times New Roman" w:cs="Times New Roman"/>
        </w:rPr>
        <w:t xml:space="preserve"> 2</w:t>
      </w:r>
      <w:r w:rsidR="646FAD39" w:rsidRPr="00B73E5F">
        <w:rPr>
          <w:rFonts w:ascii="Times New Roman" w:eastAsia="Times New Roman" w:hAnsi="Times New Roman" w:cs="Times New Roman"/>
        </w:rPr>
        <w:t xml:space="preserve"> (February 2023), pp. </w:t>
      </w:r>
      <w:r w:rsidRPr="00B73E5F">
        <w:rPr>
          <w:rFonts w:ascii="Times New Roman" w:eastAsia="Times New Roman" w:hAnsi="Times New Roman" w:cs="Times New Roman"/>
        </w:rPr>
        <w:t>52</w:t>
      </w:r>
      <w:r w:rsidR="5AD87233" w:rsidRPr="00B73E5F">
        <w:rPr>
          <w:rFonts w:ascii="Times New Roman" w:eastAsia="Times New Roman" w:hAnsi="Times New Roman" w:cs="Times New Roman"/>
        </w:rPr>
        <w:t xml:space="preserve"> – 70. 0</w:t>
      </w:r>
    </w:p>
    <w:p w14:paraId="01BF02FA" w14:textId="0DCF1A55" w:rsidR="00787D21" w:rsidRPr="00B73E5F" w:rsidRDefault="00787D21" w:rsidP="00787D21">
      <w:pPr>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MacIntyre</w:t>
      </w:r>
      <w:proofErr w:type="spellEnd"/>
      <w:r w:rsidRPr="00B73E5F">
        <w:rPr>
          <w:rFonts w:ascii="Times New Roman" w:hAnsi="Times New Roman" w:cs="Times New Roman"/>
          <w:color w:val="000000" w:themeColor="text1"/>
        </w:rPr>
        <w:t xml:space="preserve">, Caitlin, and others. Survey of West Nile and Banzi Viruses in mosquitoes, South Africa, 2011–2018. </w:t>
      </w:r>
      <w:r w:rsidRPr="00B73E5F">
        <w:rPr>
          <w:rFonts w:ascii="Times New Roman" w:hAnsi="Times New Roman" w:cs="Times New Roman"/>
          <w:i/>
          <w:iCs/>
          <w:color w:val="000000" w:themeColor="text1"/>
        </w:rPr>
        <w:t>Emerging Infectious Diseases</w:t>
      </w:r>
      <w:r w:rsidRPr="00B73E5F">
        <w:rPr>
          <w:rFonts w:ascii="Times New Roman" w:hAnsi="Times New Roman" w:cs="Times New Roman"/>
          <w:color w:val="000000" w:themeColor="text1"/>
        </w:rPr>
        <w:t>, vol. 29, No. 1 (January 2023), pp. 164 – 169.</w:t>
      </w:r>
    </w:p>
    <w:p w14:paraId="56E15BC1" w14:textId="110A9D4A" w:rsidR="00787D21" w:rsidRPr="00B73E5F" w:rsidRDefault="00787D21" w:rsidP="00787D21">
      <w:pPr>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Maquart</w:t>
      </w:r>
      <w:proofErr w:type="spellEnd"/>
      <w:r w:rsidRPr="00B73E5F">
        <w:rPr>
          <w:rFonts w:ascii="Times New Roman" w:hAnsi="Times New Roman" w:cs="Times New Roman"/>
          <w:color w:val="000000" w:themeColor="text1"/>
        </w:rPr>
        <w:t xml:space="preserve">, Pierre-Olivier, Leakena Chann, and Sebastien Boyer. </w:t>
      </w:r>
      <w:r w:rsidRPr="00B73E5F">
        <w:rPr>
          <w:rFonts w:ascii="Times New Roman" w:hAnsi="Times New Roman" w:cs="Times New Roman"/>
          <w:i/>
          <w:iCs/>
          <w:color w:val="000000" w:themeColor="text1"/>
        </w:rPr>
        <w:t xml:space="preserve">Culex </w:t>
      </w:r>
      <w:proofErr w:type="spellStart"/>
      <w:r w:rsidRPr="00B73E5F">
        <w:rPr>
          <w:rFonts w:ascii="Times New Roman" w:hAnsi="Times New Roman" w:cs="Times New Roman"/>
          <w:i/>
          <w:iCs/>
          <w:color w:val="000000" w:themeColor="text1"/>
        </w:rPr>
        <w:t>vishnui</w:t>
      </w:r>
      <w:proofErr w:type="spellEnd"/>
      <w:r w:rsidRPr="00B73E5F">
        <w:rPr>
          <w:rFonts w:ascii="Times New Roman" w:hAnsi="Times New Roman" w:cs="Times New Roman"/>
          <w:color w:val="000000" w:themeColor="text1"/>
        </w:rPr>
        <w:t xml:space="preserve"> (Diptera: </w:t>
      </w:r>
      <w:r w:rsidRPr="00B73E5F">
        <w:rPr>
          <w:rFonts w:ascii="Times New Roman" w:hAnsi="Times New Roman" w:cs="Times New Roman"/>
          <w:i/>
          <w:iCs/>
          <w:color w:val="000000" w:themeColor="text1"/>
        </w:rPr>
        <w:t>Culicidae</w:t>
      </w:r>
      <w:r w:rsidRPr="00B73E5F">
        <w:rPr>
          <w:rFonts w:ascii="Times New Roman" w:hAnsi="Times New Roman" w:cs="Times New Roman"/>
          <w:color w:val="000000" w:themeColor="text1"/>
        </w:rPr>
        <w:t xml:space="preserve">): An overlooked vector of arboviruses in South-East Asia. </w:t>
      </w:r>
      <w:r w:rsidRPr="00B73E5F">
        <w:rPr>
          <w:rFonts w:ascii="Times New Roman" w:hAnsi="Times New Roman" w:cs="Times New Roman"/>
          <w:i/>
          <w:iCs/>
          <w:color w:val="000000" w:themeColor="text1"/>
        </w:rPr>
        <w:t>Journal of Medical Entomology</w:t>
      </w:r>
      <w:r w:rsidRPr="00B73E5F">
        <w:rPr>
          <w:rFonts w:ascii="Times New Roman" w:hAnsi="Times New Roman" w:cs="Times New Roman"/>
          <w:color w:val="000000" w:themeColor="text1"/>
        </w:rPr>
        <w:t xml:space="preserve">, vol. 59, No. 4 (July 2022), pp. 1144 – 1153. </w:t>
      </w:r>
    </w:p>
    <w:p w14:paraId="6C05B1BF" w14:textId="6A9A9499"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Marinho, Rafael A., and others. Effects of temperature on the life cycle, expansion, and dispersion of </w:t>
      </w:r>
      <w:r w:rsidRPr="00B73E5F">
        <w:rPr>
          <w:rFonts w:ascii="Times New Roman" w:hAnsi="Times New Roman" w:cs="Times New Roman"/>
          <w:i/>
          <w:iCs/>
          <w:color w:val="000000" w:themeColor="text1"/>
        </w:rPr>
        <w:t>Aedes aegypti</w:t>
      </w:r>
      <w:r w:rsidRPr="00B73E5F">
        <w:rPr>
          <w:rFonts w:ascii="Times New Roman" w:hAnsi="Times New Roman" w:cs="Times New Roman"/>
          <w:color w:val="000000" w:themeColor="text1"/>
        </w:rPr>
        <w:t xml:space="preserve"> (Diptera: </w:t>
      </w:r>
      <w:r w:rsidRPr="00B73E5F">
        <w:rPr>
          <w:rFonts w:ascii="Times New Roman" w:hAnsi="Times New Roman" w:cs="Times New Roman"/>
          <w:i/>
          <w:iCs/>
          <w:color w:val="000000" w:themeColor="text1"/>
        </w:rPr>
        <w:t>Culicidae</w:t>
      </w:r>
      <w:r w:rsidRPr="00B73E5F">
        <w:rPr>
          <w:rFonts w:ascii="Times New Roman" w:hAnsi="Times New Roman" w:cs="Times New Roman"/>
          <w:color w:val="000000" w:themeColor="text1"/>
        </w:rPr>
        <w:t xml:space="preserve">) in three cities in Paraiba, Brazil. </w:t>
      </w:r>
      <w:r w:rsidRPr="00B73E5F">
        <w:rPr>
          <w:rFonts w:ascii="Times New Roman" w:hAnsi="Times New Roman" w:cs="Times New Roman"/>
          <w:i/>
          <w:iCs/>
          <w:color w:val="000000" w:themeColor="text1"/>
        </w:rPr>
        <w:t>J Vector Ecol.</w:t>
      </w:r>
      <w:r w:rsidRPr="00B73E5F">
        <w:rPr>
          <w:rFonts w:ascii="Times New Roman" w:hAnsi="Times New Roman" w:cs="Times New Roman"/>
          <w:color w:val="000000" w:themeColor="text1"/>
        </w:rPr>
        <w:t xml:space="preserve">, vol. 41, No. 1 (June 2016), pp. 1 – 10. </w:t>
      </w:r>
    </w:p>
    <w:p w14:paraId="3ADD1280" w14:textId="6AB53C77" w:rsidR="00C23F12" w:rsidRPr="00B73E5F" w:rsidRDefault="00C23F12" w:rsidP="00AC650D">
      <w:pPr>
        <w:rPr>
          <w:rFonts w:ascii="Times New Roman" w:eastAsia="Times New Roman" w:hAnsi="Times New Roman" w:cs="Times New Roman"/>
        </w:rPr>
      </w:pPr>
      <w:r w:rsidRPr="00B73E5F">
        <w:rPr>
          <w:rFonts w:ascii="Times New Roman" w:eastAsia="Times New Roman" w:hAnsi="Times New Roman" w:cs="Times New Roman"/>
        </w:rPr>
        <w:t xml:space="preserve">Marshall, John M., and Bruce A. Hay. </w:t>
      </w:r>
      <w:r w:rsidR="00080FD9" w:rsidRPr="00B73E5F">
        <w:rPr>
          <w:rFonts w:ascii="Times New Roman" w:eastAsia="Times New Roman" w:hAnsi="Times New Roman" w:cs="Times New Roman"/>
        </w:rPr>
        <w:t xml:space="preserve">Confinement of gene drive systems to local populations: A comparative analysis. </w:t>
      </w:r>
      <w:r w:rsidR="00C04F0E" w:rsidRPr="00B73E5F">
        <w:rPr>
          <w:rFonts w:ascii="Times New Roman" w:eastAsia="Times New Roman" w:hAnsi="Times New Roman" w:cs="Times New Roman"/>
          <w:i/>
          <w:iCs/>
        </w:rPr>
        <w:t>J. Theor Biol</w:t>
      </w:r>
      <w:r w:rsidR="00C04F0E" w:rsidRPr="00B73E5F">
        <w:rPr>
          <w:rFonts w:ascii="Times New Roman" w:eastAsia="Times New Roman" w:hAnsi="Times New Roman" w:cs="Times New Roman"/>
        </w:rPr>
        <w:t xml:space="preserve">., vol. </w:t>
      </w:r>
      <w:r w:rsidR="00467E4B" w:rsidRPr="00B73E5F">
        <w:rPr>
          <w:rFonts w:ascii="Times New Roman" w:eastAsia="Times New Roman" w:hAnsi="Times New Roman" w:cs="Times New Roman"/>
        </w:rPr>
        <w:t>294 (February 2012), pp. 153 – 171.</w:t>
      </w:r>
    </w:p>
    <w:p w14:paraId="316FA31D" w14:textId="5D12F20F" w:rsidR="00AC650D" w:rsidRPr="00B73E5F" w:rsidRDefault="00AC650D" w:rsidP="00AC650D">
      <w:pPr>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rPr>
        <w:t>Massey, N.</w:t>
      </w:r>
      <w:r w:rsidR="00E77CA2" w:rsidRPr="00B73E5F">
        <w:rPr>
          <w:rFonts w:ascii="Times New Roman" w:eastAsia="Times New Roman" w:hAnsi="Times New Roman" w:cs="Times New Roman"/>
          <w:color w:val="000000" w:themeColor="text1"/>
          <w14:ligatures w14:val="none"/>
        </w:rPr>
        <w:t xml:space="preserve"> Claire</w:t>
      </w:r>
      <w:r w:rsidRPr="00B73E5F">
        <w:rPr>
          <w:rFonts w:ascii="Times New Roman" w:eastAsia="Times New Roman" w:hAnsi="Times New Roman" w:cs="Times New Roman"/>
          <w:color w:val="000000" w:themeColor="text1"/>
        </w:rPr>
        <w:t>,</w:t>
      </w:r>
      <w:r w:rsidR="00E77CA2" w:rsidRPr="00B73E5F">
        <w:rPr>
          <w:rFonts w:ascii="Times New Roman" w:eastAsia="Times New Roman" w:hAnsi="Times New Roman" w:cs="Times New Roman"/>
          <w:color w:val="000000" w:themeColor="text1"/>
          <w14:ligatures w14:val="none"/>
        </w:rPr>
        <w:t xml:space="preserve"> and others.</w:t>
      </w:r>
      <w:r w:rsidRPr="00B73E5F">
        <w:rPr>
          <w:rFonts w:ascii="Times New Roman" w:eastAsia="Times New Roman" w:hAnsi="Times New Roman" w:cs="Times New Roman"/>
          <w:color w:val="000000" w:themeColor="text1"/>
        </w:rPr>
        <w:t> A global bionomic database for the dominant vectors of human malaria. </w:t>
      </w:r>
      <w:r w:rsidRPr="00B73E5F">
        <w:rPr>
          <w:rFonts w:ascii="Times New Roman" w:eastAsia="Times New Roman" w:hAnsi="Times New Roman" w:cs="Times New Roman"/>
          <w:i/>
          <w:color w:val="000000" w:themeColor="text1"/>
        </w:rPr>
        <w:t>Sci Data</w:t>
      </w:r>
      <w:r w:rsidR="00E77CA2" w:rsidRPr="00B73E5F">
        <w:rPr>
          <w:rFonts w:ascii="Times New Roman" w:eastAsia="Times New Roman" w:hAnsi="Times New Roman" w:cs="Times New Roman"/>
          <w:i/>
          <w:iCs/>
          <w:color w:val="000000" w:themeColor="text1"/>
          <w14:ligatures w14:val="none"/>
        </w:rPr>
        <w:t xml:space="preserve">, </w:t>
      </w:r>
      <w:r w:rsidR="00E77CA2" w:rsidRPr="00B73E5F">
        <w:rPr>
          <w:rFonts w:ascii="Times New Roman" w:eastAsia="Times New Roman" w:hAnsi="Times New Roman" w:cs="Times New Roman"/>
          <w:color w:val="000000" w:themeColor="text1"/>
          <w14:ligatures w14:val="none"/>
        </w:rPr>
        <w:t>vol.</w:t>
      </w:r>
      <w:r w:rsidRPr="00B73E5F">
        <w:rPr>
          <w:rFonts w:ascii="Times New Roman" w:eastAsia="Times New Roman" w:hAnsi="Times New Roman" w:cs="Times New Roman"/>
          <w:color w:val="000000" w:themeColor="text1"/>
        </w:rPr>
        <w:t xml:space="preserve"> 3, </w:t>
      </w:r>
      <w:r w:rsidR="00E50B0E" w:rsidRPr="00B73E5F">
        <w:rPr>
          <w:rFonts w:ascii="Times New Roman" w:eastAsia="Times New Roman" w:hAnsi="Times New Roman" w:cs="Times New Roman"/>
          <w:color w:val="000000" w:themeColor="text1"/>
          <w14:ligatures w14:val="none"/>
        </w:rPr>
        <w:t xml:space="preserve">No. </w:t>
      </w:r>
      <w:r w:rsidRPr="00B73E5F">
        <w:rPr>
          <w:rFonts w:ascii="Times New Roman" w:eastAsia="Times New Roman" w:hAnsi="Times New Roman" w:cs="Times New Roman"/>
          <w:color w:val="000000" w:themeColor="text1"/>
        </w:rPr>
        <w:t>160014 (</w:t>
      </w:r>
      <w:r w:rsidR="00992A3D" w:rsidRPr="00B73E5F">
        <w:rPr>
          <w:rFonts w:ascii="Times New Roman" w:eastAsia="Times New Roman" w:hAnsi="Times New Roman" w:cs="Times New Roman"/>
          <w:color w:val="000000" w:themeColor="text1"/>
          <w14:ligatures w14:val="none"/>
        </w:rPr>
        <w:t xml:space="preserve">March </w:t>
      </w:r>
      <w:r w:rsidRPr="00B73E5F">
        <w:rPr>
          <w:rFonts w:ascii="Times New Roman" w:eastAsia="Times New Roman" w:hAnsi="Times New Roman" w:cs="Times New Roman"/>
          <w:color w:val="000000" w:themeColor="text1"/>
        </w:rPr>
        <w:t xml:space="preserve">2016). </w:t>
      </w:r>
    </w:p>
    <w:p w14:paraId="4F1247DC" w14:textId="68571727" w:rsidR="00787D21" w:rsidRPr="00096C23" w:rsidRDefault="523717ED" w:rsidP="6C71C5F8">
      <w:pPr>
        <w:pStyle w:val="Default"/>
        <w:spacing w:line="276" w:lineRule="auto"/>
        <w:rPr>
          <w:rFonts w:eastAsia="Times New Roman"/>
          <w:color w:val="auto"/>
          <w:sz w:val="22"/>
          <w:szCs w:val="22"/>
        </w:rPr>
      </w:pPr>
      <w:r w:rsidRPr="00B73E5F">
        <w:rPr>
          <w:rFonts w:eastAsia="Times New Roman"/>
          <w:color w:val="auto"/>
          <w:sz w:val="22"/>
          <w:szCs w:val="22"/>
        </w:rPr>
        <w:t>Mastrandrea, M</w:t>
      </w:r>
      <w:r w:rsidR="2B23C86B" w:rsidRPr="00B73E5F">
        <w:rPr>
          <w:rFonts w:eastAsia="Times New Roman"/>
          <w:color w:val="auto"/>
          <w:sz w:val="22"/>
          <w:szCs w:val="22"/>
        </w:rPr>
        <w:t xml:space="preserve">ichael </w:t>
      </w:r>
      <w:r w:rsidRPr="00B73E5F">
        <w:rPr>
          <w:rFonts w:eastAsia="Times New Roman"/>
          <w:color w:val="auto"/>
          <w:sz w:val="22"/>
          <w:szCs w:val="22"/>
        </w:rPr>
        <w:t xml:space="preserve">D., </w:t>
      </w:r>
      <w:r w:rsidR="5E7DB895" w:rsidRPr="00B73E5F">
        <w:rPr>
          <w:rFonts w:eastAsia="Times New Roman"/>
          <w:color w:val="auto"/>
          <w:sz w:val="22"/>
          <w:szCs w:val="22"/>
        </w:rPr>
        <w:t>and others.</w:t>
      </w:r>
      <w:r w:rsidRPr="00B73E5F">
        <w:rPr>
          <w:rFonts w:eastAsia="Times New Roman"/>
          <w:color w:val="auto"/>
          <w:sz w:val="22"/>
          <w:szCs w:val="22"/>
        </w:rPr>
        <w:t xml:space="preserve"> The IPCC AR5 guidance note on consistent treatment of uncertainties: </w:t>
      </w:r>
      <w:r w:rsidR="016F2E92" w:rsidRPr="00B73E5F">
        <w:rPr>
          <w:rFonts w:eastAsia="Times New Roman"/>
          <w:color w:val="auto"/>
          <w:sz w:val="22"/>
          <w:szCs w:val="22"/>
        </w:rPr>
        <w:t xml:space="preserve">A </w:t>
      </w:r>
      <w:r w:rsidRPr="00B73E5F">
        <w:rPr>
          <w:rFonts w:eastAsia="Times New Roman"/>
          <w:color w:val="auto"/>
          <w:sz w:val="22"/>
          <w:szCs w:val="22"/>
        </w:rPr>
        <w:t xml:space="preserve">common approach across the working groups. </w:t>
      </w:r>
      <w:r w:rsidRPr="00B73E5F">
        <w:rPr>
          <w:rFonts w:eastAsia="Times New Roman"/>
          <w:i/>
          <w:color w:val="auto"/>
          <w:sz w:val="22"/>
          <w:szCs w:val="22"/>
        </w:rPr>
        <w:t>Climatic Change</w:t>
      </w:r>
      <w:r w:rsidR="01805A56" w:rsidRPr="00B73E5F">
        <w:rPr>
          <w:rFonts w:eastAsia="Times New Roman"/>
          <w:i/>
          <w:color w:val="auto"/>
          <w:sz w:val="22"/>
          <w:szCs w:val="22"/>
        </w:rPr>
        <w:t xml:space="preserve">, </w:t>
      </w:r>
      <w:r w:rsidR="01805A56" w:rsidRPr="00B73E5F">
        <w:rPr>
          <w:rFonts w:eastAsia="Times New Roman"/>
          <w:color w:val="auto"/>
          <w:sz w:val="22"/>
          <w:szCs w:val="22"/>
        </w:rPr>
        <w:t>vol.</w:t>
      </w:r>
      <w:r w:rsidRPr="00B73E5F">
        <w:rPr>
          <w:rFonts w:eastAsia="Times New Roman"/>
          <w:color w:val="auto"/>
          <w:sz w:val="22"/>
          <w:szCs w:val="22"/>
        </w:rPr>
        <w:t xml:space="preserve"> 108, </w:t>
      </w:r>
      <w:r w:rsidR="6DCB3D37" w:rsidRPr="00B73E5F">
        <w:rPr>
          <w:rFonts w:eastAsia="Times New Roman"/>
          <w:color w:val="auto"/>
          <w:sz w:val="22"/>
          <w:szCs w:val="22"/>
        </w:rPr>
        <w:t xml:space="preserve">No. </w:t>
      </w:r>
      <w:r w:rsidRPr="00B73E5F">
        <w:rPr>
          <w:rFonts w:eastAsia="Times New Roman"/>
          <w:color w:val="auto"/>
          <w:sz w:val="22"/>
          <w:szCs w:val="22"/>
        </w:rPr>
        <w:t>675</w:t>
      </w:r>
      <w:r w:rsidR="6F4A46B1" w:rsidRPr="00B73E5F">
        <w:rPr>
          <w:rFonts w:eastAsia="Times New Roman"/>
          <w:color w:val="auto"/>
          <w:sz w:val="22"/>
          <w:szCs w:val="22"/>
        </w:rPr>
        <w:t xml:space="preserve"> (August 2011).</w:t>
      </w:r>
      <w:r w:rsidR="6F4A46B1" w:rsidRPr="360113E0">
        <w:rPr>
          <w:rFonts w:eastAsia="Times New Roman"/>
          <w:color w:val="auto"/>
          <w:sz w:val="22"/>
          <w:szCs w:val="22"/>
        </w:rPr>
        <w:t xml:space="preserve"> </w:t>
      </w:r>
    </w:p>
    <w:p w14:paraId="5439C1AC" w14:textId="169B7913" w:rsidR="1BD19A24" w:rsidRPr="00B73E5F" w:rsidRDefault="001D7FC9" w:rsidP="3E11F9EE">
      <w:pPr>
        <w:pStyle w:val="Default"/>
        <w:spacing w:line="276" w:lineRule="auto"/>
      </w:pPr>
      <w:r w:rsidRPr="00B73E5F">
        <w:rPr>
          <w:rFonts w:eastAsia="Times New Roman"/>
          <w:color w:val="auto"/>
          <w:sz w:val="22"/>
          <w:szCs w:val="22"/>
        </w:rPr>
        <w:t xml:space="preserve">Mathur, G., and others. Transgene-mediated suppression of dengue viruses in the salivary glands of the yellow fever mosquito, </w:t>
      </w:r>
      <w:r w:rsidRPr="00B73E5F">
        <w:rPr>
          <w:rFonts w:eastAsia="Times New Roman"/>
          <w:i/>
          <w:iCs/>
          <w:color w:val="auto"/>
          <w:sz w:val="22"/>
          <w:szCs w:val="22"/>
        </w:rPr>
        <w:t>Aedes aegypti. Insect Molecular Biology</w:t>
      </w:r>
      <w:r w:rsidRPr="00B73E5F">
        <w:rPr>
          <w:rFonts w:eastAsia="Times New Roman"/>
          <w:color w:val="auto"/>
          <w:sz w:val="22"/>
          <w:szCs w:val="22"/>
        </w:rPr>
        <w:t xml:space="preserve">, vol. 19, No. 6 (December 2010), pp. 753 – 763. </w:t>
      </w:r>
    </w:p>
    <w:p w14:paraId="74345AC0" w14:textId="43BE8B8E" w:rsidR="00CE413E" w:rsidRPr="00B73E5F" w:rsidRDefault="00CE413E" w:rsidP="00787D21">
      <w:pPr>
        <w:rPr>
          <w:rFonts w:ascii="Times" w:hAnsi="Times" w:cs="Times"/>
        </w:rPr>
      </w:pPr>
      <w:proofErr w:type="spellStart"/>
      <w:r w:rsidRPr="00B73E5F">
        <w:rPr>
          <w:rFonts w:ascii="Times" w:hAnsi="Times" w:cs="Times"/>
        </w:rPr>
        <w:t>Met</w:t>
      </w:r>
      <w:r w:rsidR="00D75B31" w:rsidRPr="00B73E5F">
        <w:rPr>
          <w:rFonts w:ascii="Times" w:hAnsi="Times" w:cs="Times"/>
        </w:rPr>
        <w:t>chanun</w:t>
      </w:r>
      <w:proofErr w:type="spellEnd"/>
      <w:r w:rsidR="00D75B31" w:rsidRPr="00B73E5F">
        <w:rPr>
          <w:rFonts w:ascii="Times" w:hAnsi="Times" w:cs="Times"/>
        </w:rPr>
        <w:t xml:space="preserve">, </w:t>
      </w:r>
      <w:proofErr w:type="spellStart"/>
      <w:r w:rsidR="00D75B31" w:rsidRPr="00B73E5F">
        <w:rPr>
          <w:rFonts w:ascii="Times" w:hAnsi="Times" w:cs="Times"/>
        </w:rPr>
        <w:t>Nawaphan</w:t>
      </w:r>
      <w:proofErr w:type="spellEnd"/>
      <w:r w:rsidR="00D75B31" w:rsidRPr="00B73E5F">
        <w:rPr>
          <w:rFonts w:ascii="Times" w:hAnsi="Times" w:cs="Times"/>
        </w:rPr>
        <w:t xml:space="preserve">, and others. </w:t>
      </w:r>
      <w:proofErr w:type="spellStart"/>
      <w:r w:rsidR="00D75B31" w:rsidRPr="00B73E5F">
        <w:rPr>
          <w:rFonts w:ascii="Times" w:hAnsi="Times" w:cs="Times"/>
        </w:rPr>
        <w:t>Modeling</w:t>
      </w:r>
      <w:proofErr w:type="spellEnd"/>
      <w:r w:rsidR="00D75B31" w:rsidRPr="00B73E5F">
        <w:rPr>
          <w:rFonts w:ascii="Times" w:hAnsi="Times" w:cs="Times"/>
        </w:rPr>
        <w:t xml:space="preserve"> impact and cost-effectiveness of driving-Y gene drives for malaria elimination in the Democratic Republic of the Congo. </w:t>
      </w:r>
      <w:r w:rsidR="00D75B31" w:rsidRPr="00B73E5F">
        <w:rPr>
          <w:rFonts w:ascii="Times" w:hAnsi="Times" w:cs="Times"/>
          <w:i/>
          <w:iCs/>
        </w:rPr>
        <w:t xml:space="preserve">Evolutionary Applications, </w:t>
      </w:r>
      <w:r w:rsidR="00D75B31" w:rsidRPr="00B73E5F">
        <w:rPr>
          <w:rFonts w:ascii="Times" w:hAnsi="Times" w:cs="Times"/>
        </w:rPr>
        <w:t xml:space="preserve">vol. 15, No. 1 (January 2012), pp. 132 – 148. </w:t>
      </w:r>
    </w:p>
    <w:p w14:paraId="0E716498" w14:textId="53C97FB0" w:rsidR="00787D21" w:rsidRPr="00B73E5F" w:rsidRDefault="00787D21" w:rsidP="00787D21">
      <w:pPr>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lastRenderedPageBreak/>
        <w:t>Morchon</w:t>
      </w:r>
      <w:proofErr w:type="spellEnd"/>
      <w:r w:rsidRPr="00B73E5F">
        <w:rPr>
          <w:rFonts w:ascii="Times New Roman" w:hAnsi="Times New Roman" w:cs="Times New Roman"/>
          <w:color w:val="000000" w:themeColor="text1"/>
        </w:rPr>
        <w:t>, Rodrigo, and others. Heartworm Disease (</w:t>
      </w:r>
      <w:proofErr w:type="spellStart"/>
      <w:r w:rsidRPr="00B73E5F">
        <w:rPr>
          <w:rFonts w:ascii="Times New Roman" w:hAnsi="Times New Roman" w:cs="Times New Roman"/>
          <w:i/>
          <w:iCs/>
          <w:color w:val="000000" w:themeColor="text1"/>
        </w:rPr>
        <w:t>Dirofilaria</w:t>
      </w:r>
      <w:proofErr w:type="spellEnd"/>
      <w:r w:rsidRPr="00B73E5F">
        <w:rPr>
          <w:rFonts w:ascii="Times New Roman" w:hAnsi="Times New Roman" w:cs="Times New Roman"/>
          <w:i/>
          <w:iCs/>
          <w:color w:val="000000" w:themeColor="text1"/>
        </w:rPr>
        <w:t xml:space="preserve"> </w:t>
      </w:r>
      <w:proofErr w:type="spellStart"/>
      <w:r w:rsidRPr="00B73E5F">
        <w:rPr>
          <w:rFonts w:ascii="Times New Roman" w:hAnsi="Times New Roman" w:cs="Times New Roman"/>
          <w:i/>
          <w:iCs/>
          <w:color w:val="000000" w:themeColor="text1"/>
        </w:rPr>
        <w:t>immitis</w:t>
      </w:r>
      <w:proofErr w:type="spellEnd"/>
      <w:r w:rsidRPr="00B73E5F">
        <w:rPr>
          <w:rFonts w:ascii="Times New Roman" w:hAnsi="Times New Roman" w:cs="Times New Roman"/>
          <w:color w:val="000000" w:themeColor="text1"/>
        </w:rPr>
        <w:t xml:space="preserve">) and their vectors in Europe – new distribution trends. </w:t>
      </w:r>
      <w:r w:rsidRPr="00B73E5F">
        <w:rPr>
          <w:rFonts w:ascii="Times New Roman" w:hAnsi="Times New Roman" w:cs="Times New Roman"/>
          <w:i/>
          <w:iCs/>
          <w:color w:val="000000" w:themeColor="text1"/>
        </w:rPr>
        <w:t>Frontiers in Physiology</w:t>
      </w:r>
      <w:r w:rsidRPr="00B73E5F">
        <w:rPr>
          <w:rFonts w:ascii="Times New Roman" w:hAnsi="Times New Roman" w:cs="Times New Roman"/>
          <w:color w:val="000000" w:themeColor="text1"/>
        </w:rPr>
        <w:t xml:space="preserve">, vol. 3, No. 196 (June 2012). </w:t>
      </w:r>
    </w:p>
    <w:p w14:paraId="665B44D1" w14:textId="44AE8069" w:rsidR="00787D21" w:rsidRPr="00B73E5F" w:rsidRDefault="00787D21" w:rsidP="0033176E">
      <w:pPr>
        <w:rPr>
          <w:rFonts w:ascii="Times New Roman" w:hAnsi="Times New Roman" w:cs="Times New Roman"/>
        </w:rPr>
      </w:pPr>
      <w:r w:rsidRPr="00B73E5F">
        <w:rPr>
          <w:rFonts w:ascii="Times New Roman" w:hAnsi="Times New Roman" w:cs="Times New Roman"/>
        </w:rPr>
        <w:t xml:space="preserve">Morgan, M. Granger. Use (and abuse) of expert elicitation in support of decision making for public policy. </w:t>
      </w:r>
      <w:r w:rsidRPr="00B73E5F">
        <w:rPr>
          <w:rFonts w:ascii="Times New Roman" w:hAnsi="Times New Roman" w:cs="Times New Roman"/>
          <w:i/>
          <w:iCs/>
        </w:rPr>
        <w:t>PNAS</w:t>
      </w:r>
      <w:r w:rsidRPr="00B73E5F">
        <w:rPr>
          <w:rFonts w:ascii="Times New Roman" w:hAnsi="Times New Roman" w:cs="Times New Roman"/>
        </w:rPr>
        <w:t xml:space="preserve">, vol. 111, No. 20 (May 2014), pp. 7176 – 7184. </w:t>
      </w:r>
    </w:p>
    <w:p w14:paraId="0403ED6A" w14:textId="4479755B" w:rsidR="00787D21" w:rsidRPr="00B73E5F" w:rsidRDefault="00787D21" w:rsidP="00787D21">
      <w:pPr>
        <w:rPr>
          <w:rFonts w:ascii="Times New Roman" w:eastAsia="Times New Roman" w:hAnsi="Times New Roman" w:cs="Times New Roman"/>
          <w:color w:val="000000"/>
          <w:lang w:eastAsia="en-CA"/>
          <w14:ligatures w14:val="none"/>
        </w:rPr>
      </w:pPr>
      <w:r w:rsidRPr="00B73E5F">
        <w:rPr>
          <w:rFonts w:ascii="Times New Roman" w:eastAsia="Times New Roman" w:hAnsi="Times New Roman" w:cs="Times New Roman"/>
          <w:color w:val="000000"/>
          <w:lang w:eastAsia="en-CA"/>
          <w14:ligatures w14:val="none"/>
        </w:rPr>
        <w:t xml:space="preserve">Morgan, Millet Granger, and Max Henrion. </w:t>
      </w:r>
      <w:r w:rsidRPr="00B73E5F">
        <w:rPr>
          <w:rFonts w:ascii="Times New Roman" w:eastAsia="Times New Roman" w:hAnsi="Times New Roman" w:cs="Times New Roman"/>
          <w:i/>
          <w:iCs/>
          <w:color w:val="000000"/>
          <w:lang w:eastAsia="en-CA"/>
          <w14:ligatures w14:val="none"/>
        </w:rPr>
        <w:t>Uncertainty: A Guide to Dealing with Uncertainty in Quantitative Risk and Policy Analysis</w:t>
      </w:r>
      <w:r w:rsidRPr="00B73E5F">
        <w:rPr>
          <w:rFonts w:ascii="Times New Roman" w:eastAsia="Times New Roman" w:hAnsi="Times New Roman" w:cs="Times New Roman"/>
          <w:color w:val="000000"/>
          <w:lang w:eastAsia="en-CA"/>
          <w14:ligatures w14:val="none"/>
        </w:rPr>
        <w:t>. Cambridge University Press, 199</w:t>
      </w:r>
      <w:r w:rsidR="46EB9C2A" w:rsidRPr="00B73E5F">
        <w:rPr>
          <w:rFonts w:ascii="Times New Roman" w:eastAsia="Times New Roman" w:hAnsi="Times New Roman" w:cs="Times New Roman"/>
          <w:color w:val="000000"/>
          <w:lang w:eastAsia="en-CA"/>
          <w14:ligatures w14:val="none"/>
        </w:rPr>
        <w:t>2</w:t>
      </w:r>
      <w:r w:rsidRPr="00B73E5F">
        <w:rPr>
          <w:rFonts w:ascii="Times New Roman" w:eastAsia="Times New Roman" w:hAnsi="Times New Roman" w:cs="Times New Roman"/>
          <w:color w:val="000000"/>
          <w:lang w:eastAsia="en-CA"/>
          <w14:ligatures w14:val="none"/>
        </w:rPr>
        <w:t>.</w:t>
      </w:r>
    </w:p>
    <w:p w14:paraId="6CE970BA" w14:textId="261B357E" w:rsidR="1B8B1850" w:rsidRPr="00B73E5F" w:rsidRDefault="1B8B1850" w:rsidP="1D4162B0">
      <w:pPr>
        <w:pStyle w:val="Default"/>
        <w:spacing w:line="276" w:lineRule="auto"/>
        <w:rPr>
          <w:rFonts w:eastAsia="Times New Roman"/>
          <w:i/>
          <w:color w:val="auto"/>
          <w:sz w:val="22"/>
          <w:szCs w:val="22"/>
        </w:rPr>
      </w:pPr>
      <w:r w:rsidRPr="00B73E5F">
        <w:rPr>
          <w:rFonts w:eastAsia="Times New Roman"/>
          <w:color w:val="auto"/>
          <w:sz w:val="22"/>
          <w:szCs w:val="22"/>
        </w:rPr>
        <w:t>Morozov</w:t>
      </w:r>
      <w:r w:rsidR="1BA67B9F" w:rsidRPr="00B73E5F">
        <w:rPr>
          <w:rFonts w:eastAsia="Times New Roman"/>
          <w:color w:val="auto"/>
          <w:sz w:val="22"/>
          <w:szCs w:val="22"/>
        </w:rPr>
        <w:t xml:space="preserve">, </w:t>
      </w:r>
      <w:r w:rsidRPr="00B73E5F">
        <w:rPr>
          <w:rFonts w:eastAsia="Times New Roman"/>
          <w:color w:val="auto"/>
          <w:sz w:val="22"/>
          <w:szCs w:val="22"/>
        </w:rPr>
        <w:t>A</w:t>
      </w:r>
      <w:r w:rsidR="3C664437" w:rsidRPr="00B73E5F">
        <w:rPr>
          <w:rFonts w:eastAsia="Times New Roman"/>
          <w:color w:val="auto"/>
          <w:sz w:val="22"/>
          <w:szCs w:val="22"/>
        </w:rPr>
        <w:t>ndrew</w:t>
      </w:r>
      <w:r w:rsidRPr="00B73E5F">
        <w:rPr>
          <w:rFonts w:eastAsia="Times New Roman"/>
          <w:color w:val="auto"/>
          <w:sz w:val="22"/>
          <w:szCs w:val="22"/>
        </w:rPr>
        <w:t xml:space="preserve">. Modelling biological evolution: </w:t>
      </w:r>
      <w:r w:rsidR="4C0AEEB7" w:rsidRPr="00B73E5F">
        <w:rPr>
          <w:rFonts w:eastAsia="Times New Roman"/>
          <w:color w:val="auto"/>
          <w:sz w:val="22"/>
          <w:szCs w:val="22"/>
        </w:rPr>
        <w:t>R</w:t>
      </w:r>
      <w:r w:rsidRPr="00B73E5F">
        <w:rPr>
          <w:rFonts w:eastAsia="Times New Roman"/>
          <w:color w:val="auto"/>
          <w:sz w:val="22"/>
          <w:szCs w:val="22"/>
        </w:rPr>
        <w:t xml:space="preserve">ecent progress, current </w:t>
      </w:r>
      <w:proofErr w:type="gramStart"/>
      <w:r w:rsidRPr="00B73E5F">
        <w:rPr>
          <w:rFonts w:eastAsia="Times New Roman"/>
          <w:color w:val="auto"/>
          <w:sz w:val="22"/>
          <w:szCs w:val="22"/>
        </w:rPr>
        <w:t>challenges</w:t>
      </w:r>
      <w:proofErr w:type="gramEnd"/>
      <w:r w:rsidRPr="00B73E5F">
        <w:rPr>
          <w:rFonts w:eastAsia="Times New Roman"/>
          <w:color w:val="auto"/>
          <w:sz w:val="22"/>
          <w:szCs w:val="22"/>
        </w:rPr>
        <w:t xml:space="preserve"> and future direction. </w:t>
      </w:r>
      <w:r w:rsidRPr="00B73E5F">
        <w:rPr>
          <w:rFonts w:eastAsia="Times New Roman"/>
          <w:i/>
          <w:color w:val="auto"/>
          <w:sz w:val="22"/>
          <w:szCs w:val="22"/>
        </w:rPr>
        <w:t>Interface Focus</w:t>
      </w:r>
      <w:r w:rsidR="50891A92" w:rsidRPr="00B73E5F">
        <w:rPr>
          <w:rFonts w:eastAsia="Times New Roman"/>
          <w:i/>
          <w:iCs/>
          <w:color w:val="auto"/>
          <w:sz w:val="22"/>
          <w:szCs w:val="22"/>
        </w:rPr>
        <w:t xml:space="preserve">, </w:t>
      </w:r>
      <w:r w:rsidR="50891A92" w:rsidRPr="00B73E5F">
        <w:rPr>
          <w:rFonts w:eastAsia="Times New Roman"/>
          <w:color w:val="auto"/>
          <w:sz w:val="22"/>
          <w:szCs w:val="22"/>
        </w:rPr>
        <w:t>vol. 3, No. 6 (December</w:t>
      </w:r>
      <w:r w:rsidRPr="00B73E5F">
        <w:rPr>
          <w:rFonts w:eastAsia="Times New Roman"/>
          <w:color w:val="auto"/>
          <w:sz w:val="22"/>
          <w:szCs w:val="22"/>
        </w:rPr>
        <w:t xml:space="preserve"> 2013</w:t>
      </w:r>
      <w:r w:rsidR="50891A92" w:rsidRPr="00B73E5F">
        <w:rPr>
          <w:rFonts w:eastAsia="Times New Roman"/>
          <w:color w:val="auto"/>
          <w:sz w:val="22"/>
          <w:szCs w:val="22"/>
        </w:rPr>
        <w:t xml:space="preserve">). </w:t>
      </w:r>
    </w:p>
    <w:p w14:paraId="108D6492" w14:textId="7E74BB7F" w:rsidR="00787D21" w:rsidRPr="00096C23" w:rsidRDefault="00787D21" w:rsidP="00787D21">
      <w:pPr>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Mravcova</w:t>
      </w:r>
      <w:proofErr w:type="spellEnd"/>
      <w:r w:rsidRPr="00B73E5F">
        <w:rPr>
          <w:rFonts w:ascii="Times New Roman" w:hAnsi="Times New Roman" w:cs="Times New Roman"/>
          <w:color w:val="000000" w:themeColor="text1"/>
        </w:rPr>
        <w:t xml:space="preserve">, Kristina, and others. </w:t>
      </w:r>
      <w:proofErr w:type="spellStart"/>
      <w:r w:rsidRPr="00B73E5F">
        <w:rPr>
          <w:rFonts w:ascii="Times New Roman" w:hAnsi="Times New Roman" w:cs="Times New Roman"/>
          <w:color w:val="000000" w:themeColor="text1"/>
        </w:rPr>
        <w:t>Ťahyňa</w:t>
      </w:r>
      <w:proofErr w:type="spellEnd"/>
      <w:r w:rsidRPr="00B73E5F">
        <w:rPr>
          <w:rFonts w:ascii="Times New Roman" w:hAnsi="Times New Roman" w:cs="Times New Roman"/>
          <w:color w:val="000000" w:themeColor="text1"/>
        </w:rPr>
        <w:t xml:space="preserve"> virus—A widespread, but neglected mosquito-borne virus in Europe. </w:t>
      </w:r>
      <w:r w:rsidRPr="00B73E5F">
        <w:rPr>
          <w:rFonts w:ascii="Times New Roman" w:hAnsi="Times New Roman" w:cs="Times New Roman"/>
          <w:i/>
          <w:iCs/>
          <w:color w:val="000000" w:themeColor="text1"/>
        </w:rPr>
        <w:t>Zoonoses and Public Health</w:t>
      </w:r>
      <w:r w:rsidRPr="00B73E5F">
        <w:rPr>
          <w:rFonts w:ascii="Times New Roman" w:hAnsi="Times New Roman" w:cs="Times New Roman"/>
          <w:color w:val="000000" w:themeColor="text1"/>
        </w:rPr>
        <w:t>, vol. 70, No. 5 (May 2023), pp. 371 – 382.</w:t>
      </w:r>
    </w:p>
    <w:p w14:paraId="0300E727" w14:textId="6E0B67EE"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Nash, Alexander, and others. Integral gene drives for population replacement. </w:t>
      </w:r>
      <w:r w:rsidRPr="00B73E5F">
        <w:rPr>
          <w:rFonts w:ascii="Times New Roman" w:hAnsi="Times New Roman" w:cs="Times New Roman"/>
          <w:i/>
          <w:iCs/>
          <w:color w:val="000000" w:themeColor="text1"/>
        </w:rPr>
        <w:t>Biol Open</w:t>
      </w:r>
      <w:r w:rsidRPr="00B73E5F">
        <w:rPr>
          <w:rFonts w:ascii="Times New Roman" w:hAnsi="Times New Roman" w:cs="Times New Roman"/>
          <w:color w:val="000000" w:themeColor="text1"/>
        </w:rPr>
        <w:t xml:space="preserve">, vol. 8, No. 1 (January 2019). </w:t>
      </w:r>
    </w:p>
    <w:p w14:paraId="5617D5E1" w14:textId="77777777"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National academies of sciences, engineering, and medicine</w:t>
      </w:r>
      <w:r w:rsidR="000F5F11" w:rsidRPr="00B73E5F">
        <w:rPr>
          <w:rFonts w:ascii="Times New Roman" w:hAnsi="Times New Roman" w:cs="Times New Roman"/>
          <w:color w:val="000000" w:themeColor="text1"/>
        </w:rPr>
        <w:t xml:space="preserve"> (NASEM)</w:t>
      </w:r>
      <w:r w:rsidRPr="00B73E5F">
        <w:rPr>
          <w:rFonts w:ascii="Times New Roman" w:hAnsi="Times New Roman" w:cs="Times New Roman"/>
          <w:color w:val="000000" w:themeColor="text1"/>
        </w:rPr>
        <w:t xml:space="preserve">. </w:t>
      </w:r>
      <w:r w:rsidRPr="00B73E5F">
        <w:rPr>
          <w:rFonts w:ascii="Times New Roman" w:hAnsi="Times New Roman" w:cs="Times New Roman"/>
          <w:i/>
          <w:color w:val="000000" w:themeColor="text1"/>
        </w:rPr>
        <w:t>Gene drives on the Horizon: Advancing Science, Navigating Uncertainty, and Aligning Research with Public Values</w:t>
      </w:r>
      <w:r w:rsidRPr="00B73E5F">
        <w:rPr>
          <w:rFonts w:ascii="Times New Roman" w:hAnsi="Times New Roman" w:cs="Times New Roman"/>
          <w:color w:val="000000" w:themeColor="text1"/>
        </w:rPr>
        <w:t>. Washington, DC: The National Academies Press, 2016.</w:t>
      </w:r>
    </w:p>
    <w:p w14:paraId="7F547767" w14:textId="706E39ED" w:rsidR="009B2D30" w:rsidRPr="00B73E5F" w:rsidRDefault="009B2D30" w:rsidP="00787D21">
      <w:pPr>
        <w:rPr>
          <w:rFonts w:ascii="Times New Roman" w:hAnsi="Times New Roman" w:cs="Times New Roman"/>
          <w:color w:val="000000"/>
        </w:rPr>
      </w:pPr>
      <w:r w:rsidRPr="00B73E5F">
        <w:rPr>
          <w:rFonts w:ascii="Times New Roman" w:hAnsi="Times New Roman" w:cs="Times New Roman"/>
          <w:color w:val="000000" w:themeColor="text1"/>
        </w:rPr>
        <w:t xml:space="preserve">Neve, Paul. Gene drive systems: Do they have a place in agricultural weed management? </w:t>
      </w:r>
      <w:r w:rsidRPr="00B73E5F">
        <w:rPr>
          <w:rFonts w:ascii="Times New Roman" w:hAnsi="Times New Roman" w:cs="Times New Roman"/>
          <w:i/>
          <w:iCs/>
          <w:color w:val="000000" w:themeColor="text1"/>
        </w:rPr>
        <w:t xml:space="preserve">Pest Management Science, </w:t>
      </w:r>
      <w:r w:rsidRPr="00B73E5F">
        <w:rPr>
          <w:rFonts w:ascii="Times New Roman" w:hAnsi="Times New Roman" w:cs="Times New Roman"/>
          <w:color w:val="000000" w:themeColor="text1"/>
        </w:rPr>
        <w:t xml:space="preserve">vol. </w:t>
      </w:r>
      <w:r w:rsidR="00BC2045" w:rsidRPr="00B73E5F">
        <w:rPr>
          <w:rFonts w:ascii="Times New Roman" w:hAnsi="Times New Roman" w:cs="Times New Roman"/>
          <w:color w:val="000000" w:themeColor="text1"/>
        </w:rPr>
        <w:t xml:space="preserve">74, No. 12 (December 2018), pp. 2671 – 2679. </w:t>
      </w:r>
    </w:p>
    <w:p w14:paraId="171B47E3" w14:textId="630BC881" w:rsidR="00787D21" w:rsidRPr="00B73E5F" w:rsidRDefault="00787D21" w:rsidP="00787D21">
      <w:pPr>
        <w:rPr>
          <w:rFonts w:ascii="Times New Roman" w:hAnsi="Times New Roman" w:cs="Times New Roman"/>
          <w:color w:val="000000"/>
        </w:rPr>
      </w:pPr>
      <w:r w:rsidRPr="00B73E5F">
        <w:rPr>
          <w:rFonts w:ascii="Times New Roman" w:hAnsi="Times New Roman" w:cs="Times New Roman"/>
        </w:rPr>
        <w:t xml:space="preserve">Nienstedt, Karin M., and others. Development of a framework based on an ecosystem services approach for deriving specific protection goals for environmental risk assessment of pesticides. </w:t>
      </w:r>
      <w:r w:rsidRPr="00B73E5F">
        <w:rPr>
          <w:rFonts w:ascii="Times New Roman" w:hAnsi="Times New Roman" w:cs="Times New Roman"/>
          <w:i/>
          <w:iCs/>
        </w:rPr>
        <w:t xml:space="preserve">Science of the Total Environment, </w:t>
      </w:r>
      <w:r w:rsidRPr="00B73E5F">
        <w:rPr>
          <w:rFonts w:ascii="Times New Roman" w:hAnsi="Times New Roman" w:cs="Times New Roman"/>
        </w:rPr>
        <w:t xml:space="preserve">vol. 415 (January 2012), pp. 31—38. </w:t>
      </w:r>
    </w:p>
    <w:p w14:paraId="2E3FA5A9" w14:textId="4E201EAD"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Noble, Charleston, and others. Current CRISPR gene drive systems are likely to be highly invasive in wild populations. </w:t>
      </w:r>
      <w:r w:rsidRPr="00B73E5F">
        <w:rPr>
          <w:rFonts w:ascii="Times New Roman" w:hAnsi="Times New Roman" w:cs="Times New Roman"/>
          <w:i/>
          <w:iCs/>
        </w:rPr>
        <w:t>Genetics and Genomics, Evolutionary Biology</w:t>
      </w:r>
      <w:r w:rsidRPr="00B73E5F">
        <w:rPr>
          <w:rFonts w:ascii="Times New Roman" w:hAnsi="Times New Roman" w:cs="Times New Roman"/>
        </w:rPr>
        <w:t xml:space="preserve">, vol. 7 (June 2018). </w:t>
      </w:r>
    </w:p>
    <w:p w14:paraId="073E3A12" w14:textId="6A76F44B" w:rsidR="00787D21" w:rsidRPr="00096C23"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Noble, Charleston, and others. Daisy-chain gene drives for the alteration of local populations. </w:t>
      </w:r>
      <w:r w:rsidRPr="00B73E5F">
        <w:rPr>
          <w:rFonts w:ascii="Times New Roman" w:hAnsi="Times New Roman" w:cs="Times New Roman"/>
          <w:i/>
          <w:iCs/>
          <w:color w:val="000000" w:themeColor="text1"/>
        </w:rPr>
        <w:t xml:space="preserve">Proc Natl </w:t>
      </w:r>
      <w:proofErr w:type="spellStart"/>
      <w:r w:rsidRPr="00B73E5F">
        <w:rPr>
          <w:rFonts w:ascii="Times New Roman" w:hAnsi="Times New Roman" w:cs="Times New Roman"/>
          <w:i/>
          <w:iCs/>
          <w:color w:val="000000" w:themeColor="text1"/>
        </w:rPr>
        <w:t>Acad</w:t>
      </w:r>
      <w:proofErr w:type="spellEnd"/>
      <w:r w:rsidRPr="00B73E5F">
        <w:rPr>
          <w:rFonts w:ascii="Times New Roman" w:hAnsi="Times New Roman" w:cs="Times New Roman"/>
          <w:i/>
          <w:iCs/>
          <w:color w:val="000000" w:themeColor="text1"/>
        </w:rPr>
        <w:t xml:space="preserve"> Sci USA,</w:t>
      </w:r>
      <w:r w:rsidRPr="00B73E5F">
        <w:rPr>
          <w:rFonts w:ascii="Times New Roman" w:hAnsi="Times New Roman" w:cs="Times New Roman"/>
          <w:color w:val="000000" w:themeColor="text1"/>
        </w:rPr>
        <w:t xml:space="preserve"> vol. 116, No. 17 (April 2019), pp. 8275 – 8282.</w:t>
      </w:r>
      <w:r w:rsidRPr="00096C23">
        <w:rPr>
          <w:rFonts w:ascii="Times New Roman" w:hAnsi="Times New Roman" w:cs="Times New Roman"/>
          <w:color w:val="000000" w:themeColor="text1"/>
        </w:rPr>
        <w:t xml:space="preserve"> </w:t>
      </w:r>
    </w:p>
    <w:p w14:paraId="6DF1EBE6" w14:textId="59088830"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North, Ace R., Austin Burt, H. Charles J. Godfray. Modelling the potential of genetic control of malaria mosquitoes at national scale. </w:t>
      </w:r>
      <w:r w:rsidRPr="00B73E5F">
        <w:rPr>
          <w:rFonts w:ascii="Times New Roman" w:hAnsi="Times New Roman" w:cs="Times New Roman"/>
          <w:i/>
          <w:iCs/>
          <w:color w:val="000000" w:themeColor="text1"/>
        </w:rPr>
        <w:t>BMC Biology</w:t>
      </w:r>
      <w:r w:rsidRPr="00B73E5F">
        <w:rPr>
          <w:rFonts w:ascii="Times New Roman" w:hAnsi="Times New Roman" w:cs="Times New Roman"/>
          <w:color w:val="000000" w:themeColor="text1"/>
        </w:rPr>
        <w:t>, vol. 17, No. 26 (March 2019).</w:t>
      </w:r>
    </w:p>
    <w:p w14:paraId="453E535E" w14:textId="5408830D"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___________. Modelling the suppression of a malaria vector using a CRISPR-Cas9 gene drive to reduce female fertility. </w:t>
      </w:r>
      <w:r w:rsidRPr="00B73E5F">
        <w:rPr>
          <w:rFonts w:ascii="Times New Roman" w:hAnsi="Times New Roman" w:cs="Times New Roman"/>
          <w:i/>
          <w:iCs/>
          <w:color w:val="000000" w:themeColor="text1"/>
        </w:rPr>
        <w:t>BMC Biology</w:t>
      </w:r>
      <w:r w:rsidRPr="00B73E5F">
        <w:rPr>
          <w:rFonts w:ascii="Times New Roman" w:hAnsi="Times New Roman" w:cs="Times New Roman"/>
          <w:color w:val="000000" w:themeColor="text1"/>
        </w:rPr>
        <w:t xml:space="preserve">, vol. 18, No. 98 (August 2020). </w:t>
      </w:r>
    </w:p>
    <w:p w14:paraId="3ADDFA09" w14:textId="7C8006BF"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Oberhofer, Georg, Tobin Ivy, and Bruce A. Hay (2020</w:t>
      </w:r>
      <w:r w:rsidR="1DB0BAE2" w:rsidRPr="00B73E5F">
        <w:rPr>
          <w:rFonts w:ascii="Times New Roman" w:hAnsi="Times New Roman" w:cs="Times New Roman"/>
          <w:color w:val="000000" w:themeColor="text1"/>
        </w:rPr>
        <w:t>a</w:t>
      </w:r>
      <w:r w:rsidRPr="00B73E5F">
        <w:rPr>
          <w:rFonts w:ascii="Times New Roman" w:hAnsi="Times New Roman" w:cs="Times New Roman"/>
          <w:color w:val="000000" w:themeColor="text1"/>
        </w:rPr>
        <w:t xml:space="preserve">). 2-Locus </w:t>
      </w:r>
      <w:r w:rsidRPr="00B73E5F">
        <w:rPr>
          <w:rFonts w:ascii="Times New Roman" w:hAnsi="Times New Roman" w:cs="Times New Roman"/>
          <w:i/>
          <w:iCs/>
          <w:color w:val="000000" w:themeColor="text1"/>
        </w:rPr>
        <w:t>Cleave and Rescue</w:t>
      </w:r>
      <w:r w:rsidRPr="00B73E5F">
        <w:rPr>
          <w:rFonts w:ascii="Times New Roman" w:hAnsi="Times New Roman" w:cs="Times New Roman"/>
          <w:color w:val="000000" w:themeColor="text1"/>
        </w:rPr>
        <w:t xml:space="preserve"> selfish elements harness a recombination rate-dependent generational clock for self-limiting gene drive. </w:t>
      </w:r>
    </w:p>
    <w:p w14:paraId="2C4BDAEF" w14:textId="55B8EE65"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__________. </w:t>
      </w:r>
      <w:r w:rsidRPr="00B73E5F">
        <w:rPr>
          <w:rFonts w:ascii="Times New Roman" w:hAnsi="Times New Roman" w:cs="Times New Roman"/>
          <w:i/>
          <w:iCs/>
          <w:color w:val="000000" w:themeColor="text1"/>
        </w:rPr>
        <w:t>Cleave and Rescue</w:t>
      </w:r>
      <w:r w:rsidRPr="00B73E5F">
        <w:rPr>
          <w:rFonts w:ascii="Times New Roman" w:hAnsi="Times New Roman" w:cs="Times New Roman"/>
          <w:color w:val="000000" w:themeColor="text1"/>
        </w:rPr>
        <w:t xml:space="preserve">, a novel selfish genetic element and general strategy for gene drive. </w:t>
      </w:r>
      <w:r w:rsidRPr="00B73E5F">
        <w:rPr>
          <w:rFonts w:ascii="Times New Roman" w:hAnsi="Times New Roman" w:cs="Times New Roman"/>
          <w:i/>
          <w:iCs/>
          <w:color w:val="000000" w:themeColor="text1"/>
        </w:rPr>
        <w:t>PNAS</w:t>
      </w:r>
      <w:r w:rsidRPr="00B73E5F">
        <w:rPr>
          <w:rFonts w:ascii="Times New Roman" w:hAnsi="Times New Roman" w:cs="Times New Roman"/>
          <w:color w:val="000000" w:themeColor="text1"/>
        </w:rPr>
        <w:t xml:space="preserve">, vol. 116, No. 13 (February 2019), pp. 6250 – 6250. </w:t>
      </w:r>
    </w:p>
    <w:p w14:paraId="2023535E" w14:textId="5860F3A9"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__________. Gene drive and resilience through renewal with next generation </w:t>
      </w:r>
      <w:r w:rsidRPr="00B73E5F">
        <w:rPr>
          <w:rFonts w:ascii="Times New Roman" w:hAnsi="Times New Roman" w:cs="Times New Roman"/>
          <w:i/>
          <w:iCs/>
          <w:color w:val="000000" w:themeColor="text1"/>
        </w:rPr>
        <w:t>Cleave and Rescue</w:t>
      </w:r>
      <w:r w:rsidRPr="00B73E5F">
        <w:rPr>
          <w:rFonts w:ascii="Times New Roman" w:hAnsi="Times New Roman" w:cs="Times New Roman"/>
          <w:color w:val="000000" w:themeColor="text1"/>
        </w:rPr>
        <w:t xml:space="preserve"> selfish genetic elements. </w:t>
      </w:r>
      <w:r w:rsidRPr="00B73E5F">
        <w:rPr>
          <w:rFonts w:ascii="Times New Roman" w:hAnsi="Times New Roman" w:cs="Times New Roman"/>
          <w:i/>
          <w:iCs/>
          <w:color w:val="000000" w:themeColor="text1"/>
        </w:rPr>
        <w:t>PNAS</w:t>
      </w:r>
      <w:r w:rsidRPr="00B73E5F">
        <w:rPr>
          <w:rFonts w:ascii="Times New Roman" w:hAnsi="Times New Roman" w:cs="Times New Roman"/>
          <w:color w:val="000000" w:themeColor="text1"/>
        </w:rPr>
        <w:t>, vol. 117, No. 16 (April 2020</w:t>
      </w:r>
      <w:r w:rsidR="24374DD5" w:rsidRPr="00B73E5F">
        <w:rPr>
          <w:rFonts w:ascii="Times New Roman" w:hAnsi="Times New Roman" w:cs="Times New Roman"/>
          <w:color w:val="000000" w:themeColor="text1"/>
        </w:rPr>
        <w:t>b</w:t>
      </w:r>
      <w:r w:rsidRPr="00B73E5F">
        <w:rPr>
          <w:rFonts w:ascii="Times New Roman" w:hAnsi="Times New Roman" w:cs="Times New Roman"/>
          <w:color w:val="000000" w:themeColor="text1"/>
        </w:rPr>
        <w:t xml:space="preserve">), pp. 9013 – 9021. </w:t>
      </w:r>
    </w:p>
    <w:p w14:paraId="2BD2AF20" w14:textId="66487E95" w:rsidR="00787D21" w:rsidRPr="00B73E5F" w:rsidRDefault="00787D21" w:rsidP="0033176E">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__________. Split versions of </w:t>
      </w:r>
      <w:r w:rsidRPr="00B73E5F">
        <w:rPr>
          <w:rFonts w:ascii="Times New Roman" w:hAnsi="Times New Roman" w:cs="Times New Roman"/>
          <w:i/>
          <w:color w:val="000000" w:themeColor="text1"/>
        </w:rPr>
        <w:t>Cleave</w:t>
      </w:r>
      <w:r w:rsidRPr="00B73E5F">
        <w:rPr>
          <w:rFonts w:ascii="Times New Roman" w:hAnsi="Times New Roman" w:cs="Times New Roman"/>
          <w:i/>
          <w:iCs/>
          <w:color w:val="000000" w:themeColor="text1"/>
        </w:rPr>
        <w:t xml:space="preserve"> and </w:t>
      </w:r>
      <w:r w:rsidRPr="00B73E5F">
        <w:rPr>
          <w:rFonts w:ascii="Times New Roman" w:hAnsi="Times New Roman" w:cs="Times New Roman"/>
          <w:i/>
          <w:color w:val="000000" w:themeColor="text1"/>
        </w:rPr>
        <w:t>Rescue</w:t>
      </w:r>
      <w:r w:rsidRPr="00B73E5F">
        <w:rPr>
          <w:rFonts w:ascii="Times New Roman" w:hAnsi="Times New Roman" w:cs="Times New Roman"/>
          <w:color w:val="000000" w:themeColor="text1"/>
        </w:rPr>
        <w:t xml:space="preserve"> selfish genetic elements for measured self-limiting gene drive. </w:t>
      </w:r>
      <w:proofErr w:type="spellStart"/>
      <w:r w:rsidR="003C7EFE" w:rsidRPr="00B73E5F">
        <w:rPr>
          <w:rFonts w:ascii="Times New Roman" w:hAnsi="Times New Roman" w:cs="Times New Roman"/>
          <w:i/>
          <w:iCs/>
          <w:color w:val="000000" w:themeColor="text1"/>
        </w:rPr>
        <w:t>p</w:t>
      </w:r>
      <w:r w:rsidRPr="00B73E5F">
        <w:rPr>
          <w:rFonts w:ascii="Times New Roman" w:hAnsi="Times New Roman" w:cs="Times New Roman"/>
          <w:i/>
          <w:iCs/>
          <w:color w:val="000000" w:themeColor="text1"/>
        </w:rPr>
        <w:t>LoS</w:t>
      </w:r>
      <w:proofErr w:type="spellEnd"/>
      <w:r w:rsidRPr="00B73E5F">
        <w:rPr>
          <w:rFonts w:ascii="Times New Roman" w:hAnsi="Times New Roman" w:cs="Times New Roman"/>
          <w:i/>
          <w:iCs/>
          <w:color w:val="000000" w:themeColor="text1"/>
        </w:rPr>
        <w:t xml:space="preserve"> genetics,</w:t>
      </w:r>
      <w:r w:rsidRPr="00B73E5F">
        <w:rPr>
          <w:rFonts w:ascii="Times New Roman" w:hAnsi="Times New Roman" w:cs="Times New Roman"/>
          <w:color w:val="000000" w:themeColor="text1"/>
        </w:rPr>
        <w:t xml:space="preserve"> vol. 17, No. 2 (February 2021). </w:t>
      </w:r>
    </w:p>
    <w:p w14:paraId="78F6639B" w14:textId="4B2C1D03" w:rsidR="00787D21" w:rsidRPr="00FE0869" w:rsidRDefault="25B1B555" w:rsidP="2FA50884">
      <w:pPr>
        <w:spacing w:line="257" w:lineRule="auto"/>
        <w:ind w:left="-20" w:right="-20"/>
        <w:rPr>
          <w:rFonts w:ascii="Times New Roman" w:eastAsia="Times New Roman" w:hAnsi="Times New Roman" w:cs="Times New Roman"/>
        </w:rPr>
      </w:pPr>
      <w:proofErr w:type="spellStart"/>
      <w:r w:rsidRPr="00B73E5F">
        <w:rPr>
          <w:rFonts w:ascii="Times New Roman" w:eastAsia="Times New Roman" w:hAnsi="Times New Roman" w:cs="Times New Roman"/>
        </w:rPr>
        <w:t>Oerke</w:t>
      </w:r>
      <w:proofErr w:type="spellEnd"/>
      <w:r w:rsidRPr="00B73E5F">
        <w:rPr>
          <w:rFonts w:ascii="Times New Roman" w:eastAsia="Times New Roman" w:hAnsi="Times New Roman" w:cs="Times New Roman"/>
        </w:rPr>
        <w:t xml:space="preserve">, E. C., H-W Dehne, F. </w:t>
      </w:r>
      <w:proofErr w:type="spellStart"/>
      <w:r w:rsidRPr="00B73E5F">
        <w:rPr>
          <w:rFonts w:ascii="Times New Roman" w:eastAsia="Times New Roman" w:hAnsi="Times New Roman" w:cs="Times New Roman"/>
        </w:rPr>
        <w:t>Schonbeck</w:t>
      </w:r>
      <w:proofErr w:type="spellEnd"/>
      <w:r w:rsidRPr="00B73E5F">
        <w:rPr>
          <w:rFonts w:ascii="Times New Roman" w:eastAsia="Times New Roman" w:hAnsi="Times New Roman" w:cs="Times New Roman"/>
        </w:rPr>
        <w:t xml:space="preserve">, and A. Weber. </w:t>
      </w:r>
      <w:r w:rsidRPr="00B73E5F">
        <w:rPr>
          <w:rFonts w:ascii="Times New Roman" w:eastAsia="Times New Roman" w:hAnsi="Times New Roman" w:cs="Times New Roman"/>
          <w:i/>
        </w:rPr>
        <w:t>Crop Production and Crop Protection: Estimated Losses in Major Food and Cash Crops</w:t>
      </w:r>
      <w:r w:rsidR="652D5807" w:rsidRPr="00B73E5F">
        <w:rPr>
          <w:rFonts w:ascii="Times New Roman" w:eastAsia="Times New Roman" w:hAnsi="Times New Roman" w:cs="Times New Roman"/>
          <w:i/>
        </w:rPr>
        <w:t>.</w:t>
      </w:r>
      <w:r w:rsidRPr="00B73E5F">
        <w:rPr>
          <w:rFonts w:ascii="Times New Roman" w:eastAsia="Times New Roman" w:hAnsi="Times New Roman" w:cs="Times New Roman"/>
        </w:rPr>
        <w:t xml:space="preserve"> Amsterdam: Cambridge University Press</w:t>
      </w:r>
      <w:r w:rsidR="15331ECD" w:rsidRPr="00B73E5F">
        <w:rPr>
          <w:rFonts w:ascii="Times New Roman" w:eastAsia="Times New Roman" w:hAnsi="Times New Roman" w:cs="Times New Roman"/>
        </w:rPr>
        <w:t>, 1994</w:t>
      </w:r>
      <w:r w:rsidRPr="00B73E5F">
        <w:rPr>
          <w:rFonts w:ascii="Times New Roman" w:eastAsia="Times New Roman" w:hAnsi="Times New Roman" w:cs="Times New Roman"/>
        </w:rPr>
        <w:t>.</w:t>
      </w:r>
    </w:p>
    <w:p w14:paraId="5ECF6AAC" w14:textId="79931198" w:rsidR="4A5EFA81" w:rsidRPr="00B73E5F" w:rsidRDefault="5DCF4A33" w:rsidP="4A5EFA81">
      <w:pPr>
        <w:rPr>
          <w:rFonts w:ascii="Times New Roman" w:hAnsi="Times New Roman" w:cs="Times New Roman"/>
        </w:rPr>
      </w:pPr>
      <w:r w:rsidRPr="00B73E5F">
        <w:rPr>
          <w:rFonts w:ascii="Times New Roman" w:hAnsi="Times New Roman" w:cs="Times New Roman"/>
        </w:rPr>
        <w:t>Office of the Gene Technology Regulatory (OGTR) Risk analysis framework, 2005. Available at: https://www.ogtr.gov.au/sites/default/files/files/2021-07/risk_analysis_framework_january_2005.pdf</w:t>
      </w:r>
    </w:p>
    <w:p w14:paraId="7EF46923" w14:textId="0239B3E3" w:rsidR="002A2C15" w:rsidRPr="00B73E5F" w:rsidRDefault="002A2C15" w:rsidP="00787D21">
      <w:pPr>
        <w:rPr>
          <w:rFonts w:ascii="Times New Roman" w:hAnsi="Times New Roman" w:cs="Times New Roman"/>
        </w:rPr>
      </w:pPr>
      <w:r w:rsidRPr="00B73E5F">
        <w:rPr>
          <w:rFonts w:ascii="Times New Roman" w:hAnsi="Times New Roman" w:cs="Times New Roman"/>
        </w:rPr>
        <w:lastRenderedPageBreak/>
        <w:t xml:space="preserve">O’Hagan, Anthony, and others. </w:t>
      </w:r>
      <w:r w:rsidR="004B6488" w:rsidRPr="00B73E5F">
        <w:rPr>
          <w:rFonts w:ascii="Times New Roman" w:hAnsi="Times New Roman" w:cs="Times New Roman"/>
          <w:i/>
          <w:iCs/>
        </w:rPr>
        <w:t xml:space="preserve">Uncertain Judgements: Eliciting Experts' Probabilities. </w:t>
      </w:r>
      <w:r w:rsidR="004723CD" w:rsidRPr="00B73E5F">
        <w:rPr>
          <w:rFonts w:ascii="Times New Roman" w:hAnsi="Times New Roman" w:cs="Times New Roman"/>
        </w:rPr>
        <w:t>Jo</w:t>
      </w:r>
      <w:r w:rsidR="00F779D9" w:rsidRPr="00B73E5F">
        <w:rPr>
          <w:rFonts w:ascii="Times New Roman" w:hAnsi="Times New Roman" w:cs="Times New Roman"/>
        </w:rPr>
        <w:t>h</w:t>
      </w:r>
      <w:r w:rsidR="004723CD" w:rsidRPr="00B73E5F">
        <w:rPr>
          <w:rFonts w:ascii="Times New Roman" w:hAnsi="Times New Roman" w:cs="Times New Roman"/>
        </w:rPr>
        <w:t>n Wiley &amp; Sons, Ltd</w:t>
      </w:r>
      <w:r w:rsidR="00392D00" w:rsidRPr="00B73E5F">
        <w:rPr>
          <w:rFonts w:ascii="Times New Roman" w:hAnsi="Times New Roman" w:cs="Times New Roman"/>
        </w:rPr>
        <w:t xml:space="preserve"> (</w:t>
      </w:r>
      <w:r w:rsidR="00230378" w:rsidRPr="00B73E5F">
        <w:rPr>
          <w:rFonts w:ascii="Times New Roman" w:hAnsi="Times New Roman" w:cs="Times New Roman"/>
        </w:rPr>
        <w:t>TJ International, Padstow, Cornwall</w:t>
      </w:r>
      <w:r w:rsidR="001424AC" w:rsidRPr="00B73E5F">
        <w:rPr>
          <w:rFonts w:ascii="Times New Roman" w:hAnsi="Times New Roman" w:cs="Times New Roman"/>
        </w:rPr>
        <w:t xml:space="preserve">, 2006). </w:t>
      </w:r>
    </w:p>
    <w:p w14:paraId="629A7D11" w14:textId="4F86BC58" w:rsidR="00787D21" w:rsidRPr="00B73E5F" w:rsidRDefault="00787D21" w:rsidP="00787D21">
      <w:pPr>
        <w:rPr>
          <w:rFonts w:ascii="Times New Roman" w:eastAsia="Times New Roman" w:hAnsi="Times New Roman" w:cs="Times New Roman"/>
          <w:color w:val="000000"/>
          <w:lang w:eastAsia="en-CA"/>
          <w14:ligatures w14:val="none"/>
        </w:rPr>
      </w:pPr>
      <w:r w:rsidRPr="00B73E5F">
        <w:rPr>
          <w:rFonts w:ascii="Times New Roman" w:hAnsi="Times New Roman" w:cs="Times New Roman"/>
        </w:rPr>
        <w:t xml:space="preserve">Olejarz, Jason W., and Martin A. Nowak. </w:t>
      </w:r>
      <w:r w:rsidRPr="00B73E5F">
        <w:rPr>
          <w:rFonts w:ascii="Times New Roman" w:eastAsia="Times New Roman" w:hAnsi="Times New Roman" w:cs="Times New Roman"/>
          <w:color w:val="000000"/>
          <w:lang w:eastAsia="en-CA"/>
          <w14:ligatures w14:val="none"/>
        </w:rPr>
        <w:t xml:space="preserve">Gene drives for the extinction of wild metapopulations. </w:t>
      </w:r>
      <w:r w:rsidRPr="00B73E5F">
        <w:rPr>
          <w:rFonts w:ascii="Times New Roman" w:eastAsia="Times New Roman" w:hAnsi="Times New Roman" w:cs="Times New Roman"/>
          <w:i/>
          <w:iCs/>
          <w:color w:val="000000"/>
          <w:lang w:eastAsia="en-CA"/>
          <w14:ligatures w14:val="none"/>
        </w:rPr>
        <w:t xml:space="preserve">J Theor Biol., </w:t>
      </w:r>
      <w:r w:rsidRPr="00B73E5F">
        <w:rPr>
          <w:rFonts w:ascii="Times New Roman" w:eastAsia="Times New Roman" w:hAnsi="Times New Roman" w:cs="Times New Roman"/>
          <w:color w:val="000000"/>
          <w:lang w:eastAsia="en-CA"/>
          <w14:ligatures w14:val="none"/>
        </w:rPr>
        <w:t xml:space="preserve">vol. 577 (January 2024). </w:t>
      </w:r>
    </w:p>
    <w:p w14:paraId="7A7D6326" w14:textId="529A899D" w:rsidR="00787D21" w:rsidRPr="00096C23"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Organisation for economic co-operation and development. </w:t>
      </w:r>
      <w:r w:rsidRPr="00B73E5F">
        <w:rPr>
          <w:rFonts w:ascii="Times New Roman" w:hAnsi="Times New Roman" w:cs="Times New Roman"/>
          <w:i/>
          <w:iCs/>
          <w:color w:val="000000" w:themeColor="text1"/>
        </w:rPr>
        <w:t>Chemicals and biotechnology committee, consensus document on environmental considerations for risk/safety assessment for the release of transgenic plants</w:t>
      </w:r>
      <w:r w:rsidRPr="00B73E5F">
        <w:rPr>
          <w:rFonts w:ascii="Times New Roman" w:hAnsi="Times New Roman" w:cs="Times New Roman"/>
          <w:color w:val="000000" w:themeColor="text1"/>
        </w:rPr>
        <w:t>. Paris, 27 July 2023.</w:t>
      </w:r>
    </w:p>
    <w:p w14:paraId="52D34337" w14:textId="5E92DDB8"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__________. Consensus document on the biology of mosquito </w:t>
      </w:r>
      <w:r w:rsidRPr="00096C23">
        <w:rPr>
          <w:rFonts w:ascii="Times New Roman" w:hAnsi="Times New Roman" w:cs="Times New Roman"/>
          <w:i/>
          <w:iCs/>
          <w:color w:val="000000" w:themeColor="text1"/>
        </w:rPr>
        <w:t>Aedes aegypti</w:t>
      </w:r>
      <w:r w:rsidRPr="00096C23">
        <w:rPr>
          <w:rFonts w:ascii="Times New Roman" w:hAnsi="Times New Roman" w:cs="Times New Roman"/>
          <w:color w:val="000000" w:themeColor="text1"/>
        </w:rPr>
        <w:t xml:space="preserve">. Paris, 9 July 2018. </w:t>
      </w:r>
    </w:p>
    <w:p w14:paraId="105422F0" w14:textId="2F44BA33"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__________</w:t>
      </w:r>
      <w:r w:rsidRPr="00096C23">
        <w:rPr>
          <w:rFonts w:ascii="Times New Roman" w:hAnsi="Times New Roman" w:cs="Times New Roman"/>
          <w:i/>
          <w:color w:val="000000" w:themeColor="text1"/>
        </w:rPr>
        <w:t>. Frascati Manual 2015, Guidelines for collecting and reporting data on research and experimental development</w:t>
      </w:r>
      <w:r w:rsidRPr="00096C23">
        <w:rPr>
          <w:rFonts w:ascii="Times New Roman" w:hAnsi="Times New Roman" w:cs="Times New Roman"/>
          <w:color w:val="000000" w:themeColor="text1"/>
        </w:rPr>
        <w:t>. Paris: OECD Publishing, 2015.</w:t>
      </w:r>
    </w:p>
    <w:p w14:paraId="04DC410B" w14:textId="26A31D24" w:rsidR="00787D21" w:rsidRPr="00096C23" w:rsidRDefault="00787D21" w:rsidP="00787D21">
      <w:pPr>
        <w:rPr>
          <w:rFonts w:ascii="Times New Roman" w:hAnsi="Times New Roman" w:cs="Times New Roman"/>
          <w:color w:val="000000" w:themeColor="text1"/>
        </w:rPr>
      </w:pPr>
      <w:r w:rsidRPr="00096C23">
        <w:rPr>
          <w:rFonts w:ascii="Times New Roman" w:hAnsi="Times New Roman" w:cs="Times New Roman"/>
          <w:color w:val="000000" w:themeColor="text1"/>
        </w:rPr>
        <w:t xml:space="preserve">__________. </w:t>
      </w:r>
      <w:r w:rsidRPr="00096C23">
        <w:rPr>
          <w:rFonts w:ascii="Times New Roman" w:hAnsi="Times New Roman" w:cs="Times New Roman"/>
          <w:i/>
          <w:color w:val="000000" w:themeColor="text1"/>
        </w:rPr>
        <w:t>Safety Assessment of Transgenic Organisms in the Environment, Volume 10: OECD Consensus Document on Environmental Considerations for the Release of Transgenic Plants, Harmonisation of Regulatory Oversight in Biotechnology</w:t>
      </w:r>
      <w:r w:rsidRPr="00096C23">
        <w:rPr>
          <w:rFonts w:ascii="Times New Roman" w:hAnsi="Times New Roman" w:cs="Times New Roman"/>
          <w:i/>
          <w:iCs/>
          <w:color w:val="000000" w:themeColor="text1"/>
        </w:rPr>
        <w:t xml:space="preserve">. </w:t>
      </w:r>
      <w:r w:rsidRPr="00096C23">
        <w:rPr>
          <w:rFonts w:ascii="Times New Roman" w:hAnsi="Times New Roman" w:cs="Times New Roman"/>
          <w:color w:val="000000" w:themeColor="text1"/>
        </w:rPr>
        <w:t xml:space="preserve">Paris, OECD Publishing, 2015. </w:t>
      </w:r>
    </w:p>
    <w:p w14:paraId="7AFEC291" w14:textId="0E575A5D"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__________. </w:t>
      </w:r>
      <w:r w:rsidRPr="00B73E5F">
        <w:rPr>
          <w:rFonts w:ascii="Times New Roman" w:hAnsi="Times New Roman" w:cs="Times New Roman"/>
          <w:i/>
          <w:color w:val="000000" w:themeColor="text1"/>
        </w:rPr>
        <w:t>Safety Considerations for Biotechnology</w:t>
      </w:r>
      <w:r w:rsidRPr="00B73E5F">
        <w:rPr>
          <w:rFonts w:ascii="Times New Roman" w:hAnsi="Times New Roman" w:cs="Times New Roman"/>
          <w:color w:val="000000" w:themeColor="text1"/>
        </w:rPr>
        <w:t xml:space="preserve">. Paris: OECD Publishing, 1992. </w:t>
      </w:r>
    </w:p>
    <w:p w14:paraId="04018968" w14:textId="081FC108" w:rsidR="00787D21" w:rsidRPr="00096C23" w:rsidRDefault="00787D21" w:rsidP="00787D21">
      <w:pPr>
        <w:rPr>
          <w:rFonts w:ascii="Times New Roman" w:eastAsia="Times New Roman" w:hAnsi="Times New Roman" w:cs="Times New Roman"/>
          <w:color w:val="000000"/>
          <w:lang w:eastAsia="en-CA"/>
          <w14:ligatures w14:val="none"/>
        </w:rPr>
      </w:pPr>
      <w:r w:rsidRPr="00B73E5F">
        <w:rPr>
          <w:rFonts w:ascii="Times New Roman" w:hAnsi="Times New Roman" w:cs="Times New Roman"/>
        </w:rPr>
        <w:t>Otto, Sarah P</w:t>
      </w:r>
      <w:r w:rsidR="000615F2" w:rsidRPr="00B73E5F">
        <w:rPr>
          <w:rFonts w:ascii="Times New Roman" w:hAnsi="Times New Roman" w:cs="Times New Roman"/>
        </w:rPr>
        <w:t>, and Troy Day.</w:t>
      </w:r>
      <w:r w:rsidRPr="00B73E5F">
        <w:rPr>
          <w:rFonts w:ascii="Times New Roman" w:hAnsi="Times New Roman" w:cs="Times New Roman"/>
        </w:rPr>
        <w:t xml:space="preserve"> </w:t>
      </w:r>
      <w:r w:rsidRPr="00B73E5F">
        <w:rPr>
          <w:rFonts w:ascii="Times New Roman" w:eastAsia="Times New Roman" w:hAnsi="Times New Roman" w:cs="Times New Roman"/>
          <w:i/>
          <w:iCs/>
          <w:color w:val="000000"/>
          <w:lang w:eastAsia="en-CA"/>
          <w14:ligatures w14:val="none"/>
        </w:rPr>
        <w:t>A Biologis</w:t>
      </w:r>
      <w:r w:rsidR="00B73E5F">
        <w:rPr>
          <w:rFonts w:ascii="Times New Roman" w:eastAsia="Times New Roman" w:hAnsi="Times New Roman" w:cs="Times New Roman"/>
          <w:i/>
          <w:iCs/>
          <w:color w:val="000000"/>
          <w:lang w:eastAsia="en-CA"/>
          <w14:ligatures w14:val="none"/>
        </w:rPr>
        <w:t>t</w:t>
      </w:r>
      <w:r w:rsidR="004B3E45" w:rsidRPr="00B73E5F">
        <w:rPr>
          <w:rFonts w:ascii="Times New Roman" w:eastAsia="Times New Roman" w:hAnsi="Times New Roman" w:cs="Times New Roman"/>
          <w:i/>
          <w:iCs/>
          <w:color w:val="000000"/>
          <w:lang w:eastAsia="en-CA"/>
          <w14:ligatures w14:val="none"/>
        </w:rPr>
        <w:t>’</w:t>
      </w:r>
      <w:r w:rsidRPr="00B73E5F">
        <w:rPr>
          <w:rFonts w:ascii="Times New Roman" w:eastAsia="Times New Roman" w:hAnsi="Times New Roman" w:cs="Times New Roman"/>
          <w:i/>
          <w:iCs/>
          <w:color w:val="000000"/>
          <w:lang w:eastAsia="en-CA"/>
          <w14:ligatures w14:val="none"/>
        </w:rPr>
        <w:t xml:space="preserve">s Guide to Mathematical </w:t>
      </w:r>
      <w:proofErr w:type="spellStart"/>
      <w:r w:rsidRPr="00B73E5F">
        <w:rPr>
          <w:rFonts w:ascii="Times New Roman" w:eastAsia="Times New Roman" w:hAnsi="Times New Roman" w:cs="Times New Roman"/>
          <w:i/>
          <w:iCs/>
          <w:color w:val="000000"/>
          <w:lang w:eastAsia="en-CA"/>
          <w14:ligatures w14:val="none"/>
        </w:rPr>
        <w:t>Modeling</w:t>
      </w:r>
      <w:proofErr w:type="spellEnd"/>
      <w:r w:rsidRPr="00B73E5F">
        <w:rPr>
          <w:rFonts w:ascii="Times New Roman" w:eastAsia="Times New Roman" w:hAnsi="Times New Roman" w:cs="Times New Roman"/>
          <w:i/>
          <w:iCs/>
          <w:color w:val="000000"/>
          <w:lang w:eastAsia="en-CA"/>
          <w14:ligatures w14:val="none"/>
        </w:rPr>
        <w:t xml:space="preserve"> in Ecology and Evolution</w:t>
      </w:r>
      <w:r w:rsidRPr="00B73E5F">
        <w:rPr>
          <w:rFonts w:ascii="Times New Roman" w:eastAsia="Times New Roman" w:hAnsi="Times New Roman" w:cs="Times New Roman"/>
          <w:color w:val="000000"/>
          <w:lang w:eastAsia="en-CA"/>
          <w14:ligatures w14:val="none"/>
        </w:rPr>
        <w:t>. Princeton, New</w:t>
      </w:r>
      <w:r w:rsidRPr="009B1B04">
        <w:rPr>
          <w:rFonts w:ascii="Times New Roman" w:eastAsia="Times New Roman" w:hAnsi="Times New Roman" w:cs="Times New Roman"/>
          <w:color w:val="000000"/>
          <w:lang w:eastAsia="en-CA"/>
          <w14:ligatures w14:val="none"/>
        </w:rPr>
        <w:t xml:space="preserve"> Jersey: Princeton University Press, 2007.</w:t>
      </w:r>
      <w:r w:rsidRPr="00096C23">
        <w:rPr>
          <w:rFonts w:ascii="Times New Roman" w:eastAsia="Times New Roman" w:hAnsi="Times New Roman" w:cs="Times New Roman"/>
          <w:color w:val="000000"/>
          <w:lang w:eastAsia="en-CA"/>
          <w14:ligatures w14:val="none"/>
        </w:rPr>
        <w:t xml:space="preserve"> </w:t>
      </w:r>
    </w:p>
    <w:p w14:paraId="22B58147" w14:textId="38EF7C34" w:rsidR="00787D21" w:rsidRPr="00B73E5F" w:rsidRDefault="00787D21" w:rsidP="00787D21">
      <w:pPr>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Paupy</w:t>
      </w:r>
      <w:proofErr w:type="spellEnd"/>
      <w:r w:rsidRPr="00B73E5F">
        <w:rPr>
          <w:rFonts w:ascii="Times New Roman" w:hAnsi="Times New Roman" w:cs="Times New Roman"/>
          <w:color w:val="000000" w:themeColor="text1"/>
        </w:rPr>
        <w:t xml:space="preserve">, C., and others. </w:t>
      </w:r>
      <w:r w:rsidRPr="00B73E5F">
        <w:rPr>
          <w:rFonts w:ascii="Times New Roman" w:hAnsi="Times New Roman" w:cs="Times New Roman"/>
          <w:i/>
          <w:iCs/>
          <w:color w:val="000000" w:themeColor="text1"/>
        </w:rPr>
        <w:t>Aedes albopictus</w:t>
      </w:r>
      <w:r w:rsidRPr="00B73E5F">
        <w:rPr>
          <w:rFonts w:ascii="Times New Roman" w:hAnsi="Times New Roman" w:cs="Times New Roman"/>
          <w:color w:val="000000" w:themeColor="text1"/>
        </w:rPr>
        <w:t xml:space="preserve">, an arbovirus vector: From the darkness to the light. </w:t>
      </w:r>
      <w:r w:rsidRPr="00B73E5F">
        <w:rPr>
          <w:rFonts w:ascii="Times New Roman" w:hAnsi="Times New Roman" w:cs="Times New Roman"/>
          <w:i/>
          <w:iCs/>
          <w:color w:val="000000" w:themeColor="text1"/>
        </w:rPr>
        <w:t xml:space="preserve">Microbes infect., </w:t>
      </w:r>
      <w:r w:rsidRPr="00B73E5F">
        <w:rPr>
          <w:rFonts w:ascii="Times New Roman" w:hAnsi="Times New Roman" w:cs="Times New Roman"/>
          <w:color w:val="000000" w:themeColor="text1"/>
        </w:rPr>
        <w:t xml:space="preserve">vol. 11, No. 14 – 15 (December 2009), pp. 1177 – 85. </w:t>
      </w:r>
    </w:p>
    <w:p w14:paraId="6E2EB3B4" w14:textId="5B5779BC"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t xml:space="preserve">Pereira, Thiago Nunes, and others. Emergent arboviruses: A review about </w:t>
      </w:r>
      <w:r w:rsidRPr="00B73E5F">
        <w:rPr>
          <w:rFonts w:ascii="Times New Roman" w:hAnsi="Times New Roman" w:cs="Times New Roman"/>
          <w:i/>
          <w:iCs/>
          <w:color w:val="000000" w:themeColor="text1"/>
        </w:rPr>
        <w:t>Mayaro virus</w:t>
      </w:r>
      <w:r w:rsidRPr="00B73E5F">
        <w:rPr>
          <w:rFonts w:ascii="Times New Roman" w:hAnsi="Times New Roman" w:cs="Times New Roman"/>
          <w:color w:val="000000" w:themeColor="text1"/>
        </w:rPr>
        <w:t xml:space="preserve"> and </w:t>
      </w:r>
      <w:proofErr w:type="spellStart"/>
      <w:r w:rsidRPr="00B73E5F">
        <w:rPr>
          <w:rFonts w:ascii="Times New Roman" w:hAnsi="Times New Roman" w:cs="Times New Roman"/>
          <w:i/>
          <w:iCs/>
          <w:color w:val="000000" w:themeColor="text1"/>
        </w:rPr>
        <w:t>Oropouche</w:t>
      </w:r>
      <w:proofErr w:type="spellEnd"/>
      <w:r w:rsidRPr="00B73E5F">
        <w:rPr>
          <w:rFonts w:ascii="Times New Roman" w:hAnsi="Times New Roman" w:cs="Times New Roman"/>
          <w:i/>
          <w:iCs/>
          <w:color w:val="000000" w:themeColor="text1"/>
        </w:rPr>
        <w:t xml:space="preserve"> </w:t>
      </w:r>
      <w:proofErr w:type="spellStart"/>
      <w:r w:rsidRPr="00B73E5F">
        <w:rPr>
          <w:rFonts w:ascii="Times New Roman" w:hAnsi="Times New Roman" w:cs="Times New Roman"/>
          <w:i/>
          <w:iCs/>
          <w:color w:val="000000" w:themeColor="text1"/>
        </w:rPr>
        <w:t>orthobunyavirus</w:t>
      </w:r>
      <w:proofErr w:type="spellEnd"/>
      <w:r w:rsidRPr="00B73E5F">
        <w:rPr>
          <w:rFonts w:ascii="Times New Roman" w:hAnsi="Times New Roman" w:cs="Times New Roman"/>
          <w:i/>
          <w:iCs/>
          <w:color w:val="000000" w:themeColor="text1"/>
        </w:rPr>
        <w:t>. Front. Trop. Dis.,</w:t>
      </w:r>
      <w:r w:rsidRPr="00B73E5F">
        <w:rPr>
          <w:rFonts w:ascii="Times New Roman" w:hAnsi="Times New Roman" w:cs="Times New Roman"/>
          <w:color w:val="000000" w:themeColor="text1"/>
        </w:rPr>
        <w:t xml:space="preserve"> vol. 2, No. 737436 (November 2021). </w:t>
      </w:r>
    </w:p>
    <w:p w14:paraId="6F3A525D" w14:textId="2F000B05"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Perry, Joe N., and others. Commentary: Statistical aspects of environmental risk assessment of GM plants for effects on non-target organisms. </w:t>
      </w:r>
      <w:r w:rsidRPr="00B73E5F">
        <w:rPr>
          <w:rFonts w:ascii="Times New Roman" w:hAnsi="Times New Roman" w:cs="Times New Roman"/>
          <w:i/>
          <w:iCs/>
        </w:rPr>
        <w:t xml:space="preserve">Environmental Biosafety Research, </w:t>
      </w:r>
      <w:r w:rsidRPr="00B73E5F">
        <w:rPr>
          <w:rFonts w:ascii="Times New Roman" w:hAnsi="Times New Roman" w:cs="Times New Roman"/>
        </w:rPr>
        <w:t xml:space="preserve">vol. 8, No. 2 (April – June 2009), pp. 65 – 78. </w:t>
      </w:r>
    </w:p>
    <w:p w14:paraId="05A746A1" w14:textId="0A5DD6DB" w:rsidR="00787D21" w:rsidRPr="00096C23" w:rsidRDefault="00787D21" w:rsidP="00787D21">
      <w:pPr>
        <w:rPr>
          <w:rFonts w:ascii="Times New Roman" w:hAnsi="Times New Roman" w:cs="Times New Roman"/>
        </w:rPr>
      </w:pPr>
      <w:r w:rsidRPr="00B73E5F">
        <w:rPr>
          <w:rFonts w:ascii="Times New Roman" w:hAnsi="Times New Roman" w:cs="Times New Roman"/>
        </w:rPr>
        <w:t>Peterson, Jeannine, Paul S. Mead, and</w:t>
      </w:r>
      <w:r w:rsidRPr="00096C23">
        <w:rPr>
          <w:rFonts w:ascii="Times New Roman" w:hAnsi="Times New Roman" w:cs="Times New Roman"/>
        </w:rPr>
        <w:t xml:space="preserve"> Martin E. Schriefer. </w:t>
      </w:r>
      <w:proofErr w:type="spellStart"/>
      <w:r w:rsidRPr="00096C23">
        <w:rPr>
          <w:rFonts w:ascii="Times New Roman" w:hAnsi="Times New Roman" w:cs="Times New Roman"/>
          <w:i/>
          <w:iCs/>
        </w:rPr>
        <w:t>Francisella</w:t>
      </w:r>
      <w:proofErr w:type="spellEnd"/>
      <w:r w:rsidRPr="00096C23">
        <w:rPr>
          <w:rFonts w:ascii="Times New Roman" w:hAnsi="Times New Roman" w:cs="Times New Roman"/>
          <w:i/>
          <w:iCs/>
        </w:rPr>
        <w:t xml:space="preserve"> tularensis</w:t>
      </w:r>
      <w:r w:rsidRPr="00096C23">
        <w:rPr>
          <w:rFonts w:ascii="Times New Roman" w:hAnsi="Times New Roman" w:cs="Times New Roman"/>
        </w:rPr>
        <w:t xml:space="preserve">: An arthropod-borne pathogen. </w:t>
      </w:r>
      <w:r w:rsidRPr="00096C23">
        <w:rPr>
          <w:rFonts w:ascii="Times New Roman" w:hAnsi="Times New Roman" w:cs="Times New Roman"/>
          <w:i/>
          <w:iCs/>
        </w:rPr>
        <w:t>Vet res.</w:t>
      </w:r>
      <w:r w:rsidRPr="00096C23">
        <w:rPr>
          <w:rFonts w:ascii="Times New Roman" w:hAnsi="Times New Roman" w:cs="Times New Roman"/>
        </w:rPr>
        <w:t xml:space="preserve">, vol. 40, No. 2 (March – April 2009). </w:t>
      </w:r>
    </w:p>
    <w:p w14:paraId="2895D571" w14:textId="0750D172"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Pham, Thai Binh, and others. Experimental population modification of the malaria vector mosquito, </w:t>
      </w:r>
      <w:r w:rsidRPr="00B73E5F">
        <w:rPr>
          <w:rFonts w:ascii="Times New Roman" w:hAnsi="Times New Roman" w:cs="Times New Roman"/>
          <w:i/>
          <w:iCs/>
        </w:rPr>
        <w:t xml:space="preserve">Anopheles </w:t>
      </w:r>
      <w:proofErr w:type="spellStart"/>
      <w:r w:rsidRPr="00B73E5F">
        <w:rPr>
          <w:rFonts w:ascii="Times New Roman" w:hAnsi="Times New Roman" w:cs="Times New Roman"/>
          <w:i/>
          <w:iCs/>
        </w:rPr>
        <w:t>stephensi</w:t>
      </w:r>
      <w:proofErr w:type="spellEnd"/>
      <w:r w:rsidRPr="00B73E5F">
        <w:rPr>
          <w:rFonts w:ascii="Times New Roman" w:hAnsi="Times New Roman" w:cs="Times New Roman"/>
        </w:rPr>
        <w:t xml:space="preserve">. </w:t>
      </w:r>
      <w:proofErr w:type="spellStart"/>
      <w:r w:rsidR="003C7EFE" w:rsidRPr="00B73E5F">
        <w:rPr>
          <w:rFonts w:ascii="Times New Roman" w:hAnsi="Times New Roman" w:cs="Times New Roman"/>
          <w:i/>
          <w:iCs/>
        </w:rPr>
        <w:t>p</w:t>
      </w:r>
      <w:r w:rsidRPr="00B73E5F">
        <w:rPr>
          <w:rFonts w:ascii="Times New Roman" w:hAnsi="Times New Roman" w:cs="Times New Roman"/>
          <w:i/>
          <w:iCs/>
        </w:rPr>
        <w:t>LoS</w:t>
      </w:r>
      <w:proofErr w:type="spellEnd"/>
      <w:r w:rsidRPr="00B73E5F">
        <w:rPr>
          <w:rFonts w:ascii="Times New Roman" w:hAnsi="Times New Roman" w:cs="Times New Roman"/>
          <w:i/>
          <w:iCs/>
        </w:rPr>
        <w:t xml:space="preserve"> genetics</w:t>
      </w:r>
      <w:r w:rsidRPr="00B73E5F">
        <w:rPr>
          <w:rFonts w:ascii="Times New Roman" w:hAnsi="Times New Roman" w:cs="Times New Roman"/>
        </w:rPr>
        <w:t xml:space="preserve">, vol. 15, No. 12 (December 2019). </w:t>
      </w:r>
    </w:p>
    <w:p w14:paraId="47A720B9" w14:textId="01002E11"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Piedrahita, Stefani, and others. </w:t>
      </w:r>
      <w:r w:rsidRPr="00B73E5F">
        <w:rPr>
          <w:rFonts w:ascii="Times New Roman" w:hAnsi="Times New Roman" w:cs="Times New Roman"/>
          <w:i/>
          <w:iCs/>
        </w:rPr>
        <w:t>Anopheles</w:t>
      </w:r>
      <w:r w:rsidRPr="00B73E5F">
        <w:rPr>
          <w:rFonts w:ascii="Times New Roman" w:hAnsi="Times New Roman" w:cs="Times New Roman"/>
        </w:rPr>
        <w:t xml:space="preserve"> blood meal sources and entomological indicators related </w:t>
      </w:r>
      <w:r w:rsidR="00B73E5F" w:rsidRPr="00B73E5F">
        <w:rPr>
          <w:rFonts w:ascii="Times New Roman" w:hAnsi="Times New Roman" w:cs="Times New Roman"/>
        </w:rPr>
        <w:t>to plasmodium</w:t>
      </w:r>
      <w:r w:rsidRPr="00B73E5F">
        <w:rPr>
          <w:rFonts w:ascii="Times New Roman" w:hAnsi="Times New Roman" w:cs="Times New Roman"/>
        </w:rPr>
        <w:t xml:space="preserve"> transmission in malaria endemic areas of Colombia. </w:t>
      </w:r>
      <w:r w:rsidRPr="00B73E5F">
        <w:rPr>
          <w:rFonts w:ascii="Times New Roman" w:hAnsi="Times New Roman" w:cs="Times New Roman"/>
          <w:i/>
          <w:iCs/>
        </w:rPr>
        <w:t>Acta Trop.</w:t>
      </w:r>
      <w:r w:rsidRPr="00B73E5F">
        <w:rPr>
          <w:rFonts w:ascii="Times New Roman" w:hAnsi="Times New Roman" w:cs="Times New Roman"/>
        </w:rPr>
        <w:t xml:space="preserve">, vol. 233 (September 2022). </w:t>
      </w:r>
    </w:p>
    <w:p w14:paraId="03C26E1B" w14:textId="2CE40E77" w:rsidR="00787D21" w:rsidRPr="00B73E5F" w:rsidRDefault="6EA70E4C" w:rsidP="4C4B0574">
      <w:pPr>
        <w:spacing w:line="257" w:lineRule="auto"/>
        <w:ind w:left="-20" w:right="-20"/>
        <w:rPr>
          <w:rFonts w:ascii="Times New Roman" w:eastAsia="Times New Roman" w:hAnsi="Times New Roman" w:cs="Times New Roman"/>
        </w:rPr>
      </w:pPr>
      <w:r w:rsidRPr="00B73E5F">
        <w:rPr>
          <w:rFonts w:ascii="Times New Roman" w:eastAsia="Times New Roman" w:hAnsi="Times New Roman" w:cs="Times New Roman"/>
        </w:rPr>
        <w:t>Pimentel, David</w:t>
      </w:r>
      <w:r w:rsidR="0165CD2F" w:rsidRPr="00B73E5F">
        <w:rPr>
          <w:rFonts w:ascii="Times New Roman" w:eastAsia="Times New Roman" w:hAnsi="Times New Roman" w:cs="Times New Roman"/>
        </w:rPr>
        <w:t>.</w:t>
      </w:r>
      <w:r w:rsidRPr="00B73E5F">
        <w:rPr>
          <w:rFonts w:ascii="Times New Roman" w:eastAsia="Times New Roman" w:hAnsi="Times New Roman" w:cs="Times New Roman"/>
        </w:rPr>
        <w:t xml:space="preserve"> </w:t>
      </w:r>
      <w:r w:rsidRPr="00B73E5F">
        <w:rPr>
          <w:rFonts w:ascii="Times New Roman" w:eastAsia="Times New Roman" w:hAnsi="Times New Roman" w:cs="Times New Roman"/>
          <w:i/>
        </w:rPr>
        <w:t>Techniques for Reducing Pesticide Use: Economic and Environmental Benefits</w:t>
      </w:r>
      <w:r w:rsidRPr="00B73E5F">
        <w:rPr>
          <w:rFonts w:ascii="Times New Roman" w:eastAsia="Times New Roman" w:hAnsi="Times New Roman" w:cs="Times New Roman"/>
        </w:rPr>
        <w:t>.</w:t>
      </w:r>
      <w:r w:rsidR="1F4AE9C8" w:rsidRPr="00B73E5F">
        <w:rPr>
          <w:rFonts w:ascii="Times New Roman" w:eastAsia="Times New Roman" w:hAnsi="Times New Roman" w:cs="Times New Roman"/>
        </w:rPr>
        <w:t xml:space="preserve"> Wiley, </w:t>
      </w:r>
      <w:r w:rsidR="05ACF160" w:rsidRPr="00B73E5F">
        <w:rPr>
          <w:rFonts w:ascii="Times New Roman" w:eastAsia="Times New Roman" w:hAnsi="Times New Roman" w:cs="Times New Roman"/>
        </w:rPr>
        <w:t xml:space="preserve">1997. </w:t>
      </w:r>
    </w:p>
    <w:p w14:paraId="1BF86686" w14:textId="7985A015" w:rsidR="00F43F44" w:rsidRPr="00F43F44" w:rsidRDefault="00F43F44" w:rsidP="00F43F44">
      <w:pPr>
        <w:rPr>
          <w:rFonts w:ascii="Times New Roman" w:hAnsi="Times New Roman" w:cs="Times New Roman"/>
        </w:rPr>
      </w:pPr>
      <w:r w:rsidRPr="00B73E5F">
        <w:rPr>
          <w:rFonts w:ascii="Times New Roman" w:hAnsi="Times New Roman" w:cs="Times New Roman"/>
        </w:rPr>
        <w:t>Preston, G. R., and others</w:t>
      </w:r>
      <w:r w:rsidR="00CC6912" w:rsidRPr="00B73E5F">
        <w:rPr>
          <w:rFonts w:ascii="Times New Roman" w:hAnsi="Times New Roman" w:cs="Times New Roman"/>
        </w:rPr>
        <w:t>.</w:t>
      </w:r>
      <w:r w:rsidRPr="00B73E5F">
        <w:rPr>
          <w:rFonts w:ascii="Times New Roman" w:hAnsi="Times New Roman" w:cs="Times New Roman"/>
        </w:rPr>
        <w:t xml:space="preserve"> South Africa works towards eradicating introduced house mice from sub-Antarctic Marion Island: the largest island yet attempted for mice. </w:t>
      </w:r>
      <w:r w:rsidR="00CC6912" w:rsidRPr="00B73E5F">
        <w:rPr>
          <w:rFonts w:ascii="Times New Roman" w:hAnsi="Times New Roman" w:cs="Times New Roman"/>
          <w:i/>
          <w:iCs/>
        </w:rPr>
        <w:t xml:space="preserve">International Conference on island invasives </w:t>
      </w:r>
      <w:r w:rsidR="00CC6912" w:rsidRPr="00B73E5F">
        <w:rPr>
          <w:rFonts w:ascii="Times New Roman" w:hAnsi="Times New Roman" w:cs="Times New Roman"/>
        </w:rPr>
        <w:t>(March 2019).</w:t>
      </w:r>
      <w:r w:rsidR="00CC6912">
        <w:rPr>
          <w:rFonts w:ascii="Times New Roman" w:hAnsi="Times New Roman" w:cs="Times New Roman"/>
        </w:rPr>
        <w:t xml:space="preserve"> </w:t>
      </w:r>
    </w:p>
    <w:p w14:paraId="5986F3EE" w14:textId="1525AA0F" w:rsidR="00787D21" w:rsidRPr="00B73E5F" w:rsidRDefault="00787D21" w:rsidP="00787D21">
      <w:pPr>
        <w:rPr>
          <w:rFonts w:ascii="Times New Roman" w:hAnsi="Times New Roman" w:cs="Times New Roman"/>
        </w:rPr>
      </w:pPr>
      <w:r w:rsidRPr="00B73E5F">
        <w:rPr>
          <w:rFonts w:ascii="Times New Roman" w:hAnsi="Times New Roman" w:cs="Times New Roman"/>
        </w:rPr>
        <w:t>Puccia, Charles J., and Richard Levins</w:t>
      </w:r>
      <w:r w:rsidRPr="00B73E5F">
        <w:rPr>
          <w:rFonts w:ascii="Times New Roman" w:hAnsi="Times New Roman" w:cs="Times New Roman"/>
          <w:i/>
        </w:rPr>
        <w:t>.</w:t>
      </w:r>
      <w:r w:rsidRPr="00B73E5F">
        <w:rPr>
          <w:rFonts w:ascii="Times New Roman" w:hAnsi="Times New Roman" w:cs="Times New Roman"/>
          <w:i/>
          <w:iCs/>
        </w:rPr>
        <w:t xml:space="preserve"> Qualitative </w:t>
      </w:r>
      <w:proofErr w:type="spellStart"/>
      <w:r w:rsidRPr="00B73E5F">
        <w:rPr>
          <w:rFonts w:ascii="Times New Roman" w:hAnsi="Times New Roman" w:cs="Times New Roman"/>
          <w:i/>
          <w:iCs/>
        </w:rPr>
        <w:t>Modeling</w:t>
      </w:r>
      <w:proofErr w:type="spellEnd"/>
      <w:r w:rsidRPr="00B73E5F">
        <w:rPr>
          <w:rFonts w:ascii="Times New Roman" w:hAnsi="Times New Roman" w:cs="Times New Roman"/>
          <w:i/>
          <w:iCs/>
        </w:rPr>
        <w:t xml:space="preserve"> of Complex Systems: An Introduction to Loop Analysis and Time Averaging</w:t>
      </w:r>
      <w:r w:rsidRPr="00B73E5F">
        <w:rPr>
          <w:rFonts w:ascii="Times New Roman" w:hAnsi="Times New Roman" w:cs="Times New Roman"/>
        </w:rPr>
        <w:t xml:space="preserve">. Boston, Massachusetts: Harvard University Press, 1986.   </w:t>
      </w:r>
    </w:p>
    <w:p w14:paraId="6B105F19" w14:textId="4CB6AC27" w:rsidR="00787D21" w:rsidRPr="00096C23" w:rsidRDefault="00787D21" w:rsidP="00787D21">
      <w:pPr>
        <w:rPr>
          <w:rFonts w:ascii="Times New Roman" w:hAnsi="Times New Roman" w:cs="Times New Roman"/>
        </w:rPr>
      </w:pPr>
      <w:r w:rsidRPr="00B73E5F">
        <w:rPr>
          <w:rFonts w:ascii="Times New Roman" w:hAnsi="Times New Roman" w:cs="Times New Roman"/>
        </w:rPr>
        <w:t xml:space="preserve">Quinn, Charlotte, and others. CRISPR-mediated knock-in of transgenes into the malaria vector </w:t>
      </w:r>
      <w:r w:rsidRPr="00B73E5F">
        <w:rPr>
          <w:rFonts w:ascii="Times New Roman" w:hAnsi="Times New Roman" w:cs="Times New Roman"/>
          <w:i/>
          <w:iCs/>
        </w:rPr>
        <w:t xml:space="preserve">Anopheles </w:t>
      </w:r>
      <w:proofErr w:type="spellStart"/>
      <w:r w:rsidRPr="00B73E5F">
        <w:rPr>
          <w:rFonts w:ascii="Times New Roman" w:hAnsi="Times New Roman" w:cs="Times New Roman"/>
          <w:i/>
          <w:iCs/>
        </w:rPr>
        <w:t>funestus</w:t>
      </w:r>
      <w:proofErr w:type="spellEnd"/>
      <w:r w:rsidRPr="00B73E5F">
        <w:rPr>
          <w:rFonts w:ascii="Times New Roman" w:hAnsi="Times New Roman" w:cs="Times New Roman"/>
        </w:rPr>
        <w:t xml:space="preserve">. </w:t>
      </w:r>
      <w:r w:rsidRPr="00B73E5F">
        <w:rPr>
          <w:rFonts w:ascii="Times New Roman" w:hAnsi="Times New Roman" w:cs="Times New Roman"/>
          <w:i/>
          <w:iCs/>
        </w:rPr>
        <w:t>G3 Genes Genomes Genetics,</w:t>
      </w:r>
      <w:r w:rsidRPr="00B73E5F">
        <w:rPr>
          <w:rFonts w:ascii="Times New Roman" w:hAnsi="Times New Roman" w:cs="Times New Roman"/>
        </w:rPr>
        <w:t xml:space="preserve"> vol. 11, No. 8 (August 2021).</w:t>
      </w:r>
      <w:r w:rsidRPr="00096C23">
        <w:rPr>
          <w:rFonts w:ascii="Times New Roman" w:hAnsi="Times New Roman" w:cs="Times New Roman"/>
        </w:rPr>
        <w:t xml:space="preserve"> </w:t>
      </w:r>
    </w:p>
    <w:p w14:paraId="6E63174A" w14:textId="31A9B973" w:rsidR="00787D21" w:rsidRPr="00B73E5F" w:rsidRDefault="00787D21" w:rsidP="00787D21">
      <w:pPr>
        <w:rPr>
          <w:rFonts w:ascii="Times New Roman" w:hAnsi="Times New Roman" w:cs="Times New Roman"/>
        </w:rPr>
      </w:pPr>
      <w:r w:rsidRPr="00B73E5F">
        <w:rPr>
          <w:rFonts w:ascii="Times New Roman" w:hAnsi="Times New Roman" w:cs="Times New Roman"/>
        </w:rPr>
        <w:lastRenderedPageBreak/>
        <w:t xml:space="preserve">Qureshi, Alima, and John B. Connolly. A systematic review assessing the potential for release of vector species from competition following insecticide-based population suppression of </w:t>
      </w:r>
      <w:r w:rsidRPr="00B73E5F">
        <w:rPr>
          <w:rFonts w:ascii="Times New Roman" w:hAnsi="Times New Roman" w:cs="Times New Roman"/>
          <w:i/>
          <w:iCs/>
        </w:rPr>
        <w:t>Anopheles</w:t>
      </w:r>
      <w:r w:rsidRPr="00B73E5F">
        <w:rPr>
          <w:rFonts w:ascii="Times New Roman" w:hAnsi="Times New Roman" w:cs="Times New Roman"/>
        </w:rPr>
        <w:t xml:space="preserve"> species in Africa. </w:t>
      </w:r>
      <w:r w:rsidRPr="00B73E5F">
        <w:rPr>
          <w:rFonts w:ascii="Times New Roman" w:hAnsi="Times New Roman" w:cs="Times New Roman"/>
          <w:i/>
          <w:iCs/>
        </w:rPr>
        <w:t>Parasites and Vectors</w:t>
      </w:r>
      <w:r w:rsidRPr="00B73E5F">
        <w:rPr>
          <w:rFonts w:ascii="Times New Roman" w:hAnsi="Times New Roman" w:cs="Times New Roman"/>
        </w:rPr>
        <w:t xml:space="preserve">, vol. 14, No. 1 (September 2021). </w:t>
      </w:r>
    </w:p>
    <w:p w14:paraId="2D83481C" w14:textId="36CBF84E" w:rsidR="006D1511" w:rsidRPr="00B73E5F" w:rsidRDefault="006D1511" w:rsidP="00787D21">
      <w:pPr>
        <w:rPr>
          <w:rFonts w:ascii="Times New Roman" w:hAnsi="Times New Roman" w:cs="Times New Roman"/>
        </w:rPr>
      </w:pPr>
      <w:r w:rsidRPr="00B73E5F">
        <w:rPr>
          <w:rFonts w:ascii="Times New Roman" w:hAnsi="Times New Roman" w:cs="Times New Roman"/>
        </w:rPr>
        <w:t xml:space="preserve">Raban, Robyn. </w:t>
      </w:r>
      <w:r w:rsidR="008A6583" w:rsidRPr="00B73E5F">
        <w:rPr>
          <w:rFonts w:ascii="Times New Roman" w:hAnsi="Times New Roman" w:cs="Times New Roman"/>
        </w:rPr>
        <w:t xml:space="preserve">Manipulating the destiny of wild populations using CRISPR. </w:t>
      </w:r>
      <w:r w:rsidR="00811530" w:rsidRPr="00B73E5F">
        <w:rPr>
          <w:rFonts w:ascii="Times New Roman" w:hAnsi="Times New Roman" w:cs="Times New Roman"/>
          <w:i/>
          <w:iCs/>
        </w:rPr>
        <w:t xml:space="preserve">Annual Review of Genetics, </w:t>
      </w:r>
      <w:r w:rsidR="00C60172" w:rsidRPr="00B73E5F">
        <w:rPr>
          <w:rFonts w:ascii="Times New Roman" w:hAnsi="Times New Roman" w:cs="Times New Roman"/>
        </w:rPr>
        <w:t xml:space="preserve">vol. 57 (November 2023), pp. 361 </w:t>
      </w:r>
      <w:r w:rsidR="0050437C" w:rsidRPr="00B73E5F">
        <w:rPr>
          <w:rFonts w:ascii="Times New Roman" w:hAnsi="Times New Roman" w:cs="Times New Roman"/>
        </w:rPr>
        <w:t>–</w:t>
      </w:r>
      <w:r w:rsidR="00C60172" w:rsidRPr="00B73E5F">
        <w:rPr>
          <w:rFonts w:ascii="Times New Roman" w:hAnsi="Times New Roman" w:cs="Times New Roman"/>
        </w:rPr>
        <w:t xml:space="preserve"> </w:t>
      </w:r>
      <w:r w:rsidR="0050437C" w:rsidRPr="00B73E5F">
        <w:rPr>
          <w:rFonts w:ascii="Times New Roman" w:hAnsi="Times New Roman" w:cs="Times New Roman"/>
        </w:rPr>
        <w:t xml:space="preserve">390. </w:t>
      </w:r>
    </w:p>
    <w:p w14:paraId="037B4250" w14:textId="6952EE0D" w:rsidR="00787D21" w:rsidRPr="00FE0869" w:rsidRDefault="00787D21" w:rsidP="00787D21">
      <w:pPr>
        <w:rPr>
          <w:rFonts w:ascii="Times New Roman" w:eastAsia="Times New Roman" w:hAnsi="Times New Roman" w:cs="Times New Roman"/>
          <w:color w:val="000000"/>
          <w:lang w:eastAsia="en-CA"/>
          <w14:ligatures w14:val="none"/>
        </w:rPr>
      </w:pPr>
      <w:r w:rsidRPr="00B73E5F">
        <w:rPr>
          <w:rFonts w:ascii="Times New Roman" w:hAnsi="Times New Roman" w:cs="Times New Roman"/>
        </w:rPr>
        <w:t xml:space="preserve">Raban, Robyn R., John M. Marshall, and Omar S. Akbari. </w:t>
      </w:r>
      <w:r w:rsidRPr="00B73E5F">
        <w:rPr>
          <w:rFonts w:ascii="Times New Roman" w:eastAsia="Times New Roman" w:hAnsi="Times New Roman" w:cs="Times New Roman"/>
          <w:color w:val="000000"/>
          <w:lang w:eastAsia="en-CA"/>
          <w14:ligatures w14:val="none"/>
        </w:rPr>
        <w:t xml:space="preserve">Progress towards engineering gene drives for population control. </w:t>
      </w:r>
      <w:r w:rsidRPr="00B73E5F">
        <w:rPr>
          <w:rFonts w:ascii="Times New Roman" w:eastAsia="Times New Roman" w:hAnsi="Times New Roman" w:cs="Times New Roman"/>
          <w:i/>
          <w:iCs/>
          <w:color w:val="000000"/>
          <w:lang w:eastAsia="en-CA"/>
          <w14:ligatures w14:val="none"/>
        </w:rPr>
        <w:t>J Exp Biol.</w:t>
      </w:r>
      <w:r w:rsidRPr="00B73E5F">
        <w:rPr>
          <w:rFonts w:ascii="Times New Roman" w:eastAsia="Times New Roman" w:hAnsi="Times New Roman" w:cs="Times New Roman"/>
          <w:color w:val="000000"/>
          <w:lang w:eastAsia="en-CA"/>
          <w14:ligatures w14:val="none"/>
        </w:rPr>
        <w:t xml:space="preserve">, vol. 223, No. </w:t>
      </w:r>
      <w:proofErr w:type="spellStart"/>
      <w:r w:rsidRPr="00B73E5F">
        <w:rPr>
          <w:rFonts w:ascii="Times New Roman" w:eastAsia="Times New Roman" w:hAnsi="Times New Roman" w:cs="Times New Roman"/>
          <w:color w:val="000000"/>
          <w:lang w:eastAsia="en-CA"/>
          <w14:ligatures w14:val="none"/>
        </w:rPr>
        <w:t>Suppl</w:t>
      </w:r>
      <w:proofErr w:type="spellEnd"/>
      <w:r w:rsidRPr="00B73E5F">
        <w:rPr>
          <w:rFonts w:ascii="Times New Roman" w:eastAsia="Times New Roman" w:hAnsi="Times New Roman" w:cs="Times New Roman"/>
          <w:color w:val="000000"/>
          <w:lang w:eastAsia="en-CA"/>
          <w14:ligatures w14:val="none"/>
        </w:rPr>
        <w:t xml:space="preserve"> 1 (February 2020).</w:t>
      </w:r>
      <w:r w:rsidRPr="00096C23">
        <w:rPr>
          <w:rFonts w:ascii="Times New Roman" w:eastAsia="Times New Roman" w:hAnsi="Times New Roman" w:cs="Times New Roman"/>
          <w:color w:val="000000"/>
          <w:lang w:eastAsia="en-CA"/>
          <w14:ligatures w14:val="none"/>
        </w:rPr>
        <w:t xml:space="preserve"> </w:t>
      </w:r>
    </w:p>
    <w:p w14:paraId="0F568CD1" w14:textId="47EB3D39" w:rsidR="00787D21" w:rsidRPr="00B73E5F" w:rsidRDefault="00787D21" w:rsidP="00787D21">
      <w:pPr>
        <w:rPr>
          <w:rFonts w:ascii="Times New Roman" w:eastAsia="Times New Roman" w:hAnsi="Times New Roman" w:cs="Times New Roman"/>
          <w:color w:val="000000"/>
          <w:lang w:eastAsia="en-CA"/>
          <w14:ligatures w14:val="none"/>
        </w:rPr>
      </w:pPr>
      <w:r w:rsidRPr="00B73E5F">
        <w:rPr>
          <w:rFonts w:ascii="Times New Roman" w:hAnsi="Times New Roman" w:cs="Times New Roman"/>
        </w:rPr>
        <w:t xml:space="preserve">Rabitz, Florian. </w:t>
      </w:r>
      <w:r w:rsidRPr="00B73E5F">
        <w:rPr>
          <w:rFonts w:ascii="Times New Roman" w:eastAsia="Times New Roman" w:hAnsi="Times New Roman" w:cs="Times New Roman"/>
          <w:color w:val="000000"/>
          <w:lang w:eastAsia="en-CA"/>
          <w14:ligatures w14:val="none"/>
        </w:rPr>
        <w:t xml:space="preserve">Gene drives and the international biodiversity regime. </w:t>
      </w:r>
      <w:r w:rsidRPr="00B73E5F">
        <w:rPr>
          <w:rFonts w:ascii="Times New Roman" w:eastAsia="Times New Roman" w:hAnsi="Times New Roman" w:cs="Times New Roman"/>
          <w:i/>
          <w:iCs/>
          <w:color w:val="000000"/>
          <w:lang w:eastAsia="en-CA"/>
          <w14:ligatures w14:val="none"/>
        </w:rPr>
        <w:t xml:space="preserve">Special issue: New frontiers in Ocean Environmental Governance, </w:t>
      </w:r>
      <w:r w:rsidRPr="00B73E5F">
        <w:rPr>
          <w:rFonts w:ascii="Times New Roman" w:eastAsia="Times New Roman" w:hAnsi="Times New Roman" w:cs="Times New Roman"/>
          <w:color w:val="000000"/>
          <w:lang w:eastAsia="en-CA"/>
          <w14:ligatures w14:val="none"/>
        </w:rPr>
        <w:t xml:space="preserve">vol. 28, No. 3 (November 2019), pp. 339 – 348. </w:t>
      </w:r>
    </w:p>
    <w:p w14:paraId="5577DEF0" w14:textId="536D4C0B" w:rsidR="00F52E7B" w:rsidRPr="00B73E5F" w:rsidRDefault="00787D21" w:rsidP="00F52E7B">
      <w:pPr>
        <w:rPr>
          <w:rFonts w:ascii="Times New Roman" w:eastAsia="Times New Roman" w:hAnsi="Times New Roman" w:cs="Times New Roman"/>
          <w:color w:val="000000"/>
          <w:lang w:eastAsia="en-CA"/>
          <w14:ligatures w14:val="none"/>
        </w:rPr>
      </w:pPr>
      <w:r w:rsidRPr="00B73E5F">
        <w:rPr>
          <w:rFonts w:ascii="Times New Roman" w:hAnsi="Times New Roman" w:cs="Times New Roman"/>
        </w:rPr>
        <w:t xml:space="preserve">__________. </w:t>
      </w:r>
      <w:r w:rsidRPr="00B73E5F">
        <w:rPr>
          <w:rFonts w:ascii="Times New Roman" w:eastAsia="Times New Roman" w:hAnsi="Times New Roman" w:cs="Times New Roman"/>
          <w:color w:val="000000"/>
          <w:lang w:eastAsia="en-CA"/>
          <w14:ligatures w14:val="none"/>
        </w:rPr>
        <w:t xml:space="preserve">The international governance of gene drive organisms. </w:t>
      </w:r>
      <w:r w:rsidRPr="00B73E5F">
        <w:rPr>
          <w:rFonts w:ascii="Times New Roman" w:eastAsia="Times New Roman" w:hAnsi="Times New Roman" w:cs="Times New Roman"/>
          <w:i/>
          <w:iCs/>
          <w:color w:val="000000"/>
          <w:lang w:eastAsia="en-CA"/>
          <w14:ligatures w14:val="none"/>
        </w:rPr>
        <w:t xml:space="preserve">Environmental Politics, </w:t>
      </w:r>
      <w:r w:rsidRPr="00B73E5F">
        <w:rPr>
          <w:rFonts w:ascii="Times New Roman" w:eastAsia="Times New Roman" w:hAnsi="Times New Roman" w:cs="Times New Roman"/>
          <w:color w:val="000000"/>
          <w:lang w:eastAsia="en-CA"/>
          <w14:ligatures w14:val="none"/>
        </w:rPr>
        <w:t>vol. 31, No. 6 (2022), pp. 949 – 968.</w:t>
      </w:r>
    </w:p>
    <w:p w14:paraId="7AADE421" w14:textId="454EF6D2" w:rsidR="00F52E7B" w:rsidRPr="00F52E7B" w:rsidRDefault="00F52E7B" w:rsidP="00F52E7B">
      <w:r w:rsidRPr="00B73E5F">
        <w:rPr>
          <w:rFonts w:ascii="Times New Roman" w:eastAsia="Times New Roman" w:hAnsi="Times New Roman" w:cs="Times New Roman"/>
          <w:color w:val="000000"/>
          <w:lang w:eastAsia="en-CA"/>
          <w14:ligatures w14:val="none"/>
        </w:rPr>
        <w:t>Ramirez-</w:t>
      </w:r>
      <w:r w:rsidR="00FD393B" w:rsidRPr="00B73E5F">
        <w:rPr>
          <w:rFonts w:ascii="Times New Roman" w:eastAsia="Times New Roman" w:hAnsi="Times New Roman" w:cs="Times New Roman"/>
          <w:color w:val="000000"/>
          <w:lang w:eastAsia="en-CA"/>
          <w14:ligatures w14:val="none"/>
        </w:rPr>
        <w:t xml:space="preserve">Francel, Leidy Azucena, and others. </w:t>
      </w:r>
      <w:r w:rsidR="006A3AA3" w:rsidRPr="00B73E5F">
        <w:rPr>
          <w:rFonts w:ascii="Times New Roman" w:eastAsia="Times New Roman" w:hAnsi="Times New Roman" w:cs="Times New Roman"/>
          <w:color w:val="000000"/>
          <w:lang w:eastAsia="en-CA"/>
          <w14:ligatures w14:val="none"/>
        </w:rPr>
        <w:t>Bats and their vital ecosystem services: A global review.</w:t>
      </w:r>
      <w:r w:rsidR="006A3AA3">
        <w:rPr>
          <w:rFonts w:ascii="Times New Roman" w:eastAsia="Times New Roman" w:hAnsi="Times New Roman" w:cs="Times New Roman"/>
          <w:color w:val="000000"/>
          <w:lang w:eastAsia="en-CA"/>
          <w14:ligatures w14:val="none"/>
        </w:rPr>
        <w:t xml:space="preserve"> </w:t>
      </w:r>
    </w:p>
    <w:p w14:paraId="62EE8B2E" w14:textId="2CAD89E9" w:rsidR="00787D21" w:rsidRPr="00096C23" w:rsidRDefault="00787D21" w:rsidP="00787D21">
      <w:pPr>
        <w:rPr>
          <w:rFonts w:ascii="Times New Roman" w:hAnsi="Times New Roman" w:cs="Times New Roman"/>
        </w:rPr>
      </w:pPr>
      <w:r w:rsidRPr="00B73E5F">
        <w:rPr>
          <w:rFonts w:ascii="Times New Roman" w:hAnsi="Times New Roman" w:cs="Times New Roman"/>
        </w:rPr>
        <w:t xml:space="preserve">Rašić, Gordana, and others. Monitoring needs for gene drive mosquito projects: Lessons from vector control field trials and invasive species. </w:t>
      </w:r>
      <w:r w:rsidRPr="00B73E5F">
        <w:rPr>
          <w:rFonts w:ascii="Times New Roman" w:hAnsi="Times New Roman" w:cs="Times New Roman"/>
          <w:i/>
          <w:iCs/>
        </w:rPr>
        <w:t>Frontiers in Genetics</w:t>
      </w:r>
      <w:r w:rsidRPr="00B73E5F">
        <w:rPr>
          <w:rFonts w:ascii="Times New Roman" w:hAnsi="Times New Roman" w:cs="Times New Roman"/>
        </w:rPr>
        <w:t>, vol. 12, (January 2022).</w:t>
      </w:r>
    </w:p>
    <w:p w14:paraId="635FC2DC" w14:textId="18192931"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Raybould, Alan. Hypothesis-led ecological risk assessment of GM crops to support decision-making about product use. </w:t>
      </w:r>
      <w:r w:rsidRPr="00B73E5F">
        <w:rPr>
          <w:rFonts w:ascii="Times New Roman" w:hAnsi="Times New Roman" w:cs="Times New Roman"/>
          <w:i/>
          <w:iCs/>
        </w:rPr>
        <w:t>In GMOs Topics in Biodiversity and Conservation</w:t>
      </w:r>
      <w:r w:rsidRPr="00B73E5F">
        <w:rPr>
          <w:rFonts w:ascii="Times New Roman" w:hAnsi="Times New Roman" w:cs="Times New Roman"/>
        </w:rPr>
        <w:t xml:space="preserve">, A. Chaurasia, D. L. Hawksworth, M. Pessoa de Miranda, eds. Springer, Cham, 2020. </w:t>
      </w:r>
    </w:p>
    <w:p w14:paraId="7E02524B" w14:textId="4DF0C116" w:rsidR="0908CE35" w:rsidRPr="00B73E5F" w:rsidRDefault="3913D398" w:rsidP="0908CE35">
      <w:pPr>
        <w:rPr>
          <w:rFonts w:ascii="Times New Roman" w:hAnsi="Times New Roman" w:cs="Times New Roman"/>
        </w:rPr>
      </w:pPr>
      <w:r w:rsidRPr="00B73E5F">
        <w:rPr>
          <w:rFonts w:ascii="Times New Roman" w:hAnsi="Times New Roman" w:cs="Times New Roman"/>
        </w:rPr>
        <w:t xml:space="preserve">Raybould, Alan. </w:t>
      </w:r>
      <w:r w:rsidRPr="00B73E5F">
        <w:rPr>
          <w:rFonts w:ascii="Times New Roman" w:eastAsia="Times New Roman" w:hAnsi="Times New Roman" w:cs="Times New Roman"/>
        </w:rPr>
        <w:t xml:space="preserve">Problem formulation and hypothesis testing for environmental risk assessments of genetically modified crops. </w:t>
      </w:r>
      <w:r w:rsidRPr="00B73E5F">
        <w:rPr>
          <w:rFonts w:ascii="Times New Roman" w:eastAsia="Times New Roman" w:hAnsi="Times New Roman" w:cs="Times New Roman"/>
          <w:i/>
          <w:iCs/>
        </w:rPr>
        <w:t xml:space="preserve">Environ. Biosafety Res., </w:t>
      </w:r>
      <w:r w:rsidRPr="00B73E5F">
        <w:rPr>
          <w:rFonts w:ascii="Times New Roman" w:eastAsia="Times New Roman" w:hAnsi="Times New Roman" w:cs="Times New Roman"/>
        </w:rPr>
        <w:t xml:space="preserve">vol. 5 (2006), pp. 119 – 125. </w:t>
      </w:r>
    </w:p>
    <w:p w14:paraId="51FECEC9" w14:textId="7DD86E42" w:rsidR="00326F45" w:rsidRPr="00B73E5F" w:rsidRDefault="00326F45" w:rsidP="49369582">
      <w:pPr>
        <w:rPr>
          <w:rFonts w:ascii="Times New Roman" w:hAnsi="Times New Roman" w:cs="Times New Roman"/>
        </w:rPr>
      </w:pPr>
      <w:r w:rsidRPr="00B73E5F">
        <w:rPr>
          <w:rFonts w:ascii="Times New Roman" w:hAnsi="Times New Roman" w:cs="Times New Roman"/>
        </w:rPr>
        <w:t xml:space="preserve">Raybould, Alan. </w:t>
      </w:r>
      <w:r w:rsidR="00384063" w:rsidRPr="00B73E5F">
        <w:rPr>
          <w:rFonts w:ascii="Times New Roman" w:hAnsi="Times New Roman" w:cs="Times New Roman"/>
        </w:rPr>
        <w:t xml:space="preserve">The bucket and the searchlight: formulating and testing risk hypotheses about the weediness and invasiveness potential of transgenic crops. </w:t>
      </w:r>
      <w:r w:rsidR="00384063" w:rsidRPr="00B73E5F">
        <w:rPr>
          <w:rFonts w:ascii="Times New Roman" w:hAnsi="Times New Roman" w:cs="Times New Roman"/>
          <w:i/>
          <w:iCs/>
        </w:rPr>
        <w:t xml:space="preserve">Environ Biosafety Res., </w:t>
      </w:r>
      <w:r w:rsidR="00384063" w:rsidRPr="00B73E5F">
        <w:rPr>
          <w:rFonts w:ascii="Times New Roman" w:hAnsi="Times New Roman" w:cs="Times New Roman"/>
        </w:rPr>
        <w:t xml:space="preserve">vol. </w:t>
      </w:r>
      <w:r w:rsidR="00A64080" w:rsidRPr="00B73E5F">
        <w:rPr>
          <w:rFonts w:ascii="Times New Roman" w:hAnsi="Times New Roman" w:cs="Times New Roman"/>
        </w:rPr>
        <w:t>9, No. 3 (July-September 2010), pp. 123 – 133.</w:t>
      </w:r>
    </w:p>
    <w:p w14:paraId="3346AC0A" w14:textId="42FDF685" w:rsidR="00326F45" w:rsidRPr="00B73E5F" w:rsidRDefault="1CA3C513" w:rsidP="00787D21">
      <w:pPr>
        <w:rPr>
          <w:rFonts w:ascii="Times New Roman" w:hAnsi="Times New Roman" w:cs="Times New Roman"/>
        </w:rPr>
      </w:pPr>
      <w:r w:rsidRPr="00B73E5F">
        <w:rPr>
          <w:rFonts w:ascii="Times New Roman" w:hAnsi="Times New Roman" w:cs="Times New Roman"/>
        </w:rPr>
        <w:t xml:space="preserve">Raybould, Alan, and Phil Macdonald. </w:t>
      </w:r>
      <w:r w:rsidR="718C393B" w:rsidRPr="00B73E5F">
        <w:rPr>
          <w:rFonts w:ascii="Times New Roman" w:hAnsi="Times New Roman" w:cs="Times New Roman"/>
        </w:rPr>
        <w:t xml:space="preserve"> </w:t>
      </w:r>
      <w:r w:rsidR="489192C5" w:rsidRPr="00B73E5F">
        <w:rPr>
          <w:rFonts w:ascii="Times New Roman" w:hAnsi="Times New Roman" w:cs="Times New Roman"/>
        </w:rPr>
        <w:t xml:space="preserve">Policy-Led comparative environmental risk assessment of genetically modified crops: Testing for increased risk rather than profiling phenotypes leads to predictable and transparent decision-making. </w:t>
      </w:r>
      <w:r w:rsidR="489192C5" w:rsidRPr="00B73E5F">
        <w:rPr>
          <w:rFonts w:ascii="Times New Roman" w:hAnsi="Times New Roman" w:cs="Times New Roman"/>
          <w:i/>
        </w:rPr>
        <w:t xml:space="preserve">Front. </w:t>
      </w:r>
      <w:proofErr w:type="spellStart"/>
      <w:r w:rsidR="489192C5" w:rsidRPr="00B73E5F">
        <w:rPr>
          <w:rFonts w:ascii="Times New Roman" w:hAnsi="Times New Roman" w:cs="Times New Roman"/>
          <w:i/>
        </w:rPr>
        <w:t>Bioeng</w:t>
      </w:r>
      <w:proofErr w:type="spellEnd"/>
      <w:r w:rsidR="489192C5" w:rsidRPr="00B73E5F">
        <w:rPr>
          <w:rFonts w:ascii="Times New Roman" w:hAnsi="Times New Roman" w:cs="Times New Roman"/>
          <w:i/>
        </w:rPr>
        <w:t xml:space="preserve">. </w:t>
      </w:r>
      <w:proofErr w:type="spellStart"/>
      <w:r w:rsidR="489192C5" w:rsidRPr="00B73E5F">
        <w:rPr>
          <w:rFonts w:ascii="Times New Roman" w:hAnsi="Times New Roman" w:cs="Times New Roman"/>
          <w:i/>
        </w:rPr>
        <w:t>Biotechnol</w:t>
      </w:r>
      <w:proofErr w:type="spellEnd"/>
      <w:r w:rsidR="489192C5" w:rsidRPr="00B73E5F">
        <w:rPr>
          <w:rFonts w:ascii="Times New Roman" w:hAnsi="Times New Roman" w:cs="Times New Roman"/>
          <w:i/>
          <w:iCs/>
        </w:rPr>
        <w:t xml:space="preserve">., </w:t>
      </w:r>
      <w:r w:rsidR="489192C5" w:rsidRPr="00B73E5F">
        <w:rPr>
          <w:rFonts w:ascii="Times New Roman" w:hAnsi="Times New Roman" w:cs="Times New Roman"/>
        </w:rPr>
        <w:t>vol. 10 (A</w:t>
      </w:r>
      <w:r w:rsidR="090B97E2" w:rsidRPr="00B73E5F">
        <w:rPr>
          <w:rFonts w:ascii="Times New Roman" w:hAnsi="Times New Roman" w:cs="Times New Roman"/>
        </w:rPr>
        <w:t xml:space="preserve">pril 2018). </w:t>
      </w:r>
    </w:p>
    <w:p w14:paraId="2C1A0E7C" w14:textId="1A36617D"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Reeves, R. Guy, and others. First steps towards </w:t>
      </w:r>
      <w:proofErr w:type="spellStart"/>
      <w:r w:rsidRPr="00B73E5F">
        <w:rPr>
          <w:rFonts w:ascii="Times New Roman" w:hAnsi="Times New Roman" w:cs="Times New Roman"/>
        </w:rPr>
        <w:t>underdominant</w:t>
      </w:r>
      <w:proofErr w:type="spellEnd"/>
      <w:r w:rsidRPr="00B73E5F">
        <w:rPr>
          <w:rFonts w:ascii="Times New Roman" w:hAnsi="Times New Roman" w:cs="Times New Roman"/>
        </w:rPr>
        <w:t xml:space="preserve"> genetic transformation of insect populations. </w:t>
      </w:r>
      <w:r w:rsidRPr="00B73E5F">
        <w:rPr>
          <w:rFonts w:ascii="Times New Roman" w:hAnsi="Times New Roman" w:cs="Times New Roman"/>
          <w:i/>
          <w:iCs/>
        </w:rPr>
        <w:t>PLOS ONE</w:t>
      </w:r>
      <w:r w:rsidRPr="00B73E5F">
        <w:rPr>
          <w:rFonts w:ascii="Times New Roman" w:hAnsi="Times New Roman" w:cs="Times New Roman"/>
        </w:rPr>
        <w:t xml:space="preserve">, vol. 9, No. 5 (May 2014). </w:t>
      </w:r>
    </w:p>
    <w:p w14:paraId="1FF25B41" w14:textId="74D99B09" w:rsidR="34089686" w:rsidRPr="00B73E5F" w:rsidRDefault="19A00814" w:rsidP="34089686">
      <w:pPr>
        <w:rPr>
          <w:rFonts w:ascii="Times New Roman" w:hAnsi="Times New Roman" w:cs="Times New Roman"/>
          <w:i/>
        </w:rPr>
      </w:pPr>
      <w:r w:rsidRPr="00B73E5F">
        <w:rPr>
          <w:rFonts w:ascii="Times New Roman" w:hAnsi="Times New Roman" w:cs="Times New Roman"/>
        </w:rPr>
        <w:t xml:space="preserve">Regan, Helen M., Mark </w:t>
      </w:r>
      <w:proofErr w:type="spellStart"/>
      <w:r w:rsidRPr="00B73E5F">
        <w:rPr>
          <w:rFonts w:ascii="Times New Roman" w:hAnsi="Times New Roman" w:cs="Times New Roman"/>
        </w:rPr>
        <w:t>Colyvan</w:t>
      </w:r>
      <w:proofErr w:type="spellEnd"/>
      <w:r w:rsidRPr="00B73E5F">
        <w:rPr>
          <w:rFonts w:ascii="Times New Roman" w:hAnsi="Times New Roman" w:cs="Times New Roman"/>
        </w:rPr>
        <w:t xml:space="preserve">, and Mark A. Burgman. A taxonomy and treatment of uncertainty for ecology and conservation biology. </w:t>
      </w:r>
      <w:r w:rsidRPr="00B73E5F">
        <w:rPr>
          <w:rFonts w:ascii="Times New Roman" w:hAnsi="Times New Roman" w:cs="Times New Roman"/>
          <w:i/>
          <w:iCs/>
        </w:rPr>
        <w:t xml:space="preserve">Ecological Applications, </w:t>
      </w:r>
      <w:r w:rsidRPr="00B73E5F">
        <w:rPr>
          <w:rFonts w:ascii="Times New Roman" w:hAnsi="Times New Roman" w:cs="Times New Roman"/>
        </w:rPr>
        <w:t xml:space="preserve">vol. 12, No. 2 (April 2002). </w:t>
      </w:r>
    </w:p>
    <w:p w14:paraId="5B5BE975" w14:textId="1E86D4C6" w:rsidR="34BD311A" w:rsidRDefault="34BD311A" w:rsidP="65B2414C">
      <w:pPr>
        <w:rPr>
          <w:rFonts w:ascii="Times New Roman" w:eastAsia="Times New Roman" w:hAnsi="Times New Roman" w:cs="Times New Roman"/>
          <w:color w:val="000000" w:themeColor="text1"/>
        </w:rPr>
      </w:pPr>
      <w:r w:rsidRPr="00B73E5F">
        <w:rPr>
          <w:rFonts w:ascii="Times New Roman" w:hAnsi="Times New Roman" w:cs="Times New Roman"/>
        </w:rPr>
        <w:t>Reid, Walter V</w:t>
      </w:r>
      <w:r w:rsidRPr="00B73E5F">
        <w:rPr>
          <w:rFonts w:ascii="Times New Roman" w:eastAsia="Times New Roman" w:hAnsi="Times New Roman" w:cs="Times New Roman"/>
          <w:i/>
          <w:iCs/>
          <w:color w:val="000000" w:themeColor="text1"/>
        </w:rPr>
        <w:t>. Millennium Ecosystem Assessment Ecosystems and Human Well-being: Synthesis</w:t>
      </w:r>
      <w:r w:rsidRPr="00B73E5F">
        <w:rPr>
          <w:rFonts w:ascii="Times New Roman" w:eastAsia="Times New Roman" w:hAnsi="Times New Roman" w:cs="Times New Roman"/>
          <w:color w:val="000000" w:themeColor="text1"/>
        </w:rPr>
        <w:t>. Island Press, Washington, DC, 2005.</w:t>
      </w:r>
    </w:p>
    <w:p w14:paraId="6C90E2F7" w14:textId="3599C123"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Reinhold. Joanna M., Claudio R. Lazzari, and Chloe </w:t>
      </w:r>
      <w:proofErr w:type="spellStart"/>
      <w:r w:rsidRPr="00B73E5F">
        <w:rPr>
          <w:rFonts w:ascii="Times New Roman" w:hAnsi="Times New Roman" w:cs="Times New Roman"/>
        </w:rPr>
        <w:t>Lahondere</w:t>
      </w:r>
      <w:proofErr w:type="spellEnd"/>
      <w:r w:rsidRPr="00B73E5F">
        <w:rPr>
          <w:rFonts w:ascii="Times New Roman" w:hAnsi="Times New Roman" w:cs="Times New Roman"/>
        </w:rPr>
        <w:t xml:space="preserve">. Effects of the environmental temperature on </w:t>
      </w:r>
      <w:r w:rsidRPr="00B73E5F">
        <w:rPr>
          <w:rFonts w:ascii="Times New Roman" w:hAnsi="Times New Roman" w:cs="Times New Roman"/>
          <w:i/>
          <w:iCs/>
        </w:rPr>
        <w:t>Aedes aegypti</w:t>
      </w:r>
      <w:r w:rsidRPr="00B73E5F">
        <w:rPr>
          <w:rFonts w:ascii="Times New Roman" w:hAnsi="Times New Roman" w:cs="Times New Roman"/>
        </w:rPr>
        <w:t xml:space="preserve"> and </w:t>
      </w:r>
      <w:r w:rsidRPr="00B73E5F">
        <w:rPr>
          <w:rFonts w:ascii="Times New Roman" w:hAnsi="Times New Roman" w:cs="Times New Roman"/>
          <w:i/>
          <w:iCs/>
        </w:rPr>
        <w:t>Aedes albopictus</w:t>
      </w:r>
      <w:r w:rsidRPr="00B73E5F">
        <w:rPr>
          <w:rFonts w:ascii="Times New Roman" w:hAnsi="Times New Roman" w:cs="Times New Roman"/>
        </w:rPr>
        <w:t xml:space="preserve"> mosquitoes: A review. </w:t>
      </w:r>
      <w:r w:rsidRPr="00B73E5F">
        <w:rPr>
          <w:rFonts w:ascii="Times New Roman" w:hAnsi="Times New Roman" w:cs="Times New Roman"/>
          <w:i/>
          <w:iCs/>
        </w:rPr>
        <w:t>Insects</w:t>
      </w:r>
      <w:r w:rsidRPr="00B73E5F">
        <w:rPr>
          <w:rFonts w:ascii="Times New Roman" w:hAnsi="Times New Roman" w:cs="Times New Roman"/>
        </w:rPr>
        <w:t xml:space="preserve">, vol. 9, No. 4 (November 2018). </w:t>
      </w:r>
    </w:p>
    <w:p w14:paraId="71ADEB02" w14:textId="33F940A5" w:rsidR="00787D21" w:rsidRPr="00B73E5F" w:rsidRDefault="00787D21" w:rsidP="00787D21">
      <w:pPr>
        <w:rPr>
          <w:rFonts w:ascii="Times New Roman" w:eastAsia="Times New Roman" w:hAnsi="Times New Roman" w:cs="Times New Roman"/>
          <w:color w:val="000000"/>
          <w:lang w:eastAsia="en-CA"/>
          <w14:ligatures w14:val="none"/>
        </w:rPr>
      </w:pPr>
      <w:proofErr w:type="spellStart"/>
      <w:r w:rsidRPr="00B73E5F">
        <w:rPr>
          <w:rFonts w:ascii="Times New Roman" w:eastAsia="Times New Roman" w:hAnsi="Times New Roman" w:cs="Times New Roman"/>
          <w:color w:val="000000"/>
          <w:lang w:eastAsia="en-CA"/>
          <w14:ligatures w14:val="none"/>
        </w:rPr>
        <w:t>Restif</w:t>
      </w:r>
      <w:proofErr w:type="spellEnd"/>
      <w:r w:rsidRPr="00B73E5F">
        <w:rPr>
          <w:rFonts w:ascii="Times New Roman" w:eastAsia="Times New Roman" w:hAnsi="Times New Roman" w:cs="Times New Roman"/>
          <w:color w:val="000000"/>
          <w:lang w:eastAsia="en-CA"/>
          <w14:ligatures w14:val="none"/>
        </w:rPr>
        <w:t xml:space="preserve">, Olivier, and others. Model-guided fieldwork: Practical guidelines for multidisciplinary research on wildlife ecological and epidemiological dynamics. </w:t>
      </w:r>
      <w:r w:rsidRPr="00B73E5F">
        <w:rPr>
          <w:rFonts w:ascii="Times New Roman" w:eastAsia="Times New Roman" w:hAnsi="Times New Roman" w:cs="Times New Roman"/>
          <w:i/>
          <w:iCs/>
          <w:color w:val="000000"/>
          <w:lang w:eastAsia="en-CA"/>
          <w14:ligatures w14:val="none"/>
        </w:rPr>
        <w:t>Ecology Letter</w:t>
      </w:r>
      <w:r w:rsidRPr="00B73E5F">
        <w:rPr>
          <w:rFonts w:ascii="Times New Roman" w:eastAsia="Times New Roman" w:hAnsi="Times New Roman" w:cs="Times New Roman"/>
          <w:color w:val="000000"/>
          <w:lang w:eastAsia="en-CA"/>
          <w14:ligatures w14:val="none"/>
        </w:rPr>
        <w:t>, vol. 15, No. 10 (</w:t>
      </w:r>
      <w:r w:rsidR="3458F654" w:rsidRPr="00B73E5F">
        <w:rPr>
          <w:rFonts w:ascii="Times New Roman" w:eastAsia="Times New Roman" w:hAnsi="Times New Roman" w:cs="Times New Roman"/>
          <w:color w:val="000000"/>
          <w:lang w:eastAsia="en-CA"/>
          <w14:ligatures w14:val="none"/>
        </w:rPr>
        <w:t xml:space="preserve">October </w:t>
      </w:r>
      <w:r w:rsidRPr="00B73E5F">
        <w:rPr>
          <w:rFonts w:ascii="Times New Roman" w:eastAsia="Times New Roman" w:hAnsi="Times New Roman" w:cs="Times New Roman"/>
          <w:color w:val="000000"/>
          <w:lang w:eastAsia="en-CA"/>
          <w14:ligatures w14:val="none"/>
        </w:rPr>
        <w:t>201</w:t>
      </w:r>
      <w:r w:rsidR="2874C109" w:rsidRPr="00B73E5F">
        <w:rPr>
          <w:rFonts w:ascii="Times New Roman" w:eastAsia="Times New Roman" w:hAnsi="Times New Roman" w:cs="Times New Roman"/>
          <w:color w:val="000000"/>
          <w:lang w:eastAsia="en-CA"/>
          <w14:ligatures w14:val="none"/>
        </w:rPr>
        <w:t>2</w:t>
      </w:r>
      <w:r w:rsidRPr="00B73E5F">
        <w:rPr>
          <w:rFonts w:ascii="Times New Roman" w:eastAsia="Times New Roman" w:hAnsi="Times New Roman" w:cs="Times New Roman"/>
          <w:color w:val="000000"/>
          <w:lang w:eastAsia="en-CA"/>
          <w14:ligatures w14:val="none"/>
        </w:rPr>
        <w:t>), pp. 1083—1094.</w:t>
      </w:r>
    </w:p>
    <w:p w14:paraId="0B899759" w14:textId="25ED7AE6" w:rsidR="00787D21" w:rsidRPr="00FE0869" w:rsidRDefault="00787D21" w:rsidP="00787D21">
      <w:pPr>
        <w:rPr>
          <w:rFonts w:ascii="Times New Roman" w:hAnsi="Times New Roman" w:cs="Times New Roman"/>
          <w:i/>
        </w:rPr>
      </w:pPr>
      <w:r w:rsidRPr="00E60B62">
        <w:rPr>
          <w:rFonts w:ascii="Times New Roman" w:hAnsi="Times New Roman" w:cs="Times New Roman"/>
        </w:rPr>
        <w:t xml:space="preserve">Richard, Vaea, </w:t>
      </w:r>
      <w:proofErr w:type="spellStart"/>
      <w:r w:rsidRPr="00E60B62">
        <w:rPr>
          <w:rFonts w:ascii="Times New Roman" w:hAnsi="Times New Roman" w:cs="Times New Roman"/>
        </w:rPr>
        <w:t>Tuterarii</w:t>
      </w:r>
      <w:proofErr w:type="spellEnd"/>
      <w:r w:rsidRPr="00E60B62">
        <w:rPr>
          <w:rFonts w:ascii="Times New Roman" w:hAnsi="Times New Roman" w:cs="Times New Roman"/>
        </w:rPr>
        <w:t xml:space="preserve"> </w:t>
      </w:r>
      <w:proofErr w:type="spellStart"/>
      <w:r w:rsidRPr="00E60B62">
        <w:rPr>
          <w:rFonts w:ascii="Times New Roman" w:hAnsi="Times New Roman" w:cs="Times New Roman"/>
        </w:rPr>
        <w:t>Paoaafaite</w:t>
      </w:r>
      <w:proofErr w:type="spellEnd"/>
      <w:r w:rsidRPr="00E60B62">
        <w:rPr>
          <w:rFonts w:ascii="Times New Roman" w:hAnsi="Times New Roman" w:cs="Times New Roman"/>
        </w:rPr>
        <w:t>, and Van-Mai Cao-</w:t>
      </w:r>
      <w:proofErr w:type="spellStart"/>
      <w:r w:rsidRPr="00E60B62">
        <w:rPr>
          <w:rFonts w:ascii="Times New Roman" w:hAnsi="Times New Roman" w:cs="Times New Roman"/>
        </w:rPr>
        <w:t>Lormeau</w:t>
      </w:r>
      <w:proofErr w:type="spellEnd"/>
      <w:r w:rsidRPr="00E60B62">
        <w:rPr>
          <w:rFonts w:ascii="Times New Roman" w:hAnsi="Times New Roman" w:cs="Times New Roman"/>
        </w:rPr>
        <w:t xml:space="preserve">. </w:t>
      </w:r>
      <w:r w:rsidRPr="00B73E5F">
        <w:rPr>
          <w:rFonts w:ascii="Times New Roman" w:hAnsi="Times New Roman" w:cs="Times New Roman"/>
        </w:rPr>
        <w:t xml:space="preserve">Vector competence of </w:t>
      </w:r>
      <w:r w:rsidRPr="00B73E5F">
        <w:rPr>
          <w:rFonts w:ascii="Times New Roman" w:hAnsi="Times New Roman" w:cs="Times New Roman"/>
          <w:i/>
          <w:iCs/>
        </w:rPr>
        <w:t>Aedes aegypti</w:t>
      </w:r>
      <w:r w:rsidRPr="00B73E5F">
        <w:rPr>
          <w:rFonts w:ascii="Times New Roman" w:hAnsi="Times New Roman" w:cs="Times New Roman"/>
        </w:rPr>
        <w:t xml:space="preserve"> and </w:t>
      </w:r>
      <w:r w:rsidRPr="00B73E5F">
        <w:rPr>
          <w:rFonts w:ascii="Times New Roman" w:hAnsi="Times New Roman" w:cs="Times New Roman"/>
          <w:i/>
          <w:iCs/>
        </w:rPr>
        <w:t xml:space="preserve">Aedes </w:t>
      </w:r>
      <w:proofErr w:type="spellStart"/>
      <w:r w:rsidRPr="00B73E5F">
        <w:rPr>
          <w:rFonts w:ascii="Times New Roman" w:hAnsi="Times New Roman" w:cs="Times New Roman"/>
          <w:i/>
          <w:iCs/>
        </w:rPr>
        <w:t>polynesiensis</w:t>
      </w:r>
      <w:proofErr w:type="spellEnd"/>
      <w:r w:rsidRPr="00B73E5F">
        <w:rPr>
          <w:rFonts w:ascii="Times New Roman" w:hAnsi="Times New Roman" w:cs="Times New Roman"/>
        </w:rPr>
        <w:t xml:space="preserve"> populations from French Polynesia for chikungunya virus. </w:t>
      </w:r>
      <w:proofErr w:type="spellStart"/>
      <w:r w:rsidR="003C7EFE" w:rsidRPr="00B73E5F">
        <w:rPr>
          <w:rFonts w:ascii="Times New Roman" w:hAnsi="Times New Roman" w:cs="Times New Roman"/>
          <w:i/>
          <w:iCs/>
        </w:rPr>
        <w:t>p</w:t>
      </w:r>
      <w:r w:rsidRPr="00B73E5F">
        <w:rPr>
          <w:rFonts w:ascii="Times New Roman" w:hAnsi="Times New Roman" w:cs="Times New Roman"/>
          <w:i/>
          <w:iCs/>
        </w:rPr>
        <w:t>LoS</w:t>
      </w:r>
      <w:proofErr w:type="spellEnd"/>
      <w:r w:rsidRPr="00B73E5F">
        <w:rPr>
          <w:rFonts w:ascii="Times New Roman" w:hAnsi="Times New Roman" w:cs="Times New Roman"/>
          <w:i/>
          <w:iCs/>
        </w:rPr>
        <w:t xml:space="preserve"> </w:t>
      </w:r>
      <w:proofErr w:type="spellStart"/>
      <w:r w:rsidRPr="00B73E5F">
        <w:rPr>
          <w:rFonts w:ascii="Times New Roman" w:hAnsi="Times New Roman" w:cs="Times New Roman"/>
          <w:i/>
          <w:iCs/>
        </w:rPr>
        <w:t>Negl</w:t>
      </w:r>
      <w:proofErr w:type="spellEnd"/>
      <w:r w:rsidRPr="00B73E5F">
        <w:rPr>
          <w:rFonts w:ascii="Times New Roman" w:hAnsi="Times New Roman" w:cs="Times New Roman"/>
          <w:i/>
          <w:iCs/>
        </w:rPr>
        <w:t xml:space="preserve"> Trop Dis.</w:t>
      </w:r>
      <w:r w:rsidRPr="00B73E5F">
        <w:rPr>
          <w:rFonts w:ascii="Times New Roman" w:hAnsi="Times New Roman" w:cs="Times New Roman"/>
        </w:rPr>
        <w:t>, vol. 10, No. 5 (May 2016).</w:t>
      </w:r>
      <w:r w:rsidRPr="00096C23">
        <w:rPr>
          <w:rFonts w:ascii="Times New Roman" w:hAnsi="Times New Roman" w:cs="Times New Roman"/>
        </w:rPr>
        <w:t xml:space="preserve"> </w:t>
      </w:r>
    </w:p>
    <w:p w14:paraId="1E9BFDD0" w14:textId="4B81E936" w:rsidR="00787D21" w:rsidRPr="00B73E5F" w:rsidRDefault="00787D21" w:rsidP="00787D21">
      <w:pPr>
        <w:rPr>
          <w:rFonts w:ascii="Times New Roman" w:hAnsi="Times New Roman" w:cs="Times New Roman"/>
          <w:color w:val="000000" w:themeColor="text1"/>
        </w:rPr>
      </w:pPr>
      <w:r w:rsidRPr="00B73E5F">
        <w:rPr>
          <w:rFonts w:ascii="Times New Roman" w:hAnsi="Times New Roman" w:cs="Times New Roman"/>
          <w:color w:val="000000" w:themeColor="text1"/>
        </w:rPr>
        <w:lastRenderedPageBreak/>
        <w:t xml:space="preserve">Roberts, Andrew, and others. Perspective piece: Results from the workshop “problem formulation for the use of gene drive in mosquitoes”. </w:t>
      </w:r>
      <w:r w:rsidRPr="00B73E5F">
        <w:rPr>
          <w:rFonts w:ascii="Times New Roman" w:hAnsi="Times New Roman" w:cs="Times New Roman"/>
          <w:i/>
          <w:iCs/>
          <w:color w:val="000000" w:themeColor="text1"/>
        </w:rPr>
        <w:t xml:space="preserve">Am J. Trop. Med. </w:t>
      </w:r>
      <w:proofErr w:type="spellStart"/>
      <w:r w:rsidRPr="00B73E5F">
        <w:rPr>
          <w:rFonts w:ascii="Times New Roman" w:hAnsi="Times New Roman" w:cs="Times New Roman"/>
          <w:i/>
          <w:iCs/>
          <w:color w:val="000000" w:themeColor="text1"/>
        </w:rPr>
        <w:t>Hyg</w:t>
      </w:r>
      <w:proofErr w:type="spellEnd"/>
      <w:r w:rsidRPr="00B73E5F">
        <w:rPr>
          <w:rFonts w:ascii="Times New Roman" w:hAnsi="Times New Roman" w:cs="Times New Roman"/>
          <w:i/>
          <w:iCs/>
          <w:color w:val="000000" w:themeColor="text1"/>
        </w:rPr>
        <w:t xml:space="preserve">., </w:t>
      </w:r>
      <w:r w:rsidRPr="00B73E5F">
        <w:rPr>
          <w:rFonts w:ascii="Times New Roman" w:hAnsi="Times New Roman" w:cs="Times New Roman"/>
          <w:color w:val="000000" w:themeColor="text1"/>
        </w:rPr>
        <w:t>vol. 96, No. 3 (March 2017</w:t>
      </w:r>
      <w:r w:rsidR="3B83D0D8" w:rsidRPr="00B73E5F">
        <w:rPr>
          <w:rFonts w:ascii="Times New Roman" w:hAnsi="Times New Roman" w:cs="Times New Roman"/>
          <w:color w:val="000000" w:themeColor="text1"/>
        </w:rPr>
        <w:t>a</w:t>
      </w:r>
      <w:r w:rsidRPr="00B73E5F">
        <w:rPr>
          <w:rFonts w:ascii="Times New Roman" w:hAnsi="Times New Roman" w:cs="Times New Roman"/>
          <w:color w:val="000000" w:themeColor="text1"/>
        </w:rPr>
        <w:t xml:space="preserve">), pp. 530 – 533. </w:t>
      </w:r>
    </w:p>
    <w:p w14:paraId="3BD53231" w14:textId="6DC42E93" w:rsidR="00787D21" w:rsidRPr="00B73E5F" w:rsidRDefault="00787D21" w:rsidP="00787D21">
      <w:pPr>
        <w:rPr>
          <w:rFonts w:ascii="Times New Roman" w:eastAsia="Times New Roman" w:hAnsi="Times New Roman" w:cs="Times New Roman"/>
          <w:color w:val="000000"/>
          <w:lang w:eastAsia="en-CA"/>
          <w14:ligatures w14:val="none"/>
        </w:rPr>
      </w:pPr>
      <w:r w:rsidRPr="00B73E5F">
        <w:rPr>
          <w:rFonts w:ascii="Times New Roman" w:hAnsi="Times New Roman" w:cs="Times New Roman"/>
        </w:rPr>
        <w:t xml:space="preserve">Roberts, David R., and others. </w:t>
      </w:r>
      <w:r w:rsidRPr="00B73E5F">
        <w:rPr>
          <w:rFonts w:ascii="Times New Roman" w:eastAsia="Times New Roman" w:hAnsi="Times New Roman" w:cs="Times New Roman"/>
          <w:color w:val="000000"/>
          <w:lang w:eastAsia="en-CA"/>
          <w14:ligatures w14:val="none"/>
        </w:rPr>
        <w:t xml:space="preserve">Cross-validation strategies for data with temporal, spatial, hierarchical, or phylogenetic structure. </w:t>
      </w:r>
      <w:proofErr w:type="spellStart"/>
      <w:r w:rsidRPr="00B73E5F">
        <w:rPr>
          <w:rFonts w:ascii="Times New Roman" w:eastAsia="Times New Roman" w:hAnsi="Times New Roman" w:cs="Times New Roman"/>
          <w:i/>
          <w:iCs/>
          <w:color w:val="000000"/>
          <w:lang w:eastAsia="en-CA"/>
          <w14:ligatures w14:val="none"/>
        </w:rPr>
        <w:t>Ecography</w:t>
      </w:r>
      <w:proofErr w:type="spellEnd"/>
      <w:r w:rsidRPr="00B73E5F">
        <w:rPr>
          <w:rFonts w:ascii="Times New Roman" w:eastAsia="Times New Roman" w:hAnsi="Times New Roman" w:cs="Times New Roman"/>
          <w:color w:val="000000"/>
          <w:lang w:eastAsia="en-CA"/>
          <w14:ligatures w14:val="none"/>
        </w:rPr>
        <w:t>, vol. 40, No. (August 2017</w:t>
      </w:r>
      <w:r w:rsidR="26AABA61" w:rsidRPr="00B73E5F">
        <w:rPr>
          <w:rFonts w:ascii="Times New Roman" w:eastAsia="Times New Roman" w:hAnsi="Times New Roman" w:cs="Times New Roman"/>
          <w:color w:val="000000"/>
          <w:lang w:eastAsia="en-CA"/>
          <w14:ligatures w14:val="none"/>
        </w:rPr>
        <w:t>b</w:t>
      </w:r>
      <w:r w:rsidRPr="00B73E5F">
        <w:rPr>
          <w:rFonts w:ascii="Times New Roman" w:eastAsia="Times New Roman" w:hAnsi="Times New Roman" w:cs="Times New Roman"/>
          <w:color w:val="000000"/>
          <w:lang w:eastAsia="en-CA"/>
          <w14:ligatures w14:val="none"/>
        </w:rPr>
        <w:t xml:space="preserve">), pp. 913 – 929. </w:t>
      </w:r>
    </w:p>
    <w:p w14:paraId="1FB90C9F" w14:textId="2E8FEF60"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Rode, Nicolas O., and others. Population management using gene drive: Molecular design, models of spread dynamics and assessment of ecological risks. </w:t>
      </w:r>
      <w:r w:rsidRPr="00B73E5F">
        <w:rPr>
          <w:rFonts w:ascii="Times New Roman" w:hAnsi="Times New Roman" w:cs="Times New Roman"/>
          <w:i/>
          <w:iCs/>
        </w:rPr>
        <w:t xml:space="preserve">Conservation genetics, </w:t>
      </w:r>
      <w:r w:rsidRPr="00B73E5F">
        <w:rPr>
          <w:rFonts w:ascii="Times New Roman" w:hAnsi="Times New Roman" w:cs="Times New Roman"/>
        </w:rPr>
        <w:t xml:space="preserve">vol. 20 (April 2019), pp. 671 – 690. </w:t>
      </w:r>
    </w:p>
    <w:p w14:paraId="614B81A3" w14:textId="7DDDBD4E" w:rsidR="00787D21" w:rsidRPr="00B73E5F" w:rsidRDefault="00787D21" w:rsidP="00787D21">
      <w:pPr>
        <w:rPr>
          <w:rFonts w:ascii="Times New Roman" w:hAnsi="Times New Roman" w:cs="Times New Roman"/>
        </w:rPr>
      </w:pPr>
      <w:r w:rsidRPr="00B73E5F">
        <w:rPr>
          <w:rFonts w:ascii="Times New Roman" w:hAnsi="Times New Roman" w:cs="Times New Roman"/>
        </w:rPr>
        <w:t>Rode, Nicolas O., Virginie Courtier-</w:t>
      </w:r>
      <w:proofErr w:type="spellStart"/>
      <w:r w:rsidRPr="00B73E5F">
        <w:rPr>
          <w:rFonts w:ascii="Times New Roman" w:hAnsi="Times New Roman" w:cs="Times New Roman"/>
        </w:rPr>
        <w:t>Orgogozo</w:t>
      </w:r>
      <w:proofErr w:type="spellEnd"/>
      <w:r w:rsidRPr="00B73E5F">
        <w:rPr>
          <w:rFonts w:ascii="Times New Roman" w:hAnsi="Times New Roman" w:cs="Times New Roman"/>
        </w:rPr>
        <w:t xml:space="preserve">, </w:t>
      </w:r>
      <w:proofErr w:type="spellStart"/>
      <w:r w:rsidRPr="00B73E5F">
        <w:rPr>
          <w:rFonts w:ascii="Times New Roman" w:hAnsi="Times New Roman" w:cs="Times New Roman"/>
        </w:rPr>
        <w:t>Debarre</w:t>
      </w:r>
      <w:proofErr w:type="spellEnd"/>
      <w:r w:rsidRPr="00B73E5F">
        <w:rPr>
          <w:rFonts w:ascii="Times New Roman" w:hAnsi="Times New Roman" w:cs="Times New Roman"/>
        </w:rPr>
        <w:t xml:space="preserve">, Florence. Can a population targeted by a CRISPR-based homing gene drive be rescued? </w:t>
      </w:r>
      <w:r w:rsidRPr="00B73E5F">
        <w:rPr>
          <w:rFonts w:ascii="Times New Roman" w:hAnsi="Times New Roman" w:cs="Times New Roman"/>
          <w:i/>
          <w:iCs/>
        </w:rPr>
        <w:t>G3 Genes genomes genetics</w:t>
      </w:r>
      <w:r w:rsidRPr="00B73E5F">
        <w:rPr>
          <w:rFonts w:ascii="Times New Roman" w:hAnsi="Times New Roman" w:cs="Times New Roman"/>
        </w:rPr>
        <w:t xml:space="preserve">, vol. 10, No. 9 (September 2020), pp. 3403 – 3415.   </w:t>
      </w:r>
    </w:p>
    <w:p w14:paraId="6249F784" w14:textId="1A08D13E" w:rsidR="00787D21" w:rsidRPr="00096C23" w:rsidRDefault="00787D21" w:rsidP="00787D21">
      <w:pPr>
        <w:rPr>
          <w:rFonts w:ascii="Times New Roman" w:hAnsi="Times New Roman" w:cs="Times New Roman"/>
        </w:rPr>
      </w:pPr>
      <w:r w:rsidRPr="00B73E5F">
        <w:rPr>
          <w:rFonts w:ascii="Times New Roman" w:hAnsi="Times New Roman" w:cs="Times New Roman"/>
        </w:rPr>
        <w:t xml:space="preserve">Romeis, Jorg, and others. Assessment of risk of insect-resistant transgenic crops to nontarget arthropods. </w:t>
      </w:r>
      <w:r w:rsidRPr="00B73E5F">
        <w:rPr>
          <w:rFonts w:ascii="Times New Roman" w:hAnsi="Times New Roman" w:cs="Times New Roman"/>
          <w:i/>
          <w:iCs/>
        </w:rPr>
        <w:t xml:space="preserve">Nat </w:t>
      </w:r>
      <w:proofErr w:type="spellStart"/>
      <w:r w:rsidRPr="00B73E5F">
        <w:rPr>
          <w:rFonts w:ascii="Times New Roman" w:hAnsi="Times New Roman" w:cs="Times New Roman"/>
          <w:i/>
          <w:iCs/>
        </w:rPr>
        <w:t>Biotechnol</w:t>
      </w:r>
      <w:proofErr w:type="spellEnd"/>
      <w:r w:rsidRPr="00B73E5F">
        <w:rPr>
          <w:rFonts w:ascii="Times New Roman" w:hAnsi="Times New Roman" w:cs="Times New Roman"/>
          <w:i/>
          <w:iCs/>
        </w:rPr>
        <w:t xml:space="preserve">., </w:t>
      </w:r>
      <w:r w:rsidRPr="00B73E5F">
        <w:rPr>
          <w:rFonts w:ascii="Times New Roman" w:hAnsi="Times New Roman" w:cs="Times New Roman"/>
        </w:rPr>
        <w:t>vol. 26, No. 2 (February 2008), pp. 203 – 208.</w:t>
      </w:r>
      <w:r w:rsidRPr="00096C23">
        <w:rPr>
          <w:rFonts w:ascii="Times New Roman" w:hAnsi="Times New Roman" w:cs="Times New Roman"/>
        </w:rPr>
        <w:t xml:space="preserve"> </w:t>
      </w:r>
    </w:p>
    <w:p w14:paraId="6D1F40B9" w14:textId="5C0DA8BB" w:rsidR="00787D21" w:rsidRPr="00B73E5F" w:rsidRDefault="00787D21" w:rsidP="00BA4CC4">
      <w:pPr>
        <w:rPr>
          <w:rFonts w:ascii="Times New Roman" w:eastAsia="Times New Roman" w:hAnsi="Times New Roman" w:cs="Times New Roman"/>
          <w:color w:val="000000"/>
          <w:lang w:eastAsia="en-CA"/>
          <w14:ligatures w14:val="none"/>
        </w:rPr>
      </w:pPr>
      <w:r w:rsidRPr="00B73E5F">
        <w:rPr>
          <w:rFonts w:ascii="Times New Roman" w:hAnsi="Times New Roman" w:cs="Times New Roman"/>
        </w:rPr>
        <w:t xml:space="preserve">Romeis, Jorg, and others. The value of existing regulatory frameworks for the environmental risk assessment of agricultural pest control using gene drives. </w:t>
      </w:r>
      <w:r w:rsidRPr="00B73E5F">
        <w:rPr>
          <w:rFonts w:ascii="Times New Roman" w:eastAsia="Times New Roman" w:hAnsi="Times New Roman" w:cs="Times New Roman"/>
          <w:i/>
          <w:iCs/>
          <w:color w:val="000000"/>
          <w:lang w:eastAsia="en-CA"/>
          <w14:ligatures w14:val="none"/>
        </w:rPr>
        <w:t xml:space="preserve">Environmental science &amp; policy, </w:t>
      </w:r>
      <w:r w:rsidRPr="00B73E5F">
        <w:rPr>
          <w:rFonts w:ascii="Times New Roman" w:eastAsia="Times New Roman" w:hAnsi="Times New Roman" w:cs="Times New Roman"/>
          <w:color w:val="000000"/>
          <w:lang w:eastAsia="en-CA"/>
          <w14:ligatures w14:val="none"/>
        </w:rPr>
        <w:t xml:space="preserve">vol. 108 (June 2020), pp. 19 – 36. </w:t>
      </w:r>
    </w:p>
    <w:p w14:paraId="416F844F" w14:textId="55973679" w:rsidR="532A4B4B" w:rsidRPr="00B73E5F" w:rsidRDefault="532A4B4B" w:rsidP="25609CF7">
      <w:pPr>
        <w:ind w:left="-20" w:right="-20"/>
        <w:rPr>
          <w:rFonts w:ascii="Times" w:eastAsia="Segoe UI" w:hAnsi="Times" w:cs="Times"/>
        </w:rPr>
      </w:pPr>
      <w:r w:rsidRPr="00B73E5F">
        <w:rPr>
          <w:rFonts w:ascii="Times" w:eastAsia="Segoe UI" w:hAnsi="Times" w:cs="Times"/>
        </w:rPr>
        <w:t xml:space="preserve">Ruscoe, Wendy A., </w:t>
      </w:r>
      <w:r w:rsidR="00A64080" w:rsidRPr="00B73E5F">
        <w:rPr>
          <w:rFonts w:ascii="Times" w:eastAsia="Segoe UI" w:hAnsi="Times" w:cs="Times"/>
        </w:rPr>
        <w:t xml:space="preserve">and others. </w:t>
      </w:r>
      <w:r w:rsidRPr="00B73E5F">
        <w:rPr>
          <w:rFonts w:ascii="Times" w:eastAsia="Segoe UI" w:hAnsi="Times" w:cs="Times"/>
        </w:rPr>
        <w:t xml:space="preserve">Effects of </w:t>
      </w:r>
      <w:r w:rsidR="007C0D78" w:rsidRPr="00B73E5F">
        <w:rPr>
          <w:rFonts w:ascii="Times" w:eastAsia="Segoe UI" w:hAnsi="Times" w:cs="Times"/>
        </w:rPr>
        <w:t>harvesting</w:t>
      </w:r>
      <w:r w:rsidRPr="00B73E5F">
        <w:rPr>
          <w:rFonts w:ascii="Times" w:eastAsia="Segoe UI" w:hAnsi="Times" w:cs="Times"/>
        </w:rPr>
        <w:t xml:space="preserve"> and </w:t>
      </w:r>
      <w:r w:rsidR="007C0D78" w:rsidRPr="00B73E5F">
        <w:rPr>
          <w:rFonts w:ascii="Times" w:eastAsia="Segoe UI" w:hAnsi="Times" w:cs="Times"/>
        </w:rPr>
        <w:t>stubble management</w:t>
      </w:r>
      <w:r w:rsidRPr="00B73E5F">
        <w:rPr>
          <w:rFonts w:ascii="Times" w:eastAsia="Segoe UI" w:hAnsi="Times" w:cs="Times"/>
        </w:rPr>
        <w:t xml:space="preserve"> on </w:t>
      </w:r>
      <w:r w:rsidR="007C0D78" w:rsidRPr="00B73E5F">
        <w:rPr>
          <w:rFonts w:ascii="Times" w:eastAsia="Segoe UI" w:hAnsi="Times" w:cs="Times"/>
        </w:rPr>
        <w:t>abundance</w:t>
      </w:r>
      <w:r w:rsidRPr="00B73E5F">
        <w:rPr>
          <w:rFonts w:ascii="Times" w:eastAsia="Segoe UI" w:hAnsi="Times" w:cs="Times"/>
        </w:rPr>
        <w:t xml:space="preserve"> of </w:t>
      </w:r>
      <w:r w:rsidR="007C0D78" w:rsidRPr="00B73E5F">
        <w:rPr>
          <w:rFonts w:ascii="Times" w:eastAsia="Segoe UI" w:hAnsi="Times" w:cs="Times"/>
        </w:rPr>
        <w:t>pest rodents</w:t>
      </w:r>
      <w:r w:rsidRPr="00B73E5F">
        <w:rPr>
          <w:rFonts w:ascii="Times" w:eastAsia="Segoe UI" w:hAnsi="Times" w:cs="Times"/>
        </w:rPr>
        <w:t xml:space="preserve"> (Mus Musculus) in a </w:t>
      </w:r>
      <w:r w:rsidR="00E10ACE" w:rsidRPr="00B73E5F">
        <w:rPr>
          <w:rFonts w:ascii="Times" w:eastAsia="Segoe UI" w:hAnsi="Times" w:cs="Times"/>
        </w:rPr>
        <w:t>conservation agriculture syste</w:t>
      </w:r>
      <w:r w:rsidRPr="00B73E5F">
        <w:rPr>
          <w:rFonts w:ascii="Times" w:eastAsia="Segoe UI" w:hAnsi="Times" w:cs="Times"/>
        </w:rPr>
        <w:t xml:space="preserve">m. </w:t>
      </w:r>
      <w:r w:rsidRPr="00B73E5F">
        <w:rPr>
          <w:rFonts w:ascii="Times" w:eastAsia="Segoe UI" w:hAnsi="Times" w:cs="Times"/>
          <w:i/>
          <w:iCs/>
        </w:rPr>
        <w:t>Pest Management Science</w:t>
      </w:r>
      <w:r w:rsidR="00E10ACE" w:rsidRPr="00B73E5F">
        <w:rPr>
          <w:rFonts w:ascii="Times" w:eastAsia="Segoe UI" w:hAnsi="Times" w:cs="Times"/>
        </w:rPr>
        <w:t xml:space="preserve">, </w:t>
      </w:r>
      <w:r w:rsidR="009C535A" w:rsidRPr="00B73E5F">
        <w:rPr>
          <w:rFonts w:ascii="Times" w:eastAsia="Segoe UI" w:hAnsi="Times" w:cs="Times"/>
        </w:rPr>
        <w:t>vol.</w:t>
      </w:r>
      <w:r w:rsidRPr="00B73E5F">
        <w:rPr>
          <w:rFonts w:ascii="Times" w:eastAsia="Segoe UI" w:hAnsi="Times" w:cs="Times"/>
        </w:rPr>
        <w:t xml:space="preserve"> 79</w:t>
      </w:r>
      <w:r w:rsidR="009C535A" w:rsidRPr="00B73E5F">
        <w:rPr>
          <w:rFonts w:ascii="Times" w:eastAsia="Segoe UI" w:hAnsi="Times" w:cs="Times"/>
        </w:rPr>
        <w:t xml:space="preserve">, No. </w:t>
      </w:r>
      <w:r w:rsidRPr="00B73E5F">
        <w:rPr>
          <w:rFonts w:ascii="Times" w:eastAsia="Segoe UI" w:hAnsi="Times" w:cs="Times"/>
        </w:rPr>
        <w:t>12</w:t>
      </w:r>
      <w:r w:rsidR="009C535A" w:rsidRPr="00B73E5F">
        <w:rPr>
          <w:rFonts w:ascii="Times" w:eastAsia="Segoe UI" w:hAnsi="Times" w:cs="Times"/>
        </w:rPr>
        <w:t xml:space="preserve"> (December 2023</w:t>
      </w:r>
      <w:r w:rsidRPr="00B73E5F">
        <w:rPr>
          <w:rFonts w:ascii="Times" w:eastAsia="Segoe UI" w:hAnsi="Times" w:cs="Times"/>
        </w:rPr>
        <w:t>)</w:t>
      </w:r>
      <w:r w:rsidR="009C535A" w:rsidRPr="00B73E5F">
        <w:rPr>
          <w:rFonts w:ascii="Times" w:eastAsia="Segoe UI" w:hAnsi="Times" w:cs="Times"/>
        </w:rPr>
        <w:t>, pp.</w:t>
      </w:r>
      <w:r w:rsidRPr="00B73E5F">
        <w:rPr>
          <w:rFonts w:ascii="Times" w:eastAsia="Segoe UI" w:hAnsi="Times" w:cs="Times"/>
        </w:rPr>
        <w:t xml:space="preserve"> 4757–64.</w:t>
      </w:r>
    </w:p>
    <w:p w14:paraId="4EF7880E" w14:textId="094D4497" w:rsidR="532A4B4B" w:rsidRPr="00B73E5F" w:rsidRDefault="532A4B4B" w:rsidP="25609CF7">
      <w:pPr>
        <w:ind w:left="-20" w:right="-20"/>
        <w:rPr>
          <w:rFonts w:ascii="Times" w:eastAsia="Segoe UI" w:hAnsi="Times" w:cs="Times"/>
        </w:rPr>
      </w:pPr>
      <w:r w:rsidRPr="00B73E5F">
        <w:rPr>
          <w:rFonts w:ascii="Times" w:eastAsia="Segoe UI" w:hAnsi="Times" w:cs="Times"/>
        </w:rPr>
        <w:t xml:space="preserve">Ruscoe, Wendy A., </w:t>
      </w:r>
      <w:r w:rsidR="009C535A" w:rsidRPr="00B73E5F">
        <w:rPr>
          <w:rFonts w:ascii="Times" w:eastAsia="Segoe UI" w:hAnsi="Times" w:cs="Times"/>
        </w:rPr>
        <w:t xml:space="preserve">and others. </w:t>
      </w:r>
      <w:r w:rsidRPr="00B73E5F">
        <w:rPr>
          <w:rFonts w:ascii="Times" w:eastAsia="Segoe UI" w:hAnsi="Times" w:cs="Times"/>
        </w:rPr>
        <w:t xml:space="preserve">Conservation </w:t>
      </w:r>
      <w:r w:rsidR="009C535A" w:rsidRPr="00B73E5F">
        <w:rPr>
          <w:rFonts w:ascii="Times" w:eastAsia="Segoe UI" w:hAnsi="Times" w:cs="Times"/>
        </w:rPr>
        <w:t>agriculture practices have changed habitat use</w:t>
      </w:r>
      <w:r w:rsidRPr="00B73E5F">
        <w:rPr>
          <w:rFonts w:ascii="Times" w:eastAsia="Segoe UI" w:hAnsi="Times" w:cs="Times"/>
        </w:rPr>
        <w:t xml:space="preserve"> by </w:t>
      </w:r>
      <w:r w:rsidR="009C535A" w:rsidRPr="00B73E5F">
        <w:rPr>
          <w:rFonts w:ascii="Times" w:eastAsia="Segoe UI" w:hAnsi="Times" w:cs="Times"/>
        </w:rPr>
        <w:t>rodent pest</w:t>
      </w:r>
      <w:r w:rsidRPr="00B73E5F">
        <w:rPr>
          <w:rFonts w:ascii="Times" w:eastAsia="Segoe UI" w:hAnsi="Times" w:cs="Times"/>
        </w:rPr>
        <w:t xml:space="preserve">s: Implications for </w:t>
      </w:r>
      <w:r w:rsidR="009C535A" w:rsidRPr="00B73E5F">
        <w:rPr>
          <w:rFonts w:ascii="Times" w:eastAsia="Segoe UI" w:hAnsi="Times" w:cs="Times"/>
        </w:rPr>
        <w:t>management</w:t>
      </w:r>
      <w:r w:rsidRPr="00B73E5F">
        <w:rPr>
          <w:rFonts w:ascii="Times" w:eastAsia="Segoe UI" w:hAnsi="Times" w:cs="Times"/>
        </w:rPr>
        <w:t xml:space="preserve"> of </w:t>
      </w:r>
      <w:r w:rsidR="009C535A" w:rsidRPr="00B73E5F">
        <w:rPr>
          <w:rFonts w:ascii="Times" w:eastAsia="Segoe UI" w:hAnsi="Times" w:cs="Times"/>
        </w:rPr>
        <w:t>feral house mice</w:t>
      </w:r>
      <w:r w:rsidRPr="00B73E5F">
        <w:rPr>
          <w:rFonts w:ascii="Times" w:eastAsia="Segoe UI" w:hAnsi="Times" w:cs="Times"/>
        </w:rPr>
        <w:t>.</w:t>
      </w:r>
      <w:r w:rsidRPr="00B73E5F">
        <w:rPr>
          <w:rFonts w:ascii="Times" w:eastAsia="Segoe UI" w:hAnsi="Times" w:cs="Times"/>
          <w:i/>
          <w:iCs/>
        </w:rPr>
        <w:t xml:space="preserve"> Journal of Pest Science</w:t>
      </w:r>
      <w:r w:rsidR="009C535A" w:rsidRPr="00B73E5F">
        <w:rPr>
          <w:rFonts w:ascii="Times" w:eastAsia="Segoe UI" w:hAnsi="Times" w:cs="Times"/>
        </w:rPr>
        <w:t xml:space="preserve">, </w:t>
      </w:r>
      <w:r w:rsidR="00170F02" w:rsidRPr="00B73E5F">
        <w:rPr>
          <w:rFonts w:ascii="Times" w:eastAsia="Segoe UI" w:hAnsi="Times" w:cs="Times"/>
        </w:rPr>
        <w:t>vol.</w:t>
      </w:r>
      <w:r w:rsidRPr="00B73E5F">
        <w:rPr>
          <w:rFonts w:ascii="Times" w:eastAsia="Segoe UI" w:hAnsi="Times" w:cs="Times"/>
        </w:rPr>
        <w:t xml:space="preserve"> 95</w:t>
      </w:r>
      <w:r w:rsidR="00170F02" w:rsidRPr="00B73E5F">
        <w:rPr>
          <w:rFonts w:ascii="Times" w:eastAsia="Segoe UI" w:hAnsi="Times" w:cs="Times"/>
        </w:rPr>
        <w:t xml:space="preserve">, No. </w:t>
      </w:r>
      <w:r w:rsidRPr="00B73E5F">
        <w:rPr>
          <w:rFonts w:ascii="Times" w:eastAsia="Segoe UI" w:hAnsi="Times" w:cs="Times"/>
        </w:rPr>
        <w:t>1</w:t>
      </w:r>
      <w:r w:rsidR="00170F02" w:rsidRPr="00B73E5F">
        <w:rPr>
          <w:rFonts w:ascii="Times" w:eastAsia="Segoe UI" w:hAnsi="Times" w:cs="Times"/>
        </w:rPr>
        <w:t xml:space="preserve"> (</w:t>
      </w:r>
      <w:r w:rsidR="00F71F2B" w:rsidRPr="00B73E5F">
        <w:rPr>
          <w:rFonts w:ascii="Times" w:eastAsia="Segoe UI" w:hAnsi="Times" w:cs="Times"/>
        </w:rPr>
        <w:t>April 2021</w:t>
      </w:r>
      <w:r w:rsidRPr="00B73E5F">
        <w:rPr>
          <w:rFonts w:ascii="Times" w:eastAsia="Segoe UI" w:hAnsi="Times" w:cs="Times"/>
        </w:rPr>
        <w:t>)</w:t>
      </w:r>
      <w:r w:rsidR="00E97C59" w:rsidRPr="00B73E5F">
        <w:rPr>
          <w:rFonts w:ascii="Times" w:eastAsia="Segoe UI" w:hAnsi="Times" w:cs="Times"/>
        </w:rPr>
        <w:t>, pp.</w:t>
      </w:r>
      <w:r w:rsidRPr="00B73E5F">
        <w:rPr>
          <w:rFonts w:ascii="Times" w:eastAsia="Segoe UI" w:hAnsi="Times" w:cs="Times"/>
        </w:rPr>
        <w:t xml:space="preserve"> 493–503.</w:t>
      </w:r>
    </w:p>
    <w:p w14:paraId="14286B68" w14:textId="01EAE90B" w:rsidR="00787D21" w:rsidRPr="00B73E5F" w:rsidRDefault="00787D21" w:rsidP="00787D21">
      <w:pPr>
        <w:rPr>
          <w:rFonts w:ascii="Times New Roman" w:hAnsi="Times New Roman" w:cs="Times New Roman"/>
        </w:rPr>
      </w:pPr>
      <w:r w:rsidRPr="00B73E5F">
        <w:rPr>
          <w:rFonts w:ascii="Times New Roman" w:hAnsi="Times New Roman" w:cs="Times New Roman"/>
        </w:rPr>
        <w:t>Sanchez C., Hector M., and others. “</w:t>
      </w:r>
      <w:proofErr w:type="spellStart"/>
      <w:r w:rsidRPr="00B73E5F">
        <w:rPr>
          <w:rFonts w:ascii="Times New Roman" w:hAnsi="Times New Roman" w:cs="Times New Roman"/>
        </w:rPr>
        <w:t>MGDrivE</w:t>
      </w:r>
      <w:proofErr w:type="spellEnd"/>
      <w:r w:rsidRPr="00B73E5F">
        <w:rPr>
          <w:rFonts w:ascii="Times New Roman" w:hAnsi="Times New Roman" w:cs="Times New Roman"/>
        </w:rPr>
        <w:t xml:space="preserve">: A modular simulation framework for the spread of gene drives through spatially explicit mosquito populations”. </w:t>
      </w:r>
      <w:r w:rsidRPr="00B73E5F">
        <w:rPr>
          <w:rFonts w:ascii="Times New Roman" w:hAnsi="Times New Roman" w:cs="Times New Roman"/>
          <w:i/>
          <w:iCs/>
        </w:rPr>
        <w:t xml:space="preserve">Methods in ecology and evolution, </w:t>
      </w:r>
      <w:r w:rsidRPr="00B73E5F">
        <w:rPr>
          <w:rFonts w:ascii="Times New Roman" w:hAnsi="Times New Roman" w:cs="Times New Roman"/>
        </w:rPr>
        <w:t>vol. 11, No. 2 (February 2020</w:t>
      </w:r>
      <w:r w:rsidR="2659D94C" w:rsidRPr="00B73E5F">
        <w:rPr>
          <w:rFonts w:ascii="Times New Roman" w:hAnsi="Times New Roman" w:cs="Times New Roman"/>
        </w:rPr>
        <w:t>a</w:t>
      </w:r>
      <w:r w:rsidRPr="00B73E5F">
        <w:rPr>
          <w:rFonts w:ascii="Times New Roman" w:hAnsi="Times New Roman" w:cs="Times New Roman"/>
        </w:rPr>
        <w:t xml:space="preserve">), pp. 193 – 345. </w:t>
      </w:r>
    </w:p>
    <w:p w14:paraId="2838CEC7" w14:textId="1AEF6E39" w:rsidR="00787D21" w:rsidRPr="00096C23" w:rsidRDefault="00787D21" w:rsidP="00787D21">
      <w:pPr>
        <w:rPr>
          <w:rFonts w:ascii="Times New Roman" w:hAnsi="Times New Roman" w:cs="Times New Roman"/>
        </w:rPr>
      </w:pPr>
      <w:r w:rsidRPr="00B73E5F">
        <w:rPr>
          <w:rFonts w:ascii="Times New Roman" w:hAnsi="Times New Roman" w:cs="Times New Roman"/>
        </w:rPr>
        <w:t xml:space="preserve">Sanchez C., Hector M., and others. </w:t>
      </w:r>
      <w:proofErr w:type="spellStart"/>
      <w:r w:rsidRPr="00B73E5F">
        <w:rPr>
          <w:rFonts w:ascii="Times New Roman" w:hAnsi="Times New Roman" w:cs="Times New Roman"/>
        </w:rPr>
        <w:t>Modeling</w:t>
      </w:r>
      <w:proofErr w:type="spellEnd"/>
      <w:r w:rsidRPr="00B73E5F">
        <w:rPr>
          <w:rFonts w:ascii="Times New Roman" w:hAnsi="Times New Roman" w:cs="Times New Roman"/>
        </w:rPr>
        <w:t xml:space="preserve"> confinement and reversibility of threshold-dependent gene drive systems in </w:t>
      </w:r>
      <w:proofErr w:type="gramStart"/>
      <w:r w:rsidRPr="00B73E5F">
        <w:rPr>
          <w:rFonts w:ascii="Times New Roman" w:hAnsi="Times New Roman" w:cs="Times New Roman"/>
        </w:rPr>
        <w:t>spatially-explicit</w:t>
      </w:r>
      <w:proofErr w:type="gramEnd"/>
      <w:r w:rsidRPr="00B73E5F">
        <w:rPr>
          <w:rFonts w:ascii="Times New Roman" w:hAnsi="Times New Roman" w:cs="Times New Roman"/>
        </w:rPr>
        <w:t xml:space="preserve"> </w:t>
      </w:r>
      <w:r w:rsidRPr="00B73E5F">
        <w:rPr>
          <w:rFonts w:ascii="Times New Roman" w:hAnsi="Times New Roman" w:cs="Times New Roman"/>
          <w:i/>
          <w:iCs/>
        </w:rPr>
        <w:t>Aedes aegypti</w:t>
      </w:r>
      <w:r w:rsidRPr="00B73E5F">
        <w:rPr>
          <w:rFonts w:ascii="Times New Roman" w:hAnsi="Times New Roman" w:cs="Times New Roman"/>
        </w:rPr>
        <w:t xml:space="preserve"> populations, </w:t>
      </w:r>
      <w:r w:rsidRPr="00B73E5F">
        <w:rPr>
          <w:rFonts w:ascii="Times New Roman" w:hAnsi="Times New Roman" w:cs="Times New Roman"/>
          <w:i/>
          <w:iCs/>
        </w:rPr>
        <w:t>BMC Biol.</w:t>
      </w:r>
      <w:r w:rsidRPr="00B73E5F">
        <w:rPr>
          <w:rFonts w:ascii="Times New Roman" w:hAnsi="Times New Roman" w:cs="Times New Roman"/>
        </w:rPr>
        <w:t>¸ vol. 18, No. 50 (May 2020</w:t>
      </w:r>
      <w:r w:rsidR="2E0D4B8C" w:rsidRPr="00B73E5F">
        <w:rPr>
          <w:rFonts w:ascii="Times New Roman" w:hAnsi="Times New Roman" w:cs="Times New Roman"/>
        </w:rPr>
        <w:t>b</w:t>
      </w:r>
      <w:r w:rsidRPr="00B73E5F">
        <w:rPr>
          <w:rFonts w:ascii="Times New Roman" w:hAnsi="Times New Roman" w:cs="Times New Roman"/>
        </w:rPr>
        <w:t>).</w:t>
      </w:r>
      <w:r w:rsidRPr="00096C23">
        <w:rPr>
          <w:rFonts w:ascii="Times New Roman" w:hAnsi="Times New Roman" w:cs="Times New Roman"/>
        </w:rPr>
        <w:t xml:space="preserve"> </w:t>
      </w:r>
    </w:p>
    <w:p w14:paraId="522FAA39" w14:textId="18E2E751" w:rsidR="00097C00" w:rsidRPr="00B73E5F" w:rsidRDefault="00097C00" w:rsidP="00097C00">
      <w:pPr>
        <w:pStyle w:val="Default"/>
        <w:spacing w:line="276" w:lineRule="auto"/>
        <w:rPr>
          <w:rStyle w:val="Hyperlink"/>
          <w:rFonts w:eastAsia="Times New Roman"/>
          <w:color w:val="FF0000"/>
          <w:sz w:val="22"/>
          <w:szCs w:val="22"/>
        </w:rPr>
      </w:pPr>
      <w:r w:rsidRPr="00B73E5F">
        <w:rPr>
          <w:rFonts w:eastAsia="Times New Roman"/>
          <w:color w:val="auto"/>
          <w:sz w:val="22"/>
          <w:szCs w:val="22"/>
        </w:rPr>
        <w:t>Sanz</w:t>
      </w:r>
      <w:r w:rsidR="00DB792A" w:rsidRPr="00B73E5F">
        <w:rPr>
          <w:rFonts w:eastAsia="Times New Roman"/>
          <w:color w:val="auto"/>
          <w:sz w:val="22"/>
          <w:szCs w:val="22"/>
        </w:rPr>
        <w:t xml:space="preserve"> </w:t>
      </w:r>
      <w:r w:rsidRPr="00B73E5F">
        <w:rPr>
          <w:rFonts w:eastAsia="Times New Roman"/>
          <w:color w:val="auto"/>
          <w:sz w:val="22"/>
          <w:szCs w:val="22"/>
        </w:rPr>
        <w:t>Juste, S</w:t>
      </w:r>
      <w:r w:rsidR="00DB792A" w:rsidRPr="00B73E5F">
        <w:rPr>
          <w:rFonts w:eastAsia="Times New Roman"/>
          <w:color w:val="auto"/>
          <w:sz w:val="22"/>
          <w:szCs w:val="22"/>
        </w:rPr>
        <w:t>ara</w:t>
      </w:r>
      <w:r w:rsidRPr="00B73E5F">
        <w:rPr>
          <w:rFonts w:eastAsia="Times New Roman"/>
          <w:color w:val="auto"/>
          <w:sz w:val="22"/>
          <w:szCs w:val="22"/>
        </w:rPr>
        <w:t xml:space="preserve">, </w:t>
      </w:r>
      <w:r w:rsidR="001804C5" w:rsidRPr="00B73E5F">
        <w:rPr>
          <w:rFonts w:eastAsia="Times New Roman"/>
          <w:color w:val="auto"/>
          <w:sz w:val="22"/>
          <w:szCs w:val="22"/>
        </w:rPr>
        <w:t xml:space="preserve">and </w:t>
      </w:r>
      <w:r w:rsidR="1776D8ED" w:rsidRPr="00B73E5F">
        <w:rPr>
          <w:rFonts w:eastAsia="Times New Roman"/>
          <w:color w:val="auto"/>
          <w:sz w:val="22"/>
          <w:szCs w:val="22"/>
        </w:rPr>
        <w:t>others</w:t>
      </w:r>
      <w:r w:rsidR="001804C5" w:rsidRPr="00B73E5F">
        <w:rPr>
          <w:rFonts w:eastAsia="Times New Roman"/>
          <w:color w:val="auto"/>
          <w:sz w:val="22"/>
          <w:szCs w:val="22"/>
        </w:rPr>
        <w:t>.</w:t>
      </w:r>
      <w:r w:rsidRPr="00B73E5F">
        <w:rPr>
          <w:rFonts w:eastAsia="Times New Roman"/>
          <w:color w:val="auto"/>
          <w:sz w:val="22"/>
          <w:szCs w:val="22"/>
        </w:rPr>
        <w:t xml:space="preserve"> Next-generation CRISPR gene-drive systems using Cas12a nuclease. </w:t>
      </w:r>
      <w:r w:rsidRPr="00B73E5F">
        <w:rPr>
          <w:rFonts w:eastAsia="Times New Roman"/>
          <w:i/>
          <w:color w:val="auto"/>
          <w:sz w:val="22"/>
          <w:szCs w:val="22"/>
        </w:rPr>
        <w:t xml:space="preserve">Nat </w:t>
      </w:r>
      <w:proofErr w:type="spellStart"/>
      <w:r w:rsidRPr="00B73E5F">
        <w:rPr>
          <w:rFonts w:eastAsia="Times New Roman"/>
          <w:i/>
          <w:color w:val="auto"/>
          <w:sz w:val="22"/>
          <w:szCs w:val="22"/>
        </w:rPr>
        <w:t>Commun</w:t>
      </w:r>
      <w:proofErr w:type="spellEnd"/>
      <w:r w:rsidR="001804C5" w:rsidRPr="00B73E5F">
        <w:rPr>
          <w:rFonts w:eastAsia="Times New Roman"/>
          <w:i/>
          <w:color w:val="auto"/>
          <w:sz w:val="22"/>
          <w:szCs w:val="22"/>
        </w:rPr>
        <w:t>,</w:t>
      </w:r>
      <w:r w:rsidRPr="00B73E5F">
        <w:rPr>
          <w:rFonts w:eastAsia="Times New Roman"/>
          <w:color w:val="auto"/>
          <w:sz w:val="22"/>
          <w:szCs w:val="22"/>
        </w:rPr>
        <w:t xml:space="preserve"> </w:t>
      </w:r>
      <w:r w:rsidR="001804C5" w:rsidRPr="00B73E5F">
        <w:rPr>
          <w:rFonts w:eastAsia="Times New Roman"/>
          <w:color w:val="auto"/>
          <w:sz w:val="22"/>
          <w:szCs w:val="22"/>
        </w:rPr>
        <w:t xml:space="preserve">vol. </w:t>
      </w:r>
      <w:r w:rsidRPr="00B73E5F">
        <w:rPr>
          <w:rFonts w:eastAsia="Times New Roman"/>
          <w:color w:val="auto"/>
          <w:sz w:val="22"/>
          <w:szCs w:val="22"/>
        </w:rPr>
        <w:t xml:space="preserve">14, </w:t>
      </w:r>
      <w:r w:rsidR="001804C5" w:rsidRPr="00B73E5F">
        <w:rPr>
          <w:rFonts w:eastAsia="Times New Roman"/>
          <w:color w:val="auto"/>
          <w:sz w:val="22"/>
          <w:szCs w:val="22"/>
        </w:rPr>
        <w:t xml:space="preserve">No. </w:t>
      </w:r>
      <w:r w:rsidRPr="00B73E5F">
        <w:rPr>
          <w:rFonts w:eastAsia="Times New Roman"/>
          <w:color w:val="auto"/>
          <w:sz w:val="22"/>
          <w:szCs w:val="22"/>
        </w:rPr>
        <w:t>6388 (</w:t>
      </w:r>
      <w:r w:rsidR="005A33F7" w:rsidRPr="00B73E5F">
        <w:rPr>
          <w:rFonts w:eastAsia="Times New Roman"/>
          <w:color w:val="auto"/>
          <w:sz w:val="22"/>
          <w:szCs w:val="22"/>
        </w:rPr>
        <w:t xml:space="preserve">October </w:t>
      </w:r>
      <w:r w:rsidRPr="00B73E5F">
        <w:rPr>
          <w:rFonts w:eastAsia="Times New Roman"/>
          <w:color w:val="auto"/>
          <w:sz w:val="22"/>
          <w:szCs w:val="22"/>
        </w:rPr>
        <w:t>2023).</w:t>
      </w:r>
      <w:r w:rsidRPr="00B73E5F">
        <w:rPr>
          <w:rFonts w:eastAsia="Times New Roman"/>
          <w:color w:val="FF0000"/>
          <w:sz w:val="22"/>
          <w:szCs w:val="22"/>
        </w:rPr>
        <w:t xml:space="preserve"> </w:t>
      </w:r>
    </w:p>
    <w:p w14:paraId="7C01C9E1" w14:textId="49BEBD5D" w:rsidR="00787D21" w:rsidRPr="00B73E5F" w:rsidRDefault="00787D21" w:rsidP="00787D21">
      <w:pPr>
        <w:rPr>
          <w:rFonts w:ascii="Times New Roman" w:eastAsia="Times New Roman" w:hAnsi="Times New Roman" w:cs="Times New Roman"/>
          <w:color w:val="000000"/>
          <w:lang w:eastAsia="en-CA"/>
          <w14:ligatures w14:val="none"/>
        </w:rPr>
      </w:pPr>
      <w:proofErr w:type="spellStart"/>
      <w:r w:rsidRPr="00B73E5F">
        <w:rPr>
          <w:rFonts w:ascii="Times New Roman" w:eastAsia="Times New Roman" w:hAnsi="Times New Roman" w:cs="Times New Roman"/>
          <w:color w:val="000000"/>
          <w:lang w:eastAsia="en-CA"/>
          <w14:ligatures w14:val="none"/>
        </w:rPr>
        <w:t>Sanvido</w:t>
      </w:r>
      <w:proofErr w:type="spellEnd"/>
      <w:r w:rsidRPr="00B73E5F">
        <w:rPr>
          <w:rFonts w:ascii="Times New Roman" w:eastAsia="Times New Roman" w:hAnsi="Times New Roman" w:cs="Times New Roman"/>
          <w:color w:val="000000"/>
          <w:lang w:eastAsia="en-CA"/>
          <w14:ligatures w14:val="none"/>
        </w:rPr>
        <w:t xml:space="preserve">, O., and others. Evaluating environmental risks of genetically modified crops: Ecological harm criteria for regulatory decision-making. </w:t>
      </w:r>
      <w:r w:rsidRPr="00B73E5F">
        <w:rPr>
          <w:rFonts w:ascii="Times New Roman" w:eastAsia="Times New Roman" w:hAnsi="Times New Roman" w:cs="Times New Roman"/>
          <w:i/>
          <w:color w:val="000000"/>
          <w:lang w:eastAsia="en-CA"/>
          <w14:ligatures w14:val="none"/>
        </w:rPr>
        <w:t xml:space="preserve">Environmental science &amp; policy, </w:t>
      </w:r>
      <w:r w:rsidRPr="00B73E5F">
        <w:rPr>
          <w:rFonts w:ascii="Times New Roman" w:eastAsia="Times New Roman" w:hAnsi="Times New Roman" w:cs="Times New Roman"/>
          <w:color w:val="000000"/>
          <w:lang w:eastAsia="en-CA"/>
          <w14:ligatures w14:val="none"/>
        </w:rPr>
        <w:t>vol. 15 (</w:t>
      </w:r>
      <w:r w:rsidR="00262900" w:rsidRPr="00B73E5F">
        <w:rPr>
          <w:rFonts w:ascii="Times New Roman" w:eastAsia="Times New Roman" w:hAnsi="Times New Roman" w:cs="Times New Roman"/>
          <w:color w:val="000000"/>
          <w:lang w:eastAsia="en-CA"/>
          <w14:ligatures w14:val="none"/>
        </w:rPr>
        <w:t>January 2012</w:t>
      </w:r>
      <w:r w:rsidRPr="00B73E5F">
        <w:rPr>
          <w:rFonts w:ascii="Times New Roman" w:eastAsia="Times New Roman" w:hAnsi="Times New Roman" w:cs="Times New Roman"/>
          <w:color w:val="000000"/>
          <w:lang w:eastAsia="en-CA"/>
          <w14:ligatures w14:val="none"/>
        </w:rPr>
        <w:t xml:space="preserve">), pp. 82 – 91. </w:t>
      </w:r>
    </w:p>
    <w:p w14:paraId="1B62AF86" w14:textId="7FAF8197" w:rsidR="00787D21" w:rsidRPr="00B73E5F" w:rsidRDefault="00787D21" w:rsidP="00787D21">
      <w:pPr>
        <w:rPr>
          <w:rFonts w:ascii="Times New Roman" w:eastAsia="Times New Roman" w:hAnsi="Times New Roman" w:cs="Times New Roman"/>
          <w:color w:val="000000"/>
          <w:lang w:val="pt-PT" w:eastAsia="en-CA"/>
          <w14:ligatures w14:val="none"/>
        </w:rPr>
      </w:pPr>
      <w:r w:rsidRPr="00B73E5F">
        <w:rPr>
          <w:rFonts w:ascii="Times New Roman" w:hAnsi="Times New Roman" w:cs="Times New Roman"/>
        </w:rPr>
        <w:t xml:space="preserve">Shinde, Divya P., and others. Yellow Fever: Roles of animal models and arthropod vector studies in understanding epidemic emergence. </w:t>
      </w:r>
      <w:r w:rsidRPr="00B73E5F">
        <w:rPr>
          <w:rFonts w:ascii="Times New Roman" w:hAnsi="Times New Roman" w:cs="Times New Roman"/>
          <w:i/>
          <w:lang w:val="pt-PT"/>
        </w:rPr>
        <w:t>Microorganisms,</w:t>
      </w:r>
      <w:r w:rsidRPr="00B73E5F">
        <w:rPr>
          <w:rFonts w:ascii="Times New Roman" w:hAnsi="Times New Roman" w:cs="Times New Roman"/>
          <w:lang w:val="pt-PT"/>
        </w:rPr>
        <w:t xml:space="preserve"> vol. 10, No. 8, 1578 (August 2022). </w:t>
      </w:r>
    </w:p>
    <w:p w14:paraId="403760C1" w14:textId="265BBB71" w:rsidR="00787D21" w:rsidRPr="00B73E5F" w:rsidRDefault="00787D21" w:rsidP="00BA4CC4">
      <w:pPr>
        <w:rPr>
          <w:rFonts w:ascii="Times New Roman" w:hAnsi="Times New Roman" w:cs="Times New Roman"/>
          <w:color w:val="000000" w:themeColor="text1"/>
        </w:rPr>
      </w:pPr>
      <w:r w:rsidRPr="00B73E5F">
        <w:rPr>
          <w:rFonts w:ascii="Times New Roman" w:hAnsi="Times New Roman" w:cs="Times New Roman"/>
          <w:color w:val="000000" w:themeColor="text1"/>
          <w:lang w:val="pt-PT"/>
        </w:rPr>
        <w:t>Silva Da Silva, Fábio, and others</w:t>
      </w:r>
      <w:r w:rsidRPr="00B73E5F">
        <w:rPr>
          <w:rFonts w:ascii="Times New Roman" w:hAnsi="Times New Roman" w:cs="Times New Roman"/>
          <w:lang w:val="pt-PT"/>
        </w:rPr>
        <w:t xml:space="preserve">. Mitochondrial genome sequencing and phylogeny of </w:t>
      </w:r>
      <w:r w:rsidRPr="00B73E5F">
        <w:rPr>
          <w:rFonts w:ascii="Times New Roman" w:hAnsi="Times New Roman" w:cs="Times New Roman"/>
          <w:i/>
          <w:lang w:val="pt-PT"/>
        </w:rPr>
        <w:t xml:space="preserve">Haemagogus albomaculatus, Haemagogus leucocelaenus, Haemagogus spegazzinii, and Haemagogus tropicalis (Diptera: Culicidae). </w:t>
      </w:r>
      <w:r w:rsidRPr="00B73E5F">
        <w:rPr>
          <w:rFonts w:ascii="Times New Roman" w:hAnsi="Times New Roman" w:cs="Times New Roman"/>
          <w:i/>
        </w:rPr>
        <w:t xml:space="preserve">Scientific reports, </w:t>
      </w:r>
      <w:r w:rsidRPr="00B73E5F">
        <w:rPr>
          <w:rFonts w:ascii="Times New Roman" w:hAnsi="Times New Roman" w:cs="Times New Roman"/>
        </w:rPr>
        <w:t>vol. 10, No. 16948, (October 2020)</w:t>
      </w:r>
    </w:p>
    <w:p w14:paraId="1B8E80F3" w14:textId="4F982679" w:rsidR="00787D21" w:rsidRPr="00096C23" w:rsidRDefault="00787D21" w:rsidP="00787D21">
      <w:pPr>
        <w:rPr>
          <w:rFonts w:ascii="Times New Roman" w:hAnsi="Times New Roman" w:cs="Times New Roman"/>
        </w:rPr>
      </w:pPr>
      <w:r w:rsidRPr="00B73E5F">
        <w:rPr>
          <w:rFonts w:ascii="Times New Roman" w:hAnsi="Times New Roman" w:cs="Times New Roman"/>
        </w:rPr>
        <w:t xml:space="preserve">Simon, Samson, Matthias Otto, and Magaret Engelhard. Synthetic gene drive: Between continuity and novelty. </w:t>
      </w:r>
      <w:r w:rsidRPr="00B73E5F">
        <w:rPr>
          <w:rFonts w:ascii="Times New Roman" w:hAnsi="Times New Roman" w:cs="Times New Roman"/>
          <w:i/>
          <w:iCs/>
        </w:rPr>
        <w:t xml:space="preserve">EMBO Rep., </w:t>
      </w:r>
      <w:r w:rsidRPr="00B73E5F">
        <w:rPr>
          <w:rFonts w:ascii="Times New Roman" w:hAnsi="Times New Roman" w:cs="Times New Roman"/>
        </w:rPr>
        <w:t>vol. 19, No. 5 (May 2018).</w:t>
      </w:r>
    </w:p>
    <w:p w14:paraId="51C0FDDD" w14:textId="77777777" w:rsidR="00787D21" w:rsidRPr="00B73E5F" w:rsidRDefault="00787D21" w:rsidP="00787D21">
      <w:pPr>
        <w:rPr>
          <w:rFonts w:ascii="Times New Roman" w:hAnsi="Times New Roman" w:cs="Times New Roman"/>
        </w:rPr>
      </w:pPr>
      <w:r w:rsidRPr="00B73E5F">
        <w:rPr>
          <w:rFonts w:ascii="Times New Roman" w:hAnsi="Times New Roman" w:cs="Times New Roman"/>
        </w:rPr>
        <w:lastRenderedPageBreak/>
        <w:t xml:space="preserve">Simoni, Alekos, and others. A male-biased sex-distorter gene drive for the human malaria vector </w:t>
      </w:r>
      <w:r w:rsidRPr="00B73E5F">
        <w:rPr>
          <w:rFonts w:ascii="Times New Roman" w:hAnsi="Times New Roman" w:cs="Times New Roman"/>
          <w:i/>
          <w:iCs/>
        </w:rPr>
        <w:t>Anopheles gambiae</w:t>
      </w:r>
      <w:r w:rsidRPr="00B73E5F">
        <w:rPr>
          <w:rFonts w:ascii="Times New Roman" w:hAnsi="Times New Roman" w:cs="Times New Roman"/>
        </w:rPr>
        <w:t xml:space="preserve">. </w:t>
      </w:r>
      <w:r w:rsidRPr="00B73E5F">
        <w:rPr>
          <w:rFonts w:ascii="Times New Roman" w:hAnsi="Times New Roman" w:cs="Times New Roman"/>
          <w:i/>
          <w:iCs/>
        </w:rPr>
        <w:t>Nature biotechnology</w:t>
      </w:r>
      <w:r w:rsidRPr="00B73E5F">
        <w:rPr>
          <w:rFonts w:ascii="Times New Roman" w:hAnsi="Times New Roman" w:cs="Times New Roman"/>
        </w:rPr>
        <w:t xml:space="preserve">, vol. 38 (May 2020), pp. 1054 – 1060. </w:t>
      </w:r>
    </w:p>
    <w:p w14:paraId="1524B1C3" w14:textId="0C74AB40" w:rsidR="00787D21" w:rsidRPr="00B73E5F" w:rsidRDefault="00787D21" w:rsidP="00787D21">
      <w:pPr>
        <w:rPr>
          <w:rFonts w:ascii="Times New Roman" w:hAnsi="Times New Roman" w:cs="Times New Roman"/>
        </w:rPr>
      </w:pPr>
      <w:r w:rsidRPr="00B73E5F">
        <w:rPr>
          <w:rFonts w:ascii="Times New Roman" w:hAnsi="Times New Roman" w:cs="Times New Roman"/>
        </w:rPr>
        <w:t>Spiegelhalter, David J., and Hauke Riesch. Do</w:t>
      </w:r>
      <w:r w:rsidR="005F1F69">
        <w:rPr>
          <w:rFonts w:ascii="Times New Roman" w:hAnsi="Times New Roman" w:cs="Times New Roman"/>
        </w:rPr>
        <w:t>n</w:t>
      </w:r>
      <w:r w:rsidR="004B3E45" w:rsidRPr="00B73E5F">
        <w:rPr>
          <w:rFonts w:ascii="Times New Roman" w:hAnsi="Times New Roman" w:cs="Times New Roman"/>
        </w:rPr>
        <w:t>’</w:t>
      </w:r>
      <w:r w:rsidRPr="00B73E5F">
        <w:rPr>
          <w:rFonts w:ascii="Times New Roman" w:hAnsi="Times New Roman" w:cs="Times New Roman"/>
        </w:rPr>
        <w:t>t know, ca</w:t>
      </w:r>
      <w:r w:rsidR="005F1F69">
        <w:rPr>
          <w:rFonts w:ascii="Times New Roman" w:hAnsi="Times New Roman" w:cs="Times New Roman"/>
        </w:rPr>
        <w:t>n</w:t>
      </w:r>
      <w:r w:rsidR="004B3E45" w:rsidRPr="00B73E5F">
        <w:rPr>
          <w:rFonts w:ascii="Times New Roman" w:hAnsi="Times New Roman" w:cs="Times New Roman"/>
        </w:rPr>
        <w:t>’</w:t>
      </w:r>
      <w:r w:rsidRPr="00B73E5F">
        <w:rPr>
          <w:rFonts w:ascii="Times New Roman" w:hAnsi="Times New Roman" w:cs="Times New Roman"/>
        </w:rPr>
        <w:t xml:space="preserve">t know: Embracing deeper uncertainties when analysing risks. </w:t>
      </w:r>
      <w:r w:rsidRPr="00B73E5F">
        <w:rPr>
          <w:rFonts w:ascii="Times New Roman" w:hAnsi="Times New Roman" w:cs="Times New Roman"/>
          <w:i/>
          <w:iCs/>
        </w:rPr>
        <w:t>Philosophical Transactions of the Royal Society A: Mathematical, Physical and Engineering Sciences</w:t>
      </w:r>
      <w:r w:rsidRPr="00B73E5F">
        <w:rPr>
          <w:rFonts w:ascii="Times New Roman" w:hAnsi="Times New Roman" w:cs="Times New Roman"/>
        </w:rPr>
        <w:t xml:space="preserve">, vol. 369, No. 1956 (December 2011). </w:t>
      </w:r>
    </w:p>
    <w:p w14:paraId="5FDAB1A5" w14:textId="180CBBF9"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Sudeep, A. B., and P. Shil. </w:t>
      </w:r>
      <w:r w:rsidRPr="00B73E5F">
        <w:rPr>
          <w:rFonts w:ascii="Times New Roman" w:hAnsi="Times New Roman" w:cs="Times New Roman"/>
          <w:i/>
        </w:rPr>
        <w:t xml:space="preserve">Aedes </w:t>
      </w:r>
      <w:proofErr w:type="spellStart"/>
      <w:r w:rsidRPr="00B73E5F">
        <w:rPr>
          <w:rFonts w:ascii="Times New Roman" w:hAnsi="Times New Roman" w:cs="Times New Roman"/>
          <w:i/>
        </w:rPr>
        <w:t>vittatus</w:t>
      </w:r>
      <w:proofErr w:type="spellEnd"/>
      <w:r w:rsidRPr="00B73E5F">
        <w:rPr>
          <w:rFonts w:ascii="Times New Roman" w:hAnsi="Times New Roman" w:cs="Times New Roman"/>
        </w:rPr>
        <w:t xml:space="preserve"> (Bigot) mosquito: An emerging threat to public health, </w:t>
      </w:r>
      <w:r w:rsidRPr="00B73E5F">
        <w:rPr>
          <w:rFonts w:ascii="Times New Roman" w:hAnsi="Times New Roman" w:cs="Times New Roman"/>
          <w:i/>
        </w:rPr>
        <w:t>J</w:t>
      </w:r>
      <w:r w:rsidRPr="00B73E5F">
        <w:rPr>
          <w:rFonts w:ascii="Times New Roman" w:hAnsi="Times New Roman" w:cs="Times New Roman"/>
          <w:i/>
          <w:iCs/>
        </w:rPr>
        <w:t xml:space="preserve"> vector borne dis.</w:t>
      </w:r>
      <w:r w:rsidRPr="00B73E5F">
        <w:rPr>
          <w:rFonts w:ascii="Times New Roman" w:hAnsi="Times New Roman" w:cs="Times New Roman"/>
        </w:rPr>
        <w:t xml:space="preserve">, vol. 54, No. 4 (October – December 2017), pp. 295 – 300. </w:t>
      </w:r>
    </w:p>
    <w:p w14:paraId="57324EB5" w14:textId="1241F61F"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Sudweeks, Jaye, and others. Locally Fixed Alleles: A method to localize gene drive to island populations. </w:t>
      </w:r>
      <w:r w:rsidRPr="00B73E5F">
        <w:rPr>
          <w:rFonts w:ascii="Times New Roman" w:hAnsi="Times New Roman" w:cs="Times New Roman"/>
          <w:i/>
          <w:iCs/>
        </w:rPr>
        <w:t xml:space="preserve">Scientific reports, </w:t>
      </w:r>
      <w:r w:rsidRPr="00B73E5F">
        <w:rPr>
          <w:rFonts w:ascii="Times New Roman" w:hAnsi="Times New Roman" w:cs="Times New Roman"/>
        </w:rPr>
        <w:t>vol. 9, No. 15821 (November 2019).</w:t>
      </w:r>
    </w:p>
    <w:p w14:paraId="36634CFC" w14:textId="7A61146E"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Suter II, Glen W. </w:t>
      </w:r>
      <w:r w:rsidRPr="00B73E5F">
        <w:rPr>
          <w:rFonts w:ascii="Times New Roman" w:hAnsi="Times New Roman" w:cs="Times New Roman"/>
          <w:i/>
          <w:iCs/>
        </w:rPr>
        <w:t>Ecological Risk Assessment,</w:t>
      </w:r>
      <w:r w:rsidRPr="00B73E5F">
        <w:rPr>
          <w:rFonts w:ascii="Times New Roman" w:hAnsi="Times New Roman" w:cs="Times New Roman"/>
        </w:rPr>
        <w:t xml:space="preserve"> second edition. CRC press 2006.</w:t>
      </w:r>
    </w:p>
    <w:p w14:paraId="07716C12" w14:textId="58AFC5B6" w:rsidR="00B00B3C" w:rsidRPr="00B73E5F" w:rsidRDefault="00787D21" w:rsidP="00787D21">
      <w:pPr>
        <w:rPr>
          <w:rFonts w:ascii="Times New Roman" w:hAnsi="Times New Roman" w:cs="Times New Roman"/>
        </w:rPr>
      </w:pPr>
      <w:r w:rsidRPr="00B73E5F">
        <w:rPr>
          <w:rFonts w:ascii="Times New Roman" w:hAnsi="Times New Roman" w:cs="Times New Roman"/>
        </w:rPr>
        <w:t xml:space="preserve">Swan, Tom, and others. A literature review of dispersal pathways of </w:t>
      </w:r>
      <w:r w:rsidRPr="00B73E5F">
        <w:rPr>
          <w:rFonts w:ascii="Times New Roman" w:hAnsi="Times New Roman" w:cs="Times New Roman"/>
          <w:i/>
          <w:iCs/>
        </w:rPr>
        <w:t>Aedes albopictus</w:t>
      </w:r>
      <w:r w:rsidRPr="00B73E5F">
        <w:rPr>
          <w:rFonts w:ascii="Times New Roman" w:hAnsi="Times New Roman" w:cs="Times New Roman"/>
        </w:rPr>
        <w:t xml:space="preserve"> across different spatial scales: Implications for vector surveillance. </w:t>
      </w:r>
      <w:r w:rsidRPr="00B73E5F">
        <w:rPr>
          <w:rFonts w:ascii="Times New Roman" w:hAnsi="Times New Roman" w:cs="Times New Roman"/>
          <w:i/>
          <w:iCs/>
        </w:rPr>
        <w:t>Parasites &amp; vectors</w:t>
      </w:r>
      <w:r w:rsidRPr="00B73E5F">
        <w:rPr>
          <w:rFonts w:ascii="Times New Roman" w:hAnsi="Times New Roman" w:cs="Times New Roman"/>
        </w:rPr>
        <w:t xml:space="preserve">, vol. 15, No. 303 (August 2022). </w:t>
      </w:r>
    </w:p>
    <w:p w14:paraId="094D87B6" w14:textId="53549CA1" w:rsidR="00647BAE" w:rsidRPr="00B73E5F" w:rsidRDefault="00647BAE" w:rsidP="00647BAE">
      <w:pPr>
        <w:spacing w:line="276" w:lineRule="auto"/>
        <w:ind w:right="-20"/>
        <w:rPr>
          <w:rFonts w:ascii="Times New Roman" w:eastAsia="Times New Roman" w:hAnsi="Times New Roman" w:cs="Times New Roman"/>
          <w:lang w:val="en-PH"/>
        </w:rPr>
      </w:pPr>
      <w:proofErr w:type="spellStart"/>
      <w:r w:rsidRPr="00B73E5F">
        <w:rPr>
          <w:rFonts w:ascii="Times New Roman" w:eastAsia="Times New Roman" w:hAnsi="Times New Roman" w:cs="Times New Roman"/>
          <w:lang w:val="en-PH"/>
        </w:rPr>
        <w:t>Takken</w:t>
      </w:r>
      <w:proofErr w:type="spellEnd"/>
      <w:r w:rsidRPr="00B73E5F">
        <w:rPr>
          <w:rFonts w:ascii="Times New Roman" w:eastAsia="Times New Roman" w:hAnsi="Times New Roman" w:cs="Times New Roman"/>
          <w:lang w:val="en-PH"/>
        </w:rPr>
        <w:t xml:space="preserve"> W</w:t>
      </w:r>
      <w:r w:rsidR="000E59C7" w:rsidRPr="00B73E5F">
        <w:rPr>
          <w:rFonts w:ascii="Times New Roman" w:eastAsia="Times New Roman" w:hAnsi="Times New Roman" w:cs="Times New Roman"/>
          <w:lang w:val="en-PH"/>
        </w:rPr>
        <w:t>illem</w:t>
      </w:r>
      <w:r w:rsidRPr="00B73E5F">
        <w:rPr>
          <w:rFonts w:ascii="Times New Roman" w:eastAsia="Times New Roman" w:hAnsi="Times New Roman" w:cs="Times New Roman"/>
          <w:lang w:val="en-PH"/>
        </w:rPr>
        <w:t xml:space="preserve">, </w:t>
      </w:r>
      <w:r w:rsidR="008500BE" w:rsidRPr="00B73E5F">
        <w:rPr>
          <w:rFonts w:ascii="Times New Roman" w:eastAsia="Times New Roman" w:hAnsi="Times New Roman" w:cs="Times New Roman"/>
          <w:lang w:val="en-PH"/>
        </w:rPr>
        <w:t xml:space="preserve">and Niels O. </w:t>
      </w:r>
      <w:r w:rsidRPr="00B73E5F">
        <w:rPr>
          <w:rFonts w:ascii="Times New Roman" w:eastAsia="Times New Roman" w:hAnsi="Times New Roman" w:cs="Times New Roman"/>
          <w:lang w:val="en-PH"/>
        </w:rPr>
        <w:t>Verhulst. Host preferences of blood-feeding mosquitoes</w:t>
      </w:r>
      <w:r w:rsidRPr="00B73E5F">
        <w:rPr>
          <w:rFonts w:ascii="Times New Roman" w:eastAsia="Times New Roman" w:hAnsi="Times New Roman" w:cs="Times New Roman"/>
          <w:i/>
          <w:lang w:val="en-PH"/>
        </w:rPr>
        <w:t xml:space="preserve">. Annu Rev </w:t>
      </w:r>
      <w:proofErr w:type="spellStart"/>
      <w:r w:rsidRPr="00B73E5F">
        <w:rPr>
          <w:rFonts w:ascii="Times New Roman" w:eastAsia="Times New Roman" w:hAnsi="Times New Roman" w:cs="Times New Roman"/>
          <w:i/>
          <w:lang w:val="en-PH"/>
        </w:rPr>
        <w:t>Entomol</w:t>
      </w:r>
      <w:proofErr w:type="spellEnd"/>
      <w:r w:rsidR="00746AD8" w:rsidRPr="00B73E5F">
        <w:rPr>
          <w:rFonts w:ascii="Times New Roman" w:eastAsia="Times New Roman" w:hAnsi="Times New Roman" w:cs="Times New Roman"/>
          <w:lang w:val="en-PH"/>
        </w:rPr>
        <w:t xml:space="preserve">, vol. </w:t>
      </w:r>
      <w:r w:rsidR="00A05AFD" w:rsidRPr="00B73E5F">
        <w:rPr>
          <w:rFonts w:ascii="Times New Roman" w:eastAsia="Times New Roman" w:hAnsi="Times New Roman" w:cs="Times New Roman"/>
          <w:lang w:val="en-PH"/>
        </w:rPr>
        <w:t>58 (</w:t>
      </w:r>
      <w:r w:rsidR="00C95A7E" w:rsidRPr="00B73E5F">
        <w:rPr>
          <w:rFonts w:ascii="Times New Roman" w:eastAsia="Times New Roman" w:hAnsi="Times New Roman" w:cs="Times New Roman"/>
          <w:lang w:val="en-PH"/>
        </w:rPr>
        <w:t>January 2013</w:t>
      </w:r>
      <w:r w:rsidR="00A05AFD" w:rsidRPr="00B73E5F">
        <w:rPr>
          <w:rFonts w:ascii="Times New Roman" w:eastAsia="Times New Roman" w:hAnsi="Times New Roman" w:cs="Times New Roman"/>
          <w:lang w:val="en-PH"/>
        </w:rPr>
        <w:t xml:space="preserve">), pp. </w:t>
      </w:r>
      <w:r w:rsidRPr="00B73E5F">
        <w:rPr>
          <w:rFonts w:ascii="Times New Roman" w:eastAsia="Times New Roman" w:hAnsi="Times New Roman" w:cs="Times New Roman"/>
          <w:lang w:val="en-PH"/>
        </w:rPr>
        <w:t>433</w:t>
      </w:r>
      <w:r w:rsidR="00A05AFD" w:rsidRPr="00B73E5F">
        <w:rPr>
          <w:rFonts w:ascii="Times New Roman" w:eastAsia="Times New Roman" w:hAnsi="Times New Roman" w:cs="Times New Roman"/>
          <w:lang w:val="en-PH"/>
        </w:rPr>
        <w:t xml:space="preserve"> – </w:t>
      </w:r>
      <w:r w:rsidRPr="00B73E5F">
        <w:rPr>
          <w:rFonts w:ascii="Times New Roman" w:eastAsia="Times New Roman" w:hAnsi="Times New Roman" w:cs="Times New Roman"/>
          <w:lang w:val="en-PH"/>
        </w:rPr>
        <w:t>53.</w:t>
      </w:r>
    </w:p>
    <w:p w14:paraId="0855ED5F" w14:textId="1CF8A137" w:rsidR="00787D21" w:rsidRPr="00B73E5F" w:rsidRDefault="00787D21" w:rsidP="00787D21">
      <w:pPr>
        <w:rPr>
          <w:rFonts w:ascii="Times New Roman" w:hAnsi="Times New Roman" w:cs="Times New Roman"/>
        </w:rPr>
      </w:pPr>
      <w:proofErr w:type="spellStart"/>
      <w:r w:rsidRPr="00B73E5F">
        <w:rPr>
          <w:rFonts w:ascii="Times New Roman" w:hAnsi="Times New Roman" w:cs="Times New Roman"/>
        </w:rPr>
        <w:t>Talapko</w:t>
      </w:r>
      <w:proofErr w:type="spellEnd"/>
      <w:r w:rsidRPr="00B73E5F">
        <w:rPr>
          <w:rFonts w:ascii="Times New Roman" w:hAnsi="Times New Roman" w:cs="Times New Roman"/>
        </w:rPr>
        <w:t>, Jasminka, and others. Malaria: The past and the present.</w:t>
      </w:r>
      <w:r w:rsidRPr="00B73E5F">
        <w:rPr>
          <w:rFonts w:ascii="Times New Roman" w:hAnsi="Times New Roman" w:cs="Times New Roman"/>
          <w:i/>
          <w:iCs/>
        </w:rPr>
        <w:t xml:space="preserve"> Microorganisms, </w:t>
      </w:r>
      <w:r w:rsidRPr="00B73E5F">
        <w:rPr>
          <w:rFonts w:ascii="Times New Roman" w:hAnsi="Times New Roman" w:cs="Times New Roman"/>
        </w:rPr>
        <w:t>vol. 7, No. 179 (June 2019).</w:t>
      </w:r>
    </w:p>
    <w:p w14:paraId="4189A7B8" w14:textId="48CBC30C" w:rsidR="00787D21" w:rsidRPr="00096C23" w:rsidRDefault="00787D21" w:rsidP="00787D21">
      <w:pPr>
        <w:rPr>
          <w:rFonts w:ascii="Times New Roman" w:hAnsi="Times New Roman" w:cs="Times New Roman"/>
        </w:rPr>
      </w:pPr>
      <w:proofErr w:type="spellStart"/>
      <w:r w:rsidRPr="00B73E5F">
        <w:rPr>
          <w:rFonts w:ascii="Times New Roman" w:hAnsi="Times New Roman" w:cs="Times New Roman"/>
        </w:rPr>
        <w:t>Tantely</w:t>
      </w:r>
      <w:proofErr w:type="spellEnd"/>
      <w:r w:rsidRPr="00B73E5F">
        <w:rPr>
          <w:rFonts w:ascii="Times New Roman" w:hAnsi="Times New Roman" w:cs="Times New Roman"/>
        </w:rPr>
        <w:t xml:space="preserve">, Luciano M., Sebastien Boyer, and Dider </w:t>
      </w:r>
      <w:proofErr w:type="spellStart"/>
      <w:r w:rsidRPr="00B73E5F">
        <w:rPr>
          <w:rFonts w:ascii="Times New Roman" w:hAnsi="Times New Roman" w:cs="Times New Roman"/>
        </w:rPr>
        <w:t>Fontenille</w:t>
      </w:r>
      <w:proofErr w:type="spellEnd"/>
      <w:r w:rsidRPr="00B73E5F">
        <w:rPr>
          <w:rFonts w:ascii="Times New Roman" w:hAnsi="Times New Roman" w:cs="Times New Roman"/>
        </w:rPr>
        <w:t xml:space="preserve">. A review of mosquitoes associated with rift valley fever virus in Madagascar. </w:t>
      </w:r>
      <w:r w:rsidRPr="00B73E5F">
        <w:rPr>
          <w:rFonts w:ascii="Times New Roman" w:hAnsi="Times New Roman" w:cs="Times New Roman"/>
          <w:i/>
          <w:iCs/>
        </w:rPr>
        <w:t xml:space="preserve">Am J Trop Med </w:t>
      </w:r>
      <w:proofErr w:type="spellStart"/>
      <w:r w:rsidRPr="00B73E5F">
        <w:rPr>
          <w:rFonts w:ascii="Times New Roman" w:hAnsi="Times New Roman" w:cs="Times New Roman"/>
          <w:i/>
          <w:iCs/>
        </w:rPr>
        <w:t>Hyg</w:t>
      </w:r>
      <w:proofErr w:type="spellEnd"/>
      <w:r w:rsidRPr="00B73E5F">
        <w:rPr>
          <w:rFonts w:ascii="Times New Roman" w:hAnsi="Times New Roman" w:cs="Times New Roman"/>
          <w:i/>
          <w:iCs/>
        </w:rPr>
        <w:t xml:space="preserve">., </w:t>
      </w:r>
      <w:r w:rsidRPr="00B73E5F">
        <w:rPr>
          <w:rFonts w:ascii="Times New Roman" w:hAnsi="Times New Roman" w:cs="Times New Roman"/>
        </w:rPr>
        <w:t>vol. 92, No. 4 (April 2015), pp. 722 – 9.</w:t>
      </w:r>
      <w:r w:rsidRPr="00096C23">
        <w:rPr>
          <w:rFonts w:ascii="Times New Roman" w:hAnsi="Times New Roman" w:cs="Times New Roman"/>
        </w:rPr>
        <w:t xml:space="preserve"> </w:t>
      </w:r>
    </w:p>
    <w:p w14:paraId="27C15F9F" w14:textId="7E7E8E70"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Teem, John L., and others. Problem formulation for gene drive mosquitoes designed to reduce malaria transmission in Africa: Results from four regional consultations 2016–2018. </w:t>
      </w:r>
      <w:r w:rsidRPr="00B73E5F">
        <w:rPr>
          <w:rFonts w:ascii="Times New Roman" w:hAnsi="Times New Roman" w:cs="Times New Roman"/>
          <w:i/>
          <w:iCs/>
        </w:rPr>
        <w:t xml:space="preserve">Malaria Journal, </w:t>
      </w:r>
      <w:r w:rsidRPr="00B73E5F">
        <w:rPr>
          <w:rFonts w:ascii="Times New Roman" w:hAnsi="Times New Roman" w:cs="Times New Roman"/>
        </w:rPr>
        <w:t xml:space="preserve">vol. 18, No. 347 (October 2019). </w:t>
      </w:r>
    </w:p>
    <w:p w14:paraId="431E60FF" w14:textId="6757B4EE" w:rsidR="00787D21" w:rsidRPr="00B73E5F" w:rsidRDefault="00787D21" w:rsidP="00787D21">
      <w:pPr>
        <w:rPr>
          <w:rFonts w:ascii="Times New Roman" w:hAnsi="Times New Roman" w:cs="Times New Roman"/>
        </w:rPr>
      </w:pPr>
      <w:proofErr w:type="spellStart"/>
      <w:r w:rsidRPr="00B73E5F">
        <w:rPr>
          <w:rFonts w:ascii="Times New Roman" w:hAnsi="Times New Roman" w:cs="Times New Roman"/>
        </w:rPr>
        <w:t>Terradas</w:t>
      </w:r>
      <w:proofErr w:type="spellEnd"/>
      <w:r w:rsidRPr="00B73E5F">
        <w:rPr>
          <w:rFonts w:ascii="Times New Roman" w:hAnsi="Times New Roman" w:cs="Times New Roman"/>
        </w:rPr>
        <w:t xml:space="preserve">, Gerard, and others. Genetic conversion of a split-drive into a full-drive element. </w:t>
      </w:r>
      <w:r w:rsidRPr="00B73E5F">
        <w:rPr>
          <w:rFonts w:ascii="Times New Roman" w:hAnsi="Times New Roman" w:cs="Times New Roman"/>
          <w:i/>
          <w:iCs/>
        </w:rPr>
        <w:t xml:space="preserve">Nature Communications, </w:t>
      </w:r>
      <w:r w:rsidRPr="00B73E5F">
        <w:rPr>
          <w:rFonts w:ascii="Times New Roman" w:hAnsi="Times New Roman" w:cs="Times New Roman"/>
        </w:rPr>
        <w:t xml:space="preserve">vol. 14, No. 191 (January 2023). </w:t>
      </w:r>
    </w:p>
    <w:p w14:paraId="6634D664" w14:textId="61402686" w:rsidR="00DC2B8D" w:rsidRPr="00B73E5F" w:rsidRDefault="00DC2B8D" w:rsidP="00787D21">
      <w:pPr>
        <w:rPr>
          <w:rFonts w:ascii="Times New Roman" w:hAnsi="Times New Roman" w:cs="Times New Roman"/>
        </w:rPr>
      </w:pPr>
      <w:proofErr w:type="spellStart"/>
      <w:r w:rsidRPr="00B73E5F">
        <w:rPr>
          <w:rFonts w:ascii="Times New Roman" w:hAnsi="Times New Roman" w:cs="Times New Roman"/>
        </w:rPr>
        <w:t>Terradas</w:t>
      </w:r>
      <w:proofErr w:type="spellEnd"/>
      <w:r w:rsidRPr="00B73E5F">
        <w:rPr>
          <w:rFonts w:ascii="Times New Roman" w:hAnsi="Times New Roman" w:cs="Times New Roman"/>
        </w:rPr>
        <w:t xml:space="preserve">, Gerard, and others. </w:t>
      </w:r>
      <w:r w:rsidR="0015615E" w:rsidRPr="00B73E5F">
        <w:rPr>
          <w:rFonts w:ascii="Times New Roman" w:hAnsi="Times New Roman" w:cs="Times New Roman"/>
        </w:rPr>
        <w:t xml:space="preserve">Inherently confinable split-drive systems in </w:t>
      </w:r>
      <w:r w:rsidR="0015615E" w:rsidRPr="00B73E5F">
        <w:rPr>
          <w:rFonts w:ascii="Times New Roman" w:hAnsi="Times New Roman" w:cs="Times New Roman"/>
          <w:i/>
          <w:iCs/>
        </w:rPr>
        <w:t>Drosophila. Nature communications</w:t>
      </w:r>
      <w:r w:rsidR="0015615E" w:rsidRPr="00B73E5F">
        <w:rPr>
          <w:rFonts w:ascii="Times New Roman" w:hAnsi="Times New Roman" w:cs="Times New Roman"/>
        </w:rPr>
        <w:t xml:space="preserve">, vol. 12, No. 1480 (March 2021). </w:t>
      </w:r>
    </w:p>
    <w:p w14:paraId="534EECC3" w14:textId="0593A4DB" w:rsidR="00787D21" w:rsidRPr="00B73E5F" w:rsidRDefault="00787D21" w:rsidP="00787D21">
      <w:pPr>
        <w:rPr>
          <w:rFonts w:ascii="Times New Roman" w:hAnsi="Times New Roman" w:cs="Times New Roman"/>
        </w:rPr>
      </w:pPr>
      <w:r w:rsidRPr="00B73E5F">
        <w:rPr>
          <w:rFonts w:ascii="Times New Roman" w:hAnsi="Times New Roman" w:cs="Times New Roman"/>
        </w:rPr>
        <w:t>Then, Christoph (2020</w:t>
      </w:r>
      <w:r w:rsidR="67858984" w:rsidRPr="00B73E5F">
        <w:rPr>
          <w:rFonts w:ascii="Times New Roman" w:hAnsi="Times New Roman" w:cs="Times New Roman"/>
        </w:rPr>
        <w:t>a</w:t>
      </w:r>
      <w:r w:rsidRPr="00B73E5F">
        <w:rPr>
          <w:rFonts w:ascii="Times New Roman" w:hAnsi="Times New Roman" w:cs="Times New Roman"/>
        </w:rPr>
        <w:t xml:space="preserve">). Limits of knowledge and tipping points in the risk assessment of gene drive organisms. </w:t>
      </w:r>
      <w:r w:rsidRPr="00B73E5F">
        <w:rPr>
          <w:rFonts w:ascii="Times New Roman" w:hAnsi="Times New Roman" w:cs="Times New Roman"/>
          <w:i/>
          <w:iCs/>
        </w:rPr>
        <w:t>In Gene Drives at Tipping Points</w:t>
      </w:r>
      <w:r w:rsidRPr="00B73E5F">
        <w:rPr>
          <w:rFonts w:ascii="Times New Roman" w:hAnsi="Times New Roman" w:cs="Times New Roman"/>
        </w:rPr>
        <w:t xml:space="preserve">, A. von Gleich, and W. Schröder, eds. Springer, Cham. </w:t>
      </w:r>
    </w:p>
    <w:p w14:paraId="7D650BCE" w14:textId="29B308AF"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Then, Christoph, Katharina Kawall, and Nina Valenzuela. Spatiotemporal controllability and environmental risk assessment of genetically engineered gene drive organisms from the perspective </w:t>
      </w:r>
      <w:r w:rsidR="00D02305" w:rsidRPr="00B73E5F">
        <w:rPr>
          <w:rFonts w:ascii="Times New Roman" w:hAnsi="Times New Roman" w:cs="Times New Roman"/>
        </w:rPr>
        <w:t>of European</w:t>
      </w:r>
      <w:r w:rsidRPr="00B73E5F">
        <w:rPr>
          <w:rFonts w:ascii="Times New Roman" w:hAnsi="Times New Roman" w:cs="Times New Roman"/>
        </w:rPr>
        <w:t xml:space="preserve"> union genetically modified organism regulation. </w:t>
      </w:r>
      <w:proofErr w:type="spellStart"/>
      <w:r w:rsidRPr="00B73E5F">
        <w:rPr>
          <w:rFonts w:ascii="Times New Roman" w:hAnsi="Times New Roman" w:cs="Times New Roman"/>
          <w:i/>
          <w:iCs/>
        </w:rPr>
        <w:t>Integr</w:t>
      </w:r>
      <w:proofErr w:type="spellEnd"/>
      <w:r w:rsidRPr="00B73E5F">
        <w:rPr>
          <w:rFonts w:ascii="Times New Roman" w:hAnsi="Times New Roman" w:cs="Times New Roman"/>
          <w:i/>
          <w:iCs/>
        </w:rPr>
        <w:t xml:space="preserve"> Environ Assess Manag.</w:t>
      </w:r>
      <w:r w:rsidRPr="00B73E5F">
        <w:rPr>
          <w:rFonts w:ascii="Times New Roman" w:hAnsi="Times New Roman" w:cs="Times New Roman"/>
        </w:rPr>
        <w:t>, vol. 16, No. 5 (September 2020</w:t>
      </w:r>
      <w:r w:rsidR="33C87113" w:rsidRPr="00B73E5F">
        <w:rPr>
          <w:rFonts w:ascii="Times New Roman" w:hAnsi="Times New Roman" w:cs="Times New Roman"/>
        </w:rPr>
        <w:t>b</w:t>
      </w:r>
      <w:r w:rsidRPr="00B73E5F">
        <w:rPr>
          <w:rFonts w:ascii="Times New Roman" w:hAnsi="Times New Roman" w:cs="Times New Roman"/>
        </w:rPr>
        <w:t xml:space="preserve">), pp. 555 – 568. </w:t>
      </w:r>
    </w:p>
    <w:p w14:paraId="77D717D3" w14:textId="187733CD" w:rsidR="5FD09BE9" w:rsidRPr="00B73E5F" w:rsidRDefault="00FA4183" w:rsidP="5FD09BE9">
      <w:pPr>
        <w:rPr>
          <w:rFonts w:ascii="Times New Roman" w:hAnsi="Times New Roman" w:cs="Times New Roman"/>
        </w:rPr>
      </w:pPr>
      <w:hyperlink r:id="rId41">
        <w:proofErr w:type="spellStart"/>
        <w:r w:rsidR="00461A3E" w:rsidRPr="00B73E5F">
          <w:rPr>
            <w:rFonts w:ascii="Times New Roman" w:hAnsi="Times New Roman" w:cs="Times New Roman"/>
          </w:rPr>
          <w:t>Tofelde</w:t>
        </w:r>
        <w:proofErr w:type="spellEnd"/>
      </w:hyperlink>
      <w:r w:rsidR="00461A3E" w:rsidRPr="00B73E5F">
        <w:rPr>
          <w:rFonts w:ascii="Times New Roman" w:hAnsi="Times New Roman" w:cs="Times New Roman"/>
        </w:rPr>
        <w:t xml:space="preserve">, Stefanie, and others. </w:t>
      </w:r>
      <w:r w:rsidR="00763B30" w:rsidRPr="00B73E5F">
        <w:rPr>
          <w:rFonts w:ascii="Times New Roman" w:hAnsi="Times New Roman" w:cs="Times New Roman"/>
        </w:rPr>
        <w:t xml:space="preserve">Times associated with source-to-sink propagation of environmental signals during landscape transience. </w:t>
      </w:r>
      <w:r w:rsidR="00763B30" w:rsidRPr="00B73E5F">
        <w:rPr>
          <w:rFonts w:ascii="Times New Roman" w:hAnsi="Times New Roman" w:cs="Times New Roman"/>
          <w:i/>
          <w:iCs/>
        </w:rPr>
        <w:t xml:space="preserve">Front. Earth Sci., </w:t>
      </w:r>
      <w:r w:rsidR="004F2BD2" w:rsidRPr="00B73E5F">
        <w:rPr>
          <w:rFonts w:ascii="Times New Roman" w:hAnsi="Times New Roman" w:cs="Times New Roman"/>
        </w:rPr>
        <w:t xml:space="preserve">vol. 9 (Aoril 2021). </w:t>
      </w:r>
    </w:p>
    <w:p w14:paraId="076D9FEE" w14:textId="669D6334"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Torres, Rolando, and others. Enzootic mosquito vector species at equine encephalitis transmission foci in the República de Panamá. </w:t>
      </w:r>
      <w:proofErr w:type="spellStart"/>
      <w:r w:rsidR="003C7EFE" w:rsidRPr="00B73E5F">
        <w:rPr>
          <w:rFonts w:ascii="Times New Roman" w:hAnsi="Times New Roman" w:cs="Times New Roman"/>
          <w:i/>
          <w:iCs/>
        </w:rPr>
        <w:t>p</w:t>
      </w:r>
      <w:r w:rsidRPr="00B73E5F">
        <w:rPr>
          <w:rFonts w:ascii="Times New Roman" w:hAnsi="Times New Roman" w:cs="Times New Roman"/>
          <w:i/>
          <w:iCs/>
        </w:rPr>
        <w:t>LoS</w:t>
      </w:r>
      <w:proofErr w:type="spellEnd"/>
      <w:r w:rsidRPr="00B73E5F">
        <w:rPr>
          <w:rFonts w:ascii="Times New Roman" w:hAnsi="Times New Roman" w:cs="Times New Roman"/>
          <w:i/>
          <w:iCs/>
        </w:rPr>
        <w:t xml:space="preserve"> ONE</w:t>
      </w:r>
      <w:r w:rsidRPr="00B73E5F">
        <w:rPr>
          <w:rFonts w:ascii="Times New Roman" w:hAnsi="Times New Roman" w:cs="Times New Roman"/>
        </w:rPr>
        <w:t xml:space="preserve">, vol. 12, No. 9 (September 2017). </w:t>
      </w:r>
    </w:p>
    <w:p w14:paraId="0DD48B10" w14:textId="160F1446"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Tuladhar, Rubina, and others. CRISPR-Cas9-based mutagenesis frequently provokes on-target mRNA </w:t>
      </w:r>
      <w:proofErr w:type="spellStart"/>
      <w:r w:rsidRPr="00B73E5F">
        <w:rPr>
          <w:rFonts w:ascii="Times New Roman" w:hAnsi="Times New Roman" w:cs="Times New Roman"/>
        </w:rPr>
        <w:t>misregulation</w:t>
      </w:r>
      <w:proofErr w:type="spellEnd"/>
      <w:r w:rsidRPr="00B73E5F">
        <w:rPr>
          <w:rFonts w:ascii="Times New Roman" w:hAnsi="Times New Roman" w:cs="Times New Roman"/>
        </w:rPr>
        <w:t xml:space="preserve">. </w:t>
      </w:r>
      <w:r w:rsidRPr="00B73E5F">
        <w:rPr>
          <w:rFonts w:ascii="Times New Roman" w:hAnsi="Times New Roman" w:cs="Times New Roman"/>
          <w:i/>
          <w:iCs/>
        </w:rPr>
        <w:t>Nature Communications</w:t>
      </w:r>
      <w:r w:rsidRPr="00B73E5F">
        <w:rPr>
          <w:rFonts w:ascii="Times New Roman" w:hAnsi="Times New Roman" w:cs="Times New Roman"/>
        </w:rPr>
        <w:t>, vol. 10, No. 4056 (September 2019).</w:t>
      </w:r>
    </w:p>
    <w:p w14:paraId="6E5941C8" w14:textId="799EECA1" w:rsidR="00787D21" w:rsidRPr="00096C23" w:rsidRDefault="00787D21" w:rsidP="00787D21">
      <w:pPr>
        <w:rPr>
          <w:rFonts w:ascii="Times New Roman" w:hAnsi="Times New Roman" w:cs="Times New Roman"/>
        </w:rPr>
      </w:pPr>
      <w:proofErr w:type="spellStart"/>
      <w:r w:rsidRPr="00B73E5F">
        <w:rPr>
          <w:rFonts w:ascii="Times New Roman" w:hAnsi="Times New Roman" w:cs="Times New Roman"/>
        </w:rPr>
        <w:t>Turelli</w:t>
      </w:r>
      <w:proofErr w:type="spellEnd"/>
      <w:r w:rsidRPr="00B73E5F">
        <w:rPr>
          <w:rFonts w:ascii="Times New Roman" w:hAnsi="Times New Roman" w:cs="Times New Roman"/>
        </w:rPr>
        <w:t xml:space="preserve">, Michael, and Nicolas H. Barton. Deploying </w:t>
      </w:r>
      <w:proofErr w:type="gramStart"/>
      <w:r w:rsidRPr="00B73E5F">
        <w:rPr>
          <w:rFonts w:ascii="Times New Roman" w:hAnsi="Times New Roman" w:cs="Times New Roman"/>
        </w:rPr>
        <w:t>dengue-suppressing</w:t>
      </w:r>
      <w:proofErr w:type="gramEnd"/>
      <w:r w:rsidRPr="00B73E5F">
        <w:rPr>
          <w:rFonts w:ascii="Times New Roman" w:hAnsi="Times New Roman" w:cs="Times New Roman"/>
        </w:rPr>
        <w:t xml:space="preserve"> Wolbachia: robust models predict slow but effective spatial spread in </w:t>
      </w:r>
      <w:r w:rsidRPr="00B73E5F">
        <w:rPr>
          <w:rFonts w:ascii="Times New Roman" w:hAnsi="Times New Roman" w:cs="Times New Roman"/>
          <w:i/>
          <w:iCs/>
        </w:rPr>
        <w:t xml:space="preserve">Aedes aegypti. Theor </w:t>
      </w:r>
      <w:proofErr w:type="spellStart"/>
      <w:r w:rsidRPr="00B73E5F">
        <w:rPr>
          <w:rFonts w:ascii="Times New Roman" w:hAnsi="Times New Roman" w:cs="Times New Roman"/>
          <w:i/>
          <w:iCs/>
        </w:rPr>
        <w:t>Popul</w:t>
      </w:r>
      <w:proofErr w:type="spellEnd"/>
      <w:r w:rsidRPr="00B73E5F">
        <w:rPr>
          <w:rFonts w:ascii="Times New Roman" w:hAnsi="Times New Roman" w:cs="Times New Roman"/>
          <w:i/>
          <w:iCs/>
        </w:rPr>
        <w:t xml:space="preserve"> Biol</w:t>
      </w:r>
      <w:r w:rsidRPr="00B73E5F">
        <w:rPr>
          <w:rFonts w:ascii="Times New Roman" w:hAnsi="Times New Roman" w:cs="Times New Roman"/>
        </w:rPr>
        <w:t>, vol. 115 (June 2017), pp. 45 – 60.</w:t>
      </w:r>
      <w:r w:rsidRPr="00096C23">
        <w:rPr>
          <w:rFonts w:ascii="Times New Roman" w:hAnsi="Times New Roman" w:cs="Times New Roman"/>
        </w:rPr>
        <w:t xml:space="preserve"> </w:t>
      </w:r>
    </w:p>
    <w:p w14:paraId="107BE8D1" w14:textId="22C24915" w:rsidR="00787D21" w:rsidRPr="00096C23" w:rsidRDefault="00787D21" w:rsidP="00787D21">
      <w:pPr>
        <w:rPr>
          <w:rFonts w:ascii="Times New Roman" w:hAnsi="Times New Roman" w:cs="Times New Roman"/>
        </w:rPr>
      </w:pPr>
      <w:r w:rsidRPr="00096C23">
        <w:rPr>
          <w:rFonts w:ascii="Times New Roman" w:hAnsi="Times New Roman" w:cs="Times New Roman"/>
        </w:rPr>
        <w:lastRenderedPageBreak/>
        <w:t>United Nations, Convention on Biological Diversity</w:t>
      </w:r>
      <w:r w:rsidR="7D3061BB" w:rsidRPr="360247CF">
        <w:rPr>
          <w:rFonts w:ascii="Times New Roman" w:hAnsi="Times New Roman" w:cs="Times New Roman"/>
        </w:rPr>
        <w:t xml:space="preserve"> (CBD)</w:t>
      </w:r>
      <w:r w:rsidRPr="360247CF">
        <w:rPr>
          <w:rFonts w:ascii="Times New Roman" w:hAnsi="Times New Roman" w:cs="Times New Roman"/>
        </w:rPr>
        <w:t>,</w:t>
      </w:r>
      <w:r w:rsidRPr="00096C23">
        <w:rPr>
          <w:rFonts w:ascii="Times New Roman" w:hAnsi="Times New Roman" w:cs="Times New Roman"/>
        </w:rPr>
        <w:t xml:space="preserve"> Treaty Series, vol. 1760, No. 30619.</w:t>
      </w:r>
    </w:p>
    <w:p w14:paraId="4283DDBD" w14:textId="5C1435F5" w:rsidR="67E44A26" w:rsidRDefault="67E44A26" w:rsidP="4E950D48">
      <w:pPr>
        <w:rPr>
          <w:rFonts w:ascii="Times New Roman" w:hAnsi="Times New Roman" w:cs="Times New Roman"/>
        </w:rPr>
      </w:pPr>
      <w:r w:rsidRPr="4E950D48">
        <w:rPr>
          <w:rFonts w:ascii="Times New Roman" w:hAnsi="Times New Roman" w:cs="Times New Roman"/>
        </w:rPr>
        <w:t>Secretariat of the Convention on Biological Diversity (2000) Cartagena Protocol on Biosafety to the Convention on Biological Diversity: text and annexes. Available at: https://www.cbd.int/doc/legal/cartagena-protocol-en.pdf</w:t>
      </w:r>
    </w:p>
    <w:p w14:paraId="08CA9EAD" w14:textId="577D7C00" w:rsidR="00787D21" w:rsidRPr="00FE0869" w:rsidRDefault="00787D21" w:rsidP="00787D21">
      <w:pPr>
        <w:rPr>
          <w:rFonts w:ascii="Times New Roman" w:hAnsi="Times New Roman" w:cs="Times New Roman"/>
        </w:rPr>
      </w:pPr>
      <w:r w:rsidRPr="00096C23">
        <w:rPr>
          <w:rFonts w:ascii="Times New Roman" w:eastAsia="Times New Roman" w:hAnsi="Times New Roman" w:cs="Times New Roman"/>
          <w:color w:val="000000" w:themeColor="text1"/>
          <w14:ligatures w14:val="none"/>
        </w:rPr>
        <w:t>__________. Liability</w:t>
      </w:r>
      <w:r w:rsidRPr="00096C23">
        <w:rPr>
          <w:rFonts w:ascii="Times New Roman" w:hAnsi="Times New Roman" w:cs="Times New Roman"/>
        </w:rPr>
        <w:t xml:space="preserve"> and Redress, Article 14.2. May 2007. Available at </w:t>
      </w:r>
      <w:hyperlink r:id="rId42" w:history="1">
        <w:r w:rsidRPr="00096C23">
          <w:rPr>
            <w:rStyle w:val="Hyperlink"/>
            <w:rFonts w:ascii="Times New Roman" w:hAnsi="Times New Roman" w:cs="Times New Roman"/>
          </w:rPr>
          <w:t>https://www.cbd.int/liability</w:t>
        </w:r>
      </w:hyperlink>
      <w:r w:rsidRPr="00096C23">
        <w:rPr>
          <w:rFonts w:ascii="Times New Roman" w:hAnsi="Times New Roman" w:cs="Times New Roman"/>
        </w:rPr>
        <w:t>.</w:t>
      </w:r>
    </w:p>
    <w:p w14:paraId="221A4A9F" w14:textId="75CE947F" w:rsidR="61D1642C" w:rsidRPr="00516B92" w:rsidRDefault="00787D21" w:rsidP="61D1642C">
      <w:pPr>
        <w:rPr>
          <w:rFonts w:ascii="Times New Roman" w:eastAsia="Times New Roman" w:hAnsi="Times New Roman" w:cs="Times New Roman"/>
          <w:color w:val="000000" w:themeColor="text1"/>
          <w14:ligatures w14:val="none"/>
        </w:rPr>
      </w:pPr>
      <w:r w:rsidRPr="00096C23">
        <w:rPr>
          <w:rFonts w:ascii="Times New Roman" w:eastAsia="Times New Roman" w:hAnsi="Times New Roman" w:cs="Times New Roman"/>
          <w:color w:val="000000" w:themeColor="text1"/>
          <w14:ligatures w14:val="none"/>
        </w:rPr>
        <w:t xml:space="preserve">__________. Report of the Ad Hoc Technical Expert Group on Risk Assessment, Montreal, Canada, 30 March – 3 April 2020. CBD/CP/RA/AHTEG/2020/1/5. </w:t>
      </w:r>
    </w:p>
    <w:p w14:paraId="726367BF" w14:textId="1DE488FC" w:rsidR="44D5674C" w:rsidRDefault="2BC6195D" w:rsidP="44D5674C">
      <w:pPr>
        <w:rPr>
          <w:rFonts w:ascii="Times New Roman" w:eastAsia="Times New Roman" w:hAnsi="Times New Roman" w:cs="Times New Roman"/>
          <w:color w:val="000000" w:themeColor="text1"/>
        </w:rPr>
      </w:pPr>
      <w:r w:rsidRPr="661BB1BA">
        <w:rPr>
          <w:rFonts w:ascii="Times New Roman" w:eastAsia="Times New Roman" w:hAnsi="Times New Roman" w:cs="Times New Roman"/>
          <w:color w:val="000000" w:themeColor="text1"/>
        </w:rPr>
        <w:t xml:space="preserve">__________. Convention on Biological Diversity. </w:t>
      </w:r>
      <w:r w:rsidRPr="3619124C">
        <w:rPr>
          <w:rFonts w:ascii="Times New Roman" w:eastAsia="Times New Roman" w:hAnsi="Times New Roman" w:cs="Times New Roman"/>
          <w:color w:val="000000" w:themeColor="text1"/>
        </w:rPr>
        <w:t>1992.</w:t>
      </w:r>
      <w:r w:rsidRPr="661BB1BA">
        <w:rPr>
          <w:rFonts w:ascii="Times New Roman" w:eastAsia="Times New Roman" w:hAnsi="Times New Roman" w:cs="Times New Roman"/>
          <w:color w:val="000000" w:themeColor="text1"/>
        </w:rPr>
        <w:t xml:space="preserve"> https://www.cbd.int/doc/legal/cbd-en.pdf</w:t>
      </w:r>
    </w:p>
    <w:p w14:paraId="07B5C642" w14:textId="2E98337F" w:rsidR="00787D21" w:rsidRPr="00B73E5F" w:rsidRDefault="00787D21" w:rsidP="7DC798F9">
      <w:pPr>
        <w:rPr>
          <w:rFonts w:ascii="Times New Roman" w:hAnsi="Times New Roman" w:cs="Times New Roman"/>
          <w:lang w:val="pt-PT"/>
        </w:rPr>
      </w:pPr>
      <w:r w:rsidRPr="00B73E5F">
        <w:rPr>
          <w:rFonts w:ascii="Times New Roman" w:hAnsi="Times New Roman" w:cs="Times New Roman"/>
        </w:rPr>
        <w:t xml:space="preserve">United Nations. Report of the United </w:t>
      </w:r>
      <w:proofErr w:type="gramStart"/>
      <w:r w:rsidRPr="00B73E5F">
        <w:rPr>
          <w:rFonts w:ascii="Times New Roman" w:hAnsi="Times New Roman" w:cs="Times New Roman"/>
        </w:rPr>
        <w:t>Nations</w:t>
      </w:r>
      <w:r w:rsidR="00A16286" w:rsidRPr="00B73E5F">
        <w:rPr>
          <w:rFonts w:ascii="Times New Roman" w:hAnsi="Times New Roman" w:cs="Times New Roman"/>
        </w:rPr>
        <w:t xml:space="preserve"> </w:t>
      </w:r>
      <w:r w:rsidRPr="00B73E5F">
        <w:rPr>
          <w:rFonts w:ascii="Times New Roman" w:hAnsi="Times New Roman" w:cs="Times New Roman"/>
        </w:rPr>
        <w:t xml:space="preserve"> conference</w:t>
      </w:r>
      <w:proofErr w:type="gramEnd"/>
      <w:r w:rsidRPr="00B73E5F">
        <w:rPr>
          <w:rFonts w:ascii="Times New Roman" w:hAnsi="Times New Roman" w:cs="Times New Roman"/>
        </w:rPr>
        <w:t xml:space="preserve"> on environment and development. </w:t>
      </w:r>
      <w:r w:rsidRPr="00B73E5F">
        <w:rPr>
          <w:rFonts w:ascii="Times New Roman" w:hAnsi="Times New Roman" w:cs="Times New Roman"/>
          <w:lang w:val="pt-PT"/>
        </w:rPr>
        <w:t xml:space="preserve">Rio de Janeiro, August 1992. A/CONF.151/26 (Vol. I). Available at </w:t>
      </w:r>
      <w:r w:rsidR="00FA4183">
        <w:fldChar w:fldCharType="begin"/>
      </w:r>
      <w:r w:rsidR="00FA4183">
        <w:instrText>HYPERLINK "https://www.un.org/en/development/desa/population/migration/generalassembly/docs/globalcompact/A_CONF.151_26_Vol.I_Declaration.pdf" \h</w:instrText>
      </w:r>
      <w:r w:rsidR="00FA4183">
        <w:fldChar w:fldCharType="separate"/>
      </w:r>
      <w:r w:rsidRPr="00B73E5F">
        <w:rPr>
          <w:rStyle w:val="Hyperlink"/>
          <w:rFonts w:ascii="Times New Roman" w:hAnsi="Times New Roman" w:cs="Times New Roman"/>
          <w:lang w:val="pt-PT"/>
        </w:rPr>
        <w:t>https://www.un.org/en/development/desa/population/migration/generalassembly/docs/globalcompact/A_CONF.151_26_Vol.I_Declaration.pdf</w:t>
      </w:r>
      <w:r w:rsidR="00FA4183">
        <w:rPr>
          <w:rStyle w:val="Hyperlink"/>
          <w:rFonts w:ascii="Times New Roman" w:hAnsi="Times New Roman" w:cs="Times New Roman"/>
          <w:lang w:val="pt-PT"/>
        </w:rPr>
        <w:fldChar w:fldCharType="end"/>
      </w:r>
      <w:r w:rsidRPr="00B73E5F">
        <w:rPr>
          <w:rFonts w:ascii="Times New Roman" w:hAnsi="Times New Roman" w:cs="Times New Roman"/>
          <w:lang w:val="pt-PT"/>
        </w:rPr>
        <w:t>.</w:t>
      </w:r>
    </w:p>
    <w:p w14:paraId="01BF1771" w14:textId="12481ECE" w:rsidR="2A2E0F73" w:rsidRPr="00B73E5F" w:rsidRDefault="00FC726A" w:rsidP="1CEF3873">
      <w:pPr>
        <w:ind w:left="-20" w:right="-20"/>
        <w:rPr>
          <w:rFonts w:ascii="Times New Roman" w:eastAsia="Times New Roman" w:hAnsi="Times New Roman" w:cs="Times New Roman"/>
        </w:rPr>
      </w:pPr>
      <w:r w:rsidRPr="00B73E5F">
        <w:rPr>
          <w:rFonts w:ascii="Times New Roman" w:eastAsia="Times New Roman" w:hAnsi="Times New Roman" w:cs="Times New Roman"/>
        </w:rPr>
        <w:t>University of Washington</w:t>
      </w:r>
      <w:r w:rsidR="766EB213" w:rsidRPr="00B73E5F">
        <w:rPr>
          <w:rFonts w:ascii="Times New Roman" w:eastAsia="Times New Roman" w:hAnsi="Times New Roman" w:cs="Times New Roman"/>
        </w:rPr>
        <w:t xml:space="preserve"> Institute for Health Metrics and Evaluation</w:t>
      </w:r>
      <w:r w:rsidRPr="00B73E5F">
        <w:rPr>
          <w:rFonts w:ascii="Times New Roman" w:eastAsia="Times New Roman" w:hAnsi="Times New Roman" w:cs="Times New Roman"/>
        </w:rPr>
        <w:t xml:space="preserve"> </w:t>
      </w:r>
      <w:r w:rsidR="00A84FD4" w:rsidRPr="00B73E5F">
        <w:rPr>
          <w:rFonts w:ascii="Times New Roman" w:eastAsia="Times New Roman" w:hAnsi="Times New Roman" w:cs="Times New Roman"/>
        </w:rPr>
        <w:t>“</w:t>
      </w:r>
      <w:r w:rsidR="766EB213" w:rsidRPr="00B73E5F">
        <w:rPr>
          <w:rFonts w:ascii="Times New Roman" w:eastAsia="Times New Roman" w:hAnsi="Times New Roman" w:cs="Times New Roman"/>
        </w:rPr>
        <w:t>Global Health Data Exchange</w:t>
      </w:r>
      <w:r w:rsidR="00A84FD4" w:rsidRPr="00B73E5F">
        <w:rPr>
          <w:rFonts w:ascii="Times New Roman" w:eastAsia="Times New Roman" w:hAnsi="Times New Roman" w:cs="Times New Roman"/>
        </w:rPr>
        <w:t>” Available at</w:t>
      </w:r>
      <w:r w:rsidR="766EB213" w:rsidRPr="00B73E5F">
        <w:rPr>
          <w:rFonts w:ascii="Times New Roman" w:eastAsia="Times New Roman" w:hAnsi="Times New Roman" w:cs="Times New Roman"/>
        </w:rPr>
        <w:t xml:space="preserve"> </w:t>
      </w:r>
      <w:hyperlink r:id="rId43">
        <w:r w:rsidR="766EB213" w:rsidRPr="00B73E5F">
          <w:rPr>
            <w:rFonts w:ascii="Times New Roman" w:eastAsia="Times New Roman" w:hAnsi="Times New Roman" w:cs="Times New Roman"/>
          </w:rPr>
          <w:t>https://vizhub.healthdata.org/gbd-compare/</w:t>
        </w:r>
      </w:hyperlink>
      <w:r w:rsidR="766EB213" w:rsidRPr="00B73E5F">
        <w:rPr>
          <w:rFonts w:ascii="Times New Roman" w:eastAsia="Times New Roman" w:hAnsi="Times New Roman" w:cs="Times New Roman"/>
        </w:rPr>
        <w:t xml:space="preserve"> </w:t>
      </w:r>
      <w:r w:rsidR="006A2A01" w:rsidRPr="00B73E5F">
        <w:rPr>
          <w:rFonts w:ascii="Times New Roman" w:eastAsia="Times New Roman" w:hAnsi="Times New Roman" w:cs="Times New Roman"/>
        </w:rPr>
        <w:t xml:space="preserve">(Date accessed </w:t>
      </w:r>
      <w:r w:rsidR="00CB096E" w:rsidRPr="00B73E5F">
        <w:rPr>
          <w:rFonts w:ascii="Times New Roman" w:eastAsia="Times New Roman" w:hAnsi="Times New Roman" w:cs="Times New Roman"/>
        </w:rPr>
        <w:t>13 March 2023).</w:t>
      </w:r>
      <w:r w:rsidR="766EB213" w:rsidRPr="00B73E5F">
        <w:rPr>
          <w:rFonts w:ascii="Times New Roman" w:eastAsia="Times New Roman" w:hAnsi="Times New Roman" w:cs="Times New Roman"/>
        </w:rPr>
        <w:t xml:space="preserve"> </w:t>
      </w:r>
    </w:p>
    <w:p w14:paraId="03972D00" w14:textId="3D44DFB4" w:rsidR="769995B5" w:rsidRPr="00B73E5F" w:rsidRDefault="36D36F61" w:rsidP="769995B5">
      <w:pPr>
        <w:ind w:left="-20" w:right="-20"/>
        <w:rPr>
          <w:rFonts w:ascii="Times New Roman" w:eastAsia="Times New Roman" w:hAnsi="Times New Roman" w:cs="Times New Roman"/>
        </w:rPr>
      </w:pPr>
      <w:r w:rsidRPr="00B73E5F">
        <w:rPr>
          <w:rFonts w:ascii="Times New Roman" w:eastAsia="Times New Roman" w:hAnsi="Times New Roman" w:cs="Times New Roman"/>
        </w:rPr>
        <w:t xml:space="preserve">U.S. Environmental Protection Agency (U.S. EPA). </w:t>
      </w:r>
      <w:r w:rsidRPr="00B73E5F">
        <w:rPr>
          <w:rFonts w:ascii="Times New Roman" w:eastAsia="Times New Roman" w:hAnsi="Times New Roman" w:cs="Times New Roman"/>
          <w:i/>
        </w:rPr>
        <w:t xml:space="preserve">Guidelines for Ecological </w:t>
      </w:r>
      <w:r w:rsidRPr="00B73E5F">
        <w:rPr>
          <w:rFonts w:ascii="Times New Roman" w:eastAsia="Times New Roman" w:hAnsi="Times New Roman" w:cs="Times New Roman"/>
          <w:i/>
          <w:iCs/>
        </w:rPr>
        <w:t>Risk</w:t>
      </w:r>
      <w:r w:rsidR="10AE38EA" w:rsidRPr="00B73E5F">
        <w:rPr>
          <w:rFonts w:ascii="Times New Roman" w:eastAsia="Times New Roman" w:hAnsi="Times New Roman" w:cs="Times New Roman"/>
          <w:i/>
          <w:iCs/>
        </w:rPr>
        <w:t xml:space="preserve"> </w:t>
      </w:r>
      <w:r w:rsidR="10AE38EA" w:rsidRPr="00B73E5F">
        <w:rPr>
          <w:rFonts w:ascii="Times New Roman" w:eastAsia="Times New Roman" w:hAnsi="Times New Roman" w:cs="Times New Roman"/>
        </w:rPr>
        <w:t xml:space="preserve">(April 1998). Available at </w:t>
      </w:r>
      <w:hyperlink r:id="rId44">
        <w:r w:rsidR="10AE38EA" w:rsidRPr="00B73E5F">
          <w:rPr>
            <w:rFonts w:eastAsiaTheme="minorEastAsia"/>
            <w:color w:val="0563C1"/>
            <w:u w:val="single"/>
          </w:rPr>
          <w:t>https://www.epa.gov/sites/default/files/2014-11/documents/eco_risk_assessment1998.pdf</w:t>
        </w:r>
      </w:hyperlink>
      <w:r w:rsidRPr="00B73E5F">
        <w:rPr>
          <w:rFonts w:eastAsiaTheme="minorEastAsia"/>
          <w:color w:val="0563C1"/>
          <w:u w:val="single"/>
        </w:rPr>
        <w:t xml:space="preserve"> </w:t>
      </w:r>
    </w:p>
    <w:p w14:paraId="3AF157AF" w14:textId="32FBBADE" w:rsidR="004E725B" w:rsidRDefault="004E725B" w:rsidP="004E725B">
      <w:pPr>
        <w:pStyle w:val="Default"/>
        <w:spacing w:line="276" w:lineRule="auto"/>
        <w:rPr>
          <w:rStyle w:val="Hyperlink"/>
          <w:rFonts w:eastAsia="Times New Roman"/>
          <w:color w:val="auto"/>
          <w:sz w:val="22"/>
          <w:szCs w:val="22"/>
        </w:rPr>
      </w:pPr>
      <w:r w:rsidRPr="00B73E5F">
        <w:rPr>
          <w:rFonts w:eastAsia="Times New Roman"/>
          <w:color w:val="auto"/>
          <w:sz w:val="22"/>
          <w:szCs w:val="22"/>
        </w:rPr>
        <w:t>Valderrama, J.</w:t>
      </w:r>
      <w:r w:rsidR="00815546" w:rsidRPr="00B73E5F">
        <w:rPr>
          <w:rFonts w:eastAsia="Times New Roman"/>
          <w:color w:val="auto"/>
          <w:sz w:val="22"/>
          <w:szCs w:val="22"/>
        </w:rPr>
        <w:t xml:space="preserve"> Andrés</w:t>
      </w:r>
      <w:r w:rsidRPr="00B73E5F">
        <w:rPr>
          <w:rFonts w:eastAsia="Times New Roman"/>
          <w:color w:val="auto"/>
          <w:sz w:val="22"/>
          <w:szCs w:val="22"/>
        </w:rPr>
        <w:t xml:space="preserve">, </w:t>
      </w:r>
      <w:r w:rsidR="5D734ED7" w:rsidRPr="00B73E5F">
        <w:rPr>
          <w:rFonts w:eastAsia="Times New Roman"/>
          <w:color w:val="auto"/>
          <w:sz w:val="22"/>
          <w:szCs w:val="22"/>
        </w:rPr>
        <w:t>and others</w:t>
      </w:r>
      <w:r w:rsidRPr="00B73E5F">
        <w:rPr>
          <w:rFonts w:eastAsia="Times New Roman"/>
          <w:color w:val="auto"/>
          <w:sz w:val="22"/>
          <w:szCs w:val="22"/>
        </w:rPr>
        <w:t>. A bacterial gene-drive system efficiently edits and inactivates a high copy number antibiotic resistance locus</w:t>
      </w:r>
      <w:r w:rsidRPr="7E2671E0">
        <w:rPr>
          <w:rFonts w:eastAsia="Times New Roman"/>
          <w:color w:val="auto"/>
          <w:sz w:val="22"/>
          <w:szCs w:val="22"/>
        </w:rPr>
        <w:t xml:space="preserve">. </w:t>
      </w:r>
      <w:r w:rsidRPr="7E2671E0">
        <w:rPr>
          <w:rFonts w:eastAsia="Times New Roman"/>
          <w:i/>
          <w:color w:val="auto"/>
          <w:sz w:val="22"/>
          <w:szCs w:val="22"/>
        </w:rPr>
        <w:t xml:space="preserve">Nat </w:t>
      </w:r>
      <w:proofErr w:type="spellStart"/>
      <w:r w:rsidRPr="7E2671E0">
        <w:rPr>
          <w:rFonts w:eastAsia="Times New Roman"/>
          <w:i/>
          <w:color w:val="auto"/>
          <w:sz w:val="22"/>
          <w:szCs w:val="22"/>
        </w:rPr>
        <w:t>Commun</w:t>
      </w:r>
      <w:proofErr w:type="spellEnd"/>
      <w:r w:rsidR="00B830DC" w:rsidRPr="7E2671E0">
        <w:rPr>
          <w:rFonts w:eastAsia="Times New Roman"/>
          <w:i/>
          <w:color w:val="auto"/>
          <w:sz w:val="22"/>
          <w:szCs w:val="22"/>
        </w:rPr>
        <w:t xml:space="preserve">, </w:t>
      </w:r>
      <w:r w:rsidR="0090450B" w:rsidRPr="7E2671E0">
        <w:rPr>
          <w:rFonts w:eastAsia="Times New Roman"/>
          <w:color w:val="auto"/>
          <w:sz w:val="22"/>
          <w:szCs w:val="22"/>
        </w:rPr>
        <w:t xml:space="preserve">vol. </w:t>
      </w:r>
      <w:r w:rsidRPr="7E2671E0">
        <w:rPr>
          <w:rFonts w:eastAsia="Times New Roman"/>
          <w:color w:val="auto"/>
          <w:sz w:val="22"/>
          <w:szCs w:val="22"/>
        </w:rPr>
        <w:t xml:space="preserve">10, </w:t>
      </w:r>
      <w:r w:rsidR="0090450B" w:rsidRPr="7E2671E0">
        <w:rPr>
          <w:rFonts w:eastAsia="Times New Roman"/>
          <w:color w:val="auto"/>
          <w:sz w:val="22"/>
          <w:szCs w:val="22"/>
        </w:rPr>
        <w:t xml:space="preserve">No. </w:t>
      </w:r>
      <w:r w:rsidRPr="7E2671E0">
        <w:rPr>
          <w:rFonts w:eastAsia="Times New Roman"/>
          <w:color w:val="auto"/>
          <w:sz w:val="22"/>
          <w:szCs w:val="22"/>
        </w:rPr>
        <w:t>5726 (</w:t>
      </w:r>
      <w:r w:rsidR="0090450B" w:rsidRPr="7E2671E0">
        <w:rPr>
          <w:rFonts w:eastAsia="Times New Roman"/>
          <w:color w:val="auto"/>
          <w:sz w:val="22"/>
          <w:szCs w:val="22"/>
        </w:rPr>
        <w:t xml:space="preserve">December </w:t>
      </w:r>
      <w:r w:rsidRPr="7E2671E0">
        <w:rPr>
          <w:rFonts w:eastAsia="Times New Roman"/>
          <w:color w:val="auto"/>
          <w:sz w:val="22"/>
          <w:szCs w:val="22"/>
        </w:rPr>
        <w:t xml:space="preserve">2019). </w:t>
      </w:r>
    </w:p>
    <w:p w14:paraId="2D70B712" w14:textId="015EEBDB" w:rsidR="00787D21" w:rsidRPr="00B73E5F" w:rsidRDefault="00787D21" w:rsidP="00787D21">
      <w:pPr>
        <w:rPr>
          <w:rFonts w:ascii="Times New Roman" w:hAnsi="Times New Roman" w:cs="Times New Roman"/>
        </w:rPr>
      </w:pPr>
      <w:proofErr w:type="spellStart"/>
      <w:r w:rsidRPr="00B73E5F">
        <w:rPr>
          <w:rFonts w:ascii="Times New Roman" w:hAnsi="Times New Roman" w:cs="Times New Roman"/>
        </w:rPr>
        <w:t>Verkuijl</w:t>
      </w:r>
      <w:proofErr w:type="spellEnd"/>
      <w:r w:rsidRPr="00B73E5F">
        <w:rPr>
          <w:rFonts w:ascii="Times New Roman" w:hAnsi="Times New Roman" w:cs="Times New Roman"/>
        </w:rPr>
        <w:t xml:space="preserve">, Sebald A. N., and others. A CRISPR endonuclease gene drive reveals distinct mechanisms of inheritance bias. </w:t>
      </w:r>
      <w:r w:rsidRPr="00B73E5F">
        <w:rPr>
          <w:rFonts w:ascii="Times New Roman" w:hAnsi="Times New Roman" w:cs="Times New Roman"/>
          <w:i/>
          <w:iCs/>
        </w:rPr>
        <w:t xml:space="preserve">Nature Communications, </w:t>
      </w:r>
      <w:r w:rsidRPr="00B73E5F">
        <w:rPr>
          <w:rFonts w:ascii="Times New Roman" w:hAnsi="Times New Roman" w:cs="Times New Roman"/>
        </w:rPr>
        <w:t>vol. 13, No. 7145 (November 2022).</w:t>
      </w:r>
    </w:p>
    <w:p w14:paraId="2BC22A4F" w14:textId="0A0761E2"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Verma, Prateek, and others. The Effect of Mating Complexity on Gene Drive Dynamics. </w:t>
      </w:r>
      <w:r w:rsidRPr="00B73E5F">
        <w:rPr>
          <w:rFonts w:ascii="Times New Roman" w:hAnsi="Times New Roman" w:cs="Times New Roman"/>
          <w:i/>
          <w:iCs/>
        </w:rPr>
        <w:t>Am Nat.</w:t>
      </w:r>
      <w:r w:rsidRPr="00B73E5F">
        <w:rPr>
          <w:rFonts w:ascii="Times New Roman" w:hAnsi="Times New Roman" w:cs="Times New Roman"/>
        </w:rPr>
        <w:t xml:space="preserve">, vol. 201, No. 1 (January 2023).  </w:t>
      </w:r>
    </w:p>
    <w:p w14:paraId="6D3EBFFA" w14:textId="581763B7"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Waddell, Lisa, and others. Cache Valley virus: A scoping review of the global evidence. </w:t>
      </w:r>
      <w:r w:rsidRPr="00B73E5F">
        <w:rPr>
          <w:rFonts w:ascii="Times New Roman" w:hAnsi="Times New Roman" w:cs="Times New Roman"/>
          <w:i/>
          <w:iCs/>
        </w:rPr>
        <w:t>Zoonoses public health</w:t>
      </w:r>
      <w:r w:rsidRPr="00B73E5F">
        <w:rPr>
          <w:rFonts w:ascii="Times New Roman" w:hAnsi="Times New Roman" w:cs="Times New Roman"/>
        </w:rPr>
        <w:t xml:space="preserve">, vol. 66, No. 7 (November 2019), pp. 739 – 758. </w:t>
      </w:r>
    </w:p>
    <w:p w14:paraId="2239247A" w14:textId="57F8DC14"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Wang, Guan-Hong, and others. Symbionts and gene drive: Two strategies to combat vector-borne disease. </w:t>
      </w:r>
      <w:r w:rsidRPr="00B73E5F">
        <w:rPr>
          <w:rFonts w:ascii="Times New Roman" w:hAnsi="Times New Roman" w:cs="Times New Roman"/>
          <w:i/>
          <w:iCs/>
        </w:rPr>
        <w:t>Trends in genetics</w:t>
      </w:r>
      <w:r w:rsidRPr="00B73E5F">
        <w:rPr>
          <w:rFonts w:ascii="Times New Roman" w:hAnsi="Times New Roman" w:cs="Times New Roman"/>
        </w:rPr>
        <w:t xml:space="preserve">, vol. 38, No. 7 (July 2022). </w:t>
      </w:r>
    </w:p>
    <w:p w14:paraId="3717AC10" w14:textId="53C72010" w:rsidR="2B93852D" w:rsidRPr="00B73E5F" w:rsidRDefault="2B93852D" w:rsidP="01E1A532">
      <w:pPr>
        <w:rPr>
          <w:rFonts w:ascii="Times New Roman" w:hAnsi="Times New Roman" w:cs="Times New Roman"/>
        </w:rPr>
      </w:pPr>
      <w:r w:rsidRPr="00B73E5F">
        <w:rPr>
          <w:rFonts w:ascii="Times New Roman" w:hAnsi="Times New Roman" w:cs="Times New Roman"/>
        </w:rPr>
        <w:t>Warmbrod, K. L., and others</w:t>
      </w:r>
      <w:r w:rsidRPr="00B73E5F">
        <w:rPr>
          <w:rFonts w:ascii="Times New Roman" w:eastAsiaTheme="minorEastAsia" w:hAnsi="Times New Roman" w:cs="Times New Roman"/>
        </w:rPr>
        <w:t xml:space="preserve">. Gene drives: </w:t>
      </w:r>
      <w:r w:rsidR="30F270A3" w:rsidRPr="00B73E5F">
        <w:rPr>
          <w:rFonts w:ascii="Times New Roman" w:eastAsiaTheme="minorEastAsia" w:hAnsi="Times New Roman" w:cs="Times New Roman"/>
        </w:rPr>
        <w:t>P</w:t>
      </w:r>
      <w:r w:rsidRPr="00B73E5F">
        <w:rPr>
          <w:rFonts w:ascii="Times New Roman" w:eastAsiaTheme="minorEastAsia" w:hAnsi="Times New Roman" w:cs="Times New Roman"/>
        </w:rPr>
        <w:t xml:space="preserve">ursuing opportunities, minimizing risk. </w:t>
      </w:r>
      <w:proofErr w:type="spellStart"/>
      <w:r w:rsidRPr="00B73E5F">
        <w:rPr>
          <w:rFonts w:ascii="Times New Roman" w:eastAsiaTheme="minorEastAsia" w:hAnsi="Times New Roman" w:cs="Times New Roman"/>
        </w:rPr>
        <w:t>C</w:t>
      </w:r>
      <w:r w:rsidRPr="00B73E5F">
        <w:rPr>
          <w:rFonts w:ascii="Times New Roman" w:eastAsiaTheme="minorEastAsia" w:hAnsi="Times New Roman" w:cs="Times New Roman"/>
          <w:i/>
        </w:rPr>
        <w:t>enter</w:t>
      </w:r>
      <w:proofErr w:type="spellEnd"/>
      <w:r w:rsidRPr="00B73E5F">
        <w:rPr>
          <w:rFonts w:ascii="Times New Roman" w:eastAsiaTheme="minorEastAsia" w:hAnsi="Times New Roman" w:cs="Times New Roman"/>
          <w:i/>
        </w:rPr>
        <w:t xml:space="preserve"> for Health Security</w:t>
      </w:r>
      <w:r w:rsidR="3DFE2B8A" w:rsidRPr="00B73E5F">
        <w:rPr>
          <w:rFonts w:ascii="Times New Roman" w:eastAsiaTheme="minorEastAsia" w:hAnsi="Times New Roman" w:cs="Times New Roman"/>
          <w:i/>
          <w:iCs/>
        </w:rPr>
        <w:t>,</w:t>
      </w:r>
      <w:r w:rsidRPr="00B73E5F">
        <w:rPr>
          <w:rFonts w:ascii="Times New Roman" w:eastAsiaTheme="minorEastAsia" w:hAnsi="Times New Roman" w:cs="Times New Roman"/>
        </w:rPr>
        <w:t xml:space="preserve"> Baltimore: John Hopkins </w:t>
      </w:r>
      <w:proofErr w:type="spellStart"/>
      <w:r w:rsidRPr="00B73E5F">
        <w:rPr>
          <w:rFonts w:ascii="Times New Roman" w:eastAsiaTheme="minorEastAsia" w:hAnsi="Times New Roman" w:cs="Times New Roman"/>
        </w:rPr>
        <w:t>Center</w:t>
      </w:r>
      <w:proofErr w:type="spellEnd"/>
      <w:r w:rsidRPr="00B73E5F">
        <w:rPr>
          <w:rFonts w:ascii="Times New Roman" w:eastAsiaTheme="minorEastAsia" w:hAnsi="Times New Roman" w:cs="Times New Roman"/>
        </w:rPr>
        <w:t xml:space="preserve"> for Health Security</w:t>
      </w:r>
      <w:r w:rsidR="757014C7" w:rsidRPr="00B73E5F">
        <w:rPr>
          <w:rFonts w:ascii="Times New Roman" w:eastAsiaTheme="minorEastAsia" w:hAnsi="Times New Roman" w:cs="Times New Roman"/>
        </w:rPr>
        <w:t xml:space="preserve"> (</w:t>
      </w:r>
      <w:r w:rsidRPr="00B73E5F">
        <w:rPr>
          <w:rFonts w:ascii="Times New Roman" w:eastAsiaTheme="minorEastAsia" w:hAnsi="Times New Roman" w:cs="Times New Roman"/>
        </w:rPr>
        <w:t>2020</w:t>
      </w:r>
      <w:r w:rsidR="6452D7D5" w:rsidRPr="00B73E5F">
        <w:rPr>
          <w:rFonts w:ascii="Times New Roman" w:eastAsiaTheme="minorEastAsia" w:hAnsi="Times New Roman" w:cs="Times New Roman"/>
        </w:rPr>
        <w:t>)</w:t>
      </w:r>
      <w:r w:rsidRPr="00B73E5F">
        <w:rPr>
          <w:rFonts w:ascii="Times New Roman" w:eastAsiaTheme="minorEastAsia" w:hAnsi="Times New Roman" w:cs="Times New Roman"/>
        </w:rPr>
        <w:t>.</w:t>
      </w:r>
    </w:p>
    <w:p w14:paraId="50660A3A" w14:textId="1081C082" w:rsidR="323D509C" w:rsidRPr="00B73E5F" w:rsidRDefault="00745A6A" w:rsidP="4761EBB8">
      <w:pPr>
        <w:ind w:left="-20" w:right="-20"/>
        <w:rPr>
          <w:rFonts w:ascii="Times New Roman" w:hAnsi="Times New Roman" w:cs="Times New Roman"/>
        </w:rPr>
      </w:pPr>
      <w:r w:rsidRPr="00B73E5F">
        <w:rPr>
          <w:rFonts w:ascii="Times New Roman" w:hAnsi="Times New Roman" w:cs="Times New Roman"/>
        </w:rPr>
        <w:t xml:space="preserve">Webster, Sophia H.., Michael R. Vella, and Maxwell J, Scott. </w:t>
      </w:r>
      <w:r w:rsidR="004B6E03" w:rsidRPr="00B73E5F">
        <w:rPr>
          <w:rFonts w:ascii="Times New Roman" w:hAnsi="Times New Roman" w:cs="Times New Roman"/>
        </w:rPr>
        <w:t xml:space="preserve">Development and testing of a novel killer–rescue self-limiting gene drive system in </w:t>
      </w:r>
      <w:r w:rsidR="004B6E03" w:rsidRPr="00B73E5F">
        <w:rPr>
          <w:rFonts w:ascii="Times New Roman" w:hAnsi="Times New Roman" w:cs="Times New Roman"/>
          <w:i/>
          <w:iCs/>
        </w:rPr>
        <w:t xml:space="preserve">Drosophila melanogaster. Proceedings of the Royal Society B, </w:t>
      </w:r>
      <w:r w:rsidR="004B6E03" w:rsidRPr="00B73E5F">
        <w:rPr>
          <w:rFonts w:ascii="Times New Roman" w:hAnsi="Times New Roman" w:cs="Times New Roman"/>
        </w:rPr>
        <w:t xml:space="preserve">vol. 287, No. 1925 (April 2020). </w:t>
      </w:r>
    </w:p>
    <w:p w14:paraId="78AC1AEB" w14:textId="14E4D8C5" w:rsidR="10E0AC0A" w:rsidRPr="00B73E5F" w:rsidRDefault="00787D21" w:rsidP="10E0AC0A">
      <w:r w:rsidRPr="00B73E5F">
        <w:rPr>
          <w:rFonts w:ascii="Times New Roman" w:hAnsi="Times New Roman" w:cs="Times New Roman"/>
        </w:rPr>
        <w:t xml:space="preserve">Wellington, W. G. Changes in mosquito flight associated with natural changes in polarized light. </w:t>
      </w:r>
      <w:r w:rsidRPr="00B73E5F">
        <w:rPr>
          <w:rFonts w:ascii="Times New Roman" w:hAnsi="Times New Roman" w:cs="Times New Roman"/>
          <w:i/>
        </w:rPr>
        <w:t xml:space="preserve">Cambridge University Press </w:t>
      </w:r>
      <w:r w:rsidRPr="00B73E5F">
        <w:rPr>
          <w:rFonts w:ascii="Times New Roman" w:hAnsi="Times New Roman" w:cs="Times New Roman"/>
        </w:rPr>
        <w:t>(May 2012)</w:t>
      </w:r>
      <w:r w:rsidR="6E83621C" w:rsidRPr="00B73E5F">
        <w:rPr>
          <w:rFonts w:ascii="Times New Roman" w:hAnsi="Times New Roman" w:cs="Times New Roman"/>
        </w:rPr>
        <w:t>.</w:t>
      </w:r>
      <w:r w:rsidR="1A7769C8" w:rsidRPr="00B73E5F">
        <w:rPr>
          <w:rFonts w:ascii="Segoe UI" w:eastAsia="Segoe UI" w:hAnsi="Segoe UI" w:cs="Segoe UI"/>
          <w:sz w:val="18"/>
          <w:szCs w:val="18"/>
        </w:rPr>
        <w:t xml:space="preserve"> </w:t>
      </w:r>
    </w:p>
    <w:p w14:paraId="1493A46F" w14:textId="0B0BAC17"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Wells, Mark, and Ricarda A. Steinbrecher. </w:t>
      </w:r>
      <w:r w:rsidRPr="00B73E5F">
        <w:rPr>
          <w:rFonts w:ascii="Times New Roman" w:hAnsi="Times New Roman" w:cs="Times New Roman"/>
          <w:i/>
          <w:iCs/>
        </w:rPr>
        <w:t xml:space="preserve">Current and proposed insect targets for gene drive development. </w:t>
      </w:r>
      <w:r w:rsidRPr="00B73E5F">
        <w:rPr>
          <w:rFonts w:ascii="Times New Roman" w:hAnsi="Times New Roman" w:cs="Times New Roman"/>
        </w:rPr>
        <w:t xml:space="preserve">A horizon scanning survey, </w:t>
      </w:r>
      <w:proofErr w:type="spellStart"/>
      <w:r w:rsidRPr="00B73E5F">
        <w:rPr>
          <w:rFonts w:ascii="Times New Roman" w:hAnsi="Times New Roman" w:cs="Times New Roman"/>
        </w:rPr>
        <w:t>EcoNexus</w:t>
      </w:r>
      <w:proofErr w:type="spellEnd"/>
      <w:r w:rsidRPr="00B73E5F">
        <w:rPr>
          <w:rFonts w:ascii="Times New Roman" w:hAnsi="Times New Roman" w:cs="Times New Roman"/>
        </w:rPr>
        <w:t xml:space="preserve">, October 2023. </w:t>
      </w:r>
    </w:p>
    <w:p w14:paraId="54D2BF3D" w14:textId="0ABC955E" w:rsidR="00787D21" w:rsidRPr="00096C23" w:rsidRDefault="00787D21" w:rsidP="00787D21">
      <w:pPr>
        <w:rPr>
          <w:rFonts w:ascii="Times New Roman" w:hAnsi="Times New Roman" w:cs="Times New Roman"/>
        </w:rPr>
      </w:pPr>
      <w:r w:rsidRPr="00B73E5F">
        <w:rPr>
          <w:rFonts w:ascii="Times New Roman" w:hAnsi="Times New Roman" w:cs="Times New Roman"/>
        </w:rPr>
        <w:t xml:space="preserve">__________. </w:t>
      </w:r>
      <w:r w:rsidRPr="00B73E5F">
        <w:rPr>
          <w:rFonts w:ascii="Times New Roman" w:hAnsi="Times New Roman" w:cs="Times New Roman"/>
          <w:i/>
          <w:iCs/>
        </w:rPr>
        <w:t xml:space="preserve">Gene Drive Development: Current and proposed non-insect targets, including vertebrates, snails, </w:t>
      </w:r>
      <w:proofErr w:type="gramStart"/>
      <w:r w:rsidRPr="00B73E5F">
        <w:rPr>
          <w:rFonts w:ascii="Times New Roman" w:hAnsi="Times New Roman" w:cs="Times New Roman"/>
          <w:i/>
          <w:iCs/>
        </w:rPr>
        <w:t>fungi</w:t>
      </w:r>
      <w:proofErr w:type="gramEnd"/>
      <w:r w:rsidRPr="00B73E5F">
        <w:rPr>
          <w:rFonts w:ascii="Times New Roman" w:hAnsi="Times New Roman" w:cs="Times New Roman"/>
          <w:i/>
          <w:iCs/>
        </w:rPr>
        <w:t xml:space="preserve"> and plants</w:t>
      </w:r>
      <w:r w:rsidRPr="00B73E5F">
        <w:rPr>
          <w:rFonts w:ascii="Times New Roman" w:hAnsi="Times New Roman" w:cs="Times New Roman"/>
        </w:rPr>
        <w:t xml:space="preserve">. A horizon scanning survey, </w:t>
      </w:r>
      <w:proofErr w:type="spellStart"/>
      <w:r w:rsidRPr="00B73E5F">
        <w:rPr>
          <w:rFonts w:ascii="Times New Roman" w:hAnsi="Times New Roman" w:cs="Times New Roman"/>
        </w:rPr>
        <w:t>EcoNexus</w:t>
      </w:r>
      <w:proofErr w:type="spellEnd"/>
      <w:r w:rsidRPr="00B73E5F">
        <w:rPr>
          <w:rFonts w:ascii="Times New Roman" w:hAnsi="Times New Roman" w:cs="Times New Roman"/>
        </w:rPr>
        <w:t>, November 2023.</w:t>
      </w:r>
    </w:p>
    <w:p w14:paraId="58F6697C" w14:textId="6CF66A59" w:rsidR="00787D21" w:rsidRPr="00B73E5F" w:rsidRDefault="00787D21" w:rsidP="00787D21">
      <w:pPr>
        <w:rPr>
          <w:rFonts w:ascii="Times New Roman" w:hAnsi="Times New Roman" w:cs="Times New Roman"/>
        </w:rPr>
      </w:pPr>
      <w:proofErr w:type="spellStart"/>
      <w:r w:rsidRPr="00B73E5F">
        <w:rPr>
          <w:rFonts w:ascii="Times New Roman" w:hAnsi="Times New Roman" w:cs="Times New Roman"/>
        </w:rPr>
        <w:lastRenderedPageBreak/>
        <w:t>Wilkman</w:t>
      </w:r>
      <w:proofErr w:type="spellEnd"/>
      <w:r w:rsidRPr="00B73E5F">
        <w:rPr>
          <w:rFonts w:ascii="Times New Roman" w:hAnsi="Times New Roman" w:cs="Times New Roman"/>
        </w:rPr>
        <w:t xml:space="preserve">, Lukas, and others. Mosquito-borne viruses causing human disease in Fennoscandia—Past, current, and future perspectives. </w:t>
      </w:r>
      <w:r w:rsidRPr="00B73E5F">
        <w:rPr>
          <w:rFonts w:ascii="Times New Roman" w:hAnsi="Times New Roman" w:cs="Times New Roman"/>
          <w:i/>
          <w:iCs/>
        </w:rPr>
        <w:t xml:space="preserve">Frontiers in medicine, </w:t>
      </w:r>
      <w:r w:rsidRPr="00B73E5F">
        <w:rPr>
          <w:rFonts w:ascii="Times New Roman" w:hAnsi="Times New Roman" w:cs="Times New Roman"/>
        </w:rPr>
        <w:t xml:space="preserve">vol. 10 (March 2023). </w:t>
      </w:r>
    </w:p>
    <w:p w14:paraId="7FD72F8E" w14:textId="27E2CA78"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Willis, Katie, and Austin Burt. Double drives and private alleles for localised population genetic control. </w:t>
      </w:r>
      <w:proofErr w:type="spellStart"/>
      <w:r w:rsidR="003C7EFE" w:rsidRPr="00B73E5F">
        <w:rPr>
          <w:rFonts w:ascii="Times New Roman" w:hAnsi="Times New Roman" w:cs="Times New Roman"/>
          <w:i/>
          <w:iCs/>
        </w:rPr>
        <w:t>p</w:t>
      </w:r>
      <w:r w:rsidRPr="00B73E5F">
        <w:rPr>
          <w:rFonts w:ascii="Times New Roman" w:hAnsi="Times New Roman" w:cs="Times New Roman"/>
          <w:i/>
          <w:iCs/>
        </w:rPr>
        <w:t>LoS</w:t>
      </w:r>
      <w:proofErr w:type="spellEnd"/>
      <w:r w:rsidRPr="00B73E5F">
        <w:rPr>
          <w:rFonts w:ascii="Times New Roman" w:hAnsi="Times New Roman" w:cs="Times New Roman"/>
          <w:i/>
          <w:iCs/>
        </w:rPr>
        <w:t xml:space="preserve"> genetics, </w:t>
      </w:r>
      <w:r w:rsidRPr="00B73E5F">
        <w:rPr>
          <w:rFonts w:ascii="Times New Roman" w:hAnsi="Times New Roman" w:cs="Times New Roman"/>
        </w:rPr>
        <w:t xml:space="preserve">vol. 17, No. 3 (March 2021).  </w:t>
      </w:r>
    </w:p>
    <w:p w14:paraId="7FC6F2C9" w14:textId="29FF4856"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Wolt, Jeffrey D., and others. Problem formulation in the environmental risk assessment for genetically modified plants. </w:t>
      </w:r>
      <w:r w:rsidRPr="00B73E5F">
        <w:rPr>
          <w:rFonts w:ascii="Times New Roman" w:hAnsi="Times New Roman" w:cs="Times New Roman"/>
          <w:i/>
          <w:iCs/>
        </w:rPr>
        <w:t xml:space="preserve">Transgenic Research, </w:t>
      </w:r>
      <w:r w:rsidRPr="00B73E5F">
        <w:rPr>
          <w:rFonts w:ascii="Times New Roman" w:hAnsi="Times New Roman" w:cs="Times New Roman"/>
        </w:rPr>
        <w:t>vol. 19, No. 3 (</w:t>
      </w:r>
      <w:r w:rsidR="032969F3" w:rsidRPr="00B73E5F">
        <w:rPr>
          <w:rFonts w:ascii="Times New Roman" w:hAnsi="Times New Roman" w:cs="Times New Roman"/>
        </w:rPr>
        <w:t>2010</w:t>
      </w:r>
      <w:r w:rsidRPr="00B73E5F">
        <w:rPr>
          <w:rFonts w:ascii="Times New Roman" w:hAnsi="Times New Roman" w:cs="Times New Roman"/>
        </w:rPr>
        <w:t xml:space="preserve">), pp. 425-436.  </w:t>
      </w:r>
    </w:p>
    <w:p w14:paraId="24768797" w14:textId="19102364" w:rsidR="00787D21" w:rsidRPr="00B73E5F" w:rsidRDefault="00787D21" w:rsidP="00787D21">
      <w:pPr>
        <w:rPr>
          <w:rFonts w:ascii="Times" w:hAnsi="Times" w:cs="Times"/>
        </w:rPr>
      </w:pPr>
      <w:r w:rsidRPr="00B73E5F">
        <w:rPr>
          <w:rFonts w:ascii="Times" w:hAnsi="Times" w:cs="Times"/>
        </w:rPr>
        <w:t>World health organization, global malaria programme. “</w:t>
      </w:r>
      <w:r w:rsidRPr="00B73E5F">
        <w:rPr>
          <w:rFonts w:ascii="Times" w:hAnsi="Times" w:cs="Times"/>
          <w:i/>
          <w:iCs/>
        </w:rPr>
        <w:t>World Malaria Report 202</w:t>
      </w:r>
      <w:r w:rsidR="002B75CB" w:rsidRPr="00B73E5F">
        <w:rPr>
          <w:rFonts w:ascii="Times" w:hAnsi="Times" w:cs="Times"/>
          <w:i/>
          <w:iCs/>
        </w:rPr>
        <w:t>3</w:t>
      </w:r>
      <w:r w:rsidRPr="00B73E5F">
        <w:rPr>
          <w:rFonts w:ascii="Times" w:hAnsi="Times" w:cs="Times"/>
        </w:rPr>
        <w:t>”. Geneva, 202</w:t>
      </w:r>
      <w:r w:rsidR="002B75CB" w:rsidRPr="00B73E5F">
        <w:rPr>
          <w:rFonts w:ascii="Times" w:hAnsi="Times" w:cs="Times"/>
        </w:rPr>
        <w:t>3</w:t>
      </w:r>
      <w:r w:rsidR="68F4800D" w:rsidRPr="00B73E5F">
        <w:rPr>
          <w:rFonts w:ascii="Times" w:hAnsi="Times" w:cs="Times"/>
        </w:rPr>
        <w:t>a</w:t>
      </w:r>
      <w:r w:rsidRPr="00B73E5F">
        <w:rPr>
          <w:rFonts w:ascii="Times" w:hAnsi="Times" w:cs="Times"/>
        </w:rPr>
        <w:t xml:space="preserve">. Available at </w:t>
      </w:r>
      <w:r w:rsidR="002B75CB" w:rsidRPr="00B73E5F">
        <w:rPr>
          <w:rFonts w:ascii="Times" w:hAnsi="Times" w:cs="Times"/>
        </w:rPr>
        <w:t>https://www.who.int/teams/global-malaria-programme/reports/world-malaria-report-2023</w:t>
      </w:r>
      <w:r w:rsidRPr="00B73E5F">
        <w:rPr>
          <w:rFonts w:ascii="Times" w:hAnsi="Times" w:cs="Times"/>
        </w:rPr>
        <w:t>.</w:t>
      </w:r>
    </w:p>
    <w:p w14:paraId="15130429" w14:textId="1081E021" w:rsidR="00787D21" w:rsidRPr="00096C23" w:rsidRDefault="00787D21" w:rsidP="00787D21">
      <w:pPr>
        <w:rPr>
          <w:rFonts w:ascii="Times New Roman" w:hAnsi="Times New Roman" w:cs="Times New Roman"/>
        </w:rPr>
      </w:pPr>
      <w:r w:rsidRPr="00B73E5F">
        <w:rPr>
          <w:rFonts w:ascii="Times New Roman" w:hAnsi="Times New Roman" w:cs="Times New Roman"/>
        </w:rPr>
        <w:t>__________. WHO malaria terminology. Geneva, 2021</w:t>
      </w:r>
      <w:r w:rsidR="0AEEE3BF" w:rsidRPr="00B73E5F">
        <w:rPr>
          <w:rFonts w:ascii="Times New Roman" w:hAnsi="Times New Roman" w:cs="Times New Roman"/>
        </w:rPr>
        <w:t>a</w:t>
      </w:r>
      <w:r w:rsidRPr="00B73E5F">
        <w:rPr>
          <w:rFonts w:ascii="Times New Roman" w:hAnsi="Times New Roman" w:cs="Times New Roman"/>
        </w:rPr>
        <w:t>. Available at</w:t>
      </w:r>
      <w:r w:rsidRPr="00096C23">
        <w:rPr>
          <w:rFonts w:ascii="Times New Roman" w:hAnsi="Times New Roman" w:cs="Times New Roman"/>
        </w:rPr>
        <w:t xml:space="preserve"> </w:t>
      </w:r>
      <w:hyperlink r:id="rId45">
        <w:r w:rsidRPr="4311A7C2">
          <w:rPr>
            <w:rStyle w:val="Hyperlink"/>
            <w:rFonts w:ascii="Times New Roman" w:hAnsi="Times New Roman" w:cs="Times New Roman"/>
          </w:rPr>
          <w:t>https://iris.who.int/bitstream/handle/10665/349442/9789240038400-eng.pdf?sequence=1</w:t>
        </w:r>
      </w:hyperlink>
      <w:r w:rsidRPr="4311A7C2">
        <w:rPr>
          <w:rFonts w:ascii="Times New Roman" w:hAnsi="Times New Roman" w:cs="Times New Roman"/>
        </w:rPr>
        <w:t>.</w:t>
      </w:r>
    </w:p>
    <w:p w14:paraId="41CFEE72" w14:textId="63CAC591" w:rsidR="7CF76991" w:rsidRDefault="00787D21" w:rsidP="4311A7C2">
      <w:pPr>
        <w:spacing w:line="257" w:lineRule="auto"/>
        <w:ind w:left="-20" w:right="-20"/>
      </w:pPr>
      <w:r w:rsidRPr="4311A7C2">
        <w:rPr>
          <w:rFonts w:ascii="Times New Roman" w:eastAsia="Times New Roman" w:hAnsi="Times New Roman" w:cs="Times New Roman"/>
        </w:rPr>
        <w:t xml:space="preserve">__________. </w:t>
      </w:r>
      <w:r w:rsidR="2173A209" w:rsidRPr="4311A7C2">
        <w:rPr>
          <w:rFonts w:ascii="Times New Roman" w:eastAsia="Times New Roman" w:hAnsi="Times New Roman" w:cs="Times New Roman"/>
        </w:rPr>
        <w:t xml:space="preserve">Guidance framework for testing genetically modified mosquitoes, first edition (2014). Available at </w:t>
      </w:r>
      <w:hyperlink r:id="rId46">
        <w:r w:rsidR="2173A209" w:rsidRPr="4311A7C2">
          <w:rPr>
            <w:rStyle w:val="Hyperlink"/>
            <w:rFonts w:ascii="Times New Roman" w:eastAsia="Times New Roman" w:hAnsi="Times New Roman" w:cs="Times New Roman"/>
          </w:rPr>
          <w:t>https://tdr.who.int/publications/i/item/2014-06-26-the-guidance-framework-for-testing-genetically-modified-mosquitoes</w:t>
        </w:r>
      </w:hyperlink>
    </w:p>
    <w:p w14:paraId="5089574D" w14:textId="504CB50A" w:rsidR="00787D21" w:rsidRPr="00096C23" w:rsidRDefault="00787D21" w:rsidP="00787D21">
      <w:pPr>
        <w:rPr>
          <w:rFonts w:ascii="Times New Roman" w:hAnsi="Times New Roman" w:cs="Times New Roman"/>
        </w:rPr>
      </w:pPr>
      <w:r w:rsidRPr="4311A7C2">
        <w:rPr>
          <w:rFonts w:ascii="Times New Roman" w:hAnsi="Times New Roman" w:cs="Times New Roman"/>
        </w:rPr>
        <w:t xml:space="preserve">__________. </w:t>
      </w:r>
      <w:r w:rsidRPr="00096C23">
        <w:rPr>
          <w:rFonts w:ascii="Times New Roman" w:hAnsi="Times New Roman" w:cs="Times New Roman"/>
        </w:rPr>
        <w:t>Guidance framework for testing genetically modified mosquitoes</w:t>
      </w:r>
      <w:r>
        <w:rPr>
          <w:rFonts w:ascii="Times New Roman" w:hAnsi="Times New Roman" w:cs="Times New Roman"/>
        </w:rPr>
        <w:t>, s</w:t>
      </w:r>
      <w:r w:rsidRPr="00096C23">
        <w:rPr>
          <w:rFonts w:ascii="Times New Roman" w:hAnsi="Times New Roman" w:cs="Times New Roman"/>
        </w:rPr>
        <w:t>econd edition</w:t>
      </w:r>
      <w:r w:rsidR="00413D50">
        <w:rPr>
          <w:rFonts w:ascii="Times New Roman" w:hAnsi="Times New Roman" w:cs="Times New Roman"/>
        </w:rPr>
        <w:t xml:space="preserve"> (</w:t>
      </w:r>
      <w:r w:rsidR="00413D50" w:rsidRPr="4311A7C2">
        <w:rPr>
          <w:rFonts w:ascii="Times New Roman" w:hAnsi="Times New Roman" w:cs="Times New Roman"/>
        </w:rPr>
        <w:t>2021</w:t>
      </w:r>
      <w:r w:rsidR="0EAA4F59" w:rsidRPr="4311A7C2">
        <w:rPr>
          <w:rFonts w:ascii="Times New Roman" w:hAnsi="Times New Roman" w:cs="Times New Roman"/>
        </w:rPr>
        <w:t>b</w:t>
      </w:r>
      <w:r w:rsidR="00413D50">
        <w:rPr>
          <w:rFonts w:ascii="Times New Roman" w:hAnsi="Times New Roman" w:cs="Times New Roman"/>
        </w:rPr>
        <w:t>)</w:t>
      </w:r>
      <w:r w:rsidRPr="00096C23">
        <w:rPr>
          <w:rFonts w:ascii="Times New Roman" w:hAnsi="Times New Roman" w:cs="Times New Roman"/>
        </w:rPr>
        <w:t xml:space="preserve">. Available at </w:t>
      </w:r>
      <w:hyperlink r:id="rId47">
        <w:r w:rsidR="004B3E45" w:rsidRPr="4311A7C2">
          <w:rPr>
            <w:rStyle w:val="Hyperlink"/>
            <w:rFonts w:ascii="Times New Roman" w:hAnsi="Times New Roman" w:cs="Times New Roman"/>
          </w:rPr>
          <w:t>https://www</w:t>
        </w:r>
      </w:hyperlink>
      <w:r w:rsidRPr="00096C23">
        <w:rPr>
          <w:rFonts w:ascii="Times New Roman" w:hAnsi="Times New Roman" w:cs="Times New Roman"/>
        </w:rPr>
        <w:t xml:space="preserve">.who.int/publications/i/item/9789240025233  </w:t>
      </w:r>
    </w:p>
    <w:p w14:paraId="1D8AAF10" w14:textId="680A94BC"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__________. Chikungunya. Fact sheets, 8 December </w:t>
      </w:r>
      <w:r w:rsidRPr="30103DDE">
        <w:rPr>
          <w:rFonts w:ascii="Times New Roman" w:hAnsi="Times New Roman" w:cs="Times New Roman"/>
        </w:rPr>
        <w:t>2022</w:t>
      </w:r>
      <w:r w:rsidR="1497C246" w:rsidRPr="30103DDE">
        <w:rPr>
          <w:rFonts w:ascii="Times New Roman" w:hAnsi="Times New Roman" w:cs="Times New Roman"/>
        </w:rPr>
        <w:t>a</w:t>
      </w:r>
      <w:r w:rsidRPr="30103DDE">
        <w:rPr>
          <w:rFonts w:ascii="Times New Roman" w:hAnsi="Times New Roman" w:cs="Times New Roman"/>
        </w:rPr>
        <w:t>.</w:t>
      </w:r>
      <w:r w:rsidRPr="00096C23">
        <w:rPr>
          <w:rFonts w:ascii="Times New Roman" w:hAnsi="Times New Roman" w:cs="Times New Roman"/>
        </w:rPr>
        <w:t xml:space="preserve">  Available at </w:t>
      </w:r>
      <w:hyperlink r:id="rId48">
        <w:r w:rsidRPr="30103DDE">
          <w:rPr>
            <w:rStyle w:val="Hyperlink"/>
            <w:rFonts w:ascii="Times New Roman" w:hAnsi="Times New Roman" w:cs="Times New Roman"/>
          </w:rPr>
          <w:t>https://www.who.int/news-room/fact-sheets/detail/chikungunya</w:t>
        </w:r>
      </w:hyperlink>
      <w:r w:rsidRPr="30103DDE">
        <w:rPr>
          <w:rFonts w:ascii="Times New Roman" w:hAnsi="Times New Roman" w:cs="Times New Roman"/>
        </w:rPr>
        <w:t>.</w:t>
      </w:r>
    </w:p>
    <w:p w14:paraId="54B3954B" w14:textId="7D391CE4"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__________. Dengue and severe dengue. Fact sheet, 17 March </w:t>
      </w:r>
      <w:r w:rsidRPr="2B5BA7EE">
        <w:rPr>
          <w:rFonts w:ascii="Times New Roman" w:hAnsi="Times New Roman" w:cs="Times New Roman"/>
        </w:rPr>
        <w:t>2023</w:t>
      </w:r>
      <w:r w:rsidR="48C9823A" w:rsidRPr="2B5BA7EE">
        <w:rPr>
          <w:rFonts w:ascii="Times New Roman" w:hAnsi="Times New Roman" w:cs="Times New Roman"/>
        </w:rPr>
        <w:t>b</w:t>
      </w:r>
      <w:r w:rsidRPr="2B5BA7EE">
        <w:rPr>
          <w:rFonts w:ascii="Times New Roman" w:hAnsi="Times New Roman" w:cs="Times New Roman"/>
        </w:rPr>
        <w:t>.</w:t>
      </w:r>
      <w:r w:rsidRPr="00096C23">
        <w:rPr>
          <w:rFonts w:ascii="Times New Roman" w:hAnsi="Times New Roman" w:cs="Times New Roman"/>
        </w:rPr>
        <w:t xml:space="preserve"> Available at </w:t>
      </w:r>
      <w:hyperlink r:id="rId49">
        <w:r w:rsidRPr="2B5BA7EE">
          <w:rPr>
            <w:rStyle w:val="Hyperlink"/>
            <w:rFonts w:ascii="Times New Roman" w:hAnsi="Times New Roman" w:cs="Times New Roman"/>
          </w:rPr>
          <w:t>https://www.who.int/news-room/fact-sheets/detail/dengue-and-severe-dengue</w:t>
        </w:r>
      </w:hyperlink>
      <w:r w:rsidRPr="2B5BA7EE">
        <w:rPr>
          <w:rFonts w:ascii="Times New Roman" w:hAnsi="Times New Roman" w:cs="Times New Roman"/>
        </w:rPr>
        <w:t>.</w:t>
      </w:r>
    </w:p>
    <w:p w14:paraId="490760F9" w14:textId="041A42A5"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__________. Integrated risk assessment, Report prepared for the WHO/UNEP/ILO International Programme on Chemical Safety. 2001. Available at </w:t>
      </w:r>
      <w:hyperlink r:id="rId50">
        <w:r w:rsidRPr="6016454B">
          <w:rPr>
            <w:rStyle w:val="Hyperlink"/>
            <w:rFonts w:ascii="Times New Roman" w:hAnsi="Times New Roman" w:cs="Times New Roman"/>
          </w:rPr>
          <w:t>https://iris.who.int/bitstream/handle/10665/67358/WHO_IPCS_IRA_01_12.pdf?sequence=1</w:t>
        </w:r>
      </w:hyperlink>
      <w:r w:rsidRPr="6016454B">
        <w:rPr>
          <w:rFonts w:ascii="Times New Roman" w:hAnsi="Times New Roman" w:cs="Times New Roman"/>
        </w:rPr>
        <w:t>.</w:t>
      </w:r>
    </w:p>
    <w:p w14:paraId="5612A479" w14:textId="0011FCA8"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__________. Lymphatic filariasis. Fact sheet, 1 June </w:t>
      </w:r>
      <w:r w:rsidRPr="2B5BA7EE">
        <w:rPr>
          <w:rFonts w:ascii="Times New Roman" w:hAnsi="Times New Roman" w:cs="Times New Roman"/>
        </w:rPr>
        <w:t>2023</w:t>
      </w:r>
      <w:r w:rsidR="35D1BDC2" w:rsidRPr="2B5BA7EE">
        <w:rPr>
          <w:rFonts w:ascii="Times New Roman" w:hAnsi="Times New Roman" w:cs="Times New Roman"/>
        </w:rPr>
        <w:t>c</w:t>
      </w:r>
      <w:r w:rsidRPr="2B5BA7EE">
        <w:rPr>
          <w:rFonts w:ascii="Times New Roman" w:hAnsi="Times New Roman" w:cs="Times New Roman"/>
        </w:rPr>
        <w:t>.</w:t>
      </w:r>
    </w:p>
    <w:p w14:paraId="4214DA67" w14:textId="67CC9BDD"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__________. Report on insecticide resistance in </w:t>
      </w:r>
      <w:r w:rsidRPr="00E1776A">
        <w:rPr>
          <w:rFonts w:ascii="Times New Roman" w:hAnsi="Times New Roman" w:cs="Times New Roman"/>
          <w:i/>
          <w:iCs/>
        </w:rPr>
        <w:t xml:space="preserve">Aedes mosquitoes (Aedes aegypti, Ae. </w:t>
      </w:r>
      <w:r w:rsidR="004B3E45" w:rsidRPr="00E1776A">
        <w:rPr>
          <w:rFonts w:ascii="Times New Roman" w:hAnsi="Times New Roman" w:cs="Times New Roman"/>
          <w:i/>
          <w:iCs/>
        </w:rPr>
        <w:t>A</w:t>
      </w:r>
      <w:r w:rsidRPr="00E1776A">
        <w:rPr>
          <w:rFonts w:ascii="Times New Roman" w:hAnsi="Times New Roman" w:cs="Times New Roman"/>
          <w:i/>
          <w:iCs/>
        </w:rPr>
        <w:t xml:space="preserve">lbopictus, Ae. </w:t>
      </w:r>
      <w:proofErr w:type="spellStart"/>
      <w:r w:rsidR="004B3E45" w:rsidRPr="00E1776A">
        <w:rPr>
          <w:rFonts w:ascii="Times New Roman" w:hAnsi="Times New Roman" w:cs="Times New Roman"/>
          <w:i/>
          <w:iCs/>
        </w:rPr>
        <w:t>V</w:t>
      </w:r>
      <w:r w:rsidRPr="00E1776A">
        <w:rPr>
          <w:rFonts w:ascii="Times New Roman" w:hAnsi="Times New Roman" w:cs="Times New Roman"/>
          <w:i/>
          <w:iCs/>
        </w:rPr>
        <w:t>ittatus</w:t>
      </w:r>
      <w:proofErr w:type="spellEnd"/>
      <w:r w:rsidRPr="00096C23">
        <w:rPr>
          <w:rFonts w:ascii="Times New Roman" w:hAnsi="Times New Roman" w:cs="Times New Roman"/>
        </w:rPr>
        <w:t xml:space="preserve">) in WHO South-East Asia Region countries. Regional Office for South-East Asia, eds. Meeting report, 4 April </w:t>
      </w:r>
      <w:r w:rsidRPr="7CF76991">
        <w:rPr>
          <w:rFonts w:ascii="Times New Roman" w:hAnsi="Times New Roman" w:cs="Times New Roman"/>
        </w:rPr>
        <w:t>2023</w:t>
      </w:r>
      <w:r w:rsidR="755E194C" w:rsidRPr="7CF76991">
        <w:rPr>
          <w:rFonts w:ascii="Times New Roman" w:hAnsi="Times New Roman" w:cs="Times New Roman"/>
        </w:rPr>
        <w:t>d</w:t>
      </w:r>
      <w:r w:rsidRPr="7CF76991">
        <w:rPr>
          <w:rFonts w:ascii="Times New Roman" w:hAnsi="Times New Roman" w:cs="Times New Roman"/>
        </w:rPr>
        <w:t>.</w:t>
      </w:r>
    </w:p>
    <w:p w14:paraId="147EA4E9" w14:textId="1123B351"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__________. Vector-borne diseases. Fact sheets, 2 March </w:t>
      </w:r>
      <w:r w:rsidRPr="2D11B971">
        <w:rPr>
          <w:rFonts w:ascii="Times New Roman" w:hAnsi="Times New Roman" w:cs="Times New Roman"/>
        </w:rPr>
        <w:t>2020.</w:t>
      </w:r>
      <w:r w:rsidRPr="00096C23">
        <w:rPr>
          <w:rFonts w:ascii="Times New Roman" w:hAnsi="Times New Roman" w:cs="Times New Roman"/>
        </w:rPr>
        <w:t xml:space="preserve"> Available at </w:t>
      </w:r>
      <w:hyperlink r:id="rId51">
        <w:r w:rsidRPr="4DF8A98D">
          <w:rPr>
            <w:rStyle w:val="Hyperlink"/>
            <w:rFonts w:ascii="Times New Roman" w:hAnsi="Times New Roman" w:cs="Times New Roman"/>
          </w:rPr>
          <w:t>https://www.who.int/news-room/fact-sheets/detail/vector-borne-diseases</w:t>
        </w:r>
      </w:hyperlink>
      <w:r w:rsidRPr="4DF8A98D">
        <w:rPr>
          <w:rFonts w:ascii="Times New Roman" w:hAnsi="Times New Roman" w:cs="Times New Roman"/>
        </w:rPr>
        <w:t>.</w:t>
      </w:r>
    </w:p>
    <w:p w14:paraId="007F937D" w14:textId="39A47870" w:rsidR="00787D21" w:rsidRPr="00096C23" w:rsidRDefault="00787D21" w:rsidP="00787D21">
      <w:pPr>
        <w:rPr>
          <w:rFonts w:ascii="Times New Roman" w:hAnsi="Times New Roman" w:cs="Times New Roman"/>
        </w:rPr>
      </w:pPr>
      <w:r w:rsidRPr="00096C23">
        <w:rPr>
          <w:rFonts w:ascii="Times New Roman" w:hAnsi="Times New Roman" w:cs="Times New Roman"/>
        </w:rPr>
        <w:t xml:space="preserve">__________. WHO scales up response to worldwide surge in dengue. 14 November 2019. Available at </w:t>
      </w:r>
      <w:hyperlink r:id="rId52" w:history="1">
        <w:r w:rsidRPr="00096C23">
          <w:rPr>
            <w:rStyle w:val="Hyperlink"/>
            <w:rFonts w:ascii="Times New Roman" w:hAnsi="Times New Roman" w:cs="Times New Roman"/>
          </w:rPr>
          <w:t>https://www.who.int/news-room/feature-stories/detail/who-scales-up-response-to-worldwide-surge-in-dengue</w:t>
        </w:r>
      </w:hyperlink>
      <w:r w:rsidRPr="00096C23">
        <w:rPr>
          <w:rFonts w:ascii="Times New Roman" w:hAnsi="Times New Roman" w:cs="Times New Roman"/>
        </w:rPr>
        <w:t>.</w:t>
      </w:r>
    </w:p>
    <w:p w14:paraId="5F91034B" w14:textId="03E9718F" w:rsidR="00787D21" w:rsidRPr="00096C23" w:rsidRDefault="00787D21" w:rsidP="00787D21">
      <w:pPr>
        <w:rPr>
          <w:rFonts w:ascii="Times New Roman" w:hAnsi="Times New Roman" w:cs="Times New Roman"/>
        </w:rPr>
      </w:pPr>
      <w:r w:rsidRPr="00096C23">
        <w:rPr>
          <w:rFonts w:ascii="Times New Roman" w:hAnsi="Times New Roman" w:cs="Times New Roman"/>
        </w:rPr>
        <w:t>__________. Yellow fever. Fact sheet</w:t>
      </w:r>
      <w:r>
        <w:rPr>
          <w:rFonts w:ascii="Times New Roman" w:hAnsi="Times New Roman" w:cs="Times New Roman"/>
        </w:rPr>
        <w:t>.</w:t>
      </w:r>
      <w:r w:rsidRPr="00096C23">
        <w:rPr>
          <w:rFonts w:ascii="Times New Roman" w:hAnsi="Times New Roman" w:cs="Times New Roman"/>
        </w:rPr>
        <w:t xml:space="preserve"> 31 May </w:t>
      </w:r>
      <w:r w:rsidRPr="7CF76991">
        <w:rPr>
          <w:rFonts w:ascii="Times New Roman" w:hAnsi="Times New Roman" w:cs="Times New Roman"/>
        </w:rPr>
        <w:t>2023</w:t>
      </w:r>
      <w:r w:rsidR="54BD75DC" w:rsidRPr="7CF76991">
        <w:rPr>
          <w:rFonts w:ascii="Times New Roman" w:hAnsi="Times New Roman" w:cs="Times New Roman"/>
        </w:rPr>
        <w:t>e</w:t>
      </w:r>
      <w:r w:rsidRPr="7CF76991">
        <w:rPr>
          <w:rFonts w:ascii="Times New Roman" w:hAnsi="Times New Roman" w:cs="Times New Roman"/>
        </w:rPr>
        <w:t>.</w:t>
      </w:r>
      <w:r w:rsidRPr="00096C23">
        <w:rPr>
          <w:rFonts w:ascii="Times New Roman" w:hAnsi="Times New Roman" w:cs="Times New Roman"/>
        </w:rPr>
        <w:t xml:space="preserve"> Available at </w:t>
      </w:r>
      <w:hyperlink r:id="rId53">
        <w:r w:rsidRPr="6CE60A19">
          <w:rPr>
            <w:rStyle w:val="Hyperlink"/>
            <w:rFonts w:ascii="Times New Roman" w:hAnsi="Times New Roman" w:cs="Times New Roman"/>
          </w:rPr>
          <w:t>https://www.who.int/news-room/fact-sheets/detail/yellow-fever</w:t>
        </w:r>
      </w:hyperlink>
      <w:r w:rsidRPr="6CE60A19">
        <w:rPr>
          <w:rFonts w:ascii="Times New Roman" w:hAnsi="Times New Roman" w:cs="Times New Roman"/>
        </w:rPr>
        <w:t>.</w:t>
      </w:r>
    </w:p>
    <w:p w14:paraId="7D4E7722" w14:textId="6B2F70EE" w:rsidR="6C0D900A" w:rsidRDefault="347E4D62" w:rsidP="6C0D900A">
      <w:pPr>
        <w:rPr>
          <w:rFonts w:ascii="Times New Roman" w:hAnsi="Times New Roman" w:cs="Times New Roman"/>
        </w:rPr>
      </w:pPr>
      <w:r w:rsidRPr="44273E53">
        <w:rPr>
          <w:rFonts w:ascii="Times New Roman" w:hAnsi="Times New Roman" w:cs="Times New Roman"/>
        </w:rPr>
        <w:t xml:space="preserve">__________. Zika virus. Fact </w:t>
      </w:r>
      <w:r w:rsidRPr="1A92B179">
        <w:rPr>
          <w:rFonts w:ascii="Times New Roman" w:hAnsi="Times New Roman" w:cs="Times New Roman"/>
        </w:rPr>
        <w:t xml:space="preserve">sheet. 8 December </w:t>
      </w:r>
      <w:r w:rsidRPr="30103DDE">
        <w:rPr>
          <w:rFonts w:ascii="Times New Roman" w:hAnsi="Times New Roman" w:cs="Times New Roman"/>
        </w:rPr>
        <w:t>2022b</w:t>
      </w:r>
      <w:r w:rsidR="319056C5" w:rsidRPr="78D57B66">
        <w:rPr>
          <w:rFonts w:ascii="Times New Roman" w:hAnsi="Times New Roman" w:cs="Times New Roman"/>
        </w:rPr>
        <w:t xml:space="preserve">. </w:t>
      </w:r>
      <w:r w:rsidR="319056C5" w:rsidRPr="6317A4D7">
        <w:rPr>
          <w:rFonts w:ascii="Times New Roman" w:hAnsi="Times New Roman" w:cs="Times New Roman"/>
        </w:rPr>
        <w:t xml:space="preserve">Available at </w:t>
      </w:r>
      <w:hyperlink r:id="rId54">
        <w:r w:rsidR="319056C5" w:rsidRPr="6317A4D7">
          <w:rPr>
            <w:rStyle w:val="Hyperlink"/>
            <w:rFonts w:ascii="Times New Roman" w:hAnsi="Times New Roman" w:cs="Times New Roman"/>
          </w:rPr>
          <w:t>https://www.who.int/news-room/fact-sheets/detail/zika-virus</w:t>
        </w:r>
      </w:hyperlink>
      <w:r w:rsidR="319056C5" w:rsidRPr="6317A4D7">
        <w:rPr>
          <w:rFonts w:ascii="Times New Roman" w:hAnsi="Times New Roman" w:cs="Times New Roman"/>
        </w:rPr>
        <w:t xml:space="preserve">. </w:t>
      </w:r>
    </w:p>
    <w:p w14:paraId="062309FB" w14:textId="6725644F" w:rsidR="00787D21" w:rsidRPr="00B73E5F" w:rsidRDefault="00787D21" w:rsidP="00787D21">
      <w:pPr>
        <w:rPr>
          <w:rFonts w:ascii="Times New Roman" w:eastAsia="Times New Roman" w:hAnsi="Times New Roman" w:cs="Times New Roman"/>
          <w:color w:val="000000"/>
          <w:lang w:eastAsia="en-CA"/>
          <w14:ligatures w14:val="none"/>
        </w:rPr>
      </w:pPr>
      <w:r w:rsidRPr="00B73E5F">
        <w:rPr>
          <w:rFonts w:ascii="Times New Roman" w:hAnsi="Times New Roman" w:cs="Times New Roman"/>
        </w:rPr>
        <w:t xml:space="preserve">Xu, Xiang-Ru Shannon, and others. </w:t>
      </w:r>
      <w:r w:rsidRPr="00B73E5F">
        <w:rPr>
          <w:rFonts w:ascii="Times New Roman" w:eastAsia="Times New Roman" w:hAnsi="Times New Roman" w:cs="Times New Roman"/>
          <w:color w:val="000000"/>
          <w:lang w:eastAsia="en-CA"/>
          <w14:ligatures w14:val="none"/>
        </w:rPr>
        <w:t xml:space="preserve">Active genetic neutralizing elements for halting or deleting gene drives. </w:t>
      </w:r>
      <w:r w:rsidRPr="00B73E5F">
        <w:rPr>
          <w:rFonts w:ascii="Times New Roman" w:eastAsia="Times New Roman" w:hAnsi="Times New Roman" w:cs="Times New Roman"/>
          <w:i/>
          <w:iCs/>
          <w:color w:val="000000"/>
          <w:lang w:eastAsia="en-CA"/>
          <w14:ligatures w14:val="none"/>
        </w:rPr>
        <w:t xml:space="preserve">Molecular Cell, </w:t>
      </w:r>
      <w:r w:rsidRPr="00B73E5F">
        <w:rPr>
          <w:rFonts w:ascii="Times New Roman" w:eastAsia="Times New Roman" w:hAnsi="Times New Roman" w:cs="Times New Roman"/>
          <w:color w:val="000000"/>
          <w:lang w:eastAsia="en-CA"/>
          <w14:ligatures w14:val="none"/>
        </w:rPr>
        <w:t xml:space="preserve">vol. 80, No. 2 (October 2020), pp. 246 – 262. </w:t>
      </w:r>
    </w:p>
    <w:p w14:paraId="2F80E3D9" w14:textId="77A5AEBB" w:rsidR="33114E56" w:rsidRPr="00B73E5F" w:rsidRDefault="006209DE" w:rsidP="00E6014C">
      <w:r w:rsidRPr="00B73E5F">
        <w:rPr>
          <w:rFonts w:ascii="Times New Roman" w:eastAsia="Times New Roman" w:hAnsi="Times New Roman" w:cs="Times New Roman"/>
          <w:color w:val="000000"/>
          <w:lang w:eastAsia="en-CA"/>
          <w14:ligatures w14:val="none"/>
        </w:rPr>
        <w:t xml:space="preserve">Xu, </w:t>
      </w:r>
      <w:proofErr w:type="spellStart"/>
      <w:r w:rsidRPr="00B73E5F">
        <w:rPr>
          <w:rFonts w:ascii="Times New Roman" w:eastAsia="Times New Roman" w:hAnsi="Times New Roman" w:cs="Times New Roman"/>
          <w:color w:val="000000"/>
          <w:lang w:eastAsia="en-CA"/>
          <w14:ligatures w14:val="none"/>
        </w:rPr>
        <w:t>Chonggang</w:t>
      </w:r>
      <w:proofErr w:type="spellEnd"/>
      <w:r w:rsidRPr="00B73E5F">
        <w:rPr>
          <w:rFonts w:ascii="Times New Roman" w:eastAsia="Times New Roman" w:hAnsi="Times New Roman" w:cs="Times New Roman"/>
          <w:color w:val="000000"/>
          <w:lang w:eastAsia="en-CA"/>
          <w14:ligatures w14:val="none"/>
        </w:rPr>
        <w:t xml:space="preserve">, and others. Understanding uncertainties in model-based predictions of </w:t>
      </w:r>
      <w:r w:rsidRPr="00B73E5F">
        <w:rPr>
          <w:rFonts w:ascii="Times New Roman" w:eastAsia="Times New Roman" w:hAnsi="Times New Roman" w:cs="Times New Roman"/>
          <w:i/>
          <w:iCs/>
          <w:color w:val="000000"/>
          <w:lang w:eastAsia="en-CA"/>
          <w14:ligatures w14:val="none"/>
        </w:rPr>
        <w:t>Aedes aegypti</w:t>
      </w:r>
      <w:r w:rsidRPr="00B73E5F">
        <w:rPr>
          <w:rFonts w:ascii="Times New Roman" w:eastAsia="Times New Roman" w:hAnsi="Times New Roman" w:cs="Times New Roman"/>
          <w:color w:val="000000"/>
          <w:lang w:eastAsia="en-CA"/>
          <w14:ligatures w14:val="none"/>
        </w:rPr>
        <w:t xml:space="preserve"> population dynamics. </w:t>
      </w:r>
      <w:r w:rsidRPr="00B73E5F">
        <w:rPr>
          <w:rFonts w:ascii="Times New Roman" w:eastAsia="Times New Roman" w:hAnsi="Times New Roman" w:cs="Times New Roman"/>
          <w:i/>
          <w:iCs/>
          <w:color w:val="000000"/>
          <w:lang w:eastAsia="en-CA"/>
          <w14:ligatures w14:val="none"/>
        </w:rPr>
        <w:t>PLOS Neglected Tropical Diseases</w:t>
      </w:r>
      <w:r w:rsidR="00E6014C" w:rsidRPr="00B73E5F">
        <w:rPr>
          <w:rFonts w:ascii="Times New Roman" w:eastAsia="Times New Roman" w:hAnsi="Times New Roman" w:cs="Times New Roman"/>
          <w:i/>
          <w:iCs/>
          <w:color w:val="000000"/>
          <w:lang w:eastAsia="en-CA"/>
          <w14:ligatures w14:val="none"/>
        </w:rPr>
        <w:t xml:space="preserve"> </w:t>
      </w:r>
      <w:r w:rsidR="00E6014C" w:rsidRPr="00B73E5F">
        <w:rPr>
          <w:rFonts w:ascii="Times New Roman" w:eastAsia="Times New Roman" w:hAnsi="Times New Roman" w:cs="Times New Roman"/>
          <w:color w:val="000000"/>
          <w:lang w:eastAsia="en-CA"/>
          <w14:ligatures w14:val="none"/>
        </w:rPr>
        <w:t xml:space="preserve">(September 2010). </w:t>
      </w:r>
    </w:p>
    <w:p w14:paraId="55D4D110" w14:textId="29A3863D" w:rsidR="00787D21" w:rsidRPr="00B73E5F" w:rsidRDefault="00787D21" w:rsidP="00787D21">
      <w:pPr>
        <w:rPr>
          <w:rFonts w:ascii="Times New Roman" w:hAnsi="Times New Roman" w:cs="Times New Roman"/>
        </w:rPr>
      </w:pPr>
      <w:r w:rsidRPr="00B73E5F">
        <w:rPr>
          <w:rFonts w:ascii="Times New Roman" w:hAnsi="Times New Roman" w:cs="Times New Roman"/>
        </w:rPr>
        <w:lastRenderedPageBreak/>
        <w:t xml:space="preserve">Yaro, Alpha Seydou, and others. Diversity, composition, altitude, and seasonality of high-altitude windborne migrating mosquitoes in the Sahel: Implications for disease transmission. </w:t>
      </w:r>
      <w:r w:rsidRPr="00B73E5F">
        <w:rPr>
          <w:rFonts w:ascii="Times New Roman" w:hAnsi="Times New Roman" w:cs="Times New Roman"/>
          <w:i/>
          <w:iCs/>
        </w:rPr>
        <w:t xml:space="preserve">Frontiers in Epidemiology, </w:t>
      </w:r>
      <w:r w:rsidRPr="00B73E5F">
        <w:rPr>
          <w:rFonts w:ascii="Times New Roman" w:hAnsi="Times New Roman" w:cs="Times New Roman"/>
        </w:rPr>
        <w:t xml:space="preserve">vol. 2 (October 2022). </w:t>
      </w:r>
    </w:p>
    <w:p w14:paraId="6065266E" w14:textId="77777777" w:rsidR="00787D21" w:rsidRPr="00B73E5F" w:rsidRDefault="00787D21" w:rsidP="00787D21">
      <w:pPr>
        <w:rPr>
          <w:rFonts w:ascii="Times New Roman" w:hAnsi="Times New Roman" w:cs="Times New Roman"/>
        </w:rPr>
      </w:pPr>
      <w:r w:rsidRPr="00B73E5F">
        <w:rPr>
          <w:rFonts w:ascii="Times New Roman" w:hAnsi="Times New Roman" w:cs="Times New Roman"/>
        </w:rPr>
        <w:t xml:space="preserve">Zapletal, Josef, and others. Making gene drives biodegradable. </w:t>
      </w:r>
      <w:r w:rsidRPr="00B73E5F">
        <w:rPr>
          <w:rFonts w:ascii="Times New Roman" w:hAnsi="Times New Roman" w:cs="Times New Roman"/>
          <w:i/>
          <w:iCs/>
        </w:rPr>
        <w:t>Philosophical Transactions of the Royal Society B</w:t>
      </w:r>
      <w:r w:rsidRPr="00B73E5F">
        <w:rPr>
          <w:rFonts w:ascii="Times New Roman" w:hAnsi="Times New Roman" w:cs="Times New Roman"/>
        </w:rPr>
        <w:t xml:space="preserve">, vol. 376, No. 1818 (December 2020). </w:t>
      </w:r>
    </w:p>
    <w:p w14:paraId="2D25D0F3" w14:textId="6ECBA2E7" w:rsidR="004B1ED1" w:rsidRPr="00B73E5F" w:rsidRDefault="008F3470" w:rsidP="6E695134">
      <w:pPr>
        <w:spacing w:line="257" w:lineRule="auto"/>
        <w:ind w:left="-20" w:right="-20"/>
        <w:rPr>
          <w:rFonts w:eastAsia="Times New Roman"/>
          <w:b/>
        </w:rPr>
      </w:pPr>
      <w:r w:rsidRPr="00B73E5F">
        <w:rPr>
          <w:rFonts w:eastAsia="Times New Roman"/>
          <w:b/>
          <w:bCs/>
        </w:rPr>
        <w:br w:type="page"/>
      </w:r>
    </w:p>
    <w:p w14:paraId="3B890F65" w14:textId="4C780A99" w:rsidR="3A13C094" w:rsidRPr="00030FF2" w:rsidRDefault="00B05C91" w:rsidP="00030FF2">
      <w:pPr>
        <w:pStyle w:val="Heading2"/>
        <w:spacing w:after="160" w:line="276" w:lineRule="auto"/>
        <w:rPr>
          <w:b/>
          <w:bCs/>
          <w:color w:val="auto"/>
          <w:sz w:val="28"/>
          <w:szCs w:val="28"/>
        </w:rPr>
      </w:pPr>
      <w:bookmarkStart w:id="100" w:name="_Toc161220524"/>
      <w:r w:rsidRPr="12D14FCC">
        <w:rPr>
          <w:rFonts w:ascii="Times New Roman" w:hAnsi="Times New Roman" w:cs="Times New Roman"/>
          <w:b/>
          <w:bCs/>
          <w:color w:val="auto"/>
          <w:sz w:val="28"/>
          <w:szCs w:val="28"/>
          <w:lang w:val="en-GB"/>
        </w:rPr>
        <w:lastRenderedPageBreak/>
        <w:t>A</w:t>
      </w:r>
      <w:r w:rsidR="008F3470" w:rsidRPr="12D14FCC">
        <w:rPr>
          <w:rFonts w:ascii="Times New Roman" w:hAnsi="Times New Roman" w:cs="Times New Roman"/>
          <w:b/>
          <w:bCs/>
          <w:color w:val="auto"/>
          <w:sz w:val="28"/>
          <w:szCs w:val="28"/>
          <w:lang w:val="en-GB"/>
        </w:rPr>
        <w:t>nnex</w:t>
      </w:r>
      <w:r w:rsidRPr="12D14FCC">
        <w:rPr>
          <w:rFonts w:ascii="Times New Roman" w:hAnsi="Times New Roman" w:cs="Times New Roman"/>
          <w:b/>
          <w:bCs/>
          <w:color w:val="auto"/>
          <w:sz w:val="28"/>
          <w:szCs w:val="28"/>
          <w:lang w:val="en-GB"/>
        </w:rPr>
        <w:t xml:space="preserve"> I</w:t>
      </w:r>
      <w:bookmarkEnd w:id="100"/>
    </w:p>
    <w:p w14:paraId="15CEC32D" w14:textId="77777777" w:rsidR="00B05C91" w:rsidRPr="00510EBB" w:rsidRDefault="00B05C91" w:rsidP="00B05C91">
      <w:pPr>
        <w:pStyle w:val="Default"/>
        <w:spacing w:line="276" w:lineRule="auto"/>
        <w:rPr>
          <w:rFonts w:eastAsia="Times New Roman"/>
          <w:b/>
          <w:color w:val="auto"/>
          <w:sz w:val="28"/>
          <w:szCs w:val="28"/>
        </w:rPr>
      </w:pPr>
      <w:r w:rsidRPr="00510EBB">
        <w:rPr>
          <w:rFonts w:eastAsia="Times New Roman"/>
          <w:b/>
          <w:color w:val="auto"/>
          <w:sz w:val="28"/>
          <w:szCs w:val="28"/>
        </w:rPr>
        <w:t>Further information on modelling</w:t>
      </w:r>
    </w:p>
    <w:p w14:paraId="38224A7A" w14:textId="77777777" w:rsidR="00B05C91" w:rsidRPr="00964E08" w:rsidRDefault="00B05C91" w:rsidP="00510EBB">
      <w:pPr>
        <w:spacing w:line="276" w:lineRule="auto"/>
        <w:jc w:val="both"/>
      </w:pPr>
      <w:r w:rsidRPr="00964E08">
        <w:rPr>
          <w:rFonts w:ascii="Times New Roman" w:hAnsi="Times New Roman" w:cs="Times New Roman"/>
        </w:rPr>
        <w:t>Almost all risk assessments will utilize at least one of the following four types of models:</w:t>
      </w:r>
    </w:p>
    <w:p w14:paraId="168FEC7C" w14:textId="089C630F" w:rsidR="00B05C91" w:rsidRPr="00CE3475" w:rsidRDefault="00B05C91" w:rsidP="00510EBB">
      <w:pPr>
        <w:pStyle w:val="ListParagraph"/>
        <w:numPr>
          <w:ilvl w:val="0"/>
          <w:numId w:val="40"/>
        </w:numPr>
        <w:spacing w:line="276" w:lineRule="auto"/>
        <w:ind w:left="706"/>
      </w:pPr>
      <w:r w:rsidRPr="4644E7B5">
        <w:rPr>
          <w:rFonts w:ascii="Times New Roman" w:hAnsi="Times New Roman"/>
        </w:rPr>
        <w:t>Conceptual models: qualitative representations of the system components, and the interactions between these components, that are thought to be most relevant to the risk assessment problem (see Section 4.1.3 “Devising plausible pathways to harm”);</w:t>
      </w:r>
    </w:p>
    <w:p w14:paraId="2A70136F" w14:textId="34D81A6F" w:rsidR="00B05C91" w:rsidRPr="00CE3475" w:rsidRDefault="00B05C91" w:rsidP="00510EBB">
      <w:pPr>
        <w:pStyle w:val="ListParagraph"/>
        <w:numPr>
          <w:ilvl w:val="0"/>
          <w:numId w:val="40"/>
        </w:numPr>
        <w:spacing w:line="276" w:lineRule="auto"/>
        <w:ind w:left="706"/>
      </w:pPr>
      <w:r w:rsidRPr="4644E7B5">
        <w:rPr>
          <w:rFonts w:ascii="Times New Roman" w:hAnsi="Times New Roman"/>
        </w:rPr>
        <w:t>Qualitative mathematical models: a special type of conceptual model that predicts how the relevant system’s components will change – i.e.</w:t>
      </w:r>
      <w:r w:rsidR="009C2066" w:rsidRPr="4644E7B5">
        <w:rPr>
          <w:rFonts w:ascii="Times New Roman" w:hAnsi="Times New Roman"/>
        </w:rPr>
        <w:t>,</w:t>
      </w:r>
      <w:r w:rsidRPr="4644E7B5">
        <w:rPr>
          <w:rFonts w:ascii="Times New Roman" w:hAnsi="Times New Roman"/>
        </w:rPr>
        <w:t xml:space="preserve"> increase, decrease or remain unchanged – without specifying by how much, when one or more of the components is subject to a sustained change;</w:t>
      </w:r>
    </w:p>
    <w:p w14:paraId="28A6609E" w14:textId="77777777" w:rsidR="00B05C91" w:rsidRPr="00CE3475" w:rsidRDefault="00B05C91" w:rsidP="00510EBB">
      <w:pPr>
        <w:pStyle w:val="ListParagraph"/>
        <w:numPr>
          <w:ilvl w:val="0"/>
          <w:numId w:val="40"/>
        </w:numPr>
        <w:spacing w:line="276" w:lineRule="auto"/>
        <w:ind w:left="706"/>
      </w:pPr>
      <w:r w:rsidRPr="4644E7B5">
        <w:rPr>
          <w:rFonts w:ascii="Times New Roman" w:hAnsi="Times New Roman"/>
        </w:rPr>
        <w:t>Process-based models: use mathematical descriptions of the system to predict how, and by how much, the magnitude of the relevant system variables will change in time and/or space;</w:t>
      </w:r>
    </w:p>
    <w:p w14:paraId="11D55854" w14:textId="77777777" w:rsidR="00B05C91" w:rsidRPr="00CE3475" w:rsidRDefault="00B05C91" w:rsidP="00510EBB">
      <w:pPr>
        <w:pStyle w:val="ListParagraph"/>
        <w:numPr>
          <w:ilvl w:val="0"/>
          <w:numId w:val="40"/>
        </w:numPr>
        <w:spacing w:line="276" w:lineRule="auto"/>
        <w:ind w:left="706"/>
      </w:pPr>
      <w:r w:rsidRPr="4644E7B5">
        <w:rPr>
          <w:rFonts w:ascii="Times New Roman" w:hAnsi="Times New Roman"/>
        </w:rPr>
        <w:t xml:space="preserve">Statistical models: use special types of mathematical descriptions to describe the properties and </w:t>
      </w:r>
      <w:proofErr w:type="spellStart"/>
      <w:r w:rsidRPr="4644E7B5">
        <w:rPr>
          <w:rFonts w:ascii="Times New Roman" w:hAnsi="Times New Roman"/>
        </w:rPr>
        <w:t>behaviour</w:t>
      </w:r>
      <w:proofErr w:type="spellEnd"/>
      <w:r w:rsidRPr="4644E7B5">
        <w:rPr>
          <w:rFonts w:ascii="Times New Roman" w:hAnsi="Times New Roman"/>
        </w:rPr>
        <w:t xml:space="preserve"> of system components that are inherently variable, with a particular emphasis on describing the observed patterns in data.</w:t>
      </w:r>
    </w:p>
    <w:p w14:paraId="40AA5A91"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101" w:name="_Toc159410343"/>
      <w:bookmarkStart w:id="102" w:name="_Toc159410766"/>
      <w:bookmarkStart w:id="103" w:name="_Toc160193071"/>
      <w:bookmarkStart w:id="104" w:name="_Toc160202480"/>
      <w:bookmarkStart w:id="105" w:name="_Toc160721441"/>
      <w:bookmarkStart w:id="106" w:name="_Toc160798909"/>
      <w:bookmarkStart w:id="107" w:name="_Toc161220525"/>
      <w:r w:rsidRPr="00510EBB">
        <w:rPr>
          <w:rFonts w:ascii="Times New Roman" w:eastAsia="Times New Roman" w:hAnsi="Times New Roman" w:cs="Times New Roman"/>
          <w:sz w:val="24"/>
          <w:szCs w:val="24"/>
        </w:rPr>
        <w:t>Conceptual models</w:t>
      </w:r>
      <w:bookmarkEnd w:id="101"/>
      <w:bookmarkEnd w:id="102"/>
      <w:bookmarkEnd w:id="103"/>
      <w:bookmarkEnd w:id="104"/>
      <w:bookmarkEnd w:id="105"/>
      <w:bookmarkEnd w:id="106"/>
      <w:bookmarkEnd w:id="107"/>
    </w:p>
    <w:p w14:paraId="62615486" w14:textId="082464AB" w:rsidR="00B05C91" w:rsidRPr="00964E08" w:rsidRDefault="00B05C91" w:rsidP="00510EBB">
      <w:pPr>
        <w:spacing w:line="276" w:lineRule="auto"/>
        <w:jc w:val="both"/>
      </w:pPr>
      <w:r w:rsidRPr="00964E08">
        <w:rPr>
          <w:rFonts w:ascii="Times New Roman" w:hAnsi="Times New Roman" w:cs="Times New Roman"/>
        </w:rPr>
        <w:t xml:space="preserve">All risk assessments begin with implicit mental models of the problem at hand. The principal aim of a conceptual modelling exercise is to improve transparency in the risk assessment by making these implicit models explicit and thereby amenable to comparison and independent review. In the problem formulation, this is typically achieved by using block diagrams to portray </w:t>
      </w:r>
      <w:r w:rsidR="00287BE3" w:rsidRPr="006B4757">
        <w:rPr>
          <w:rFonts w:ascii="Times New Roman" w:hAnsi="Times New Roman" w:cs="Times New Roman"/>
        </w:rPr>
        <w:t>plausible</w:t>
      </w:r>
      <w:r w:rsidR="00287BE3">
        <w:rPr>
          <w:rFonts w:ascii="Times New Roman" w:hAnsi="Times New Roman" w:cs="Times New Roman"/>
        </w:rPr>
        <w:t xml:space="preserve"> </w:t>
      </w:r>
      <w:r w:rsidRPr="00964E08">
        <w:rPr>
          <w:rFonts w:ascii="Times New Roman" w:hAnsi="Times New Roman" w:cs="Times New Roman"/>
        </w:rPr>
        <w:t xml:space="preserve">pathways to harm. EGD-LMO relevant examples of this type of conceptual model can be found in </w:t>
      </w:r>
      <w:r w:rsidRPr="006B4757">
        <w:rPr>
          <w:rFonts w:ascii="Times New Roman" w:hAnsi="Times New Roman" w:cs="Times New Roman"/>
        </w:rPr>
        <w:t>Alcalay and others (2021),</w:t>
      </w:r>
      <w:r w:rsidRPr="00964E08">
        <w:rPr>
          <w:rFonts w:ascii="Times New Roman" w:hAnsi="Times New Roman" w:cs="Times New Roman"/>
        </w:rPr>
        <w:t xml:space="preserve"> Connolly and others (2021), </w:t>
      </w:r>
      <w:r w:rsidRPr="006B4757">
        <w:rPr>
          <w:rFonts w:ascii="Times New Roman" w:hAnsi="Times New Roman" w:cs="Times New Roman"/>
        </w:rPr>
        <w:t>and Kormos and others (2023)</w:t>
      </w:r>
      <w:r w:rsidRPr="00964E08">
        <w:rPr>
          <w:rFonts w:ascii="Times New Roman" w:hAnsi="Times New Roman" w:cs="Times New Roman"/>
        </w:rPr>
        <w:t>. Other types of conceptual models that may also be useful in steps 1 and 2 of a risk assessment include fault trees and event trees (</w:t>
      </w:r>
      <w:r w:rsidRPr="006B4757">
        <w:rPr>
          <w:rFonts w:ascii="Times New Roman" w:hAnsi="Times New Roman" w:cs="Times New Roman"/>
        </w:rPr>
        <w:t>Hayes and others,</w:t>
      </w:r>
      <w:r w:rsidRPr="00964E08">
        <w:rPr>
          <w:rFonts w:ascii="Times New Roman" w:hAnsi="Times New Roman" w:cs="Times New Roman"/>
        </w:rPr>
        <w:t xml:space="preserve"> </w:t>
      </w:r>
      <w:r w:rsidRPr="006B4757">
        <w:rPr>
          <w:rFonts w:ascii="Times New Roman" w:hAnsi="Times New Roman" w:cs="Times New Roman"/>
        </w:rPr>
        <w:t>2018a; 2018b;</w:t>
      </w:r>
      <w:r w:rsidRPr="00964E08">
        <w:rPr>
          <w:rFonts w:ascii="Times New Roman" w:hAnsi="Times New Roman" w:cs="Times New Roman"/>
        </w:rPr>
        <w:t xml:space="preserve"> </w:t>
      </w:r>
      <w:r w:rsidRPr="006B4757">
        <w:rPr>
          <w:rFonts w:ascii="Times New Roman" w:hAnsi="Times New Roman" w:cs="Times New Roman"/>
        </w:rPr>
        <w:t>Hosack and others, 2023</w:t>
      </w:r>
      <w:r w:rsidRPr="00964E08">
        <w:rPr>
          <w:rFonts w:ascii="Times New Roman" w:hAnsi="Times New Roman" w:cs="Times New Roman"/>
        </w:rPr>
        <w:t>).</w:t>
      </w:r>
    </w:p>
    <w:p w14:paraId="4AF48F71" w14:textId="77777777" w:rsidR="00B05C91" w:rsidRPr="00964E08" w:rsidRDefault="00B05C91" w:rsidP="00510EBB">
      <w:pPr>
        <w:spacing w:line="276" w:lineRule="auto"/>
        <w:jc w:val="both"/>
      </w:pPr>
      <w:r w:rsidRPr="00964E08">
        <w:rPr>
          <w:rFonts w:ascii="Times New Roman" w:hAnsi="Times New Roman" w:cs="Times New Roman"/>
        </w:rPr>
        <w:t>Many conceptual modelling techniques, including fault trees and block diagrams, use linear representations of a system, and are not therefore well suited to situations where feedback has an important influence on how a system responds to change. In these situations, qualitative mathematical models are a useful complement.</w:t>
      </w:r>
    </w:p>
    <w:p w14:paraId="232FB812"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108" w:name="_Toc159410344"/>
      <w:bookmarkStart w:id="109" w:name="_Toc159410767"/>
      <w:bookmarkStart w:id="110" w:name="_Toc160193072"/>
      <w:bookmarkStart w:id="111" w:name="_Toc160202481"/>
      <w:bookmarkStart w:id="112" w:name="_Toc160721442"/>
      <w:bookmarkStart w:id="113" w:name="_Toc160798910"/>
      <w:bookmarkStart w:id="114" w:name="_Toc161220526"/>
      <w:r w:rsidRPr="00510EBB">
        <w:rPr>
          <w:rFonts w:ascii="Times New Roman" w:eastAsia="Times New Roman" w:hAnsi="Times New Roman" w:cs="Times New Roman"/>
          <w:sz w:val="24"/>
          <w:szCs w:val="24"/>
        </w:rPr>
        <w:t>Qualitative mathematical models</w:t>
      </w:r>
      <w:bookmarkEnd w:id="108"/>
      <w:bookmarkEnd w:id="109"/>
      <w:bookmarkEnd w:id="110"/>
      <w:bookmarkEnd w:id="111"/>
      <w:bookmarkEnd w:id="112"/>
      <w:bookmarkEnd w:id="113"/>
      <w:bookmarkEnd w:id="114"/>
    </w:p>
    <w:p w14:paraId="78B55218" w14:textId="40C53D05" w:rsidR="00B05C91" w:rsidRPr="00964E08" w:rsidRDefault="00B05C91" w:rsidP="00510EBB">
      <w:pPr>
        <w:spacing w:line="276" w:lineRule="auto"/>
        <w:jc w:val="both"/>
      </w:pPr>
      <w:r w:rsidRPr="00964E08">
        <w:rPr>
          <w:rFonts w:ascii="Times New Roman" w:hAnsi="Times New Roman" w:cs="Times New Roman"/>
        </w:rPr>
        <w:t>Qualitative mathematical models possess the same useful properties of pictorial conceptual models; they are transparent, relatively easy to construct and hence a cost-efficient way to explore the effects of different model structures (an important type of epistemic uncertainty) and are a good way to engage with diverse stakeholder groups</w:t>
      </w:r>
      <w:r w:rsidR="00287BE3">
        <w:rPr>
          <w:rFonts w:ascii="Times New Roman" w:hAnsi="Times New Roman" w:cs="Times New Roman"/>
        </w:rPr>
        <w:t xml:space="preserve"> and </w:t>
      </w:r>
      <w:r w:rsidR="004458BA">
        <w:rPr>
          <w:rFonts w:ascii="Times New Roman" w:eastAsia="Times New Roman" w:hAnsi="Times New Roman" w:cs="Times New Roman"/>
          <w:color w:val="000000" w:themeColor="text1"/>
        </w:rPr>
        <w:t>indigenous peoples and local communitie</w:t>
      </w:r>
      <w:r w:rsidR="004458BA" w:rsidRPr="0025725D">
        <w:rPr>
          <w:rFonts w:ascii="Times New Roman" w:hAnsi="Times New Roman" w:cs="Times New Roman"/>
          <w:color w:val="000000" w:themeColor="text1"/>
        </w:rPr>
        <w:t>s</w:t>
      </w:r>
      <w:r w:rsidRPr="00964E08">
        <w:rPr>
          <w:rFonts w:ascii="Times New Roman" w:hAnsi="Times New Roman" w:cs="Times New Roman"/>
        </w:rPr>
        <w:t>. In addition, they provide information that may be helpful in systems where negative (positive) feedback – a process in which an initial change in a system variable will cause it to return to (move away from) its original value – is an important feature (</w:t>
      </w:r>
      <w:r w:rsidRPr="006B4757">
        <w:rPr>
          <w:rFonts w:ascii="Times New Roman" w:hAnsi="Times New Roman" w:cs="Times New Roman"/>
        </w:rPr>
        <w:t>Levins, 1998</w:t>
      </w:r>
      <w:r w:rsidRPr="00964E08">
        <w:rPr>
          <w:rFonts w:ascii="Times New Roman" w:hAnsi="Times New Roman" w:cs="Times New Roman"/>
        </w:rPr>
        <w:t>).</w:t>
      </w:r>
    </w:p>
    <w:p w14:paraId="5F1B4E77" w14:textId="77777777" w:rsidR="00B05C91" w:rsidRPr="00964E08" w:rsidRDefault="00B05C91" w:rsidP="00510EBB">
      <w:pPr>
        <w:spacing w:line="276" w:lineRule="auto"/>
        <w:jc w:val="both"/>
      </w:pPr>
      <w:r w:rsidRPr="00964E08">
        <w:rPr>
          <w:rFonts w:ascii="Times New Roman" w:hAnsi="Times New Roman" w:cs="Times New Roman"/>
        </w:rPr>
        <w:t xml:space="preserve">Qualitative mathematical modelling describes systems using signed digraphs that portray the system as a series of nodes (system variables) linked by edges that depict interactions between the system variables that have either a positive or negative effect on the nodes they join. Once constructed, the signed digraph enables the analyst to study the stability properties of the model, predict the direction of </w:t>
      </w:r>
      <w:r w:rsidRPr="00964E08">
        <w:rPr>
          <w:rFonts w:ascii="Times New Roman" w:hAnsi="Times New Roman" w:cs="Times New Roman"/>
        </w:rPr>
        <w:lastRenderedPageBreak/>
        <w:t xml:space="preserve">change following a sustained change to one or more of the system’s variables and estimate the sign determinacy – an indication of the confidence in the qualitative model predictions (see for example </w:t>
      </w:r>
      <w:r w:rsidRPr="006B4757">
        <w:rPr>
          <w:rFonts w:ascii="Times New Roman" w:hAnsi="Times New Roman" w:cs="Times New Roman"/>
        </w:rPr>
        <w:t>Dambacher and others, 2003</w:t>
      </w:r>
      <w:r w:rsidRPr="00964E08">
        <w:rPr>
          <w:rFonts w:ascii="Times New Roman" w:hAnsi="Times New Roman" w:cs="Times New Roman"/>
        </w:rPr>
        <w:t>).</w:t>
      </w:r>
    </w:p>
    <w:p w14:paraId="359E0CDD" w14:textId="49482AB7" w:rsidR="00B05C91" w:rsidRPr="00964E08" w:rsidRDefault="00B05C91" w:rsidP="00510EBB">
      <w:pPr>
        <w:spacing w:line="276" w:lineRule="auto"/>
        <w:jc w:val="both"/>
      </w:pPr>
      <w:r w:rsidRPr="00964E08">
        <w:rPr>
          <w:rFonts w:ascii="Times New Roman" w:hAnsi="Times New Roman" w:cs="Times New Roman"/>
        </w:rPr>
        <w:t xml:space="preserve">Training in quantitative mathematical methods is required </w:t>
      </w:r>
      <w:proofErr w:type="gramStart"/>
      <w:r w:rsidRPr="00964E08">
        <w:rPr>
          <w:rFonts w:ascii="Times New Roman" w:hAnsi="Times New Roman" w:cs="Times New Roman"/>
        </w:rPr>
        <w:t>in order to</w:t>
      </w:r>
      <w:proofErr w:type="gramEnd"/>
      <w:r w:rsidRPr="00964E08">
        <w:rPr>
          <w:rFonts w:ascii="Times New Roman" w:hAnsi="Times New Roman" w:cs="Times New Roman"/>
        </w:rPr>
        <w:t xml:space="preserve"> fully understand the theory, assumptions and utility of qualitative mathematical modelling. </w:t>
      </w:r>
      <w:r w:rsidRPr="006B4757">
        <w:rPr>
          <w:rFonts w:ascii="Times New Roman" w:hAnsi="Times New Roman" w:cs="Times New Roman"/>
        </w:rPr>
        <w:t>Levins (1998</w:t>
      </w:r>
      <w:r w:rsidRPr="00964E08">
        <w:rPr>
          <w:rFonts w:ascii="Times New Roman" w:hAnsi="Times New Roman" w:cs="Times New Roman"/>
        </w:rPr>
        <w:t xml:space="preserve">) provide a good introduction, whilst </w:t>
      </w:r>
      <w:r w:rsidRPr="006B4757">
        <w:rPr>
          <w:rFonts w:ascii="Times New Roman" w:hAnsi="Times New Roman" w:cs="Times New Roman"/>
        </w:rPr>
        <w:t>Puccia and Levins (198</w:t>
      </w:r>
      <w:r w:rsidR="007E345F" w:rsidRPr="006B4757">
        <w:rPr>
          <w:rFonts w:ascii="Times New Roman" w:hAnsi="Times New Roman" w:cs="Times New Roman"/>
        </w:rPr>
        <w:t>6</w:t>
      </w:r>
      <w:r w:rsidRPr="006B4757">
        <w:rPr>
          <w:rFonts w:ascii="Times New Roman" w:hAnsi="Times New Roman" w:cs="Times New Roman"/>
        </w:rPr>
        <w:t>)</w:t>
      </w:r>
      <w:r w:rsidRPr="00964E08">
        <w:rPr>
          <w:rFonts w:ascii="Times New Roman" w:hAnsi="Times New Roman" w:cs="Times New Roman"/>
        </w:rPr>
        <w:t xml:space="preserve"> provide a comprehensive description of the method and the underlying mathematics. Examples of its use that are relevant to EGD-LMO risk assessment include </w:t>
      </w:r>
      <w:r w:rsidRPr="006B4757">
        <w:rPr>
          <w:rFonts w:ascii="Times New Roman" w:hAnsi="Times New Roman" w:cs="Times New Roman"/>
        </w:rPr>
        <w:t>Hayes and others (2014)</w:t>
      </w:r>
      <w:r w:rsidRPr="00964E08">
        <w:rPr>
          <w:rFonts w:ascii="Times New Roman" w:hAnsi="Times New Roman" w:cs="Times New Roman"/>
        </w:rPr>
        <w:t xml:space="preserve"> and </w:t>
      </w:r>
      <w:r w:rsidRPr="006B4757">
        <w:rPr>
          <w:rFonts w:ascii="Times New Roman" w:hAnsi="Times New Roman" w:cs="Times New Roman"/>
        </w:rPr>
        <w:t>Hosack and others (2023).</w:t>
      </w:r>
    </w:p>
    <w:p w14:paraId="0B6047C4"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115" w:name="_Toc159410345"/>
      <w:bookmarkStart w:id="116" w:name="_Toc159410768"/>
      <w:bookmarkStart w:id="117" w:name="_Toc160193073"/>
      <w:bookmarkStart w:id="118" w:name="_Toc160202482"/>
      <w:bookmarkStart w:id="119" w:name="_Toc160721443"/>
      <w:bookmarkStart w:id="120" w:name="_Toc160798911"/>
      <w:bookmarkStart w:id="121" w:name="_Toc161220527"/>
      <w:r w:rsidRPr="00510EBB">
        <w:rPr>
          <w:rFonts w:ascii="Times New Roman" w:eastAsia="Times New Roman" w:hAnsi="Times New Roman" w:cs="Times New Roman"/>
          <w:sz w:val="24"/>
          <w:szCs w:val="24"/>
        </w:rPr>
        <w:t xml:space="preserve">Process-based </w:t>
      </w:r>
      <w:proofErr w:type="gramStart"/>
      <w:r w:rsidRPr="00510EBB">
        <w:rPr>
          <w:rFonts w:ascii="Times New Roman" w:eastAsia="Times New Roman" w:hAnsi="Times New Roman" w:cs="Times New Roman"/>
          <w:sz w:val="24"/>
          <w:szCs w:val="24"/>
        </w:rPr>
        <w:t>models</w:t>
      </w:r>
      <w:bookmarkEnd w:id="115"/>
      <w:bookmarkEnd w:id="116"/>
      <w:bookmarkEnd w:id="117"/>
      <w:bookmarkEnd w:id="118"/>
      <w:bookmarkEnd w:id="119"/>
      <w:bookmarkEnd w:id="120"/>
      <w:bookmarkEnd w:id="121"/>
      <w:proofErr w:type="gramEnd"/>
    </w:p>
    <w:p w14:paraId="07ADD6A4" w14:textId="77777777" w:rsidR="00B05C91" w:rsidRPr="00964E08" w:rsidRDefault="00B05C91" w:rsidP="00510EBB">
      <w:pPr>
        <w:spacing w:line="276" w:lineRule="auto"/>
        <w:jc w:val="both"/>
      </w:pPr>
      <w:r w:rsidRPr="00964E08">
        <w:rPr>
          <w:rFonts w:ascii="Times New Roman" w:hAnsi="Times New Roman" w:cs="Times New Roman"/>
        </w:rPr>
        <w:t>Process-based models represent systems using one of three types of mathematical equations: (</w:t>
      </w:r>
      <w:proofErr w:type="spellStart"/>
      <w:r w:rsidRPr="00964E08">
        <w:rPr>
          <w:rFonts w:ascii="Times New Roman" w:hAnsi="Times New Roman" w:cs="Times New Roman"/>
        </w:rPr>
        <w:t>i</w:t>
      </w:r>
      <w:proofErr w:type="spellEnd"/>
      <w:r w:rsidRPr="00964E08">
        <w:rPr>
          <w:rFonts w:ascii="Times New Roman" w:hAnsi="Times New Roman" w:cs="Times New Roman"/>
        </w:rPr>
        <w:t>) a recursion equation which describes the value of variables in the next time unit as a function of their value in the current time unit; (ii) a difference equation that specifies how much variables change between time points; and (iii) a differential equation which describes the rate at which variables change in time (</w:t>
      </w:r>
      <w:r w:rsidRPr="006B4757">
        <w:rPr>
          <w:rFonts w:ascii="Times New Roman" w:hAnsi="Times New Roman" w:cs="Times New Roman"/>
        </w:rPr>
        <w:t>Otto and Day, 2007</w:t>
      </w:r>
      <w:r w:rsidRPr="00964E08">
        <w:rPr>
          <w:rFonts w:ascii="Times New Roman" w:hAnsi="Times New Roman" w:cs="Times New Roman"/>
        </w:rPr>
        <w:t xml:space="preserve">).  </w:t>
      </w:r>
    </w:p>
    <w:p w14:paraId="330FFA0A" w14:textId="6FD86161" w:rsidR="00B05C91" w:rsidRPr="00964E08" w:rsidRDefault="00B05C91" w:rsidP="00510EBB">
      <w:pPr>
        <w:spacing w:line="276" w:lineRule="auto"/>
        <w:jc w:val="both"/>
      </w:pPr>
      <w:r w:rsidRPr="00964E08">
        <w:rPr>
          <w:rFonts w:ascii="Times New Roman" w:hAnsi="Times New Roman" w:cs="Times New Roman"/>
        </w:rPr>
        <w:t>Process-based models enable analysts to identify the equilibrium properties of the system, and predict how its variables will change, in both direction and magnitude, if the system is perturbed. A large number of process</w:t>
      </w:r>
      <w:r w:rsidR="00553EE5">
        <w:rPr>
          <w:rFonts w:ascii="Times New Roman" w:hAnsi="Times New Roman" w:cs="Times New Roman"/>
        </w:rPr>
        <w:t>-</w:t>
      </w:r>
      <w:r w:rsidRPr="00964E08">
        <w:rPr>
          <w:rFonts w:ascii="Times New Roman" w:hAnsi="Times New Roman" w:cs="Times New Roman"/>
        </w:rPr>
        <w:t>based</w:t>
      </w:r>
      <w:r w:rsidR="00553EE5">
        <w:rPr>
          <w:rFonts w:ascii="Times New Roman" w:hAnsi="Times New Roman" w:cs="Times New Roman"/>
        </w:rPr>
        <w:t xml:space="preserve"> </w:t>
      </w:r>
      <w:r w:rsidRPr="00964E08">
        <w:rPr>
          <w:rFonts w:ascii="Times New Roman" w:hAnsi="Times New Roman" w:cs="Times New Roman"/>
        </w:rPr>
        <w:t xml:space="preserve">models have been used to describe systems that are relevant to EGD-LMO risk assessment, ranging </w:t>
      </w:r>
      <w:proofErr w:type="gramStart"/>
      <w:r w:rsidRPr="00964E08">
        <w:rPr>
          <w:rFonts w:ascii="Times New Roman" w:hAnsi="Times New Roman" w:cs="Times New Roman"/>
        </w:rPr>
        <w:t>from  relatively</w:t>
      </w:r>
      <w:proofErr w:type="gramEnd"/>
      <w:r w:rsidRPr="00964E08">
        <w:rPr>
          <w:rFonts w:ascii="Times New Roman" w:hAnsi="Times New Roman" w:cs="Times New Roman"/>
        </w:rPr>
        <w:t xml:space="preserve"> simple models of populations in containment (e.g.</w:t>
      </w:r>
      <w:r w:rsidR="00905125" w:rsidRPr="00964E08">
        <w:rPr>
          <w:rFonts w:ascii="Times New Roman" w:hAnsi="Times New Roman" w:cs="Times New Roman"/>
        </w:rPr>
        <w:t>,</w:t>
      </w:r>
      <w:r w:rsidRPr="00964E08">
        <w:rPr>
          <w:rFonts w:ascii="Times New Roman" w:hAnsi="Times New Roman" w:cs="Times New Roman"/>
        </w:rPr>
        <w:t xml:space="preserve"> </w:t>
      </w:r>
      <w:proofErr w:type="spellStart"/>
      <w:r w:rsidRPr="006B4757">
        <w:rPr>
          <w:rFonts w:ascii="Times New Roman" w:hAnsi="Times New Roman" w:cs="Times New Roman"/>
        </w:rPr>
        <w:t>Facchinelli</w:t>
      </w:r>
      <w:proofErr w:type="spellEnd"/>
      <w:r w:rsidRPr="006B4757">
        <w:rPr>
          <w:rFonts w:ascii="Times New Roman" w:hAnsi="Times New Roman" w:cs="Times New Roman"/>
        </w:rPr>
        <w:t xml:space="preserve"> and others, 2019</w:t>
      </w:r>
      <w:r w:rsidRPr="00964E08">
        <w:rPr>
          <w:rFonts w:ascii="Times New Roman" w:hAnsi="Times New Roman" w:cs="Times New Roman"/>
        </w:rPr>
        <w:t xml:space="preserve">) to more complex models that predict how multiple populations in the wild might vary in time and space (e.g., </w:t>
      </w:r>
      <w:r w:rsidRPr="006B4757">
        <w:rPr>
          <w:rFonts w:ascii="Times New Roman" w:hAnsi="Times New Roman" w:cs="Times New Roman"/>
        </w:rPr>
        <w:t>Beeton and others, 2022</w:t>
      </w:r>
      <w:r w:rsidRPr="00964E08">
        <w:rPr>
          <w:rFonts w:ascii="Times New Roman" w:hAnsi="Times New Roman" w:cs="Times New Roman"/>
        </w:rPr>
        <w:t xml:space="preserve">). None of the current EGD-LMO process models, however, approach the complexity of the large, whole-of-ecosystem models, that are employed in other domains </w:t>
      </w:r>
      <w:r w:rsidRPr="006B4757">
        <w:rPr>
          <w:rFonts w:ascii="Times New Roman" w:hAnsi="Times New Roman" w:cs="Times New Roman"/>
        </w:rPr>
        <w:t>(Fulton, 2010).</w:t>
      </w:r>
      <w:r w:rsidRPr="00964E08">
        <w:rPr>
          <w:rFonts w:ascii="Times New Roman" w:hAnsi="Times New Roman" w:cs="Times New Roman"/>
        </w:rPr>
        <w:t xml:space="preserve"> </w:t>
      </w:r>
    </w:p>
    <w:p w14:paraId="06F82EC6" w14:textId="77777777" w:rsidR="00B05C91" w:rsidRPr="00964E08" w:rsidRDefault="00B05C91" w:rsidP="00510EBB">
      <w:pPr>
        <w:spacing w:line="276" w:lineRule="auto"/>
        <w:jc w:val="both"/>
      </w:pPr>
      <w:r w:rsidRPr="00964E08">
        <w:rPr>
          <w:rFonts w:ascii="Times New Roman" w:hAnsi="Times New Roman" w:cs="Times New Roman"/>
        </w:rPr>
        <w:t>When building process-based models, analyst must make important choices about: (</w:t>
      </w:r>
      <w:proofErr w:type="spellStart"/>
      <w:r w:rsidRPr="00964E08">
        <w:rPr>
          <w:rFonts w:ascii="Times New Roman" w:hAnsi="Times New Roman" w:cs="Times New Roman"/>
        </w:rPr>
        <w:t>i</w:t>
      </w:r>
      <w:proofErr w:type="spellEnd"/>
      <w:r w:rsidRPr="00964E08">
        <w:rPr>
          <w:rFonts w:ascii="Times New Roman" w:hAnsi="Times New Roman" w:cs="Times New Roman"/>
        </w:rPr>
        <w:t xml:space="preserve">) which real-world processes and components to include in the model, and which to exclude; (ii) how to mathematically describe the processes that are included; (iii) the values or probability distribution models of the parameters; (iv) the resolution of the model in time and space (e.g., are predictions made on daily, monthly or yearly time steps); (v) the parameter’s initial values; and, (vi) the rules that govern what happens at the model boundaries. Among these choices, the first will usually have the greatest influence on the risk predictions and must therefore be taken carefully. </w:t>
      </w:r>
    </w:p>
    <w:p w14:paraId="7A270CEF" w14:textId="6079555F" w:rsidR="00B05C91" w:rsidRPr="00964E08" w:rsidRDefault="00B05C91" w:rsidP="00510EBB">
      <w:pPr>
        <w:spacing w:line="276" w:lineRule="auto"/>
        <w:jc w:val="both"/>
      </w:pPr>
      <w:r w:rsidRPr="00964E08">
        <w:rPr>
          <w:rFonts w:ascii="Times New Roman" w:hAnsi="Times New Roman" w:cs="Times New Roman"/>
        </w:rPr>
        <w:t xml:space="preserve">Guidance on this matter generally recommends simpler models – with the least number of uncertain parameters – rather than larger models, particularly if predictive accuracy is the </w:t>
      </w:r>
      <w:proofErr w:type="gramStart"/>
      <w:r w:rsidRPr="00964E08">
        <w:rPr>
          <w:rFonts w:ascii="Times New Roman" w:hAnsi="Times New Roman" w:cs="Times New Roman"/>
        </w:rPr>
        <w:t>ultimate goal</w:t>
      </w:r>
      <w:proofErr w:type="gramEnd"/>
      <w:r w:rsidRPr="00964E08">
        <w:rPr>
          <w:rFonts w:ascii="Times New Roman" w:hAnsi="Times New Roman" w:cs="Times New Roman"/>
        </w:rPr>
        <w:t xml:space="preserve">. In addition, simpler models are better to understand and interpret. </w:t>
      </w:r>
      <w:r w:rsidRPr="006B4757">
        <w:rPr>
          <w:rFonts w:ascii="Times New Roman" w:hAnsi="Times New Roman" w:cs="Times New Roman"/>
        </w:rPr>
        <w:t>Hilborn and Mangel (1997),</w:t>
      </w:r>
      <w:r w:rsidRPr="00964E08">
        <w:rPr>
          <w:rFonts w:ascii="Times New Roman" w:hAnsi="Times New Roman" w:cs="Times New Roman"/>
        </w:rPr>
        <w:t xml:space="preserve"> however, caution that simpler models may under-represent true uncertainty, and biological theory may dictate a more complex model with more realistic features as a better choice because this allows for a wider range of biologically plausible outcomes. In an EGD-LMO risk assessment data on observed outcomes may be unavailable prior to (or even soon after) the assessment is completed. The predictive accuracy of the process-models used within the assessment may therefore be unknown at the time when decisions regarding field release are to be made. In these circumstances the complexity of the process models must be guided by the range of plausible outcomes identified by the </w:t>
      </w:r>
      <w:r w:rsidR="00AE71C2">
        <w:rPr>
          <w:rFonts w:ascii="Times New Roman" w:hAnsi="Times New Roman" w:cs="Times New Roman"/>
        </w:rPr>
        <w:t xml:space="preserve">plausible </w:t>
      </w:r>
      <w:r w:rsidRPr="00964E08">
        <w:rPr>
          <w:rFonts w:ascii="Times New Roman" w:hAnsi="Times New Roman" w:cs="Times New Roman"/>
        </w:rPr>
        <w:t xml:space="preserve">pathways to harm and the ecological processes that enable these outcomes. The genetic, </w:t>
      </w:r>
      <w:proofErr w:type="gramStart"/>
      <w:r w:rsidRPr="00964E08">
        <w:rPr>
          <w:rFonts w:ascii="Times New Roman" w:hAnsi="Times New Roman" w:cs="Times New Roman"/>
        </w:rPr>
        <w:t>demographic</w:t>
      </w:r>
      <w:proofErr w:type="gramEnd"/>
      <w:r w:rsidRPr="00964E08">
        <w:rPr>
          <w:rFonts w:ascii="Times New Roman" w:hAnsi="Times New Roman" w:cs="Times New Roman"/>
        </w:rPr>
        <w:t xml:space="preserve"> and ecological phenomena that become increasingly relevant as EGD-LMOs progress through a stage-release protocols, and examples of how these phenomena are (or currently are not) addressed within EGD-LMO models, are discussed in a number of recent reviews (</w:t>
      </w:r>
      <w:r w:rsidRPr="006B4757">
        <w:rPr>
          <w:rFonts w:ascii="Times New Roman" w:hAnsi="Times New Roman" w:cs="Times New Roman"/>
        </w:rPr>
        <w:t>Comb and others, 2023</w:t>
      </w:r>
      <w:r w:rsidRPr="00964E08">
        <w:rPr>
          <w:rFonts w:ascii="Times New Roman" w:hAnsi="Times New Roman" w:cs="Times New Roman"/>
        </w:rPr>
        <w:t xml:space="preserve">; </w:t>
      </w:r>
      <w:proofErr w:type="spellStart"/>
      <w:r w:rsidRPr="006B4757">
        <w:rPr>
          <w:rFonts w:ascii="Times New Roman" w:hAnsi="Times New Roman" w:cs="Times New Roman"/>
        </w:rPr>
        <w:t>Frieß</w:t>
      </w:r>
      <w:proofErr w:type="spellEnd"/>
      <w:r w:rsidRPr="006B4757">
        <w:rPr>
          <w:rFonts w:ascii="Times New Roman" w:hAnsi="Times New Roman" w:cs="Times New Roman"/>
        </w:rPr>
        <w:t xml:space="preserve"> and others, 2023</w:t>
      </w:r>
      <w:r w:rsidRPr="00964E08">
        <w:rPr>
          <w:rFonts w:ascii="Times New Roman" w:hAnsi="Times New Roman" w:cs="Times New Roman"/>
        </w:rPr>
        <w:t>).</w:t>
      </w:r>
    </w:p>
    <w:p w14:paraId="47283711"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122" w:name="_Toc159410346"/>
      <w:bookmarkStart w:id="123" w:name="_Toc159410769"/>
      <w:bookmarkStart w:id="124" w:name="_Toc160193074"/>
      <w:bookmarkStart w:id="125" w:name="_Toc160202483"/>
      <w:bookmarkStart w:id="126" w:name="_Toc160721444"/>
      <w:bookmarkStart w:id="127" w:name="_Toc160798912"/>
      <w:bookmarkStart w:id="128" w:name="_Toc161220528"/>
      <w:r w:rsidRPr="00510EBB">
        <w:rPr>
          <w:rFonts w:ascii="Times New Roman" w:eastAsia="Times New Roman" w:hAnsi="Times New Roman" w:cs="Times New Roman"/>
          <w:sz w:val="24"/>
          <w:szCs w:val="24"/>
        </w:rPr>
        <w:lastRenderedPageBreak/>
        <w:t>Statistical models</w:t>
      </w:r>
      <w:bookmarkEnd w:id="122"/>
      <w:bookmarkEnd w:id="123"/>
      <w:bookmarkEnd w:id="124"/>
      <w:bookmarkEnd w:id="125"/>
      <w:bookmarkEnd w:id="126"/>
      <w:bookmarkEnd w:id="127"/>
      <w:bookmarkEnd w:id="128"/>
    </w:p>
    <w:p w14:paraId="6CD565F5" w14:textId="77777777" w:rsidR="00B05C91" w:rsidRPr="00AD556D" w:rsidRDefault="00B05C91" w:rsidP="00510EBB">
      <w:pPr>
        <w:spacing w:line="276" w:lineRule="auto"/>
        <w:jc w:val="both"/>
      </w:pPr>
      <w:r w:rsidRPr="421B232A">
        <w:rPr>
          <w:rFonts w:ascii="Times New Roman" w:hAnsi="Times New Roman" w:cs="Times New Roman"/>
        </w:rPr>
        <w:t xml:space="preserve">A primary aim of a statistical model is to accurately reproduce the variation that exists in real world phenomena. Statistical models enable the analyst to infer the variation that exists in a larger population from the variation observed in a (usually much) smaller sample, and thereby accurately predict the probability of all possible outcomes, including those outcomes that were not observed in the sample, but which </w:t>
      </w:r>
      <w:proofErr w:type="gramStart"/>
      <w:r w:rsidRPr="421B232A">
        <w:rPr>
          <w:rFonts w:ascii="Times New Roman" w:hAnsi="Times New Roman" w:cs="Times New Roman"/>
        </w:rPr>
        <w:t>actually exist</w:t>
      </w:r>
      <w:proofErr w:type="gramEnd"/>
      <w:r w:rsidRPr="421B232A">
        <w:rPr>
          <w:rFonts w:ascii="Times New Roman" w:hAnsi="Times New Roman" w:cs="Times New Roman"/>
        </w:rPr>
        <w:t xml:space="preserve"> in the wider population. An important distinction is this context is the variation in a sample that is created by the imperfections in the way we observe and measure things (measurement error), and the variation created by a combination of environmental forces acting on, and the innate variability within, the things we observe (process error). Accurate inference about variability in population-level parameters – such as the parameters of a process-based model – requires that these two sources of variability are separated in what are often termed “hierarchical models” (</w:t>
      </w:r>
      <w:r w:rsidRPr="006B4757">
        <w:rPr>
          <w:rFonts w:ascii="Times New Roman" w:hAnsi="Times New Roman" w:cs="Times New Roman"/>
        </w:rPr>
        <w:t>Clark, 2007; Bolker, 2008)</w:t>
      </w:r>
      <w:r w:rsidRPr="421B232A">
        <w:rPr>
          <w:rFonts w:ascii="Times New Roman" w:hAnsi="Times New Roman" w:cs="Times New Roman"/>
        </w:rPr>
        <w:t xml:space="preserve">. EGD-LMO relevant examples of this approach can be found in </w:t>
      </w:r>
      <w:proofErr w:type="spellStart"/>
      <w:r w:rsidRPr="006B4757">
        <w:rPr>
          <w:rFonts w:ascii="Times New Roman" w:hAnsi="Times New Roman" w:cs="Times New Roman"/>
        </w:rPr>
        <w:t>Ickowicz</w:t>
      </w:r>
      <w:proofErr w:type="spellEnd"/>
      <w:r w:rsidRPr="006B4757">
        <w:rPr>
          <w:rFonts w:ascii="Times New Roman" w:hAnsi="Times New Roman" w:cs="Times New Roman"/>
        </w:rPr>
        <w:t xml:space="preserve"> and others (2021)</w:t>
      </w:r>
      <w:r w:rsidRPr="421B232A">
        <w:rPr>
          <w:rFonts w:ascii="Times New Roman" w:hAnsi="Times New Roman" w:cs="Times New Roman"/>
        </w:rPr>
        <w:t xml:space="preserve"> and </w:t>
      </w:r>
      <w:r w:rsidRPr="006B4757">
        <w:rPr>
          <w:rFonts w:ascii="Times New Roman" w:hAnsi="Times New Roman" w:cs="Times New Roman"/>
        </w:rPr>
        <w:t>Hosack and others (2023).</w:t>
      </w:r>
    </w:p>
    <w:p w14:paraId="51B55F97" w14:textId="637C8717" w:rsidR="00B05C91" w:rsidRPr="00AD556D" w:rsidRDefault="00B05C91" w:rsidP="00510EBB">
      <w:pPr>
        <w:spacing w:line="276" w:lineRule="auto"/>
        <w:jc w:val="both"/>
        <w:rPr>
          <w:rFonts w:ascii="Times New Roman" w:hAnsi="Times New Roman" w:cs="Times New Roman"/>
        </w:rPr>
      </w:pPr>
      <w:r w:rsidRPr="421B232A">
        <w:rPr>
          <w:rFonts w:ascii="Times New Roman" w:hAnsi="Times New Roman" w:cs="Times New Roman"/>
        </w:rPr>
        <w:t xml:space="preserve">The use of modern modelling techniques to EGD-LMO risk assessment requires a high degree of training in the process-based models used to represent ecological and biological systems, the probabilistic theory used to assign probability distribution models to the parameters of these models, as well the computational methods that enable inference about population-level variability in the presence of measurement error. </w:t>
      </w:r>
      <w:r w:rsidR="39A68BBF" w:rsidRPr="421B232A">
        <w:rPr>
          <w:rFonts w:ascii="Times New Roman" w:eastAsia="Times New Roman" w:hAnsi="Times New Roman" w:cs="Times New Roman"/>
        </w:rPr>
        <w:t xml:space="preserve"> </w:t>
      </w:r>
      <w:r w:rsidRPr="421B232A">
        <w:rPr>
          <w:rFonts w:ascii="Times New Roman" w:hAnsi="Times New Roman" w:cs="Times New Roman"/>
        </w:rPr>
        <w:t>Furthermore, biosafety regulators without this training may find it difficult to judge the scientific quality and validity of any specific modelling approach, although guidance on these issues is currently available (</w:t>
      </w:r>
      <w:proofErr w:type="spellStart"/>
      <w:r w:rsidRPr="006B4757">
        <w:rPr>
          <w:rFonts w:ascii="Times New Roman" w:hAnsi="Times New Roman" w:cs="Times New Roman"/>
        </w:rPr>
        <w:t>Augusiak</w:t>
      </w:r>
      <w:proofErr w:type="spellEnd"/>
      <w:r w:rsidRPr="006B4757">
        <w:rPr>
          <w:rFonts w:ascii="Times New Roman" w:hAnsi="Times New Roman" w:cs="Times New Roman"/>
        </w:rPr>
        <w:t xml:space="preserve"> and others, 2014; Calder and others, 2018</w:t>
      </w:r>
      <w:r w:rsidRPr="421B232A">
        <w:rPr>
          <w:rFonts w:ascii="Times New Roman" w:hAnsi="Times New Roman" w:cs="Times New Roman"/>
        </w:rPr>
        <w:t>).</w:t>
      </w:r>
    </w:p>
    <w:p w14:paraId="3620F9CD" w14:textId="77777777" w:rsidR="00B05C91" w:rsidRDefault="00B05C91" w:rsidP="00B05C91">
      <w:pPr>
        <w:rPr>
          <w:rFonts w:ascii="Times New Roman" w:hAnsi="Times New Roman" w:cs="Times New Roman"/>
        </w:rPr>
      </w:pPr>
      <w:r>
        <w:rPr>
          <w:rFonts w:ascii="Times New Roman" w:hAnsi="Times New Roman" w:cs="Times New Roman"/>
          <w14:ligatures w14:val="none"/>
        </w:rPr>
        <w:br w:type="page"/>
      </w:r>
    </w:p>
    <w:p w14:paraId="2A1BEE10" w14:textId="1EDE6705" w:rsidR="00B05C91" w:rsidRPr="00510EBB" w:rsidRDefault="00AD556D" w:rsidP="00510EBB">
      <w:pPr>
        <w:pStyle w:val="Heading2"/>
        <w:spacing w:line="276" w:lineRule="auto"/>
        <w:rPr>
          <w:rFonts w:ascii="Times New Roman" w:hAnsi="Times New Roman" w:cs="Times New Roman"/>
          <w:b/>
          <w:sz w:val="28"/>
          <w:szCs w:val="28"/>
        </w:rPr>
      </w:pPr>
      <w:bookmarkStart w:id="129" w:name="_Toc161220529"/>
      <w:r w:rsidRPr="00510EBB">
        <w:rPr>
          <w:rFonts w:ascii="Times New Roman" w:hAnsi="Times New Roman" w:cs="Times New Roman"/>
          <w:b/>
          <w:color w:val="auto"/>
          <w:sz w:val="28"/>
          <w:szCs w:val="28"/>
          <w:lang w:val="en-GB"/>
        </w:rPr>
        <w:lastRenderedPageBreak/>
        <w:t>A</w:t>
      </w:r>
      <w:r>
        <w:rPr>
          <w:rFonts w:ascii="Times New Roman" w:hAnsi="Times New Roman" w:cs="Times New Roman"/>
          <w:b/>
          <w:bCs/>
          <w:color w:val="auto"/>
          <w:sz w:val="28"/>
          <w:szCs w:val="28"/>
          <w:lang w:val="en-GB"/>
        </w:rPr>
        <w:t>nnex</w:t>
      </w:r>
      <w:r w:rsidRPr="00510EBB">
        <w:rPr>
          <w:rFonts w:ascii="Times New Roman" w:hAnsi="Times New Roman" w:cs="Times New Roman"/>
          <w:b/>
          <w:color w:val="auto"/>
          <w:sz w:val="28"/>
          <w:szCs w:val="28"/>
          <w:lang w:val="en-GB"/>
        </w:rPr>
        <w:t xml:space="preserve"> </w:t>
      </w:r>
      <w:r w:rsidR="00B05C91" w:rsidRPr="00510EBB">
        <w:rPr>
          <w:rFonts w:ascii="Times New Roman" w:hAnsi="Times New Roman" w:cs="Times New Roman"/>
          <w:b/>
          <w:color w:val="auto"/>
          <w:sz w:val="28"/>
          <w:szCs w:val="28"/>
          <w:lang w:val="en-GB"/>
        </w:rPr>
        <w:t>II</w:t>
      </w:r>
      <w:bookmarkEnd w:id="129"/>
    </w:p>
    <w:p w14:paraId="0C88A552" w14:textId="77777777" w:rsidR="00B05C91" w:rsidRPr="00510EBB" w:rsidRDefault="00B05C91" w:rsidP="00B05C91">
      <w:pPr>
        <w:pStyle w:val="Default"/>
        <w:spacing w:line="276" w:lineRule="auto"/>
        <w:rPr>
          <w:rFonts w:eastAsia="Times New Roman"/>
          <w:b/>
          <w:color w:val="auto"/>
          <w:sz w:val="28"/>
          <w:szCs w:val="28"/>
        </w:rPr>
      </w:pPr>
      <w:r w:rsidRPr="00510EBB">
        <w:rPr>
          <w:rFonts w:eastAsia="Times New Roman"/>
          <w:b/>
          <w:color w:val="auto"/>
          <w:sz w:val="28"/>
          <w:szCs w:val="28"/>
        </w:rPr>
        <w:t>Further information on uncertainty</w:t>
      </w:r>
    </w:p>
    <w:p w14:paraId="713AF588" w14:textId="28786FD2" w:rsidR="00B05C91" w:rsidRPr="0093257E" w:rsidRDefault="00B05C91" w:rsidP="00510EBB">
      <w:pPr>
        <w:spacing w:line="276" w:lineRule="auto"/>
        <w:jc w:val="both"/>
      </w:pPr>
      <w:r w:rsidRPr="0093257E">
        <w:rPr>
          <w:rFonts w:ascii="Times New Roman" w:hAnsi="Times New Roman" w:cs="Times New Roman"/>
        </w:rPr>
        <w:t>Guidance on how to identify and address the different types of uncertainty is available from many sources: Hayes and others</w:t>
      </w:r>
      <w:r w:rsidRPr="00510EBB">
        <w:rPr>
          <w:rFonts w:ascii="Times New Roman" w:hAnsi="Times New Roman" w:cs="Times New Roman"/>
        </w:rPr>
        <w:t xml:space="preserve"> (2007a) provide a non-technical introduction highlighting examples relevant to LM fish. </w:t>
      </w:r>
      <w:r w:rsidRPr="0093257E">
        <w:rPr>
          <w:rFonts w:ascii="Times New Roman" w:hAnsi="Times New Roman" w:cs="Times New Roman"/>
        </w:rPr>
        <w:t xml:space="preserve">The </w:t>
      </w:r>
      <w:r w:rsidRPr="00F707E1">
        <w:rPr>
          <w:rFonts w:ascii="Times New Roman" w:hAnsi="Times New Roman" w:cs="Times New Roman"/>
          <w:color w:val="000000" w:themeColor="text1"/>
        </w:rPr>
        <w:t>EFSA GMO Panel (2013)</w:t>
      </w:r>
      <w:r w:rsidRPr="006B4757">
        <w:rPr>
          <w:rFonts w:ascii="Times New Roman" w:hAnsi="Times New Roman" w:cs="Times New Roman"/>
          <w:color w:val="000000" w:themeColor="text1"/>
        </w:rPr>
        <w:t xml:space="preserve"> provides a similar introduction within the context of LM animals. </w:t>
      </w:r>
      <w:r w:rsidRPr="007E6340">
        <w:rPr>
          <w:rFonts w:ascii="Times New Roman" w:hAnsi="Times New Roman" w:cs="Times New Roman"/>
          <w:color w:val="000000" w:themeColor="text1"/>
        </w:rPr>
        <w:t>EFSA (2018)</w:t>
      </w:r>
      <w:r w:rsidRPr="006B4757">
        <w:rPr>
          <w:rFonts w:ascii="Times New Roman" w:hAnsi="Times New Roman" w:cs="Times New Roman"/>
          <w:color w:val="000000" w:themeColor="text1"/>
        </w:rPr>
        <w:t xml:space="preserve"> recommends a suite of procedures for assessing uncertainty in scientific assessment. Good textbooks </w:t>
      </w:r>
      <w:r w:rsidRPr="0093257E">
        <w:rPr>
          <w:rFonts w:ascii="Times New Roman" w:hAnsi="Times New Roman" w:cs="Times New Roman"/>
        </w:rPr>
        <w:t xml:space="preserve">on how to address uncertainty within quantitative (probabilistic) risk assessment include </w:t>
      </w:r>
      <w:r w:rsidRPr="006B4757">
        <w:rPr>
          <w:rFonts w:ascii="Times New Roman" w:hAnsi="Times New Roman" w:cs="Times New Roman"/>
        </w:rPr>
        <w:t>Morgan and Henrion (1992),</w:t>
      </w:r>
      <w:r w:rsidRPr="0093257E">
        <w:rPr>
          <w:rFonts w:ascii="Times New Roman" w:hAnsi="Times New Roman" w:cs="Times New Roman"/>
        </w:rPr>
        <w:t xml:space="preserve"> </w:t>
      </w:r>
      <w:r w:rsidRPr="006B4757">
        <w:rPr>
          <w:rFonts w:ascii="Times New Roman" w:hAnsi="Times New Roman" w:cs="Times New Roman"/>
        </w:rPr>
        <w:t>Cullen and Frey (1999),</w:t>
      </w:r>
      <w:r w:rsidRPr="0093257E">
        <w:rPr>
          <w:rFonts w:ascii="Times New Roman" w:hAnsi="Times New Roman" w:cs="Times New Roman"/>
        </w:rPr>
        <w:t xml:space="preserve"> </w:t>
      </w:r>
      <w:r w:rsidRPr="006B4757">
        <w:rPr>
          <w:rFonts w:ascii="Times New Roman" w:hAnsi="Times New Roman" w:cs="Times New Roman"/>
        </w:rPr>
        <w:t>and Bedford and Cooke (2001).</w:t>
      </w:r>
      <w:r w:rsidRPr="0093257E">
        <w:rPr>
          <w:rFonts w:ascii="Times New Roman" w:hAnsi="Times New Roman" w:cs="Times New Roman"/>
        </w:rPr>
        <w:t xml:space="preserve"> </w:t>
      </w:r>
    </w:p>
    <w:p w14:paraId="7DEA4BD4"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130" w:name="_Toc159410348"/>
      <w:bookmarkStart w:id="131" w:name="_Toc159410771"/>
      <w:bookmarkStart w:id="132" w:name="_Toc160193076"/>
      <w:bookmarkStart w:id="133" w:name="_Toc160202485"/>
      <w:bookmarkStart w:id="134" w:name="_Toc160721446"/>
      <w:bookmarkStart w:id="135" w:name="_Toc160798914"/>
      <w:bookmarkStart w:id="136" w:name="_Toc161220530"/>
      <w:r w:rsidRPr="00510EBB">
        <w:rPr>
          <w:rFonts w:ascii="Times New Roman" w:eastAsia="Times New Roman" w:hAnsi="Times New Roman" w:cs="Times New Roman"/>
          <w:sz w:val="24"/>
          <w:szCs w:val="24"/>
        </w:rPr>
        <w:t>Linguistic uncertainty</w:t>
      </w:r>
      <w:bookmarkEnd w:id="130"/>
      <w:bookmarkEnd w:id="131"/>
      <w:bookmarkEnd w:id="132"/>
      <w:bookmarkEnd w:id="133"/>
      <w:bookmarkEnd w:id="134"/>
      <w:bookmarkEnd w:id="135"/>
      <w:bookmarkEnd w:id="136"/>
    </w:p>
    <w:p w14:paraId="206BF3BC" w14:textId="27C186B4"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Linguistic uncertainty occurs for many reasons but principally because words can be vague and ambiguous, and our interpretation of a qualitative proposition depends on the context in which it is </w:t>
      </w:r>
      <w:r w:rsidRPr="00F707E1">
        <w:rPr>
          <w:rFonts w:ascii="Times New Roman" w:hAnsi="Times New Roman" w:cs="Times New Roman"/>
        </w:rPr>
        <w:t>made (Regan and others, 2002). F</w:t>
      </w:r>
      <w:r w:rsidRPr="0093257E">
        <w:rPr>
          <w:rFonts w:ascii="Times New Roman" w:hAnsi="Times New Roman" w:cs="Times New Roman"/>
        </w:rPr>
        <w:t>or these reasons the same word or phrase can mean different things to different people (</w:t>
      </w:r>
      <w:r w:rsidRPr="00EA25B0">
        <w:rPr>
          <w:rFonts w:ascii="Times New Roman" w:hAnsi="Times New Roman" w:cs="Times New Roman"/>
          <w:color w:val="000000" w:themeColor="text1"/>
        </w:rPr>
        <w:t>EFSA, 2018</w:t>
      </w:r>
      <w:r w:rsidRPr="006B4757">
        <w:rPr>
          <w:rFonts w:ascii="Times New Roman" w:hAnsi="Times New Roman" w:cs="Times New Roman"/>
          <w:color w:val="000000" w:themeColor="text1"/>
        </w:rPr>
        <w:t>). Linguistic uncertainty is prominent in qualitative risk assessment because terms such as “small effect”, “low likelihood” or “negligible risk” are open to interpretation, hence current guidance almost always recommends that these terms are carefully defined (see for example EFSA</w:t>
      </w:r>
      <w:r w:rsidR="006B4757" w:rsidRPr="006B4757">
        <w:rPr>
          <w:rFonts w:ascii="Times New Roman" w:hAnsi="Times New Roman" w:cs="Times New Roman"/>
          <w:color w:val="000000" w:themeColor="text1"/>
        </w:rPr>
        <w:t xml:space="preserve"> GMO Panel</w:t>
      </w:r>
      <w:r w:rsidRPr="006B4757">
        <w:rPr>
          <w:rFonts w:ascii="Times New Roman" w:hAnsi="Times New Roman" w:cs="Times New Roman"/>
          <w:color w:val="000000" w:themeColor="text1"/>
        </w:rPr>
        <w:t xml:space="preserve">, 2013) </w:t>
      </w:r>
      <w:r w:rsidRPr="0093257E">
        <w:rPr>
          <w:rFonts w:ascii="Times New Roman" w:hAnsi="Times New Roman" w:cs="Times New Roman"/>
        </w:rPr>
        <w:t>and where-ever possible language-based misunderstandings minimized through careful facilitation of expert input (</w:t>
      </w:r>
      <w:r w:rsidRPr="006B4757">
        <w:rPr>
          <w:rFonts w:ascii="Times New Roman" w:hAnsi="Times New Roman" w:cs="Times New Roman"/>
        </w:rPr>
        <w:t>Carey and Burgman, 2008</w:t>
      </w:r>
      <w:r w:rsidRPr="0093257E">
        <w:rPr>
          <w:rFonts w:ascii="Times New Roman" w:hAnsi="Times New Roman" w:cs="Times New Roman"/>
        </w:rPr>
        <w:t>).</w:t>
      </w:r>
    </w:p>
    <w:p w14:paraId="6872468A" w14:textId="702B3031"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Qualitative expressions of uncertainty are problematic for two reasons. First, the effect of the uncertainty on the risk assessment is confounded by linguistic uncertainty. This makes it difficult for decision makers to gauge how precise the risk prediction is, or how far it may be from a true value. Secondly, there is no principled way to combine qualitative expressions of uncertainty around individual components of a risk calculation into an overall expression of uncertainty. For these reasons, current guidance recommends that wherever possible expressions of epistemic uncertainty or variability should be quantified to the extent that is scientifically achievable (</w:t>
      </w:r>
      <w:r w:rsidRPr="00EA25B0">
        <w:rPr>
          <w:rFonts w:ascii="Times New Roman" w:hAnsi="Times New Roman" w:cs="Times New Roman"/>
          <w:color w:val="000000" w:themeColor="text1"/>
        </w:rPr>
        <w:t>EFSA</w:t>
      </w:r>
      <w:r w:rsidR="006B4757" w:rsidRPr="00EA25B0">
        <w:rPr>
          <w:rFonts w:ascii="Times New Roman" w:hAnsi="Times New Roman" w:cs="Times New Roman"/>
          <w:color w:val="000000" w:themeColor="text1"/>
        </w:rPr>
        <w:t>,</w:t>
      </w:r>
      <w:r w:rsidRPr="00EA25B0">
        <w:rPr>
          <w:rFonts w:ascii="Times New Roman" w:hAnsi="Times New Roman" w:cs="Times New Roman"/>
          <w:color w:val="000000" w:themeColor="text1"/>
        </w:rPr>
        <w:t xml:space="preserve"> 2018</w:t>
      </w:r>
      <w:r w:rsidRPr="00EA25B0">
        <w:rPr>
          <w:rFonts w:ascii="Times New Roman" w:hAnsi="Times New Roman" w:cs="Times New Roman"/>
        </w:rPr>
        <w:t>).</w:t>
      </w:r>
    </w:p>
    <w:p w14:paraId="030914C5" w14:textId="487810A0"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For EGD-LMOs quantification of uncertainty could be more challenging than in other LMO risk assessment because of their potentially larger </w:t>
      </w:r>
      <w:proofErr w:type="spellStart"/>
      <w:r w:rsidRPr="0093257E">
        <w:rPr>
          <w:rFonts w:ascii="Times New Roman" w:hAnsi="Times New Roman" w:cs="Times New Roman"/>
        </w:rPr>
        <w:t>spatio</w:t>
      </w:r>
      <w:proofErr w:type="spellEnd"/>
      <w:r w:rsidRPr="0093257E">
        <w:rPr>
          <w:rFonts w:ascii="Times New Roman" w:hAnsi="Times New Roman" w:cs="Times New Roman"/>
        </w:rPr>
        <w:t>-temporal footprint could lead to exposure in more variable, heterogenous environments, and because of the relevant paucity of empirical data on their behaviour in the wild. It is a misconception, however, to assume that quantifying uncertainty requires extensive data. Uncertainty can be quantified by expert judgement (via formal elicitation) for any well-defined question or quantity provided there is at least some relevant evidence (</w:t>
      </w:r>
      <w:r w:rsidRPr="00FF4AB3">
        <w:rPr>
          <w:rFonts w:ascii="Times New Roman" w:hAnsi="Times New Roman" w:cs="Times New Roman"/>
          <w:color w:val="000000" w:themeColor="text1"/>
        </w:rPr>
        <w:t>EFSA, 2018</w:t>
      </w:r>
      <w:r w:rsidRPr="00FF4AB3">
        <w:rPr>
          <w:rFonts w:ascii="Times New Roman" w:hAnsi="Times New Roman" w:cs="Times New Roman"/>
        </w:rPr>
        <w:t>).</w:t>
      </w:r>
    </w:p>
    <w:p w14:paraId="0E6E8DFB" w14:textId="6BB65ECD"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Guidance on how to quantify uncertainty through expert elicitation is available from several sources. For example, </w:t>
      </w:r>
      <w:r w:rsidRPr="006B4757">
        <w:rPr>
          <w:rFonts w:ascii="Times New Roman" w:hAnsi="Times New Roman" w:cs="Times New Roman"/>
        </w:rPr>
        <w:t>Burgman (2005)</w:t>
      </w:r>
      <w:r w:rsidRPr="0093257E">
        <w:rPr>
          <w:rFonts w:ascii="Times New Roman" w:hAnsi="Times New Roman" w:cs="Times New Roman"/>
        </w:rPr>
        <w:t xml:space="preserve"> provides a helpful introduction, </w:t>
      </w:r>
      <w:r w:rsidRPr="006B4757">
        <w:rPr>
          <w:rFonts w:ascii="Times New Roman" w:hAnsi="Times New Roman" w:cs="Times New Roman"/>
        </w:rPr>
        <w:t>Morgan (2014)</w:t>
      </w:r>
      <w:r w:rsidRPr="0093257E">
        <w:rPr>
          <w:rFonts w:ascii="Times New Roman" w:hAnsi="Times New Roman" w:cs="Times New Roman"/>
        </w:rPr>
        <w:t xml:space="preserve"> provides an excellent overview of key issues, whilst </w:t>
      </w:r>
      <w:r w:rsidRPr="006B4757">
        <w:rPr>
          <w:rFonts w:ascii="Times New Roman" w:hAnsi="Times New Roman" w:cs="Times New Roman"/>
        </w:rPr>
        <w:t>O’Hagan and others (2006)</w:t>
      </w:r>
      <w:r w:rsidRPr="0093257E">
        <w:rPr>
          <w:rFonts w:ascii="Times New Roman" w:hAnsi="Times New Roman" w:cs="Times New Roman"/>
        </w:rPr>
        <w:t xml:space="preserve"> provide a comprehensive treatment</w:t>
      </w:r>
      <w:r w:rsidRPr="00FF4AB3">
        <w:rPr>
          <w:rFonts w:ascii="Times New Roman" w:hAnsi="Times New Roman" w:cs="Times New Roman"/>
        </w:rPr>
        <w:t>.</w:t>
      </w:r>
      <w:r w:rsidRPr="00BE7AF5">
        <w:rPr>
          <w:rFonts w:ascii="Times New Roman" w:hAnsi="Times New Roman" w:cs="Times New Roman"/>
          <w:color w:val="FF0000"/>
        </w:rPr>
        <w:t xml:space="preserve"> </w:t>
      </w:r>
      <w:r w:rsidRPr="00FF4AB3">
        <w:rPr>
          <w:rFonts w:ascii="Times New Roman" w:hAnsi="Times New Roman" w:cs="Times New Roman"/>
          <w:color w:val="000000" w:themeColor="text1"/>
        </w:rPr>
        <w:t>EFSA (2014</w:t>
      </w:r>
      <w:r w:rsidRPr="00FF4AB3">
        <w:rPr>
          <w:rFonts w:ascii="Times New Roman" w:hAnsi="Times New Roman" w:cs="Times New Roman"/>
        </w:rPr>
        <w:t>)</w:t>
      </w:r>
      <w:r w:rsidRPr="0093257E">
        <w:rPr>
          <w:rFonts w:ascii="Times New Roman" w:hAnsi="Times New Roman" w:cs="Times New Roman"/>
        </w:rPr>
        <w:t xml:space="preserve"> provides guidance on three approaches within the context of a food safety risk assessment, but the methods discussed are applicable to other domains. </w:t>
      </w:r>
      <w:r w:rsidRPr="006B4757">
        <w:rPr>
          <w:rFonts w:ascii="Times New Roman" w:hAnsi="Times New Roman" w:cs="Times New Roman"/>
        </w:rPr>
        <w:t>Hayes and others (2018b)</w:t>
      </w:r>
      <w:r w:rsidRPr="0093257E">
        <w:rPr>
          <w:rFonts w:ascii="Times New Roman" w:hAnsi="Times New Roman" w:cs="Times New Roman"/>
        </w:rPr>
        <w:t xml:space="preserve"> and </w:t>
      </w:r>
      <w:r w:rsidRPr="006B4757">
        <w:rPr>
          <w:rFonts w:ascii="Times New Roman" w:hAnsi="Times New Roman" w:cs="Times New Roman"/>
        </w:rPr>
        <w:t>Hosack and others (2023)</w:t>
      </w:r>
      <w:r w:rsidRPr="0093257E">
        <w:rPr>
          <w:rFonts w:ascii="Times New Roman" w:hAnsi="Times New Roman" w:cs="Times New Roman"/>
        </w:rPr>
        <w:t xml:space="preserve"> provide examples of how to use elicitation to conduct probabilistic risk assessment for living modified mosquitoes.</w:t>
      </w:r>
    </w:p>
    <w:p w14:paraId="42498371"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137" w:name="_Toc159410349"/>
      <w:bookmarkStart w:id="138" w:name="_Toc159410772"/>
      <w:bookmarkStart w:id="139" w:name="_Toc160193077"/>
      <w:bookmarkStart w:id="140" w:name="_Toc160202486"/>
      <w:bookmarkStart w:id="141" w:name="_Toc160721447"/>
      <w:bookmarkStart w:id="142" w:name="_Toc160798915"/>
      <w:bookmarkStart w:id="143" w:name="_Toc161220531"/>
      <w:r w:rsidRPr="00510EBB">
        <w:rPr>
          <w:rFonts w:ascii="Times New Roman" w:eastAsia="Times New Roman" w:hAnsi="Times New Roman" w:cs="Times New Roman"/>
          <w:sz w:val="24"/>
          <w:szCs w:val="24"/>
        </w:rPr>
        <w:lastRenderedPageBreak/>
        <w:t>Epistemic uncertainty</w:t>
      </w:r>
      <w:bookmarkEnd w:id="137"/>
      <w:bookmarkEnd w:id="138"/>
      <w:bookmarkEnd w:id="139"/>
      <w:bookmarkEnd w:id="140"/>
      <w:bookmarkEnd w:id="141"/>
      <w:bookmarkEnd w:id="142"/>
      <w:bookmarkEnd w:id="143"/>
    </w:p>
    <w:p w14:paraId="19446BCE" w14:textId="7A8FB0D2"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Risk assessment of EGD-LMOs will initially encounter epistemic uncertainty in the Problem Formulation phase, when identifying potential adverse effects (Section 4.1.2.) and when devising </w:t>
      </w:r>
      <w:r w:rsidR="00B52EC3" w:rsidRPr="006B4757">
        <w:rPr>
          <w:rFonts w:ascii="Times New Roman" w:hAnsi="Times New Roman" w:cs="Times New Roman"/>
        </w:rPr>
        <w:t>plausible</w:t>
      </w:r>
      <w:r w:rsidRPr="0093257E">
        <w:rPr>
          <w:rFonts w:ascii="Times New Roman" w:hAnsi="Times New Roman" w:cs="Times New Roman"/>
        </w:rPr>
        <w:t xml:space="preserve"> pathways to harm (Section 4.1.3.). Both steps rely on conceptual models to identify how things may go wrong if EGD-LMOs are released in the environment, and these models (like all models) will be subject to structural uncertainty (See </w:t>
      </w:r>
      <w:r w:rsidR="00EC0B77" w:rsidRPr="0093257E">
        <w:rPr>
          <w:rFonts w:ascii="Times New Roman" w:hAnsi="Times New Roman" w:cs="Times New Roman"/>
        </w:rPr>
        <w:t>a</w:t>
      </w:r>
      <w:r w:rsidRPr="0093257E">
        <w:rPr>
          <w:rFonts w:ascii="Times New Roman" w:hAnsi="Times New Roman" w:cs="Times New Roman"/>
        </w:rPr>
        <w:t>nnex I).</w:t>
      </w:r>
    </w:p>
    <w:p w14:paraId="70E88AEF" w14:textId="6E52D3AE"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In this context, model structure uncertainty is manifested in two ways: (</w:t>
      </w:r>
      <w:proofErr w:type="spellStart"/>
      <w:r w:rsidRPr="0093257E">
        <w:rPr>
          <w:rFonts w:ascii="Times New Roman" w:hAnsi="Times New Roman" w:cs="Times New Roman"/>
        </w:rPr>
        <w:t>i</w:t>
      </w:r>
      <w:proofErr w:type="spellEnd"/>
      <w:r w:rsidRPr="0093257E">
        <w:rPr>
          <w:rFonts w:ascii="Times New Roman" w:hAnsi="Times New Roman" w:cs="Times New Roman"/>
        </w:rPr>
        <w:t>) is the conceptual modelling exercise complete – i.e.</w:t>
      </w:r>
      <w:r w:rsidR="009C2066" w:rsidRPr="0093257E">
        <w:rPr>
          <w:rFonts w:ascii="Times New Roman" w:hAnsi="Times New Roman" w:cs="Times New Roman"/>
        </w:rPr>
        <w:t>,</w:t>
      </w:r>
      <w:r w:rsidRPr="0093257E">
        <w:rPr>
          <w:rFonts w:ascii="Times New Roman" w:hAnsi="Times New Roman" w:cs="Times New Roman"/>
        </w:rPr>
        <w:t xml:space="preserve"> has the risk assessment identified all the plausible pathways to harm; (ii) are the conceptual models adequate – i.e.</w:t>
      </w:r>
      <w:r w:rsidR="009C2066" w:rsidRPr="0093257E">
        <w:rPr>
          <w:rFonts w:ascii="Times New Roman" w:hAnsi="Times New Roman" w:cs="Times New Roman"/>
        </w:rPr>
        <w:t>,</w:t>
      </w:r>
      <w:r w:rsidRPr="0093257E">
        <w:rPr>
          <w:rFonts w:ascii="Times New Roman" w:hAnsi="Times New Roman" w:cs="Times New Roman"/>
        </w:rPr>
        <w:t xml:space="preserve"> do the identified </w:t>
      </w:r>
      <w:r w:rsidR="00B52EC3" w:rsidRPr="006B4757">
        <w:rPr>
          <w:rFonts w:ascii="Times New Roman" w:hAnsi="Times New Roman" w:cs="Times New Roman"/>
        </w:rPr>
        <w:t>plausible</w:t>
      </w:r>
      <w:r w:rsidR="00B52EC3">
        <w:rPr>
          <w:rFonts w:ascii="Times New Roman" w:hAnsi="Times New Roman" w:cs="Times New Roman"/>
        </w:rPr>
        <w:t xml:space="preserve"> </w:t>
      </w:r>
      <w:r w:rsidRPr="0093257E">
        <w:rPr>
          <w:rFonts w:ascii="Times New Roman" w:hAnsi="Times New Roman" w:cs="Times New Roman"/>
        </w:rPr>
        <w:t xml:space="preserve">pathways to harm accurately capture </w:t>
      </w:r>
      <w:proofErr w:type="gramStart"/>
      <w:r w:rsidRPr="0093257E">
        <w:rPr>
          <w:rFonts w:ascii="Times New Roman" w:hAnsi="Times New Roman" w:cs="Times New Roman"/>
        </w:rPr>
        <w:t>all of</w:t>
      </w:r>
      <w:proofErr w:type="gramEnd"/>
      <w:r w:rsidRPr="0093257E">
        <w:rPr>
          <w:rFonts w:ascii="Times New Roman" w:hAnsi="Times New Roman" w:cs="Times New Roman"/>
        </w:rPr>
        <w:t xml:space="preserve"> the critical processes and intermediate events between release of the EGD-LMO and harmful outcomes. These sources of uncertainty are common to all risk assessments. Again, however, the paucity of experience, and potentially large spatial and temporal footprint, may accentuate them in an EGD-LMO risk assessment.</w:t>
      </w:r>
    </w:p>
    <w:p w14:paraId="2426EF82" w14:textId="2A296BB0"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Structural uncertainty in the conceptual models that underlie a </w:t>
      </w:r>
      <w:r w:rsidR="00FE5FB7">
        <w:rPr>
          <w:rFonts w:ascii="Times New Roman" w:hAnsi="Times New Roman" w:cs="Times New Roman"/>
        </w:rPr>
        <w:t>p</w:t>
      </w:r>
      <w:r w:rsidRPr="0093257E">
        <w:rPr>
          <w:rFonts w:ascii="Times New Roman" w:hAnsi="Times New Roman" w:cs="Times New Roman"/>
        </w:rPr>
        <w:t xml:space="preserve">roblem </w:t>
      </w:r>
      <w:r w:rsidR="00FE5FB7">
        <w:rPr>
          <w:rFonts w:ascii="Times New Roman" w:hAnsi="Times New Roman" w:cs="Times New Roman"/>
        </w:rPr>
        <w:t>f</w:t>
      </w:r>
      <w:r w:rsidRPr="0093257E">
        <w:rPr>
          <w:rFonts w:ascii="Times New Roman" w:hAnsi="Times New Roman" w:cs="Times New Roman"/>
        </w:rPr>
        <w:t>ormulation</w:t>
      </w:r>
      <w:r w:rsidR="00FE5FB7">
        <w:rPr>
          <w:rFonts w:ascii="Times New Roman" w:hAnsi="Times New Roman" w:cs="Times New Roman"/>
        </w:rPr>
        <w:t xml:space="preserve"> approach</w:t>
      </w:r>
      <w:r w:rsidRPr="0093257E">
        <w:rPr>
          <w:rFonts w:ascii="Times New Roman" w:hAnsi="Times New Roman" w:cs="Times New Roman"/>
        </w:rPr>
        <w:t xml:space="preserve"> can be addressed procedurally and methodologically. Ensuring that relevant stakeholders</w:t>
      </w:r>
      <w:r w:rsidR="002A4F3B">
        <w:rPr>
          <w:rFonts w:ascii="Times New Roman" w:hAnsi="Times New Roman" w:cs="Times New Roman"/>
        </w:rPr>
        <w:t xml:space="preserve">, </w:t>
      </w:r>
      <w:r w:rsidR="004458BA">
        <w:rPr>
          <w:rFonts w:ascii="Times New Roman" w:eastAsia="Times New Roman" w:hAnsi="Times New Roman" w:cs="Times New Roman"/>
          <w:color w:val="000000" w:themeColor="text1"/>
        </w:rPr>
        <w:t>indigenous peoples and local communitie</w:t>
      </w:r>
      <w:r w:rsidR="004458BA" w:rsidRPr="0025725D">
        <w:rPr>
          <w:rFonts w:ascii="Times New Roman" w:hAnsi="Times New Roman" w:cs="Times New Roman"/>
          <w:color w:val="000000" w:themeColor="text1"/>
        </w:rPr>
        <w:t>s</w:t>
      </w:r>
      <w:r w:rsidRPr="0093257E">
        <w:rPr>
          <w:rFonts w:ascii="Times New Roman" w:hAnsi="Times New Roman" w:cs="Times New Roman"/>
        </w:rPr>
        <w:t xml:space="preserve"> and experts are consulted when </w:t>
      </w:r>
      <w:r w:rsidR="002A4F3B" w:rsidRPr="006B4757">
        <w:rPr>
          <w:rFonts w:ascii="Times New Roman" w:hAnsi="Times New Roman" w:cs="Times New Roman"/>
        </w:rPr>
        <w:t>plausible</w:t>
      </w:r>
      <w:r w:rsidR="002A4F3B">
        <w:rPr>
          <w:rFonts w:ascii="Times New Roman" w:hAnsi="Times New Roman" w:cs="Times New Roman"/>
        </w:rPr>
        <w:t xml:space="preserve"> </w:t>
      </w:r>
      <w:r w:rsidRPr="0093257E">
        <w:rPr>
          <w:rFonts w:ascii="Times New Roman" w:hAnsi="Times New Roman" w:cs="Times New Roman"/>
        </w:rPr>
        <w:t xml:space="preserve">pathways to harm are identified and described is a recommended procedure. Carefully comparing the adverse effects identified in an EGD-LMO problem formulation with those described in </w:t>
      </w:r>
      <w:r w:rsidR="006A349B">
        <w:rPr>
          <w:rFonts w:ascii="Times New Roman" w:hAnsi="Times New Roman" w:cs="Times New Roman"/>
        </w:rPr>
        <w:t>(</w:t>
      </w:r>
      <w:r w:rsidRPr="0093257E">
        <w:rPr>
          <w:rFonts w:ascii="Times New Roman" w:hAnsi="Times New Roman" w:cs="Times New Roman"/>
        </w:rPr>
        <w:t xml:space="preserve">a) the biosafety regulations of relevant authorities, </w:t>
      </w:r>
      <w:r w:rsidR="006A349B">
        <w:rPr>
          <w:rFonts w:ascii="Times New Roman" w:hAnsi="Times New Roman" w:cs="Times New Roman"/>
        </w:rPr>
        <w:t>(</w:t>
      </w:r>
      <w:r w:rsidRPr="0093257E">
        <w:rPr>
          <w:rFonts w:ascii="Times New Roman" w:hAnsi="Times New Roman" w:cs="Times New Roman"/>
        </w:rPr>
        <w:t xml:space="preserve">b) relevant guidance developed by respected international authorities such as </w:t>
      </w:r>
      <w:r w:rsidRPr="007F17D9">
        <w:rPr>
          <w:rFonts w:ascii="Times New Roman" w:hAnsi="Times New Roman" w:cs="Times New Roman"/>
          <w:color w:val="000000" w:themeColor="text1"/>
        </w:rPr>
        <w:t>EFSA (2013, 2020)</w:t>
      </w:r>
      <w:r w:rsidRPr="006B4757">
        <w:rPr>
          <w:rFonts w:ascii="Times New Roman" w:hAnsi="Times New Roman" w:cs="Times New Roman"/>
          <w:color w:val="000000" w:themeColor="text1"/>
        </w:rPr>
        <w:t xml:space="preserve"> </w:t>
      </w:r>
      <w:r w:rsidRPr="0093257E">
        <w:rPr>
          <w:rFonts w:ascii="Times New Roman" w:hAnsi="Times New Roman" w:cs="Times New Roman"/>
        </w:rPr>
        <w:t xml:space="preserve">and the </w:t>
      </w:r>
      <w:r w:rsidRPr="006B4757">
        <w:rPr>
          <w:rFonts w:ascii="Times New Roman" w:hAnsi="Times New Roman" w:cs="Times New Roman"/>
        </w:rPr>
        <w:t>National Academy of Sciences Engineering and Medicine (NASEM, 2016);</w:t>
      </w:r>
      <w:r w:rsidRPr="0093257E">
        <w:rPr>
          <w:rFonts w:ascii="Times New Roman" w:hAnsi="Times New Roman" w:cs="Times New Roman"/>
        </w:rPr>
        <w:t xml:space="preserve"> and </w:t>
      </w:r>
      <w:r w:rsidR="006A349B">
        <w:rPr>
          <w:rFonts w:ascii="Times New Roman" w:hAnsi="Times New Roman" w:cs="Times New Roman"/>
        </w:rPr>
        <w:t>(</w:t>
      </w:r>
      <w:r w:rsidRPr="0093257E">
        <w:rPr>
          <w:rFonts w:ascii="Times New Roman" w:hAnsi="Times New Roman" w:cs="Times New Roman"/>
        </w:rPr>
        <w:t>c) documents produced by the scientific community</w:t>
      </w:r>
      <w:r w:rsidR="002E0FAB">
        <w:rPr>
          <w:rFonts w:ascii="Times New Roman" w:hAnsi="Times New Roman" w:cs="Times New Roman"/>
        </w:rPr>
        <w:t xml:space="preserve"> </w:t>
      </w:r>
      <w:r w:rsidRPr="0093257E">
        <w:rPr>
          <w:rFonts w:ascii="Times New Roman" w:hAnsi="Times New Roman" w:cs="Times New Roman"/>
        </w:rPr>
        <w:t xml:space="preserve">- such </w:t>
      </w:r>
      <w:r w:rsidRPr="007F17D9">
        <w:rPr>
          <w:rFonts w:ascii="Times New Roman" w:hAnsi="Times New Roman" w:cs="Times New Roman"/>
        </w:rPr>
        <w:t>as Benedict and others (20</w:t>
      </w:r>
      <w:r w:rsidR="009E6578" w:rsidRPr="007F17D9">
        <w:rPr>
          <w:rFonts w:ascii="Times New Roman" w:hAnsi="Times New Roman" w:cs="Times New Roman"/>
        </w:rPr>
        <w:t>1</w:t>
      </w:r>
      <w:r w:rsidRPr="007F17D9">
        <w:rPr>
          <w:rFonts w:ascii="Times New Roman" w:hAnsi="Times New Roman" w:cs="Times New Roman"/>
        </w:rPr>
        <w:t xml:space="preserve">8), </w:t>
      </w:r>
      <w:r w:rsidRPr="009E6578">
        <w:rPr>
          <w:rFonts w:ascii="Times New Roman" w:hAnsi="Times New Roman" w:cs="Times New Roman"/>
        </w:rPr>
        <w:t>David and others, (2013),</w:t>
      </w:r>
      <w:r w:rsidRPr="0093257E">
        <w:rPr>
          <w:rFonts w:ascii="Times New Roman" w:hAnsi="Times New Roman" w:cs="Times New Roman"/>
        </w:rPr>
        <w:t xml:space="preserve"> </w:t>
      </w:r>
      <w:r w:rsidRPr="009E6578">
        <w:rPr>
          <w:rFonts w:ascii="Times New Roman" w:hAnsi="Times New Roman" w:cs="Times New Roman"/>
        </w:rPr>
        <w:t>Hayes and others (2018b),</w:t>
      </w:r>
      <w:r w:rsidRPr="0093257E">
        <w:rPr>
          <w:rFonts w:ascii="Times New Roman" w:hAnsi="Times New Roman" w:cs="Times New Roman"/>
        </w:rPr>
        <w:t xml:space="preserve"> </w:t>
      </w:r>
      <w:r w:rsidRPr="009E6578">
        <w:rPr>
          <w:rFonts w:ascii="Times New Roman" w:hAnsi="Times New Roman" w:cs="Times New Roman"/>
        </w:rPr>
        <w:t>James and others (2020)</w:t>
      </w:r>
      <w:r w:rsidRPr="0093257E">
        <w:rPr>
          <w:rFonts w:ascii="Times New Roman" w:hAnsi="Times New Roman" w:cs="Times New Roman"/>
        </w:rPr>
        <w:t xml:space="preserve">, </w:t>
      </w:r>
      <w:r w:rsidRPr="009E6578">
        <w:rPr>
          <w:rFonts w:ascii="Times New Roman" w:hAnsi="Times New Roman" w:cs="Times New Roman"/>
        </w:rPr>
        <w:t>Rode and others (2019),</w:t>
      </w:r>
      <w:r w:rsidRPr="0093257E">
        <w:rPr>
          <w:rFonts w:ascii="Times New Roman" w:hAnsi="Times New Roman" w:cs="Times New Roman"/>
        </w:rPr>
        <w:t xml:space="preserve"> </w:t>
      </w:r>
      <w:r w:rsidRPr="009E6578">
        <w:rPr>
          <w:rFonts w:ascii="Times New Roman" w:hAnsi="Times New Roman" w:cs="Times New Roman"/>
        </w:rPr>
        <w:t>Teem and others (2019),</w:t>
      </w:r>
      <w:r w:rsidRPr="0093257E">
        <w:rPr>
          <w:rFonts w:ascii="Times New Roman" w:hAnsi="Times New Roman" w:cs="Times New Roman"/>
        </w:rPr>
        <w:t xml:space="preserve"> and </w:t>
      </w:r>
      <w:r w:rsidRPr="009E6578">
        <w:rPr>
          <w:rFonts w:ascii="Times New Roman" w:hAnsi="Times New Roman" w:cs="Times New Roman"/>
        </w:rPr>
        <w:t>Connolly and others (2021</w:t>
      </w:r>
      <w:r w:rsidRPr="0093257E">
        <w:rPr>
          <w:rFonts w:ascii="Times New Roman" w:hAnsi="Times New Roman" w:cs="Times New Roman"/>
        </w:rPr>
        <w:t>) – will also help ensure that potentially relevant pathways have not been inadvertently overlooked.</w:t>
      </w:r>
    </w:p>
    <w:p w14:paraId="04BF0B4C" w14:textId="388F1BDC"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In addition to these recommended procedures, </w:t>
      </w:r>
      <w:proofErr w:type="gramStart"/>
      <w:r w:rsidRPr="007F17D9">
        <w:rPr>
          <w:rFonts w:ascii="Times New Roman" w:hAnsi="Times New Roman" w:cs="Times New Roman"/>
          <w:color w:val="000000" w:themeColor="text1"/>
        </w:rPr>
        <w:t>Hayes</w:t>
      </w:r>
      <w:proofErr w:type="gramEnd"/>
      <w:r w:rsidRPr="007F17D9">
        <w:rPr>
          <w:rFonts w:ascii="Times New Roman" w:hAnsi="Times New Roman" w:cs="Times New Roman"/>
          <w:color w:val="000000" w:themeColor="text1"/>
        </w:rPr>
        <w:t xml:space="preserve"> and others (2007b, 2014)</w:t>
      </w:r>
      <w:r w:rsidRPr="009E6578">
        <w:rPr>
          <w:rFonts w:ascii="Times New Roman" w:hAnsi="Times New Roman" w:cs="Times New Roman"/>
          <w:color w:val="000000" w:themeColor="text1"/>
        </w:rPr>
        <w:t xml:space="preserve"> </w:t>
      </w:r>
      <w:r w:rsidRPr="0093257E">
        <w:rPr>
          <w:rFonts w:ascii="Times New Roman" w:hAnsi="Times New Roman" w:cs="Times New Roman"/>
        </w:rPr>
        <w:t>describe a variety of hazard identification methods that risk analysts can employ to help ensure that all plausible pathways have been comprehensively evaluated and described. These techniques encourage analysts to think “outside the box” and provide a framework that supports them to apply their expertise and imagination in a systematic manner to identify potential pathways to harm.</w:t>
      </w:r>
    </w:p>
    <w:p w14:paraId="30211783" w14:textId="54CB59D6"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It is difficult to assess if the structural uncertainty in the conceptual models that underlie a problem formulation has been comprehensively addressed. In particular, the number of </w:t>
      </w:r>
      <w:r w:rsidR="002A4F3B" w:rsidRPr="009E6578">
        <w:rPr>
          <w:rFonts w:ascii="Times New Roman" w:hAnsi="Times New Roman" w:cs="Times New Roman"/>
        </w:rPr>
        <w:t>plausible</w:t>
      </w:r>
      <w:r w:rsidRPr="0093257E">
        <w:rPr>
          <w:rFonts w:ascii="Times New Roman" w:hAnsi="Times New Roman" w:cs="Times New Roman"/>
        </w:rPr>
        <w:t xml:space="preserve"> pathways to harm identified in the problem formulation is not of itself an infallible guide to how complete this part of the risk assessment is. Nonetheless, a problem formulation for a complex, new technology such as EGD-LMOs that only identifies very few, or very simple, pathways will likely be viewed with some scepticism. Ultimately, reviewers and decision makers must use their expertise, </w:t>
      </w:r>
      <w:proofErr w:type="gramStart"/>
      <w:r w:rsidRPr="0093257E">
        <w:rPr>
          <w:rFonts w:ascii="Times New Roman" w:hAnsi="Times New Roman" w:cs="Times New Roman"/>
        </w:rPr>
        <w:t>experience</w:t>
      </w:r>
      <w:proofErr w:type="gramEnd"/>
      <w:r w:rsidRPr="0093257E">
        <w:rPr>
          <w:rFonts w:ascii="Times New Roman" w:hAnsi="Times New Roman" w:cs="Times New Roman"/>
        </w:rPr>
        <w:t xml:space="preserve"> and judgement to decide if this source of uncertainty in the problem formulation stage of an EGD-LMO risk assessment process has been adequately addressed.</w:t>
      </w:r>
    </w:p>
    <w:p w14:paraId="008FB936"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144" w:name="_Toc159410350"/>
      <w:bookmarkStart w:id="145" w:name="_Toc159410773"/>
      <w:bookmarkStart w:id="146" w:name="_Toc160193078"/>
      <w:bookmarkStart w:id="147" w:name="_Toc160202487"/>
      <w:bookmarkStart w:id="148" w:name="_Toc160721448"/>
      <w:bookmarkStart w:id="149" w:name="_Toc160798916"/>
      <w:bookmarkStart w:id="150" w:name="_Toc161220532"/>
      <w:r w:rsidRPr="00510EBB">
        <w:rPr>
          <w:rFonts w:ascii="Times New Roman" w:eastAsia="Times New Roman" w:hAnsi="Times New Roman" w:cs="Times New Roman"/>
          <w:sz w:val="24"/>
          <w:szCs w:val="24"/>
        </w:rPr>
        <w:t>Variability</w:t>
      </w:r>
      <w:bookmarkEnd w:id="144"/>
      <w:bookmarkEnd w:id="145"/>
      <w:bookmarkEnd w:id="146"/>
      <w:bookmarkEnd w:id="147"/>
      <w:bookmarkEnd w:id="148"/>
      <w:bookmarkEnd w:id="149"/>
      <w:bookmarkEnd w:id="150"/>
    </w:p>
    <w:p w14:paraId="24C0FE12" w14:textId="43ED9B8E"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Variability, often also referred to as aleatory uncertainty, occurs in LMO risk assessment because many of the relevant environmental and demographic processes or variables within the </w:t>
      </w:r>
      <w:r w:rsidR="002A4F3B" w:rsidRPr="009E6578">
        <w:rPr>
          <w:rFonts w:ascii="Times New Roman" w:hAnsi="Times New Roman" w:cs="Times New Roman"/>
        </w:rPr>
        <w:t>plausible</w:t>
      </w:r>
      <w:r w:rsidR="002A4F3B">
        <w:rPr>
          <w:rFonts w:ascii="Times New Roman" w:hAnsi="Times New Roman" w:cs="Times New Roman"/>
        </w:rPr>
        <w:t xml:space="preserve"> </w:t>
      </w:r>
      <w:r w:rsidRPr="0093257E">
        <w:rPr>
          <w:rFonts w:ascii="Times New Roman" w:hAnsi="Times New Roman" w:cs="Times New Roman"/>
        </w:rPr>
        <w:t xml:space="preserve">pathways to harm will be inherently variable in time and space. It is possible that some of the sources of variability could in theory be explained with a very detailed mechanistic model or more precise measurements but </w:t>
      </w:r>
      <w:r w:rsidRPr="0093257E">
        <w:rPr>
          <w:rFonts w:ascii="Times New Roman" w:hAnsi="Times New Roman" w:cs="Times New Roman"/>
        </w:rPr>
        <w:lastRenderedPageBreak/>
        <w:t>in practice this may be unnecessary. Simply characterizing the variation, and propagating its effect through a risk assessment, is often a sufficient and much more cost-effective strategy.</w:t>
      </w:r>
    </w:p>
    <w:p w14:paraId="1ADFCDE3" w14:textId="46D4C364"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The effect of variability on risk</w:t>
      </w:r>
      <w:r w:rsidRPr="0093257E" w:rsidDel="003C7EFE">
        <w:rPr>
          <w:rFonts w:ascii="Times New Roman" w:hAnsi="Times New Roman" w:cs="Times New Roman"/>
        </w:rPr>
        <w:t xml:space="preserve"> </w:t>
      </w:r>
      <w:r w:rsidR="002A4F3B">
        <w:rPr>
          <w:rFonts w:ascii="Times New Roman" w:hAnsi="Times New Roman" w:cs="Times New Roman"/>
        </w:rPr>
        <w:t>assessment</w:t>
      </w:r>
      <w:r w:rsidRPr="0093257E">
        <w:rPr>
          <w:rFonts w:ascii="Times New Roman" w:hAnsi="Times New Roman" w:cs="Times New Roman"/>
        </w:rPr>
        <w:t xml:space="preserve"> predictions can be captured in several ways. A common approach is to repeat the risk calculations many times whilst allowing the parameters of the risk assessment’s process-based models (See </w:t>
      </w:r>
      <w:r w:rsidR="00EC0B77" w:rsidRPr="0093257E">
        <w:rPr>
          <w:rFonts w:ascii="Times New Roman" w:hAnsi="Times New Roman" w:cs="Times New Roman"/>
        </w:rPr>
        <w:t>a</w:t>
      </w:r>
      <w:r w:rsidRPr="0093257E">
        <w:rPr>
          <w:rFonts w:ascii="Times New Roman" w:hAnsi="Times New Roman" w:cs="Times New Roman"/>
        </w:rPr>
        <w:t xml:space="preserve">nnex I) to vary with each repetition in a realistic manner.  The realism is achieved by carefully assigning an appropriate probability distribution to each uncertain parameter. The choice of probability distribution is guided by theory, the observed variation in the parameter or by expert belief. </w:t>
      </w:r>
      <w:r w:rsidRPr="009E6578">
        <w:rPr>
          <w:rFonts w:ascii="Times New Roman" w:hAnsi="Times New Roman" w:cs="Times New Roman"/>
        </w:rPr>
        <w:t>Xu and others (2010),</w:t>
      </w:r>
      <w:r w:rsidRPr="0093257E">
        <w:rPr>
          <w:rFonts w:ascii="Times New Roman" w:hAnsi="Times New Roman" w:cs="Times New Roman"/>
        </w:rPr>
        <w:t xml:space="preserve"> for example, use a very flexible probability distribution (the beta distribution) to capture expert beliefs in the variability of key mosquito life history parameters, including survival rates and fecundity. Similarly, </w:t>
      </w:r>
      <w:r w:rsidRPr="009E6578">
        <w:rPr>
          <w:rFonts w:ascii="Times New Roman" w:hAnsi="Times New Roman" w:cs="Times New Roman"/>
        </w:rPr>
        <w:t>Hosack and others (2021)</w:t>
      </w:r>
      <w:r w:rsidRPr="0093257E">
        <w:rPr>
          <w:rFonts w:ascii="Times New Roman" w:hAnsi="Times New Roman" w:cs="Times New Roman"/>
        </w:rPr>
        <w:t xml:space="preserve"> used the common (but in this case transformed) normal distribution to capture expert’s beliefs about how the parameters that govern the vector competence of living modified mosquitoes varies as the mosquitoes become increasingly habituated to laboratory conditions.</w:t>
      </w:r>
    </w:p>
    <w:p w14:paraId="16EA382D" w14:textId="13D79A2A"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Probabilistic representations of variability in risk assessment models, and the associated methods necessary to propagate their effect on risk estimates, requires training and a good understanding of probability theory. Analysts wishing to employ these methods in EGD-LMO risk assessment should either complete training in the underlying theory and techniques or seek assistance. </w:t>
      </w:r>
    </w:p>
    <w:p w14:paraId="3279C2BE" w14:textId="77777777" w:rsidR="00B05C91" w:rsidRPr="00510EBB" w:rsidRDefault="00B05C91" w:rsidP="00B05C91">
      <w:pPr>
        <w:pStyle w:val="Heading4"/>
        <w:spacing w:line="276" w:lineRule="auto"/>
        <w:rPr>
          <w:rFonts w:ascii="Times New Roman" w:eastAsia="Times New Roman" w:hAnsi="Times New Roman" w:cs="Times New Roman"/>
          <w:sz w:val="24"/>
          <w:szCs w:val="24"/>
        </w:rPr>
      </w:pPr>
      <w:bookmarkStart w:id="151" w:name="_Toc159410351"/>
      <w:bookmarkStart w:id="152" w:name="_Toc159410774"/>
      <w:bookmarkStart w:id="153" w:name="_Toc160193079"/>
      <w:bookmarkStart w:id="154" w:name="_Toc160202488"/>
      <w:bookmarkStart w:id="155" w:name="_Toc160721449"/>
      <w:bookmarkStart w:id="156" w:name="_Toc160798917"/>
      <w:bookmarkStart w:id="157" w:name="_Toc161220533"/>
      <w:r w:rsidRPr="00510EBB">
        <w:rPr>
          <w:rFonts w:ascii="Times New Roman" w:eastAsia="Times New Roman" w:hAnsi="Times New Roman" w:cs="Times New Roman"/>
          <w:sz w:val="24"/>
          <w:szCs w:val="24"/>
        </w:rPr>
        <w:t>Deep uncertainty and the “unknown unknowns”</w:t>
      </w:r>
      <w:bookmarkEnd w:id="151"/>
      <w:bookmarkEnd w:id="152"/>
      <w:bookmarkEnd w:id="153"/>
      <w:bookmarkEnd w:id="154"/>
      <w:bookmarkEnd w:id="155"/>
      <w:bookmarkEnd w:id="156"/>
      <w:bookmarkEnd w:id="157"/>
    </w:p>
    <w:p w14:paraId="0430D18D" w14:textId="6C7D6E48"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Deep uncertainty arises in situations where epistemic uncertainty or variability is so large that analysts do not know, or the parties to a decision cannot agree on: (</w:t>
      </w:r>
      <w:proofErr w:type="spellStart"/>
      <w:r w:rsidRPr="0093257E">
        <w:rPr>
          <w:rFonts w:ascii="Times New Roman" w:hAnsi="Times New Roman" w:cs="Times New Roman"/>
        </w:rPr>
        <w:t>i</w:t>
      </w:r>
      <w:proofErr w:type="spellEnd"/>
      <w:r w:rsidRPr="0093257E">
        <w:rPr>
          <w:rFonts w:ascii="Times New Roman" w:hAnsi="Times New Roman" w:cs="Times New Roman"/>
        </w:rPr>
        <w:t>) the appropriate models to describe the interactions among a system’s variables; (ii) the probability distributions to represent uncertainty about key variables and parameters in these models; and/or (iii) how to value the desirability of alternative outcomes</w:t>
      </w:r>
      <w:r w:rsidRPr="009E6578">
        <w:rPr>
          <w:rFonts w:ascii="Times New Roman" w:hAnsi="Times New Roman" w:cs="Times New Roman"/>
          <w:color w:val="000000" w:themeColor="text1"/>
        </w:rPr>
        <w:t xml:space="preserve"> </w:t>
      </w:r>
      <w:r w:rsidRPr="007F17D9">
        <w:rPr>
          <w:rFonts w:ascii="Times New Roman" w:hAnsi="Times New Roman" w:cs="Times New Roman"/>
          <w:color w:val="000000" w:themeColor="text1"/>
        </w:rPr>
        <w:t>(Institute of Medicine, 2013).</w:t>
      </w:r>
      <w:r w:rsidRPr="009E6578">
        <w:rPr>
          <w:rFonts w:ascii="Times New Roman" w:hAnsi="Times New Roman" w:cs="Times New Roman"/>
          <w:color w:val="000000" w:themeColor="text1"/>
        </w:rPr>
        <w:t xml:space="preserve"> </w:t>
      </w:r>
      <w:r w:rsidRPr="0093257E">
        <w:rPr>
          <w:rFonts w:ascii="Times New Roman" w:hAnsi="Times New Roman" w:cs="Times New Roman"/>
        </w:rPr>
        <w:t xml:space="preserve">Risk assessment for EGD-LMOs that are designed to spread over large (continental) scales or persist for long (decades) periods of time, may encounter this type of uncertainty. </w:t>
      </w:r>
      <w:r w:rsidRPr="009E6578">
        <w:rPr>
          <w:rFonts w:ascii="Times New Roman" w:hAnsi="Times New Roman" w:cs="Times New Roman"/>
        </w:rPr>
        <w:t>Then and others (2020),</w:t>
      </w:r>
      <w:r w:rsidRPr="0093257E">
        <w:rPr>
          <w:rFonts w:ascii="Times New Roman" w:hAnsi="Times New Roman" w:cs="Times New Roman"/>
        </w:rPr>
        <w:t xml:space="preserve"> for example, argued that the “next generation effects” that may occur when EGD-LMOs replicate with genetically diverse target populations, within complex ecosystems, and effects triggered by genome </w:t>
      </w:r>
      <w:r w:rsidRPr="0093257E">
        <w:rPr>
          <w:rFonts w:ascii="Segoe UI Symbol" w:hAnsi="Segoe UI Symbol" w:cs="Segoe UI Symbol"/>
        </w:rPr>
        <w:t>✕</w:t>
      </w:r>
      <w:r w:rsidRPr="0093257E">
        <w:rPr>
          <w:rFonts w:ascii="Times New Roman" w:hAnsi="Times New Roman" w:cs="Times New Roman"/>
        </w:rPr>
        <w:t xml:space="preserve"> environment interactions, may introduce a high level of uncertainty into EGD-LMO risk assessment.</w:t>
      </w:r>
    </w:p>
    <w:p w14:paraId="5FE3B3DF" w14:textId="0D25AA1F"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Current guidance for addressing deep uncertainty within risk assessment recommends that analysts compare or combine predictions from multiple models that are consistent with available knowledge </w:t>
      </w:r>
      <w:r w:rsidRPr="009E6578">
        <w:rPr>
          <w:rFonts w:ascii="Times New Roman" w:hAnsi="Times New Roman" w:cs="Times New Roman"/>
        </w:rPr>
        <w:t>(Cox, 2012)</w:t>
      </w:r>
      <w:r w:rsidRPr="0093257E">
        <w:rPr>
          <w:rFonts w:ascii="Times New Roman" w:hAnsi="Times New Roman" w:cs="Times New Roman"/>
        </w:rPr>
        <w:t xml:space="preserve">. Alternatively, analysts may use scenario analysis to identify possible future states of the world by describing hypothetical, but conceptually feasible pathways to harm during the problem formulation, and </w:t>
      </w:r>
      <w:proofErr w:type="gramStart"/>
      <w:r w:rsidRPr="0093257E">
        <w:rPr>
          <w:rFonts w:ascii="Times New Roman" w:hAnsi="Times New Roman" w:cs="Times New Roman"/>
        </w:rPr>
        <w:t>through the use of</w:t>
      </w:r>
      <w:proofErr w:type="gramEnd"/>
      <w:r w:rsidRPr="0093257E">
        <w:rPr>
          <w:rFonts w:ascii="Times New Roman" w:hAnsi="Times New Roman" w:cs="Times New Roman"/>
        </w:rPr>
        <w:t xml:space="preserve"> multiple single value – e.g.</w:t>
      </w:r>
      <w:r w:rsidR="00051A02" w:rsidRPr="0093257E">
        <w:rPr>
          <w:rFonts w:ascii="Times New Roman" w:hAnsi="Times New Roman" w:cs="Times New Roman"/>
        </w:rPr>
        <w:t>,</w:t>
      </w:r>
      <w:r w:rsidRPr="0093257E">
        <w:rPr>
          <w:rFonts w:ascii="Times New Roman" w:hAnsi="Times New Roman" w:cs="Times New Roman"/>
        </w:rPr>
        <w:t xml:space="preserve"> best-case/worst-case</w:t>
      </w:r>
      <w:r w:rsidR="002E0FAB">
        <w:rPr>
          <w:rFonts w:ascii="Times New Roman" w:hAnsi="Times New Roman" w:cs="Times New Roman"/>
        </w:rPr>
        <w:t xml:space="preserve"> </w:t>
      </w:r>
      <w:r w:rsidRPr="0093257E">
        <w:rPr>
          <w:rFonts w:ascii="Times New Roman" w:hAnsi="Times New Roman" w:cs="Times New Roman"/>
        </w:rPr>
        <w:t>- or deliberately imprecise – e.g.</w:t>
      </w:r>
      <w:r w:rsidR="00051A02" w:rsidRPr="0093257E">
        <w:rPr>
          <w:rFonts w:ascii="Times New Roman" w:hAnsi="Times New Roman" w:cs="Times New Roman"/>
        </w:rPr>
        <w:t>,</w:t>
      </w:r>
      <w:r w:rsidRPr="0093257E">
        <w:rPr>
          <w:rFonts w:ascii="Times New Roman" w:hAnsi="Times New Roman" w:cs="Times New Roman"/>
        </w:rPr>
        <w:t xml:space="preserve"> order of magnitude </w:t>
      </w:r>
      <w:r w:rsidR="00051A02" w:rsidRPr="0093257E">
        <w:rPr>
          <w:rFonts w:ascii="Times New Roman" w:hAnsi="Times New Roman" w:cs="Times New Roman"/>
        </w:rPr>
        <w:t>–</w:t>
      </w:r>
      <w:r w:rsidRPr="0093257E">
        <w:rPr>
          <w:rFonts w:ascii="Times New Roman" w:hAnsi="Times New Roman" w:cs="Times New Roman"/>
        </w:rPr>
        <w:t xml:space="preserve"> model parameter estimates </w:t>
      </w:r>
      <w:r w:rsidRPr="009E6578">
        <w:rPr>
          <w:rFonts w:ascii="Times New Roman" w:hAnsi="Times New Roman" w:cs="Times New Roman"/>
        </w:rPr>
        <w:t>(Spiegelhalter and Hauke, 2011).</w:t>
      </w:r>
      <w:r w:rsidRPr="0093257E">
        <w:rPr>
          <w:rFonts w:ascii="Times New Roman" w:hAnsi="Times New Roman" w:cs="Times New Roman"/>
        </w:rPr>
        <w:t xml:space="preserve"> The emphasis in these situations may switch away from a reliance on the risk predictions and more towards the identification of risk management strategies that are effective across many (ideally all) scenarios, and towards the identification of post-release monitoring strategies that enable rapid feedback and learning about actual outcomes (Institute of Medicine, 2013).</w:t>
      </w:r>
    </w:p>
    <w:p w14:paraId="3D78698F" w14:textId="2628ABA7"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Risk assessment models typically have many parameters (See </w:t>
      </w:r>
      <w:r w:rsidR="00EC0B77" w:rsidRPr="0093257E">
        <w:rPr>
          <w:rFonts w:ascii="Times New Roman" w:hAnsi="Times New Roman" w:cs="Times New Roman"/>
        </w:rPr>
        <w:t>a</w:t>
      </w:r>
      <w:r w:rsidRPr="0093257E">
        <w:rPr>
          <w:rFonts w:ascii="Times New Roman" w:hAnsi="Times New Roman" w:cs="Times New Roman"/>
        </w:rPr>
        <w:t xml:space="preserve">nnex I) which may be understood to a greater or lesser extent; the variation in fecundity and mortality rates in an EGD-LMO population may be well understood, whereas inter-specific competition coefficients and long-range dispersal rates may be poorly understood. In these circumstances a mixed strategy that combines probabilistic assessments </w:t>
      </w:r>
      <w:r w:rsidRPr="0093257E">
        <w:rPr>
          <w:rFonts w:ascii="Times New Roman" w:hAnsi="Times New Roman" w:cs="Times New Roman"/>
        </w:rPr>
        <w:lastRenderedPageBreak/>
        <w:t>of variability for well characterised parameters, within scenarios that reflect possible best-case/worst-case situations for poorly characterised parameters may be advisable.</w:t>
      </w:r>
    </w:p>
    <w:p w14:paraId="4F76788D" w14:textId="2E99436A" w:rsidR="00B05C91" w:rsidRPr="0093257E" w:rsidRDefault="00B05C91" w:rsidP="00510EBB">
      <w:pPr>
        <w:spacing w:line="276" w:lineRule="auto"/>
        <w:jc w:val="both"/>
        <w:rPr>
          <w:rFonts w:ascii="Times New Roman" w:hAnsi="Times New Roman"/>
        </w:rPr>
      </w:pPr>
      <w:r w:rsidRPr="0093257E">
        <w:rPr>
          <w:rFonts w:ascii="Times New Roman" w:hAnsi="Times New Roman" w:cs="Times New Roman"/>
        </w:rPr>
        <w:t xml:space="preserve">However, there is no operational definition for when a lack of consensus about an appropriate model or the range of values a parameter may take becomes a case of deep uncertainty </w:t>
      </w:r>
      <w:r w:rsidRPr="007F17D9">
        <w:rPr>
          <w:rFonts w:ascii="Times New Roman" w:hAnsi="Times New Roman" w:cs="Times New Roman"/>
          <w:color w:val="000000" w:themeColor="text1"/>
        </w:rPr>
        <w:t>(Institute of Medicine, 2013).</w:t>
      </w:r>
      <w:r w:rsidRPr="009E6578">
        <w:rPr>
          <w:rFonts w:ascii="Times New Roman" w:hAnsi="Times New Roman" w:cs="Times New Roman"/>
          <w:color w:val="000000" w:themeColor="text1"/>
        </w:rPr>
        <w:t xml:space="preserve"> </w:t>
      </w:r>
      <w:r w:rsidRPr="0093257E">
        <w:rPr>
          <w:rFonts w:ascii="Times New Roman" w:hAnsi="Times New Roman" w:cs="Times New Roman"/>
        </w:rPr>
        <w:t xml:space="preserve">Ultimately risk analysts, reviewers and biosafety regulators must judge if the models and parameter estimates used within a risk assessment are plausible, consistent with theory and defensible </w:t>
      </w:r>
      <w:proofErr w:type="gramStart"/>
      <w:r w:rsidRPr="0093257E">
        <w:rPr>
          <w:rFonts w:ascii="Times New Roman" w:hAnsi="Times New Roman" w:cs="Times New Roman"/>
        </w:rPr>
        <w:t>in light of</w:t>
      </w:r>
      <w:proofErr w:type="gramEnd"/>
      <w:r w:rsidRPr="0093257E">
        <w:rPr>
          <w:rFonts w:ascii="Times New Roman" w:hAnsi="Times New Roman" w:cs="Times New Roman"/>
        </w:rPr>
        <w:t xml:space="preserve"> the available evidence base. </w:t>
      </w:r>
    </w:p>
    <w:p w14:paraId="0EFB9EC1" w14:textId="327D078E" w:rsidR="00B05C91" w:rsidRPr="006A51CD" w:rsidRDefault="00B05C91" w:rsidP="00510EBB">
      <w:pPr>
        <w:spacing w:line="276" w:lineRule="auto"/>
        <w:jc w:val="both"/>
        <w:rPr>
          <w:rFonts w:ascii="Times New Roman" w:hAnsi="Times New Roman"/>
          <w:color w:val="FF0000"/>
        </w:rPr>
      </w:pPr>
      <w:r w:rsidRPr="0093257E">
        <w:rPr>
          <w:rFonts w:ascii="Times New Roman" w:hAnsi="Times New Roman" w:cs="Times New Roman"/>
        </w:rPr>
        <w:t xml:space="preserve">Finally, it is important to recognise that a rigorous and systematic analysis of uncertainty within a risk assessment requires specialist skills and computing resources, and the number of </w:t>
      </w:r>
      <w:r w:rsidR="00C91CCE" w:rsidRPr="009E6578">
        <w:rPr>
          <w:rFonts w:ascii="Times New Roman" w:hAnsi="Times New Roman" w:cs="Times New Roman"/>
        </w:rPr>
        <w:t>plausible</w:t>
      </w:r>
      <w:r w:rsidR="00C91CCE">
        <w:rPr>
          <w:rFonts w:ascii="Times New Roman" w:hAnsi="Times New Roman" w:cs="Times New Roman"/>
        </w:rPr>
        <w:t xml:space="preserve"> </w:t>
      </w:r>
      <w:r w:rsidRPr="0093257E">
        <w:rPr>
          <w:rFonts w:ascii="Times New Roman" w:hAnsi="Times New Roman" w:cs="Times New Roman"/>
        </w:rPr>
        <w:t xml:space="preserve">pathways to harm that might be imagined during the problem formulation stage will always be subject to practical constraints. Furthermore, multiple models and scenario analyses cannot protect against the deepest form of uncertainty – the “unknown unknowns” – that is the ignorance that lies beyond the things we know that we don’t know. Current guidance on this topic, however, is very clear: decision makers should understand that </w:t>
      </w:r>
      <w:proofErr w:type="gramStart"/>
      <w:r w:rsidRPr="0093257E">
        <w:rPr>
          <w:rFonts w:ascii="Times New Roman" w:hAnsi="Times New Roman" w:cs="Times New Roman"/>
        </w:rPr>
        <w:t>by definition the</w:t>
      </w:r>
      <w:proofErr w:type="gramEnd"/>
      <w:r w:rsidRPr="0093257E">
        <w:rPr>
          <w:rFonts w:ascii="Times New Roman" w:hAnsi="Times New Roman" w:cs="Times New Roman"/>
        </w:rPr>
        <w:t xml:space="preserve"> “unknown unknowns” can be neither quantified or described in any type of risk assessment and must therefore act accordingly </w:t>
      </w:r>
      <w:r w:rsidRPr="00AE219F">
        <w:rPr>
          <w:rFonts w:ascii="Times New Roman" w:hAnsi="Times New Roman" w:cs="Times New Roman"/>
          <w:color w:val="000000" w:themeColor="text1"/>
        </w:rPr>
        <w:t>(EFSA, 2018).</w:t>
      </w:r>
    </w:p>
    <w:p w14:paraId="66060A4F" w14:textId="77777777" w:rsidR="00B05C91" w:rsidRDefault="00B05C91" w:rsidP="00B05C91">
      <w:pPr>
        <w:pStyle w:val="Default"/>
        <w:spacing w:line="276" w:lineRule="auto"/>
      </w:pPr>
    </w:p>
    <w:p w14:paraId="10C65B62" w14:textId="77777777" w:rsidR="00B05C91" w:rsidRDefault="00B05C91" w:rsidP="00B05C91">
      <w:pPr>
        <w:rPr>
          <w:rFonts w:ascii="Times New Roman" w:eastAsia="Times New Roman" w:hAnsi="Times New Roman" w:cs="Times New Roman"/>
          <w:b/>
          <w:bCs/>
        </w:rPr>
      </w:pPr>
      <w:r>
        <w:rPr>
          <w:rFonts w:ascii="Times New Roman" w:eastAsia="Times New Roman" w:hAnsi="Times New Roman" w:cs="Times New Roman"/>
          <w:b/>
          <w:bCs/>
          <w14:ligatures w14:val="none"/>
        </w:rPr>
        <w:br w:type="page"/>
      </w:r>
    </w:p>
    <w:p w14:paraId="2D694795" w14:textId="6804C28A" w:rsidR="00C37194" w:rsidRDefault="00713833" w:rsidP="00510EBB">
      <w:pPr>
        <w:pStyle w:val="Heading2"/>
        <w:spacing w:line="276" w:lineRule="auto"/>
        <w:rPr>
          <w:rFonts w:ascii="Times New Roman" w:hAnsi="Times New Roman"/>
          <w:b/>
        </w:rPr>
      </w:pPr>
      <w:bookmarkStart w:id="158" w:name="_Toc161220534"/>
      <w:r w:rsidRPr="00510EBB">
        <w:rPr>
          <w:rFonts w:ascii="Times New Roman" w:hAnsi="Times New Roman" w:cs="Times New Roman"/>
          <w:b/>
          <w:color w:val="auto"/>
          <w:sz w:val="28"/>
          <w:szCs w:val="28"/>
          <w:lang w:val="en-GB"/>
        </w:rPr>
        <w:lastRenderedPageBreak/>
        <w:t xml:space="preserve">Annex </w:t>
      </w:r>
      <w:r w:rsidR="0093257E">
        <w:rPr>
          <w:rFonts w:ascii="Times New Roman" w:hAnsi="Times New Roman" w:cs="Times New Roman"/>
          <w:b/>
          <w:bCs/>
          <w:color w:val="auto"/>
          <w:sz w:val="28"/>
          <w:szCs w:val="28"/>
          <w:lang w:val="en-GB"/>
        </w:rPr>
        <w:t>III</w:t>
      </w:r>
      <w:bookmarkEnd w:id="158"/>
    </w:p>
    <w:p w14:paraId="3AEBF931" w14:textId="3765E185" w:rsidR="00C37194" w:rsidRPr="00510EBB" w:rsidRDefault="0093257E" w:rsidP="00C37194">
      <w:pPr>
        <w:rPr>
          <w:rFonts w:ascii="Times New Roman" w:hAnsi="Times New Roman"/>
          <w:b/>
          <w:sz w:val="28"/>
          <w:szCs w:val="28"/>
        </w:rPr>
      </w:pPr>
      <w:r w:rsidRPr="00510EBB">
        <w:rPr>
          <w:rFonts w:ascii="Times New Roman" w:hAnsi="Times New Roman"/>
          <w:b/>
          <w:sz w:val="28"/>
          <w:szCs w:val="28"/>
        </w:rPr>
        <w:t xml:space="preserve">World Health Organisation </w:t>
      </w:r>
      <w:r w:rsidR="006D2CAC" w:rsidRPr="00510EBB">
        <w:rPr>
          <w:rFonts w:ascii="Times New Roman" w:hAnsi="Times New Roman"/>
          <w:b/>
          <w:sz w:val="28"/>
          <w:szCs w:val="28"/>
        </w:rPr>
        <w:t xml:space="preserve">Guidance </w:t>
      </w:r>
      <w:r w:rsidR="00A112CA" w:rsidRPr="00510EBB">
        <w:rPr>
          <w:rFonts w:ascii="Times New Roman" w:hAnsi="Times New Roman"/>
          <w:b/>
          <w:sz w:val="28"/>
          <w:szCs w:val="28"/>
        </w:rPr>
        <w:t>f</w:t>
      </w:r>
      <w:r w:rsidR="006D2CAC" w:rsidRPr="00510EBB">
        <w:rPr>
          <w:rFonts w:ascii="Times New Roman" w:hAnsi="Times New Roman"/>
          <w:b/>
          <w:sz w:val="28"/>
          <w:szCs w:val="28"/>
        </w:rPr>
        <w:t xml:space="preserve">ramework for </w:t>
      </w:r>
      <w:r w:rsidR="00A112CA" w:rsidRPr="00510EBB">
        <w:rPr>
          <w:rFonts w:ascii="Times New Roman" w:hAnsi="Times New Roman"/>
          <w:b/>
          <w:sz w:val="28"/>
          <w:szCs w:val="28"/>
        </w:rPr>
        <w:t>testing genetically modified mosquitoes</w:t>
      </w:r>
    </w:p>
    <w:p w14:paraId="33C55D44" w14:textId="09FC0F9C" w:rsidR="00C37194" w:rsidRPr="00A8752C" w:rsidRDefault="00C37194" w:rsidP="00510EBB">
      <w:pPr>
        <w:spacing w:line="276" w:lineRule="auto"/>
        <w:jc w:val="both"/>
        <w:rPr>
          <w:rFonts w:ascii="Times New Roman" w:hAnsi="Times New Roman" w:cs="Times New Roman"/>
        </w:rPr>
      </w:pPr>
      <w:r w:rsidRPr="00A8752C">
        <w:rPr>
          <w:rFonts w:ascii="Times New Roman" w:hAnsi="Times New Roman" w:cs="Times New Roman"/>
        </w:rPr>
        <w:t xml:space="preserve">The WHO published, the second edition of its ‘Guidance framework for testing genetically modified mosquitoes’ </w:t>
      </w:r>
      <w:r w:rsidRPr="007F17D9">
        <w:rPr>
          <w:rFonts w:ascii="Times New Roman" w:hAnsi="Times New Roman" w:cs="Times New Roman"/>
          <w:color w:val="000000" w:themeColor="text1"/>
        </w:rPr>
        <w:fldChar w:fldCharType="begin"/>
      </w:r>
      <w:r w:rsidRPr="009E6578">
        <w:rPr>
          <w:rFonts w:ascii="Times New Roman" w:hAnsi="Times New Roman" w:cs="Times New Roman"/>
          <w:color w:val="000000" w:themeColor="text1"/>
          <w:highlight w:val="red"/>
        </w:rPr>
        <w:instrText xml:space="preserve"> ADDIN EN.CITE &lt;EndNote&gt;&lt;Cite&gt;&lt;Author&gt;WHO&lt;/Author&gt;&lt;Year&gt;2021&lt;/Year&gt;&lt;RecNum&gt;22719&lt;/RecNum&gt;&lt;DisplayText&gt;(WHO, 2021)&lt;/DisplayText&gt;&lt;record&gt;&lt;rec-number&gt;22719&lt;/rec-number&gt;&lt;foreign-keys&gt;&lt;key app="EN" db-id="sxd2rda5xvs0soe2z0459vtoft2tr205a0p0" timestamp="1629222583" guid="dc923230-9050-4c02-a501-ffe30279eead"&gt;22719&lt;/key&gt;&lt;/foreign-keys&gt;&lt;ref-type name="Report"&gt;27&lt;/ref-type&gt;&lt;contributors&gt;&lt;authors&gt;&lt;author&gt;WHO&lt;/author&gt;&lt;/authors&gt;&lt;/contributors&gt;&lt;titles&gt;&lt;title&gt;Guidance framework for testing genetically modified mosquitoes, second edition.&lt;/title&gt;&lt;/titles&gt;&lt;dates&gt;&lt;year&gt;2021&lt;/year&gt;&lt;/dates&gt;&lt;pub-location&gt;Geneva&lt;/pub-location&gt;&lt;publisher&gt;World Health Organization&lt;/publisher&gt;&lt;urls&gt;&lt;related-urls&gt;&lt;url&gt;https://ahpsr.who.int/publications/i/item/guidance-framework-for-testing-genetically-modified-mosquitoes-2nd-edition&lt;/url&gt;&lt;/related-urls&gt;&lt;/urls&gt;&lt;/record&gt;&lt;/Cite&gt;&lt;/EndNote&gt;</w:instrText>
      </w:r>
      <w:r w:rsidRPr="007F17D9">
        <w:rPr>
          <w:rFonts w:ascii="Times New Roman" w:hAnsi="Times New Roman" w:cs="Times New Roman"/>
          <w:color w:val="000000" w:themeColor="text1"/>
        </w:rPr>
        <w:fldChar w:fldCharType="separate"/>
      </w:r>
      <w:r w:rsidRPr="007F17D9">
        <w:rPr>
          <w:rFonts w:ascii="Times New Roman" w:hAnsi="Times New Roman" w:cs="Times New Roman"/>
          <w:color w:val="000000" w:themeColor="text1"/>
        </w:rPr>
        <w:t>(WHO)</w:t>
      </w:r>
      <w:r w:rsidRPr="007F17D9">
        <w:rPr>
          <w:rFonts w:ascii="Times New Roman" w:hAnsi="Times New Roman" w:cs="Times New Roman"/>
          <w:color w:val="000000" w:themeColor="text1"/>
        </w:rPr>
        <w:fldChar w:fldCharType="end"/>
      </w:r>
      <w:r w:rsidRPr="007F17D9">
        <w:rPr>
          <w:rFonts w:ascii="Times New Roman" w:hAnsi="Times New Roman" w:cs="Times New Roman"/>
          <w:color w:val="000000" w:themeColor="text1"/>
        </w:rPr>
        <w:t>, in</w:t>
      </w:r>
      <w:r w:rsidRPr="009E6578">
        <w:rPr>
          <w:rFonts w:ascii="Times New Roman" w:hAnsi="Times New Roman" w:cs="Times New Roman"/>
          <w:color w:val="000000" w:themeColor="text1"/>
        </w:rPr>
        <w:t xml:space="preserve"> </w:t>
      </w:r>
      <w:r w:rsidRPr="00A8752C">
        <w:rPr>
          <w:rFonts w:ascii="Times New Roman" w:hAnsi="Times New Roman" w:cs="Times New Roman"/>
        </w:rPr>
        <w:t>which it refers to LMMs as “genetically modified mosquitoes (GMMs)” and to EG</w:t>
      </w:r>
      <w:r w:rsidR="00F85ABF">
        <w:rPr>
          <w:rFonts w:ascii="Times New Roman" w:hAnsi="Times New Roman" w:cs="Times New Roman"/>
        </w:rPr>
        <w:t>D</w:t>
      </w:r>
      <w:r w:rsidRPr="00A8752C">
        <w:rPr>
          <w:rFonts w:ascii="Times New Roman" w:hAnsi="Times New Roman" w:cs="Times New Roman"/>
        </w:rPr>
        <w:t>-LMMs as “gene drive modified mosquitoes (GDMMs)”. The WHO recommends that a safety criterion for moving an EG</w:t>
      </w:r>
      <w:r w:rsidR="00F85ABF">
        <w:rPr>
          <w:rFonts w:ascii="Times New Roman" w:hAnsi="Times New Roman" w:cs="Times New Roman"/>
        </w:rPr>
        <w:t>D</w:t>
      </w:r>
      <w:r w:rsidRPr="00A8752C">
        <w:rPr>
          <w:rFonts w:ascii="Times New Roman" w:hAnsi="Times New Roman" w:cs="Times New Roman"/>
        </w:rPr>
        <w:t>-LMM from laboratory to field testing is “a well-reasoned justification that the GDMMs will do no more harm to human health than wild mosquitoes of the same genetic background and no more harm to the ecosystem than other conventional vector control interventions.” (</w:t>
      </w:r>
      <w:r w:rsidR="009E6578" w:rsidRPr="007F17D9">
        <w:rPr>
          <w:rFonts w:ascii="Times New Roman" w:hAnsi="Times New Roman" w:cs="Times New Roman"/>
        </w:rPr>
        <w:t>WHO, 2021</w:t>
      </w:r>
      <w:r w:rsidR="007F17D9" w:rsidRPr="007F17D9">
        <w:rPr>
          <w:rFonts w:ascii="Times New Roman" w:hAnsi="Times New Roman" w:cs="Times New Roman"/>
        </w:rPr>
        <w:t>b</w:t>
      </w:r>
      <w:r w:rsidR="009E6578" w:rsidRPr="007F17D9">
        <w:rPr>
          <w:rFonts w:ascii="Times New Roman" w:hAnsi="Times New Roman" w:cs="Times New Roman"/>
        </w:rPr>
        <w:t>,</w:t>
      </w:r>
      <w:r w:rsidR="009E6578">
        <w:rPr>
          <w:rFonts w:ascii="Times New Roman" w:hAnsi="Times New Roman" w:cs="Times New Roman"/>
        </w:rPr>
        <w:t xml:space="preserve"> </w:t>
      </w:r>
      <w:r w:rsidRPr="00A8752C">
        <w:rPr>
          <w:rFonts w:ascii="Times New Roman" w:hAnsi="Times New Roman" w:cs="Times New Roman"/>
        </w:rPr>
        <w:t xml:space="preserve">section 3.7).  </w:t>
      </w:r>
    </w:p>
    <w:p w14:paraId="1B08DF47" w14:textId="6DA45A67" w:rsidR="00C37194" w:rsidRPr="00573975" w:rsidRDefault="00C37194" w:rsidP="00573975">
      <w:pPr>
        <w:pStyle w:val="Para1"/>
        <w:numPr>
          <w:ilvl w:val="0"/>
          <w:numId w:val="0"/>
        </w:numPr>
        <w:spacing w:before="0" w:after="160" w:line="276" w:lineRule="auto"/>
      </w:pPr>
      <w:r w:rsidRPr="00573975">
        <w:rPr>
          <w:rFonts w:eastAsiaTheme="minorHAnsi"/>
          <w:szCs w:val="22"/>
          <w14:ligatures w14:val="standardContextual"/>
        </w:rPr>
        <w:t>As a matter of comparison (the use of EGD-LMO is not a biological control approach), the WHO points out that a biologically relevant precedent already exists in trials of biological control agents, which also are expected to spread and persist in the environment, are capable of transboundary movement, and, moreover, cannot be recalled once released (</w:t>
      </w:r>
      <w:r w:rsidR="009E6578" w:rsidRPr="007F17D9">
        <w:t>WHO, 2021</w:t>
      </w:r>
      <w:r w:rsidR="007F17D9">
        <w:t>b</w:t>
      </w:r>
      <w:r w:rsidR="009E6578" w:rsidRPr="007F17D9">
        <w:t>,</w:t>
      </w:r>
      <w:r w:rsidR="009E6578">
        <w:t xml:space="preserve"> </w:t>
      </w:r>
      <w:r w:rsidRPr="00573975">
        <w:rPr>
          <w:rFonts w:eastAsiaTheme="minorHAnsi"/>
          <w:szCs w:val="22"/>
          <w14:ligatures w14:val="standardContextual"/>
        </w:rPr>
        <w:t>section 5.3.5). Before the field release of biological control agents, the International Plant Protection Convention, overseen by the Food and Agricultural Organization of the United Nations, advocates rigorous science-based environmental risk assessment based on International Standards for Phytosanitary Measures</w:t>
      </w:r>
      <w:r w:rsidR="00D2077D">
        <w:rPr>
          <w:rFonts w:eastAsiaTheme="minorHAnsi"/>
          <w:szCs w:val="22"/>
          <w14:ligatures w14:val="standardContextual"/>
        </w:rPr>
        <w:t>.</w:t>
      </w:r>
      <w:r w:rsidRPr="00573975">
        <w:rPr>
          <w:rFonts w:eastAsiaTheme="minorHAnsi"/>
          <w:szCs w:val="22"/>
          <w14:ligatures w14:val="standardContextual"/>
        </w:rPr>
        <w:t xml:space="preserve"> </w:t>
      </w:r>
      <w:r w:rsidR="00D2077D">
        <w:rPr>
          <w:rFonts w:eastAsiaTheme="minorHAnsi"/>
          <w:szCs w:val="22"/>
          <w14:ligatures w14:val="standardContextual"/>
        </w:rPr>
        <w:t>N</w:t>
      </w:r>
      <w:r w:rsidRPr="00573975">
        <w:rPr>
          <w:rFonts w:eastAsiaTheme="minorHAnsi"/>
          <w:szCs w:val="22"/>
          <w14:ligatures w14:val="standardContextual"/>
        </w:rPr>
        <w:t xml:space="preserve">umerous jurisdictions have established national regulatory systems based on this approach. </w:t>
      </w:r>
    </w:p>
    <w:p w14:paraId="113E18EE" w14:textId="552D09CB" w:rsidR="00C37194" w:rsidRPr="00ED5E25" w:rsidRDefault="00C37194" w:rsidP="00510EBB">
      <w:pPr>
        <w:spacing w:line="276" w:lineRule="auto"/>
        <w:jc w:val="both"/>
        <w:rPr>
          <w:rFonts w:ascii="Times New Roman" w:hAnsi="Times New Roman"/>
          <w:bCs/>
          <w:iCs/>
        </w:rPr>
      </w:pPr>
      <w:r w:rsidRPr="00A8752C">
        <w:rPr>
          <w:rFonts w:ascii="Times New Roman" w:hAnsi="Times New Roman" w:cs="Times New Roman"/>
        </w:rPr>
        <w:t xml:space="preserve">Here, a relevant example of field release of biological control agent that also involved transboundary movement is the release of the neotropical </w:t>
      </w:r>
      <w:proofErr w:type="spellStart"/>
      <w:r w:rsidRPr="00A8752C">
        <w:rPr>
          <w:rFonts w:ascii="Times New Roman" w:hAnsi="Times New Roman" w:cs="Times New Roman"/>
        </w:rPr>
        <w:t>parasitoid</w:t>
      </w:r>
      <w:proofErr w:type="spellEnd"/>
      <w:r w:rsidRPr="00A8752C">
        <w:rPr>
          <w:rFonts w:ascii="Times New Roman" w:hAnsi="Times New Roman" w:cs="Times New Roman"/>
        </w:rPr>
        <w:t> </w:t>
      </w:r>
      <w:proofErr w:type="spellStart"/>
      <w:r w:rsidRPr="00A8752C">
        <w:rPr>
          <w:rFonts w:ascii="Times New Roman" w:hAnsi="Times New Roman" w:cs="Times New Roman"/>
        </w:rPr>
        <w:t>Apoanagyrus</w:t>
      </w:r>
      <w:proofErr w:type="spellEnd"/>
      <w:r w:rsidRPr="00A8752C">
        <w:rPr>
          <w:rFonts w:ascii="Times New Roman" w:hAnsi="Times New Roman" w:cs="Times New Roman"/>
        </w:rPr>
        <w:t xml:space="preserve"> (</w:t>
      </w:r>
      <w:proofErr w:type="spellStart"/>
      <w:r w:rsidRPr="00A8752C">
        <w:rPr>
          <w:rFonts w:ascii="Times New Roman" w:hAnsi="Times New Roman" w:cs="Times New Roman"/>
          <w:i/>
        </w:rPr>
        <w:t>Epidinocarsis</w:t>
      </w:r>
      <w:proofErr w:type="spellEnd"/>
      <w:r w:rsidRPr="00A8752C">
        <w:rPr>
          <w:rFonts w:ascii="Times New Roman" w:hAnsi="Times New Roman" w:cs="Times New Roman"/>
        </w:rPr>
        <w:t xml:space="preserve">) </w:t>
      </w:r>
      <w:proofErr w:type="spellStart"/>
      <w:r w:rsidRPr="00957376">
        <w:rPr>
          <w:rFonts w:ascii="Times New Roman" w:hAnsi="Times New Roman" w:cs="Times New Roman"/>
          <w:i/>
        </w:rPr>
        <w:t>lopezi</w:t>
      </w:r>
      <w:proofErr w:type="spellEnd"/>
      <w:r w:rsidRPr="00957376">
        <w:rPr>
          <w:rFonts w:ascii="Times New Roman" w:hAnsi="Times New Roman" w:cs="Times New Roman"/>
          <w:i/>
        </w:rPr>
        <w:t> </w:t>
      </w:r>
      <w:r w:rsidRPr="00A8752C">
        <w:rPr>
          <w:rFonts w:ascii="Times New Roman" w:hAnsi="Times New Roman" w:cs="Times New Roman"/>
        </w:rPr>
        <w:t xml:space="preserve">(Hymenoptera: </w:t>
      </w:r>
      <w:proofErr w:type="spellStart"/>
      <w:r w:rsidRPr="00A8752C">
        <w:rPr>
          <w:rFonts w:ascii="Times New Roman" w:hAnsi="Times New Roman" w:cs="Times New Roman"/>
        </w:rPr>
        <w:t>Encyrtidae</w:t>
      </w:r>
      <w:proofErr w:type="spellEnd"/>
      <w:r w:rsidRPr="00A8752C">
        <w:rPr>
          <w:rFonts w:ascii="Times New Roman" w:hAnsi="Times New Roman" w:cs="Times New Roman"/>
        </w:rPr>
        <w:t xml:space="preserve">) from South America in 22 countries in Africa to successfully control the damaging accidental introduction of the cassava mealybug </w:t>
      </w:r>
      <w:proofErr w:type="spellStart"/>
      <w:r w:rsidRPr="00A8752C">
        <w:rPr>
          <w:rFonts w:ascii="Times New Roman" w:hAnsi="Times New Roman" w:cs="Times New Roman"/>
          <w:i/>
        </w:rPr>
        <w:t>Phenacoccus</w:t>
      </w:r>
      <w:proofErr w:type="spellEnd"/>
      <w:r w:rsidRPr="00A8752C">
        <w:rPr>
          <w:rFonts w:ascii="Times New Roman" w:hAnsi="Times New Roman" w:cs="Times New Roman"/>
          <w:i/>
        </w:rPr>
        <w:t xml:space="preserve"> </w:t>
      </w:r>
      <w:proofErr w:type="spellStart"/>
      <w:r w:rsidRPr="00A8752C">
        <w:rPr>
          <w:rFonts w:ascii="Times New Roman" w:hAnsi="Times New Roman" w:cs="Times New Roman"/>
          <w:i/>
        </w:rPr>
        <w:t>manihoti</w:t>
      </w:r>
      <w:proofErr w:type="spellEnd"/>
      <w:r w:rsidRPr="00A8752C">
        <w:rPr>
          <w:rFonts w:ascii="Times New Roman" w:hAnsi="Times New Roman" w:cs="Times New Roman"/>
        </w:rPr>
        <w:t xml:space="preserve">. In a similar vein, in Australia, Vietnam, and Indonesia, rigorous environmental risk assessment was conducted ahead of studies in the field of Wolbachia-infected </w:t>
      </w:r>
      <w:r w:rsidRPr="00A8752C">
        <w:rPr>
          <w:rFonts w:ascii="Times New Roman" w:hAnsi="Times New Roman" w:cs="Times New Roman"/>
          <w:i/>
        </w:rPr>
        <w:t>Aedes aegypti</w:t>
      </w:r>
      <w:r w:rsidRPr="00A8752C">
        <w:rPr>
          <w:rFonts w:ascii="Times New Roman" w:hAnsi="Times New Roman" w:cs="Times New Roman"/>
        </w:rPr>
        <w:t xml:space="preserve"> which, although not regulated as GMMs, were incapable of being recalled once released into the environment (</w:t>
      </w:r>
      <w:r w:rsidRPr="007F17D9">
        <w:rPr>
          <w:rFonts w:ascii="Times New Roman" w:hAnsi="Times New Roman" w:cs="Times New Roman"/>
        </w:rPr>
        <w:t>WHO</w:t>
      </w:r>
      <w:r w:rsidR="00096A98" w:rsidRPr="007F17D9">
        <w:rPr>
          <w:rFonts w:ascii="Times New Roman" w:hAnsi="Times New Roman" w:cs="Times New Roman"/>
        </w:rPr>
        <w:t>,</w:t>
      </w:r>
      <w:r w:rsidRPr="007F17D9">
        <w:rPr>
          <w:rFonts w:ascii="Times New Roman" w:hAnsi="Times New Roman" w:cs="Times New Roman"/>
        </w:rPr>
        <w:t xml:space="preserve"> 2021</w:t>
      </w:r>
      <w:r w:rsidR="007F17D9">
        <w:rPr>
          <w:rFonts w:ascii="Times New Roman" w:hAnsi="Times New Roman" w:cs="Times New Roman"/>
        </w:rPr>
        <w:t>b</w:t>
      </w:r>
      <w:r w:rsidRPr="007F17D9">
        <w:rPr>
          <w:rFonts w:ascii="Times New Roman" w:hAnsi="Times New Roman" w:cs="Times New Roman"/>
        </w:rPr>
        <w:t>).</w:t>
      </w:r>
      <w:r w:rsidRPr="00A8752C">
        <w:rPr>
          <w:rFonts w:ascii="Times New Roman" w:hAnsi="Times New Roman" w:cs="Times New Roman"/>
        </w:rPr>
        <w:t xml:space="preserve"> Note that for an introduced </w:t>
      </w:r>
      <w:r w:rsidRPr="00A8752C">
        <w:rPr>
          <w:rFonts w:ascii="Times New Roman" w:hAnsi="Times New Roman" w:cs="Times New Roman"/>
          <w:i/>
        </w:rPr>
        <w:t>Wolbachia</w:t>
      </w:r>
      <w:r w:rsidRPr="00A8752C">
        <w:rPr>
          <w:rFonts w:ascii="Times New Roman" w:hAnsi="Times New Roman" w:cs="Times New Roman"/>
        </w:rPr>
        <w:t xml:space="preserve">, in principle it could be ‘recalled’ returning to the initially uninfected state by a ‘swamping’ strategy bringing the infection frequency below a given </w:t>
      </w:r>
      <w:proofErr w:type="gramStart"/>
      <w:r w:rsidRPr="00A8752C">
        <w:rPr>
          <w:rFonts w:ascii="Times New Roman" w:hAnsi="Times New Roman" w:cs="Times New Roman"/>
        </w:rPr>
        <w:t>threshold</w:t>
      </w:r>
      <w:proofErr w:type="gramEnd"/>
      <w:r w:rsidRPr="00A8752C">
        <w:rPr>
          <w:rFonts w:ascii="Times New Roman" w:hAnsi="Times New Roman" w:cs="Times New Roman"/>
        </w:rPr>
        <w:t xml:space="preserve"> but this seems implausible except for small and isolated populations </w:t>
      </w:r>
      <w:r w:rsidRPr="009E6578">
        <w:rPr>
          <w:rFonts w:ascii="Times New Roman" w:hAnsi="Times New Roman" w:cs="Times New Roman"/>
        </w:rPr>
        <w:t>(</w:t>
      </w:r>
      <w:proofErr w:type="spellStart"/>
      <w:r w:rsidRPr="009E6578">
        <w:rPr>
          <w:rFonts w:ascii="Times New Roman" w:hAnsi="Times New Roman" w:cs="Times New Roman"/>
        </w:rPr>
        <w:t>Turelli</w:t>
      </w:r>
      <w:proofErr w:type="spellEnd"/>
      <w:r w:rsidRPr="009E6578">
        <w:rPr>
          <w:rFonts w:ascii="Times New Roman" w:hAnsi="Times New Roman" w:cs="Times New Roman"/>
        </w:rPr>
        <w:t xml:space="preserve"> </w:t>
      </w:r>
      <w:r w:rsidR="000424E7" w:rsidRPr="009E6578">
        <w:rPr>
          <w:rFonts w:ascii="Times New Roman" w:hAnsi="Times New Roman" w:cs="Times New Roman"/>
        </w:rPr>
        <w:t>and</w:t>
      </w:r>
      <w:r w:rsidRPr="009E6578">
        <w:rPr>
          <w:rFonts w:ascii="Times New Roman" w:hAnsi="Times New Roman" w:cs="Times New Roman"/>
        </w:rPr>
        <w:t xml:space="preserve"> Barton, 2017</w:t>
      </w:r>
      <w:r w:rsidRPr="00A8752C">
        <w:rPr>
          <w:rFonts w:ascii="Times New Roman" w:hAnsi="Times New Roman" w:cs="Times New Roman"/>
        </w:rPr>
        <w:t>).</w:t>
      </w:r>
    </w:p>
    <w:p w14:paraId="164F2886" w14:textId="3D42AC5B" w:rsidR="00C37194" w:rsidRPr="00E37D7D" w:rsidRDefault="00C37194" w:rsidP="00510EBB">
      <w:pPr>
        <w:spacing w:line="276" w:lineRule="auto"/>
        <w:jc w:val="both"/>
        <w:rPr>
          <w:rFonts w:ascii="Times New Roman" w:hAnsi="Times New Roman" w:cs="Times New Roman"/>
          <w:color w:val="FF0000"/>
        </w:rPr>
      </w:pPr>
      <w:r w:rsidRPr="00A8752C">
        <w:rPr>
          <w:rFonts w:ascii="Times New Roman" w:hAnsi="Times New Roman" w:cs="Times New Roman"/>
        </w:rPr>
        <w:t xml:space="preserve">The WHO sees environmental risk assessment ahead of any proposed field releases as essential, recognizing that this would occur at institutional and national levels, and is typically underpinned by national biosafety legislation that, in the case of 172 countries, is itself derived from the Cartagena Protocol on Biosafety to the Convention on Biological Diversity </w:t>
      </w:r>
      <w:r w:rsidRPr="007F17D9">
        <w:rPr>
          <w:rFonts w:ascii="Times New Roman" w:hAnsi="Times New Roman" w:cs="Times New Roman"/>
        </w:rPr>
        <w:t>(WHO</w:t>
      </w:r>
      <w:r w:rsidR="002B3E4D" w:rsidRPr="007F17D9">
        <w:rPr>
          <w:rFonts w:ascii="Times New Roman" w:hAnsi="Times New Roman" w:cs="Times New Roman"/>
        </w:rPr>
        <w:t>,</w:t>
      </w:r>
      <w:r w:rsidRPr="007F17D9">
        <w:rPr>
          <w:rFonts w:ascii="Times New Roman" w:hAnsi="Times New Roman" w:cs="Times New Roman"/>
        </w:rPr>
        <w:t xml:space="preserve"> 2021</w:t>
      </w:r>
      <w:r w:rsidR="007F17D9" w:rsidRPr="007F17D9">
        <w:rPr>
          <w:rFonts w:ascii="Times New Roman" w:hAnsi="Times New Roman" w:cs="Times New Roman"/>
        </w:rPr>
        <w:t>b</w:t>
      </w:r>
      <w:r w:rsidR="002B3E4D" w:rsidRPr="007F17D9">
        <w:rPr>
          <w:rFonts w:ascii="Times New Roman" w:hAnsi="Times New Roman" w:cs="Times New Roman"/>
        </w:rPr>
        <w:t>,</w:t>
      </w:r>
      <w:r w:rsidRPr="007F17D9">
        <w:rPr>
          <w:rFonts w:ascii="Times New Roman" w:hAnsi="Times New Roman" w:cs="Times New Roman"/>
        </w:rPr>
        <w:t xml:space="preserve"> section 5).</w:t>
      </w:r>
      <w:r w:rsidRPr="00A8752C">
        <w:rPr>
          <w:rFonts w:ascii="Times New Roman" w:hAnsi="Times New Roman" w:cs="Times New Roman"/>
        </w:rPr>
        <w:t xml:space="preserve"> In the context of self-sustaining, non-localizing, low-threshold GDMMs, the WHO advises that considerations to move from physically confined indoor testing to field testing involve (</w:t>
      </w:r>
      <w:proofErr w:type="spellStart"/>
      <w:r w:rsidRPr="00A8752C">
        <w:rPr>
          <w:rFonts w:ascii="Times New Roman" w:hAnsi="Times New Roman" w:cs="Times New Roman"/>
        </w:rPr>
        <w:t>i</w:t>
      </w:r>
      <w:proofErr w:type="spellEnd"/>
      <w:r w:rsidRPr="00A8752C">
        <w:rPr>
          <w:rFonts w:ascii="Times New Roman" w:hAnsi="Times New Roman" w:cs="Times New Roman"/>
        </w:rPr>
        <w:t xml:space="preserve">) thorough environmental risk assessment informed by laboratory and insectary trials of the gene drive mosquitoes, (ii) entomological, epidemiological, and ecological data from the proposed field locations and (iii) mathematical modelling simulating the behaviour of the gene drive system at the field location </w:t>
      </w:r>
      <w:r w:rsidRPr="007F17D9">
        <w:rPr>
          <w:rFonts w:ascii="Times New Roman" w:hAnsi="Times New Roman" w:cs="Times New Roman"/>
          <w:color w:val="000000" w:themeColor="text1"/>
        </w:rPr>
        <w:t>(</w:t>
      </w:r>
      <w:r w:rsidR="00DD5943" w:rsidRPr="007F17D9">
        <w:rPr>
          <w:rFonts w:ascii="Times New Roman" w:hAnsi="Times New Roman" w:cs="Times New Roman"/>
          <w:color w:val="000000" w:themeColor="text1"/>
        </w:rPr>
        <w:t>WHO, 2021</w:t>
      </w:r>
      <w:r w:rsidR="007F17D9" w:rsidRPr="007F17D9">
        <w:rPr>
          <w:rFonts w:ascii="Times New Roman" w:hAnsi="Times New Roman" w:cs="Times New Roman"/>
          <w:color w:val="000000" w:themeColor="text1"/>
        </w:rPr>
        <w:t>b</w:t>
      </w:r>
      <w:r w:rsidR="00E62F12" w:rsidRPr="007F17D9">
        <w:rPr>
          <w:rFonts w:ascii="Times New Roman" w:hAnsi="Times New Roman" w:cs="Times New Roman"/>
          <w:color w:val="000000" w:themeColor="text1"/>
        </w:rPr>
        <w:t xml:space="preserve">, </w:t>
      </w:r>
      <w:r w:rsidRPr="007F17D9">
        <w:rPr>
          <w:rFonts w:ascii="Times New Roman" w:hAnsi="Times New Roman" w:cs="Times New Roman"/>
          <w:color w:val="000000" w:themeColor="text1"/>
        </w:rPr>
        <w:t>section 1.5.1).</w:t>
      </w:r>
      <w:r w:rsidRPr="009E6578">
        <w:rPr>
          <w:rFonts w:ascii="Times New Roman" w:hAnsi="Times New Roman" w:cs="Times New Roman"/>
          <w:color w:val="000000" w:themeColor="text1"/>
        </w:rPr>
        <w:t xml:space="preserve"> </w:t>
      </w:r>
    </w:p>
    <w:p w14:paraId="75D249C9" w14:textId="77777777" w:rsidR="00C37194" w:rsidRDefault="00C37194" w:rsidP="00C37194">
      <w:pPr>
        <w:rPr>
          <w:rFonts w:ascii="Times New Roman" w:hAnsi="Times New Roman"/>
          <w:b/>
        </w:rPr>
      </w:pPr>
      <w:r>
        <w:rPr>
          <w:rFonts w:ascii="Times New Roman" w:hAnsi="Times New Roman"/>
          <w:b/>
        </w:rPr>
        <w:br w:type="page"/>
      </w:r>
    </w:p>
    <w:p w14:paraId="65FDFEF7" w14:textId="35FBDC21" w:rsidR="00710BB4" w:rsidRPr="00510EBB" w:rsidRDefault="0061441F" w:rsidP="00510EBB">
      <w:pPr>
        <w:pStyle w:val="Heading2"/>
        <w:spacing w:line="276" w:lineRule="auto"/>
        <w:rPr>
          <w:rFonts w:ascii="Times New Roman" w:hAnsi="Times New Roman" w:cs="Times New Roman"/>
          <w:b/>
          <w:color w:val="auto"/>
          <w:sz w:val="28"/>
          <w:szCs w:val="28"/>
          <w:lang w:val="en-GB"/>
        </w:rPr>
      </w:pPr>
      <w:bookmarkStart w:id="159" w:name="_Toc161220535"/>
      <w:r w:rsidRPr="00510EBB">
        <w:rPr>
          <w:rFonts w:ascii="Times New Roman" w:hAnsi="Times New Roman" w:cs="Times New Roman"/>
          <w:b/>
          <w:color w:val="auto"/>
          <w:sz w:val="28"/>
          <w:szCs w:val="28"/>
          <w:lang w:val="en-GB"/>
        </w:rPr>
        <w:lastRenderedPageBreak/>
        <w:t xml:space="preserve">Annex </w:t>
      </w:r>
      <w:r w:rsidR="00710BB4" w:rsidRPr="00510EBB">
        <w:rPr>
          <w:rFonts w:ascii="Times New Roman" w:hAnsi="Times New Roman" w:cs="Times New Roman"/>
          <w:b/>
          <w:bCs/>
          <w:color w:val="auto"/>
          <w:sz w:val="28"/>
          <w:szCs w:val="28"/>
          <w:lang w:val="en-GB"/>
        </w:rPr>
        <w:t>IV</w:t>
      </w:r>
      <w:bookmarkEnd w:id="159"/>
      <w:r w:rsidR="00C37194" w:rsidRPr="00510EBB">
        <w:rPr>
          <w:rFonts w:ascii="Times New Roman" w:hAnsi="Times New Roman" w:cs="Times New Roman"/>
          <w:b/>
          <w:color w:val="auto"/>
          <w:sz w:val="28"/>
          <w:szCs w:val="28"/>
          <w:lang w:val="en-GB"/>
        </w:rPr>
        <w:t xml:space="preserve"> </w:t>
      </w:r>
    </w:p>
    <w:p w14:paraId="1599DBA7" w14:textId="587D9D07" w:rsidR="00C37194" w:rsidRPr="00510EBB" w:rsidRDefault="00C37194" w:rsidP="00C37194">
      <w:pPr>
        <w:rPr>
          <w:rFonts w:ascii="Times New Roman" w:hAnsi="Times New Roman"/>
          <w:b/>
          <w:sz w:val="28"/>
          <w:szCs w:val="28"/>
        </w:rPr>
      </w:pPr>
      <w:r w:rsidRPr="12D14FCC">
        <w:rPr>
          <w:rFonts w:ascii="Times New Roman" w:hAnsi="Times New Roman"/>
          <w:b/>
          <w:bCs/>
          <w:sz w:val="28"/>
          <w:szCs w:val="28"/>
        </w:rPr>
        <w:t>Taxonomic classification of Culicidae</w:t>
      </w:r>
      <w:r w:rsidR="00713833" w:rsidRPr="12D14FCC">
        <w:rPr>
          <w:rStyle w:val="FootnoteReference"/>
          <w:rFonts w:ascii="Times New Roman" w:hAnsi="Times New Roman"/>
          <w:b/>
          <w:bCs/>
          <w:sz w:val="28"/>
          <w:szCs w:val="28"/>
        </w:rPr>
        <w:footnoteReference w:id="17"/>
      </w:r>
    </w:p>
    <w:tbl>
      <w:tblPr>
        <w:tblStyle w:val="TableGrid"/>
        <w:tblW w:w="0" w:type="auto"/>
        <w:tblLook w:val="04A0" w:firstRow="1" w:lastRow="0" w:firstColumn="1" w:lastColumn="0" w:noHBand="0" w:noVBand="1"/>
      </w:tblPr>
      <w:tblGrid>
        <w:gridCol w:w="1927"/>
        <w:gridCol w:w="1832"/>
        <w:gridCol w:w="5257"/>
      </w:tblGrid>
      <w:tr w:rsidR="00C37194" w:rsidRPr="004B6EB5" w14:paraId="3C026665" w14:textId="77777777">
        <w:tc>
          <w:tcPr>
            <w:tcW w:w="1980" w:type="dxa"/>
          </w:tcPr>
          <w:p w14:paraId="4A8C4B04" w14:textId="77777777" w:rsidR="00C37194" w:rsidRPr="00B45531" w:rsidRDefault="00C37194" w:rsidP="00C20A58">
            <w:pPr>
              <w:rPr>
                <w:b/>
                <w:sz w:val="22"/>
                <w:szCs w:val="22"/>
              </w:rPr>
            </w:pPr>
            <w:r w:rsidRPr="00B45531">
              <w:rPr>
                <w:b/>
              </w:rPr>
              <w:t>Subfamily</w:t>
            </w:r>
          </w:p>
        </w:tc>
        <w:tc>
          <w:tcPr>
            <w:tcW w:w="1843" w:type="dxa"/>
          </w:tcPr>
          <w:p w14:paraId="0326BEE2" w14:textId="77777777" w:rsidR="00C37194" w:rsidRPr="00B45531" w:rsidRDefault="00C37194" w:rsidP="00C20A58">
            <w:pPr>
              <w:rPr>
                <w:b/>
                <w:sz w:val="22"/>
                <w:szCs w:val="22"/>
              </w:rPr>
            </w:pPr>
            <w:r w:rsidRPr="00B45531">
              <w:rPr>
                <w:b/>
              </w:rPr>
              <w:t>Tribe</w:t>
            </w:r>
          </w:p>
        </w:tc>
        <w:tc>
          <w:tcPr>
            <w:tcW w:w="5527" w:type="dxa"/>
          </w:tcPr>
          <w:p w14:paraId="0075A332" w14:textId="77777777" w:rsidR="00C37194" w:rsidRPr="00B45531" w:rsidRDefault="00C37194" w:rsidP="00C20A58">
            <w:pPr>
              <w:rPr>
                <w:b/>
                <w:sz w:val="22"/>
                <w:szCs w:val="22"/>
              </w:rPr>
            </w:pPr>
            <w:r w:rsidRPr="00B45531">
              <w:rPr>
                <w:b/>
              </w:rPr>
              <w:t>Genera</w:t>
            </w:r>
          </w:p>
        </w:tc>
      </w:tr>
      <w:tr w:rsidR="00C37194" w:rsidRPr="004B6EB5" w14:paraId="259967A2" w14:textId="77777777">
        <w:trPr>
          <w:trHeight w:val="245"/>
        </w:trPr>
        <w:tc>
          <w:tcPr>
            <w:tcW w:w="1980" w:type="dxa"/>
          </w:tcPr>
          <w:p w14:paraId="431F0821" w14:textId="77777777" w:rsidR="00C37194" w:rsidRPr="00B45531" w:rsidRDefault="00C37194" w:rsidP="00C20A58">
            <w:pPr>
              <w:contextualSpacing/>
              <w:rPr>
                <w:sz w:val="22"/>
                <w:szCs w:val="22"/>
              </w:rPr>
            </w:pPr>
            <w:proofErr w:type="spellStart"/>
            <w:r w:rsidRPr="00B45531">
              <w:t>Anophilinae</w:t>
            </w:r>
            <w:proofErr w:type="spellEnd"/>
          </w:p>
        </w:tc>
        <w:tc>
          <w:tcPr>
            <w:tcW w:w="1843" w:type="dxa"/>
          </w:tcPr>
          <w:p w14:paraId="18879FC0" w14:textId="77777777" w:rsidR="00C37194" w:rsidRPr="00B45531" w:rsidRDefault="00C37194" w:rsidP="00C20A58">
            <w:pPr>
              <w:contextualSpacing/>
              <w:rPr>
                <w:sz w:val="22"/>
                <w:szCs w:val="22"/>
              </w:rPr>
            </w:pPr>
          </w:p>
        </w:tc>
        <w:tc>
          <w:tcPr>
            <w:tcW w:w="5527" w:type="dxa"/>
          </w:tcPr>
          <w:p w14:paraId="26084059" w14:textId="77777777" w:rsidR="00C37194" w:rsidRPr="00B45531" w:rsidRDefault="00C37194" w:rsidP="00C20A58">
            <w:pPr>
              <w:contextualSpacing/>
              <w:rPr>
                <w:sz w:val="22"/>
                <w:szCs w:val="22"/>
              </w:rPr>
            </w:pPr>
            <w:r w:rsidRPr="00B45531">
              <w:rPr>
                <w:i/>
              </w:rPr>
              <w:t xml:space="preserve">Anopheles </w:t>
            </w:r>
            <w:r w:rsidRPr="00B45531">
              <w:t>(</w:t>
            </w:r>
            <w:r w:rsidRPr="00B45531">
              <w:rPr>
                <w:i/>
              </w:rPr>
              <w:t>An.</w:t>
            </w:r>
            <w:r w:rsidRPr="00B45531">
              <w:t xml:space="preserve">), </w:t>
            </w:r>
            <w:proofErr w:type="spellStart"/>
            <w:r w:rsidRPr="00B45531">
              <w:rPr>
                <w:i/>
              </w:rPr>
              <w:t>Bironella</w:t>
            </w:r>
            <w:proofErr w:type="spellEnd"/>
            <w:r w:rsidRPr="00B45531">
              <w:rPr>
                <w:i/>
              </w:rPr>
              <w:t xml:space="preserve"> </w:t>
            </w:r>
            <w:r w:rsidRPr="00B45531">
              <w:t>(</w:t>
            </w:r>
            <w:r w:rsidRPr="00B45531">
              <w:rPr>
                <w:i/>
              </w:rPr>
              <w:t>Bi.</w:t>
            </w:r>
            <w:r w:rsidRPr="00B45531">
              <w:t xml:space="preserve">), </w:t>
            </w:r>
            <w:proofErr w:type="spellStart"/>
            <w:r w:rsidRPr="00B45531">
              <w:rPr>
                <w:i/>
              </w:rPr>
              <w:t>Chagasia</w:t>
            </w:r>
            <w:proofErr w:type="spellEnd"/>
            <w:r w:rsidRPr="00B45531">
              <w:rPr>
                <w:i/>
              </w:rPr>
              <w:t xml:space="preserve"> </w:t>
            </w:r>
            <w:r w:rsidRPr="00B45531">
              <w:t>(</w:t>
            </w:r>
            <w:r w:rsidRPr="00B45531">
              <w:rPr>
                <w:i/>
              </w:rPr>
              <w:t>Ch.</w:t>
            </w:r>
            <w:r w:rsidRPr="00B45531">
              <w:t>)</w:t>
            </w:r>
          </w:p>
        </w:tc>
      </w:tr>
      <w:tr w:rsidR="00C37194" w:rsidRPr="004B6EB5" w14:paraId="569AAE8E" w14:textId="77777777">
        <w:tc>
          <w:tcPr>
            <w:tcW w:w="1980" w:type="dxa"/>
          </w:tcPr>
          <w:p w14:paraId="09296867" w14:textId="77777777" w:rsidR="00C37194" w:rsidRPr="00B45531" w:rsidRDefault="00C37194" w:rsidP="00C20A58">
            <w:pPr>
              <w:contextualSpacing/>
              <w:rPr>
                <w:sz w:val="22"/>
                <w:szCs w:val="22"/>
              </w:rPr>
            </w:pPr>
            <w:proofErr w:type="spellStart"/>
            <w:r w:rsidRPr="00B45531">
              <w:t>Culicinae</w:t>
            </w:r>
            <w:proofErr w:type="spellEnd"/>
          </w:p>
        </w:tc>
        <w:tc>
          <w:tcPr>
            <w:tcW w:w="1843" w:type="dxa"/>
          </w:tcPr>
          <w:p w14:paraId="1496F3E3" w14:textId="77777777" w:rsidR="00C37194" w:rsidRPr="00B45531" w:rsidRDefault="00C37194" w:rsidP="00C20A58">
            <w:pPr>
              <w:contextualSpacing/>
              <w:rPr>
                <w:sz w:val="22"/>
                <w:szCs w:val="22"/>
              </w:rPr>
            </w:pPr>
            <w:proofErr w:type="spellStart"/>
            <w:r w:rsidRPr="00B45531">
              <w:t>Aedeomylini</w:t>
            </w:r>
            <w:proofErr w:type="spellEnd"/>
          </w:p>
        </w:tc>
        <w:tc>
          <w:tcPr>
            <w:tcW w:w="5527" w:type="dxa"/>
          </w:tcPr>
          <w:p w14:paraId="7E171557" w14:textId="77777777" w:rsidR="00C37194" w:rsidRPr="00B45531" w:rsidRDefault="00C37194" w:rsidP="00C20A58">
            <w:pPr>
              <w:contextualSpacing/>
              <w:rPr>
                <w:sz w:val="22"/>
                <w:szCs w:val="22"/>
              </w:rPr>
            </w:pPr>
            <w:proofErr w:type="spellStart"/>
            <w:r w:rsidRPr="00B45531">
              <w:rPr>
                <w:i/>
              </w:rPr>
              <w:t>Aedeomyia</w:t>
            </w:r>
            <w:proofErr w:type="spellEnd"/>
            <w:r w:rsidRPr="00B45531">
              <w:rPr>
                <w:i/>
              </w:rPr>
              <w:t xml:space="preserve"> </w:t>
            </w:r>
            <w:r w:rsidRPr="00B45531">
              <w:t>(</w:t>
            </w:r>
            <w:r w:rsidRPr="00B45531">
              <w:rPr>
                <w:i/>
              </w:rPr>
              <w:t>Ad.</w:t>
            </w:r>
            <w:r w:rsidRPr="00B45531">
              <w:t>)</w:t>
            </w:r>
          </w:p>
        </w:tc>
      </w:tr>
      <w:tr w:rsidR="00C37194" w:rsidRPr="00E60B62" w14:paraId="7248037B" w14:textId="77777777">
        <w:tc>
          <w:tcPr>
            <w:tcW w:w="1980" w:type="dxa"/>
          </w:tcPr>
          <w:p w14:paraId="0727527C" w14:textId="77777777" w:rsidR="00C37194" w:rsidRPr="00B45531" w:rsidRDefault="00C37194" w:rsidP="00C20A58">
            <w:pPr>
              <w:contextualSpacing/>
              <w:rPr>
                <w:sz w:val="22"/>
                <w:szCs w:val="22"/>
              </w:rPr>
            </w:pPr>
          </w:p>
        </w:tc>
        <w:tc>
          <w:tcPr>
            <w:tcW w:w="1843" w:type="dxa"/>
          </w:tcPr>
          <w:p w14:paraId="0A940ACF" w14:textId="77777777" w:rsidR="00C37194" w:rsidRPr="00B45531" w:rsidRDefault="00C37194" w:rsidP="00C20A58">
            <w:pPr>
              <w:contextualSpacing/>
              <w:rPr>
                <w:sz w:val="22"/>
                <w:szCs w:val="22"/>
              </w:rPr>
            </w:pPr>
            <w:proofErr w:type="spellStart"/>
            <w:r w:rsidRPr="00B45531">
              <w:t>Aedini</w:t>
            </w:r>
            <w:proofErr w:type="spellEnd"/>
          </w:p>
        </w:tc>
        <w:tc>
          <w:tcPr>
            <w:tcW w:w="5527" w:type="dxa"/>
          </w:tcPr>
          <w:p w14:paraId="6C6F5DAB" w14:textId="77777777" w:rsidR="00C37194" w:rsidRPr="00832041" w:rsidRDefault="00C37194" w:rsidP="00C20A58">
            <w:pPr>
              <w:contextualSpacing/>
              <w:rPr>
                <w:sz w:val="22"/>
                <w:lang w:val="pt-PT"/>
              </w:rPr>
            </w:pPr>
            <w:r w:rsidRPr="00832041">
              <w:rPr>
                <w:i/>
                <w:lang w:val="pt-PT"/>
              </w:rPr>
              <w:t xml:space="preserve">Aedes </w:t>
            </w:r>
            <w:r w:rsidRPr="00832041">
              <w:rPr>
                <w:lang w:val="pt-PT"/>
              </w:rPr>
              <w:t>(</w:t>
            </w:r>
            <w:r w:rsidRPr="00832041">
              <w:rPr>
                <w:i/>
                <w:lang w:val="pt-PT"/>
              </w:rPr>
              <w:t>Ae</w:t>
            </w:r>
            <w:r w:rsidRPr="00832041">
              <w:rPr>
                <w:lang w:val="pt-PT"/>
              </w:rPr>
              <w:t xml:space="preserve">.), </w:t>
            </w:r>
            <w:r w:rsidRPr="00832041">
              <w:rPr>
                <w:i/>
                <w:lang w:val="pt-PT"/>
              </w:rPr>
              <w:t xml:space="preserve">Armigeres </w:t>
            </w:r>
            <w:r w:rsidRPr="00832041">
              <w:rPr>
                <w:lang w:val="pt-PT"/>
              </w:rPr>
              <w:t>(</w:t>
            </w:r>
            <w:r w:rsidRPr="00832041">
              <w:rPr>
                <w:i/>
                <w:lang w:val="pt-PT"/>
              </w:rPr>
              <w:t>Ar.</w:t>
            </w:r>
            <w:r w:rsidRPr="00832041">
              <w:rPr>
                <w:lang w:val="pt-PT"/>
              </w:rPr>
              <w:t xml:space="preserve">), </w:t>
            </w:r>
            <w:r w:rsidRPr="00832041">
              <w:rPr>
                <w:i/>
                <w:lang w:val="pt-PT"/>
              </w:rPr>
              <w:t xml:space="preserve">Eretmapodites </w:t>
            </w:r>
            <w:r w:rsidRPr="00832041">
              <w:rPr>
                <w:lang w:val="pt-PT"/>
              </w:rPr>
              <w:t>(</w:t>
            </w:r>
            <w:r w:rsidRPr="00832041">
              <w:rPr>
                <w:i/>
                <w:lang w:val="pt-PT"/>
              </w:rPr>
              <w:t>Er.</w:t>
            </w:r>
            <w:r w:rsidRPr="00832041">
              <w:rPr>
                <w:lang w:val="pt-PT"/>
              </w:rPr>
              <w:t>)</w:t>
            </w:r>
          </w:p>
          <w:p w14:paraId="07696B5A" w14:textId="77777777" w:rsidR="00C37194" w:rsidRPr="00832041" w:rsidRDefault="00C37194" w:rsidP="00C20A58">
            <w:pPr>
              <w:contextualSpacing/>
              <w:rPr>
                <w:sz w:val="22"/>
                <w:lang w:val="pt-PT"/>
              </w:rPr>
            </w:pPr>
            <w:r w:rsidRPr="00832041">
              <w:rPr>
                <w:i/>
                <w:lang w:val="pt-PT"/>
              </w:rPr>
              <w:t xml:space="preserve">Haemagogus </w:t>
            </w:r>
            <w:r w:rsidRPr="00832041">
              <w:rPr>
                <w:rStyle w:val="u-font-serif"/>
                <w:rFonts w:eastAsiaTheme="majorEastAsia"/>
                <w:lang w:val="pt-PT"/>
              </w:rPr>
              <w:t>(</w:t>
            </w:r>
            <w:r w:rsidRPr="00832041">
              <w:rPr>
                <w:rStyle w:val="Emphasis"/>
                <w:rFonts w:eastAsiaTheme="majorEastAsia"/>
                <w:lang w:val="pt-PT"/>
              </w:rPr>
              <w:t>Hg.</w:t>
            </w:r>
            <w:r w:rsidRPr="00832041">
              <w:rPr>
                <w:rStyle w:val="u-font-serif"/>
                <w:rFonts w:eastAsiaTheme="majorEastAsia"/>
                <w:lang w:val="pt-PT"/>
              </w:rPr>
              <w:t xml:space="preserve">), </w:t>
            </w:r>
            <w:r w:rsidRPr="00832041">
              <w:rPr>
                <w:rStyle w:val="Emphasis"/>
                <w:rFonts w:eastAsiaTheme="majorEastAsia"/>
                <w:lang w:val="pt-PT"/>
              </w:rPr>
              <w:t>Heizmannia</w:t>
            </w:r>
            <w:r w:rsidRPr="00832041">
              <w:rPr>
                <w:rStyle w:val="u-font-serif"/>
                <w:rFonts w:eastAsiaTheme="majorEastAsia"/>
                <w:lang w:val="pt-PT"/>
              </w:rPr>
              <w:t xml:space="preserve"> (</w:t>
            </w:r>
            <w:r w:rsidRPr="00832041">
              <w:rPr>
                <w:rStyle w:val="Emphasis"/>
                <w:rFonts w:eastAsiaTheme="majorEastAsia"/>
                <w:lang w:val="pt-PT"/>
              </w:rPr>
              <w:t>Hz.</w:t>
            </w:r>
            <w:r w:rsidRPr="00832041">
              <w:rPr>
                <w:rStyle w:val="u-font-serif"/>
                <w:rFonts w:eastAsiaTheme="majorEastAsia"/>
                <w:lang w:val="pt-PT"/>
              </w:rPr>
              <w:t xml:space="preserve">), </w:t>
            </w:r>
            <w:r w:rsidRPr="00832041">
              <w:rPr>
                <w:rStyle w:val="Emphasis"/>
                <w:rFonts w:eastAsiaTheme="majorEastAsia"/>
                <w:lang w:val="pt-PT"/>
              </w:rPr>
              <w:t>Opifex</w:t>
            </w:r>
            <w:r w:rsidRPr="00832041">
              <w:rPr>
                <w:rStyle w:val="u-font-serif"/>
                <w:rFonts w:eastAsiaTheme="majorEastAsia"/>
                <w:lang w:val="pt-PT"/>
              </w:rPr>
              <w:t xml:space="preserve"> (</w:t>
            </w:r>
            <w:r w:rsidRPr="00832041">
              <w:rPr>
                <w:rStyle w:val="Emphasis"/>
                <w:rFonts w:eastAsiaTheme="majorEastAsia"/>
                <w:lang w:val="pt-PT"/>
              </w:rPr>
              <w:t>Op.</w:t>
            </w:r>
            <w:r w:rsidRPr="00832041">
              <w:rPr>
                <w:rStyle w:val="u-font-serif"/>
                <w:rFonts w:eastAsiaTheme="majorEastAsia"/>
                <w:lang w:val="pt-PT"/>
              </w:rPr>
              <w:t xml:space="preserve">), </w:t>
            </w:r>
            <w:r w:rsidRPr="00832041">
              <w:rPr>
                <w:rStyle w:val="Emphasis"/>
                <w:rFonts w:eastAsiaTheme="majorEastAsia"/>
                <w:lang w:val="pt-PT"/>
              </w:rPr>
              <w:t>Psorophora</w:t>
            </w:r>
            <w:r w:rsidRPr="00832041">
              <w:rPr>
                <w:rStyle w:val="u-font-serif"/>
                <w:rFonts w:eastAsiaTheme="majorEastAsia"/>
                <w:lang w:val="pt-PT"/>
              </w:rPr>
              <w:t xml:space="preserve"> (</w:t>
            </w:r>
            <w:r w:rsidRPr="00832041">
              <w:rPr>
                <w:rStyle w:val="Emphasis"/>
                <w:rFonts w:eastAsiaTheme="majorEastAsia"/>
                <w:lang w:val="pt-PT"/>
              </w:rPr>
              <w:t>Ps.</w:t>
            </w:r>
            <w:r w:rsidRPr="00832041">
              <w:rPr>
                <w:rStyle w:val="u-font-serif"/>
                <w:rFonts w:eastAsiaTheme="majorEastAsia"/>
                <w:lang w:val="pt-PT"/>
              </w:rPr>
              <w:t xml:space="preserve">), </w:t>
            </w:r>
            <w:r w:rsidRPr="00832041">
              <w:rPr>
                <w:rStyle w:val="Emphasis"/>
                <w:rFonts w:eastAsiaTheme="majorEastAsia"/>
                <w:lang w:val="pt-PT"/>
              </w:rPr>
              <w:t>Udaya</w:t>
            </w:r>
            <w:r w:rsidRPr="00832041">
              <w:rPr>
                <w:rStyle w:val="u-font-serif"/>
                <w:rFonts w:eastAsiaTheme="majorEastAsia"/>
                <w:lang w:val="pt-PT"/>
              </w:rPr>
              <w:t xml:space="preserve"> (</w:t>
            </w:r>
            <w:r w:rsidRPr="00832041">
              <w:rPr>
                <w:rStyle w:val="Emphasis"/>
                <w:rFonts w:eastAsiaTheme="majorEastAsia"/>
                <w:lang w:val="pt-PT"/>
              </w:rPr>
              <w:t>Ud.</w:t>
            </w:r>
            <w:r w:rsidRPr="00832041">
              <w:rPr>
                <w:rStyle w:val="u-font-serif"/>
                <w:rFonts w:eastAsiaTheme="majorEastAsia"/>
                <w:lang w:val="pt-PT"/>
              </w:rPr>
              <w:t xml:space="preserve">), </w:t>
            </w:r>
            <w:r w:rsidRPr="00832041">
              <w:rPr>
                <w:rStyle w:val="Emphasis"/>
                <w:rFonts w:eastAsiaTheme="majorEastAsia"/>
                <w:lang w:val="pt-PT"/>
              </w:rPr>
              <w:t>Zeugnomyia</w:t>
            </w:r>
            <w:r w:rsidRPr="00832041">
              <w:rPr>
                <w:rStyle w:val="u-font-serif"/>
                <w:rFonts w:eastAsiaTheme="majorEastAsia"/>
                <w:lang w:val="pt-PT"/>
              </w:rPr>
              <w:t xml:space="preserve"> (</w:t>
            </w:r>
            <w:r w:rsidRPr="00832041">
              <w:rPr>
                <w:rStyle w:val="Emphasis"/>
                <w:rFonts w:eastAsiaTheme="majorEastAsia"/>
                <w:lang w:val="pt-PT"/>
              </w:rPr>
              <w:t>Ze.</w:t>
            </w:r>
            <w:r w:rsidRPr="00832041">
              <w:rPr>
                <w:rStyle w:val="u-font-serif"/>
                <w:rFonts w:eastAsiaTheme="majorEastAsia"/>
                <w:lang w:val="pt-PT"/>
              </w:rPr>
              <w:t>)</w:t>
            </w:r>
          </w:p>
        </w:tc>
      </w:tr>
      <w:tr w:rsidR="00C37194" w:rsidRPr="00E60B62" w14:paraId="594CFBD6" w14:textId="77777777">
        <w:tc>
          <w:tcPr>
            <w:tcW w:w="1980" w:type="dxa"/>
          </w:tcPr>
          <w:p w14:paraId="4FBA70D5" w14:textId="77777777" w:rsidR="00C37194" w:rsidRPr="00832041" w:rsidRDefault="00C37194" w:rsidP="00C20A58">
            <w:pPr>
              <w:contextualSpacing/>
              <w:rPr>
                <w:sz w:val="22"/>
                <w:lang w:val="pt-PT"/>
              </w:rPr>
            </w:pPr>
          </w:p>
        </w:tc>
        <w:tc>
          <w:tcPr>
            <w:tcW w:w="1843" w:type="dxa"/>
          </w:tcPr>
          <w:p w14:paraId="3E876BA1" w14:textId="77777777" w:rsidR="00C37194" w:rsidRPr="00B45531" w:rsidRDefault="00C37194" w:rsidP="00C20A58">
            <w:pPr>
              <w:contextualSpacing/>
              <w:rPr>
                <w:sz w:val="22"/>
                <w:szCs w:val="22"/>
              </w:rPr>
            </w:pPr>
            <w:proofErr w:type="spellStart"/>
            <w:r w:rsidRPr="00B45531">
              <w:rPr>
                <w:rStyle w:val="u-font-serif"/>
                <w:rFonts w:eastAsiaTheme="majorEastAsia"/>
              </w:rPr>
              <w:t>Culicini</w:t>
            </w:r>
            <w:proofErr w:type="spellEnd"/>
          </w:p>
        </w:tc>
        <w:tc>
          <w:tcPr>
            <w:tcW w:w="5527" w:type="dxa"/>
          </w:tcPr>
          <w:p w14:paraId="6C38C791" w14:textId="77777777" w:rsidR="00C37194" w:rsidRPr="00832041" w:rsidRDefault="00C37194" w:rsidP="00C20A58">
            <w:pPr>
              <w:contextualSpacing/>
              <w:rPr>
                <w:sz w:val="22"/>
                <w:lang w:val="pt-PT"/>
              </w:rPr>
            </w:pPr>
            <w:r w:rsidRPr="00832041">
              <w:rPr>
                <w:rStyle w:val="Emphasis"/>
                <w:rFonts w:eastAsiaTheme="majorEastAsia"/>
                <w:lang w:val="pt-PT"/>
              </w:rPr>
              <w:t>Culex</w:t>
            </w:r>
            <w:r w:rsidRPr="00832041">
              <w:rPr>
                <w:rStyle w:val="u-font-serif"/>
                <w:rFonts w:eastAsiaTheme="majorEastAsia"/>
                <w:lang w:val="pt-PT"/>
              </w:rPr>
              <w:t xml:space="preserve"> (</w:t>
            </w:r>
            <w:r w:rsidRPr="00832041">
              <w:rPr>
                <w:rStyle w:val="Emphasis"/>
                <w:rFonts w:eastAsiaTheme="majorEastAsia"/>
                <w:lang w:val="pt-PT"/>
              </w:rPr>
              <w:t>Cx.</w:t>
            </w:r>
            <w:r w:rsidRPr="00832041">
              <w:rPr>
                <w:rStyle w:val="u-font-serif"/>
                <w:rFonts w:eastAsiaTheme="majorEastAsia"/>
                <w:lang w:val="pt-PT"/>
              </w:rPr>
              <w:t xml:space="preserve">), </w:t>
            </w:r>
            <w:r w:rsidRPr="00832041">
              <w:rPr>
                <w:rStyle w:val="Emphasis"/>
                <w:rFonts w:eastAsiaTheme="majorEastAsia"/>
                <w:lang w:val="pt-PT"/>
              </w:rPr>
              <w:t>Deinocerites</w:t>
            </w:r>
            <w:r w:rsidRPr="00832041">
              <w:rPr>
                <w:rStyle w:val="u-font-serif"/>
                <w:rFonts w:eastAsiaTheme="majorEastAsia"/>
                <w:lang w:val="pt-PT"/>
              </w:rPr>
              <w:t xml:space="preserve"> (</w:t>
            </w:r>
            <w:r w:rsidRPr="00832041">
              <w:rPr>
                <w:rStyle w:val="Emphasis"/>
                <w:rFonts w:eastAsiaTheme="majorEastAsia"/>
                <w:lang w:val="pt-PT"/>
              </w:rPr>
              <w:t>De.</w:t>
            </w:r>
            <w:r w:rsidRPr="00832041">
              <w:rPr>
                <w:rStyle w:val="u-font-serif"/>
                <w:rFonts w:eastAsiaTheme="majorEastAsia"/>
                <w:lang w:val="pt-PT"/>
              </w:rPr>
              <w:t xml:space="preserve">), </w:t>
            </w:r>
            <w:r w:rsidRPr="00832041">
              <w:rPr>
                <w:rStyle w:val="Emphasis"/>
                <w:rFonts w:eastAsiaTheme="majorEastAsia"/>
                <w:lang w:val="pt-PT"/>
              </w:rPr>
              <w:t>Galindomyia</w:t>
            </w:r>
            <w:r w:rsidRPr="00832041">
              <w:rPr>
                <w:rStyle w:val="u-font-serif"/>
                <w:rFonts w:eastAsiaTheme="majorEastAsia"/>
                <w:lang w:val="pt-PT"/>
              </w:rPr>
              <w:t xml:space="preserve"> (</w:t>
            </w:r>
            <w:r w:rsidRPr="00832041">
              <w:rPr>
                <w:rStyle w:val="Emphasis"/>
                <w:rFonts w:eastAsiaTheme="majorEastAsia"/>
                <w:lang w:val="pt-PT"/>
              </w:rPr>
              <w:t>Ga.</w:t>
            </w:r>
            <w:r w:rsidRPr="00832041">
              <w:rPr>
                <w:rStyle w:val="u-font-serif"/>
                <w:rFonts w:eastAsiaTheme="majorEastAsia"/>
                <w:lang w:val="pt-PT"/>
              </w:rPr>
              <w:t>)</w:t>
            </w:r>
          </w:p>
        </w:tc>
      </w:tr>
      <w:tr w:rsidR="00C37194" w:rsidRPr="004B6EB5" w14:paraId="554F3725" w14:textId="77777777">
        <w:tc>
          <w:tcPr>
            <w:tcW w:w="1980" w:type="dxa"/>
          </w:tcPr>
          <w:p w14:paraId="79662BD0" w14:textId="77777777" w:rsidR="00C37194" w:rsidRPr="00832041" w:rsidRDefault="00C37194" w:rsidP="00C20A58">
            <w:pPr>
              <w:contextualSpacing/>
              <w:rPr>
                <w:sz w:val="22"/>
                <w:lang w:val="pt-PT"/>
              </w:rPr>
            </w:pPr>
          </w:p>
        </w:tc>
        <w:tc>
          <w:tcPr>
            <w:tcW w:w="1843" w:type="dxa"/>
          </w:tcPr>
          <w:p w14:paraId="5FABBA0E" w14:textId="77777777" w:rsidR="00C37194" w:rsidRPr="00B45531" w:rsidRDefault="00C37194" w:rsidP="00C20A58">
            <w:pPr>
              <w:contextualSpacing/>
              <w:rPr>
                <w:sz w:val="22"/>
                <w:szCs w:val="22"/>
              </w:rPr>
            </w:pPr>
            <w:proofErr w:type="spellStart"/>
            <w:r w:rsidRPr="00B45531">
              <w:rPr>
                <w:rStyle w:val="u-font-serif"/>
                <w:rFonts w:eastAsiaTheme="majorEastAsia"/>
              </w:rPr>
              <w:t>Culisetini</w:t>
            </w:r>
            <w:proofErr w:type="spellEnd"/>
          </w:p>
        </w:tc>
        <w:tc>
          <w:tcPr>
            <w:tcW w:w="5527" w:type="dxa"/>
          </w:tcPr>
          <w:p w14:paraId="5A0D8FB7" w14:textId="77777777" w:rsidR="00C37194" w:rsidRPr="00B45531" w:rsidRDefault="00C37194" w:rsidP="00C20A58">
            <w:pPr>
              <w:contextualSpacing/>
              <w:rPr>
                <w:sz w:val="22"/>
                <w:szCs w:val="22"/>
              </w:rPr>
            </w:pPr>
            <w:proofErr w:type="spellStart"/>
            <w:r w:rsidRPr="00B45531">
              <w:rPr>
                <w:rStyle w:val="Emphasis"/>
                <w:rFonts w:eastAsiaTheme="majorEastAsia"/>
              </w:rPr>
              <w:t>Culiseta</w:t>
            </w:r>
            <w:proofErr w:type="spellEnd"/>
            <w:r w:rsidRPr="00B45531">
              <w:rPr>
                <w:rStyle w:val="u-font-serif"/>
                <w:rFonts w:eastAsiaTheme="majorEastAsia"/>
              </w:rPr>
              <w:t xml:space="preserve"> (</w:t>
            </w:r>
            <w:r w:rsidRPr="00B45531">
              <w:rPr>
                <w:rStyle w:val="Emphasis"/>
                <w:rFonts w:eastAsiaTheme="majorEastAsia"/>
              </w:rPr>
              <w:t>Cs.</w:t>
            </w:r>
            <w:r w:rsidRPr="00B45531">
              <w:rPr>
                <w:rStyle w:val="u-font-serif"/>
                <w:rFonts w:eastAsiaTheme="majorEastAsia"/>
              </w:rPr>
              <w:t>)</w:t>
            </w:r>
          </w:p>
        </w:tc>
      </w:tr>
      <w:tr w:rsidR="00C37194" w:rsidRPr="004B6EB5" w14:paraId="6919B2F1" w14:textId="77777777">
        <w:tc>
          <w:tcPr>
            <w:tcW w:w="1980" w:type="dxa"/>
          </w:tcPr>
          <w:p w14:paraId="5B037436" w14:textId="77777777" w:rsidR="00C37194" w:rsidRPr="00B45531" w:rsidRDefault="00C37194" w:rsidP="00C20A58">
            <w:pPr>
              <w:contextualSpacing/>
              <w:rPr>
                <w:sz w:val="22"/>
                <w:szCs w:val="22"/>
              </w:rPr>
            </w:pPr>
          </w:p>
        </w:tc>
        <w:tc>
          <w:tcPr>
            <w:tcW w:w="1843" w:type="dxa"/>
          </w:tcPr>
          <w:p w14:paraId="2E8E196E" w14:textId="77777777" w:rsidR="00C37194" w:rsidRPr="00B45531" w:rsidRDefault="00C37194" w:rsidP="00C20A58">
            <w:pPr>
              <w:contextualSpacing/>
              <w:rPr>
                <w:sz w:val="22"/>
                <w:szCs w:val="22"/>
              </w:rPr>
            </w:pPr>
            <w:proofErr w:type="spellStart"/>
            <w:r w:rsidRPr="00B45531">
              <w:rPr>
                <w:rStyle w:val="u-font-serif"/>
                <w:rFonts w:eastAsiaTheme="majorEastAsia"/>
              </w:rPr>
              <w:t>Ficalbiini</w:t>
            </w:r>
            <w:proofErr w:type="spellEnd"/>
          </w:p>
        </w:tc>
        <w:tc>
          <w:tcPr>
            <w:tcW w:w="5527" w:type="dxa"/>
          </w:tcPr>
          <w:p w14:paraId="1C725453" w14:textId="77777777" w:rsidR="00C37194" w:rsidRPr="00B45531" w:rsidRDefault="00C37194" w:rsidP="00C20A58">
            <w:pPr>
              <w:contextualSpacing/>
              <w:rPr>
                <w:sz w:val="22"/>
                <w:szCs w:val="22"/>
              </w:rPr>
            </w:pPr>
            <w:proofErr w:type="spellStart"/>
            <w:r w:rsidRPr="00B45531">
              <w:rPr>
                <w:rStyle w:val="Emphasis"/>
                <w:rFonts w:eastAsiaTheme="majorEastAsia"/>
              </w:rPr>
              <w:t>Ficalbia</w:t>
            </w:r>
            <w:proofErr w:type="spellEnd"/>
            <w:r w:rsidRPr="00B45531">
              <w:rPr>
                <w:rStyle w:val="u-font-serif"/>
                <w:rFonts w:eastAsiaTheme="majorEastAsia"/>
              </w:rPr>
              <w:t xml:space="preserve"> (</w:t>
            </w:r>
            <w:r w:rsidRPr="00B45531">
              <w:rPr>
                <w:rStyle w:val="Emphasis"/>
                <w:rFonts w:eastAsiaTheme="majorEastAsia"/>
              </w:rPr>
              <w:t>Fi.</w:t>
            </w:r>
            <w:r w:rsidRPr="00B45531">
              <w:rPr>
                <w:rStyle w:val="u-font-serif"/>
                <w:rFonts w:eastAsiaTheme="majorEastAsia"/>
              </w:rPr>
              <w:t xml:space="preserve">), </w:t>
            </w:r>
            <w:proofErr w:type="spellStart"/>
            <w:r w:rsidRPr="00B45531">
              <w:rPr>
                <w:rStyle w:val="Emphasis"/>
                <w:rFonts w:eastAsiaTheme="majorEastAsia"/>
              </w:rPr>
              <w:t>Mimomyia</w:t>
            </w:r>
            <w:proofErr w:type="spellEnd"/>
            <w:r w:rsidRPr="00B45531">
              <w:rPr>
                <w:rStyle w:val="u-font-serif"/>
                <w:rFonts w:eastAsiaTheme="majorEastAsia"/>
              </w:rPr>
              <w:t xml:space="preserve"> (</w:t>
            </w:r>
            <w:r w:rsidRPr="00B45531">
              <w:rPr>
                <w:rStyle w:val="Emphasis"/>
                <w:rFonts w:eastAsiaTheme="majorEastAsia"/>
              </w:rPr>
              <w:t>Mi.</w:t>
            </w:r>
            <w:r w:rsidRPr="00B45531">
              <w:rPr>
                <w:rStyle w:val="u-font-serif"/>
                <w:rFonts w:eastAsiaTheme="majorEastAsia"/>
              </w:rPr>
              <w:t>)</w:t>
            </w:r>
          </w:p>
        </w:tc>
      </w:tr>
      <w:tr w:rsidR="00C37194" w:rsidRPr="004B6EB5" w14:paraId="0636F8DD" w14:textId="77777777">
        <w:tc>
          <w:tcPr>
            <w:tcW w:w="1980" w:type="dxa"/>
          </w:tcPr>
          <w:p w14:paraId="19F2A9A2" w14:textId="77777777" w:rsidR="00C37194" w:rsidRPr="00B45531" w:rsidRDefault="00C37194" w:rsidP="00C20A58">
            <w:pPr>
              <w:contextualSpacing/>
              <w:rPr>
                <w:sz w:val="22"/>
                <w:szCs w:val="22"/>
              </w:rPr>
            </w:pPr>
          </w:p>
        </w:tc>
        <w:tc>
          <w:tcPr>
            <w:tcW w:w="1843" w:type="dxa"/>
          </w:tcPr>
          <w:p w14:paraId="0D627CC7" w14:textId="77777777" w:rsidR="00C37194" w:rsidRPr="00B45531" w:rsidRDefault="00C37194" w:rsidP="00C20A58">
            <w:pPr>
              <w:contextualSpacing/>
              <w:rPr>
                <w:sz w:val="22"/>
                <w:szCs w:val="22"/>
              </w:rPr>
            </w:pPr>
            <w:proofErr w:type="spellStart"/>
            <w:r w:rsidRPr="00B45531">
              <w:rPr>
                <w:rStyle w:val="u-font-serif"/>
                <w:rFonts w:eastAsiaTheme="majorEastAsia"/>
              </w:rPr>
              <w:t>Hodgesiini</w:t>
            </w:r>
            <w:proofErr w:type="spellEnd"/>
          </w:p>
        </w:tc>
        <w:tc>
          <w:tcPr>
            <w:tcW w:w="5527" w:type="dxa"/>
          </w:tcPr>
          <w:p w14:paraId="1659985E" w14:textId="77777777" w:rsidR="00C37194" w:rsidRPr="00B45531" w:rsidRDefault="00C37194" w:rsidP="00C20A58">
            <w:pPr>
              <w:contextualSpacing/>
              <w:rPr>
                <w:sz w:val="22"/>
                <w:szCs w:val="22"/>
              </w:rPr>
            </w:pPr>
            <w:proofErr w:type="spellStart"/>
            <w:r w:rsidRPr="00B45531">
              <w:rPr>
                <w:rStyle w:val="Emphasis"/>
                <w:rFonts w:eastAsiaTheme="majorEastAsia"/>
              </w:rPr>
              <w:t>Hodgesia</w:t>
            </w:r>
            <w:proofErr w:type="spellEnd"/>
            <w:r w:rsidRPr="00B45531">
              <w:rPr>
                <w:rStyle w:val="u-font-serif"/>
                <w:rFonts w:eastAsiaTheme="majorEastAsia"/>
              </w:rPr>
              <w:t xml:space="preserve"> (</w:t>
            </w:r>
            <w:r w:rsidRPr="00B45531">
              <w:rPr>
                <w:rStyle w:val="Emphasis"/>
                <w:rFonts w:eastAsiaTheme="majorEastAsia"/>
              </w:rPr>
              <w:t>Ho.</w:t>
            </w:r>
            <w:r w:rsidRPr="00B45531">
              <w:rPr>
                <w:rStyle w:val="u-font-serif"/>
                <w:rFonts w:eastAsiaTheme="majorEastAsia"/>
              </w:rPr>
              <w:t>)</w:t>
            </w:r>
          </w:p>
        </w:tc>
      </w:tr>
      <w:tr w:rsidR="00C37194" w:rsidRPr="004B6EB5" w14:paraId="51619426" w14:textId="77777777">
        <w:tc>
          <w:tcPr>
            <w:tcW w:w="1980" w:type="dxa"/>
          </w:tcPr>
          <w:p w14:paraId="05F5D7EF" w14:textId="77777777" w:rsidR="00C37194" w:rsidRPr="00B45531" w:rsidRDefault="00C37194" w:rsidP="00C20A58">
            <w:pPr>
              <w:contextualSpacing/>
              <w:rPr>
                <w:sz w:val="22"/>
                <w:szCs w:val="22"/>
              </w:rPr>
            </w:pPr>
          </w:p>
        </w:tc>
        <w:tc>
          <w:tcPr>
            <w:tcW w:w="1843" w:type="dxa"/>
          </w:tcPr>
          <w:p w14:paraId="43698E4B" w14:textId="77777777" w:rsidR="00C37194" w:rsidRPr="00B45531" w:rsidRDefault="00C37194" w:rsidP="00C20A58">
            <w:pPr>
              <w:contextualSpacing/>
              <w:rPr>
                <w:rStyle w:val="u-font-serif"/>
                <w:rFonts w:eastAsiaTheme="majorEastAsia"/>
                <w:sz w:val="22"/>
                <w:szCs w:val="22"/>
              </w:rPr>
            </w:pPr>
            <w:proofErr w:type="spellStart"/>
            <w:r w:rsidRPr="00B45531">
              <w:rPr>
                <w:rStyle w:val="u-font-serif"/>
                <w:rFonts w:eastAsiaTheme="majorEastAsia"/>
              </w:rPr>
              <w:t>Mansoniini</w:t>
            </w:r>
            <w:proofErr w:type="spellEnd"/>
          </w:p>
        </w:tc>
        <w:tc>
          <w:tcPr>
            <w:tcW w:w="5527" w:type="dxa"/>
          </w:tcPr>
          <w:p w14:paraId="43849C00" w14:textId="77777777" w:rsidR="00C37194" w:rsidRPr="00B45531" w:rsidRDefault="00C37194" w:rsidP="00C20A58">
            <w:pPr>
              <w:contextualSpacing/>
              <w:rPr>
                <w:rStyle w:val="Emphasis"/>
                <w:rFonts w:eastAsiaTheme="majorEastAsia"/>
                <w:i w:val="0"/>
                <w:iCs w:val="0"/>
                <w:sz w:val="22"/>
                <w:szCs w:val="22"/>
              </w:rPr>
            </w:pPr>
            <w:proofErr w:type="spellStart"/>
            <w:r w:rsidRPr="00B45531">
              <w:rPr>
                <w:rStyle w:val="Emphasis"/>
                <w:rFonts w:eastAsiaTheme="majorEastAsia"/>
              </w:rPr>
              <w:t>Coquillettidia</w:t>
            </w:r>
            <w:proofErr w:type="spellEnd"/>
            <w:r w:rsidRPr="00B45531">
              <w:rPr>
                <w:rStyle w:val="u-font-serif"/>
                <w:rFonts w:eastAsiaTheme="majorEastAsia"/>
              </w:rPr>
              <w:t xml:space="preserve"> (</w:t>
            </w:r>
            <w:proofErr w:type="spellStart"/>
            <w:r w:rsidRPr="00B45531">
              <w:rPr>
                <w:rStyle w:val="Emphasis"/>
                <w:rFonts w:eastAsiaTheme="majorEastAsia"/>
              </w:rPr>
              <w:t>Cq</w:t>
            </w:r>
            <w:proofErr w:type="spellEnd"/>
            <w:r w:rsidRPr="00B45531">
              <w:rPr>
                <w:rStyle w:val="Emphasis"/>
                <w:rFonts w:eastAsiaTheme="majorEastAsia"/>
              </w:rPr>
              <w:t>.</w:t>
            </w:r>
            <w:r w:rsidRPr="00B45531">
              <w:rPr>
                <w:rStyle w:val="u-font-serif"/>
                <w:rFonts w:eastAsiaTheme="majorEastAsia"/>
              </w:rPr>
              <w:t xml:space="preserve">), </w:t>
            </w:r>
            <w:proofErr w:type="spellStart"/>
            <w:r w:rsidRPr="00B45531">
              <w:rPr>
                <w:rStyle w:val="Emphasis"/>
                <w:rFonts w:eastAsiaTheme="majorEastAsia"/>
              </w:rPr>
              <w:t>Mansonia</w:t>
            </w:r>
            <w:proofErr w:type="spellEnd"/>
            <w:r w:rsidRPr="00B45531">
              <w:rPr>
                <w:rStyle w:val="u-font-serif"/>
                <w:rFonts w:eastAsiaTheme="majorEastAsia"/>
              </w:rPr>
              <w:t xml:space="preserve"> (</w:t>
            </w:r>
            <w:r w:rsidRPr="00B45531">
              <w:rPr>
                <w:rStyle w:val="Emphasis"/>
                <w:rFonts w:eastAsiaTheme="majorEastAsia"/>
              </w:rPr>
              <w:t>Ma.</w:t>
            </w:r>
            <w:r w:rsidRPr="00B45531">
              <w:rPr>
                <w:rStyle w:val="u-font-serif"/>
                <w:rFonts w:eastAsiaTheme="majorEastAsia"/>
              </w:rPr>
              <w:t>)</w:t>
            </w:r>
          </w:p>
        </w:tc>
      </w:tr>
      <w:tr w:rsidR="00C37194" w:rsidRPr="004B6EB5" w14:paraId="0E2CC3B5" w14:textId="77777777">
        <w:tc>
          <w:tcPr>
            <w:tcW w:w="1980" w:type="dxa"/>
          </w:tcPr>
          <w:p w14:paraId="277D6214" w14:textId="77777777" w:rsidR="00C37194" w:rsidRPr="00B45531" w:rsidRDefault="00C37194" w:rsidP="00C20A58">
            <w:pPr>
              <w:contextualSpacing/>
              <w:rPr>
                <w:sz w:val="22"/>
                <w:szCs w:val="22"/>
              </w:rPr>
            </w:pPr>
          </w:p>
        </w:tc>
        <w:tc>
          <w:tcPr>
            <w:tcW w:w="1843" w:type="dxa"/>
          </w:tcPr>
          <w:p w14:paraId="10285ECD" w14:textId="77777777" w:rsidR="00C37194" w:rsidRPr="00B45531" w:rsidRDefault="00C37194" w:rsidP="00C20A58">
            <w:pPr>
              <w:contextualSpacing/>
              <w:rPr>
                <w:rStyle w:val="u-font-serif"/>
                <w:rFonts w:eastAsiaTheme="majorEastAsia"/>
                <w:sz w:val="22"/>
                <w:szCs w:val="22"/>
              </w:rPr>
            </w:pPr>
            <w:proofErr w:type="spellStart"/>
            <w:r w:rsidRPr="00B45531">
              <w:rPr>
                <w:rStyle w:val="u-font-serif"/>
                <w:rFonts w:eastAsiaTheme="majorEastAsia"/>
              </w:rPr>
              <w:t>Orthropodomylini</w:t>
            </w:r>
            <w:proofErr w:type="spellEnd"/>
          </w:p>
        </w:tc>
        <w:tc>
          <w:tcPr>
            <w:tcW w:w="5527" w:type="dxa"/>
          </w:tcPr>
          <w:p w14:paraId="77C9A786" w14:textId="77777777" w:rsidR="00C37194" w:rsidRPr="00B45531" w:rsidRDefault="00C37194" w:rsidP="00C20A58">
            <w:pPr>
              <w:contextualSpacing/>
              <w:rPr>
                <w:rStyle w:val="Emphasis"/>
                <w:rFonts w:eastAsiaTheme="majorEastAsia"/>
                <w:i w:val="0"/>
                <w:iCs w:val="0"/>
                <w:sz w:val="22"/>
                <w:szCs w:val="22"/>
              </w:rPr>
            </w:pPr>
            <w:proofErr w:type="spellStart"/>
            <w:r w:rsidRPr="00B45531">
              <w:rPr>
                <w:rStyle w:val="Emphasis"/>
                <w:rFonts w:eastAsiaTheme="majorEastAsia"/>
              </w:rPr>
              <w:t>Orthopodomyia</w:t>
            </w:r>
            <w:proofErr w:type="spellEnd"/>
            <w:r w:rsidRPr="00B45531">
              <w:rPr>
                <w:rStyle w:val="u-font-serif"/>
                <w:rFonts w:eastAsiaTheme="majorEastAsia"/>
              </w:rPr>
              <w:t xml:space="preserve"> (</w:t>
            </w:r>
            <w:r w:rsidRPr="00B45531">
              <w:rPr>
                <w:rStyle w:val="Emphasis"/>
                <w:rFonts w:eastAsiaTheme="majorEastAsia"/>
              </w:rPr>
              <w:t>Or.</w:t>
            </w:r>
            <w:r w:rsidRPr="00B45531">
              <w:rPr>
                <w:rStyle w:val="u-font-serif"/>
                <w:rFonts w:eastAsiaTheme="majorEastAsia"/>
              </w:rPr>
              <w:t>)</w:t>
            </w:r>
          </w:p>
        </w:tc>
      </w:tr>
      <w:tr w:rsidR="00C37194" w:rsidRPr="004B6EB5" w14:paraId="29F46C6E" w14:textId="77777777">
        <w:tc>
          <w:tcPr>
            <w:tcW w:w="1980" w:type="dxa"/>
          </w:tcPr>
          <w:p w14:paraId="665CAC53" w14:textId="77777777" w:rsidR="00C37194" w:rsidRPr="00B45531" w:rsidRDefault="00C37194" w:rsidP="00C20A58">
            <w:pPr>
              <w:contextualSpacing/>
              <w:rPr>
                <w:sz w:val="22"/>
                <w:szCs w:val="22"/>
              </w:rPr>
            </w:pPr>
          </w:p>
        </w:tc>
        <w:tc>
          <w:tcPr>
            <w:tcW w:w="1843" w:type="dxa"/>
          </w:tcPr>
          <w:p w14:paraId="0C4BE77D" w14:textId="77777777" w:rsidR="00C37194" w:rsidRPr="00B45531" w:rsidRDefault="00C37194" w:rsidP="00C20A58">
            <w:pPr>
              <w:contextualSpacing/>
              <w:rPr>
                <w:rStyle w:val="u-font-serif"/>
                <w:rFonts w:eastAsiaTheme="majorEastAsia"/>
                <w:sz w:val="22"/>
                <w:szCs w:val="22"/>
              </w:rPr>
            </w:pPr>
            <w:proofErr w:type="spellStart"/>
            <w:r w:rsidRPr="00B45531">
              <w:rPr>
                <w:rStyle w:val="u-font-serif"/>
                <w:rFonts w:eastAsiaTheme="majorEastAsia"/>
              </w:rPr>
              <w:t>Sabethini</w:t>
            </w:r>
            <w:proofErr w:type="spellEnd"/>
          </w:p>
        </w:tc>
        <w:tc>
          <w:tcPr>
            <w:tcW w:w="5527" w:type="dxa"/>
          </w:tcPr>
          <w:p w14:paraId="56FC5923" w14:textId="77777777" w:rsidR="00C37194" w:rsidRPr="00B45531" w:rsidRDefault="00C37194" w:rsidP="00C20A58">
            <w:pPr>
              <w:contextualSpacing/>
              <w:rPr>
                <w:rStyle w:val="Emphasis"/>
                <w:rFonts w:eastAsiaTheme="majorEastAsia"/>
                <w:i w:val="0"/>
                <w:iCs w:val="0"/>
                <w:sz w:val="22"/>
                <w:szCs w:val="22"/>
              </w:rPr>
            </w:pPr>
            <w:proofErr w:type="spellStart"/>
            <w:r w:rsidRPr="00B45531">
              <w:rPr>
                <w:rStyle w:val="Emphasis"/>
                <w:rFonts w:eastAsiaTheme="majorEastAsia"/>
              </w:rPr>
              <w:t>Sabethes</w:t>
            </w:r>
            <w:proofErr w:type="spellEnd"/>
            <w:r w:rsidRPr="00B45531">
              <w:rPr>
                <w:rStyle w:val="u-font-serif"/>
                <w:rFonts w:eastAsiaTheme="majorEastAsia"/>
              </w:rPr>
              <w:t xml:space="preserve"> (</w:t>
            </w:r>
            <w:r w:rsidRPr="00B45531">
              <w:rPr>
                <w:rStyle w:val="Emphasis"/>
                <w:rFonts w:eastAsiaTheme="majorEastAsia"/>
              </w:rPr>
              <w:t>Sa.</w:t>
            </w:r>
            <w:r w:rsidRPr="00B45531">
              <w:rPr>
                <w:rStyle w:val="u-font-serif"/>
                <w:rFonts w:eastAsiaTheme="majorEastAsia"/>
              </w:rPr>
              <w:t xml:space="preserve">), </w:t>
            </w:r>
            <w:proofErr w:type="spellStart"/>
            <w:r w:rsidRPr="00B45531">
              <w:rPr>
                <w:rStyle w:val="Emphasis"/>
                <w:rFonts w:eastAsiaTheme="majorEastAsia"/>
              </w:rPr>
              <w:t>Wyeomyia</w:t>
            </w:r>
            <w:proofErr w:type="spellEnd"/>
            <w:r w:rsidRPr="00B45531">
              <w:rPr>
                <w:rStyle w:val="u-font-serif"/>
                <w:rFonts w:eastAsiaTheme="majorEastAsia"/>
              </w:rPr>
              <w:t xml:space="preserve"> (</w:t>
            </w:r>
            <w:r w:rsidRPr="00B45531">
              <w:rPr>
                <w:rStyle w:val="Emphasis"/>
                <w:rFonts w:eastAsiaTheme="majorEastAsia"/>
              </w:rPr>
              <w:t>Wy.</w:t>
            </w:r>
            <w:r w:rsidRPr="00B45531">
              <w:rPr>
                <w:rStyle w:val="u-font-serif"/>
                <w:rFonts w:eastAsiaTheme="majorEastAsia"/>
              </w:rPr>
              <w:t xml:space="preserve">), </w:t>
            </w:r>
            <w:proofErr w:type="spellStart"/>
            <w:r w:rsidRPr="00B45531">
              <w:rPr>
                <w:rStyle w:val="Emphasis"/>
                <w:rFonts w:eastAsiaTheme="majorEastAsia"/>
              </w:rPr>
              <w:t>Phoniomyia</w:t>
            </w:r>
            <w:proofErr w:type="spellEnd"/>
            <w:r w:rsidRPr="00B45531">
              <w:rPr>
                <w:rStyle w:val="u-font-serif"/>
                <w:rFonts w:eastAsiaTheme="majorEastAsia"/>
              </w:rPr>
              <w:t xml:space="preserve"> (</w:t>
            </w:r>
            <w:r w:rsidRPr="00B45531">
              <w:rPr>
                <w:rStyle w:val="Emphasis"/>
                <w:rFonts w:eastAsiaTheme="majorEastAsia"/>
              </w:rPr>
              <w:t>Ph.</w:t>
            </w:r>
            <w:r w:rsidRPr="00B45531">
              <w:rPr>
                <w:rStyle w:val="u-font-serif"/>
                <w:rFonts w:eastAsiaTheme="majorEastAsia"/>
              </w:rPr>
              <w:t xml:space="preserve">), </w:t>
            </w:r>
            <w:proofErr w:type="spellStart"/>
            <w:r w:rsidRPr="00B45531">
              <w:rPr>
                <w:rStyle w:val="Emphasis"/>
                <w:rFonts w:eastAsiaTheme="majorEastAsia"/>
              </w:rPr>
              <w:t>Limatus</w:t>
            </w:r>
            <w:proofErr w:type="spellEnd"/>
            <w:r w:rsidRPr="00B45531">
              <w:rPr>
                <w:rStyle w:val="u-font-serif"/>
                <w:rFonts w:eastAsiaTheme="majorEastAsia"/>
              </w:rPr>
              <w:t xml:space="preserve"> (</w:t>
            </w:r>
            <w:r w:rsidRPr="00B45531">
              <w:rPr>
                <w:rStyle w:val="Emphasis"/>
                <w:rFonts w:eastAsiaTheme="majorEastAsia"/>
              </w:rPr>
              <w:t>Li.</w:t>
            </w:r>
            <w:r w:rsidRPr="00B45531">
              <w:rPr>
                <w:rStyle w:val="u-font-serif"/>
                <w:rFonts w:eastAsiaTheme="majorEastAsia"/>
              </w:rPr>
              <w:t xml:space="preserve">), </w:t>
            </w:r>
            <w:proofErr w:type="spellStart"/>
            <w:r w:rsidRPr="00B45531">
              <w:rPr>
                <w:rStyle w:val="Emphasis"/>
                <w:rFonts w:eastAsiaTheme="majorEastAsia"/>
              </w:rPr>
              <w:t>Trichoprosopon</w:t>
            </w:r>
            <w:proofErr w:type="spellEnd"/>
            <w:r w:rsidRPr="00B45531">
              <w:rPr>
                <w:rStyle w:val="u-font-serif"/>
                <w:rFonts w:eastAsiaTheme="majorEastAsia"/>
              </w:rPr>
              <w:t xml:space="preserve"> (</w:t>
            </w:r>
            <w:r w:rsidRPr="00B45531">
              <w:rPr>
                <w:rStyle w:val="Emphasis"/>
                <w:rFonts w:eastAsiaTheme="majorEastAsia"/>
              </w:rPr>
              <w:t>Tr.</w:t>
            </w:r>
            <w:r w:rsidRPr="00B45531">
              <w:rPr>
                <w:rStyle w:val="u-font-serif"/>
                <w:rFonts w:eastAsiaTheme="majorEastAsia"/>
              </w:rPr>
              <w:t xml:space="preserve">), </w:t>
            </w:r>
            <w:proofErr w:type="spellStart"/>
            <w:r w:rsidRPr="00B45531">
              <w:rPr>
                <w:rStyle w:val="Emphasis"/>
                <w:rFonts w:eastAsiaTheme="majorEastAsia"/>
              </w:rPr>
              <w:t>Shannoniana</w:t>
            </w:r>
            <w:proofErr w:type="spellEnd"/>
            <w:r w:rsidRPr="00B45531">
              <w:rPr>
                <w:rStyle w:val="u-font-serif"/>
                <w:rFonts w:eastAsiaTheme="majorEastAsia"/>
              </w:rPr>
              <w:t xml:space="preserve"> (</w:t>
            </w:r>
            <w:r w:rsidRPr="00B45531">
              <w:rPr>
                <w:rStyle w:val="Emphasis"/>
                <w:rFonts w:eastAsiaTheme="majorEastAsia"/>
              </w:rPr>
              <w:t>Sh.</w:t>
            </w:r>
            <w:r w:rsidRPr="00B45531">
              <w:rPr>
                <w:rStyle w:val="u-font-serif"/>
                <w:rFonts w:eastAsiaTheme="majorEastAsia"/>
              </w:rPr>
              <w:t xml:space="preserve">), </w:t>
            </w:r>
            <w:proofErr w:type="spellStart"/>
            <w:r w:rsidRPr="00B45531">
              <w:rPr>
                <w:rStyle w:val="Emphasis"/>
                <w:rFonts w:eastAsiaTheme="majorEastAsia"/>
              </w:rPr>
              <w:t>Runchomyia</w:t>
            </w:r>
            <w:proofErr w:type="spellEnd"/>
            <w:r w:rsidRPr="00B45531">
              <w:rPr>
                <w:rStyle w:val="u-font-serif"/>
                <w:rFonts w:eastAsiaTheme="majorEastAsia"/>
              </w:rPr>
              <w:t xml:space="preserve"> (</w:t>
            </w:r>
            <w:r w:rsidRPr="00B45531">
              <w:rPr>
                <w:rStyle w:val="Emphasis"/>
                <w:rFonts w:eastAsiaTheme="majorEastAsia"/>
              </w:rPr>
              <w:t>Ru.</w:t>
            </w:r>
            <w:r w:rsidRPr="00B45531">
              <w:rPr>
                <w:rStyle w:val="u-font-serif"/>
                <w:rFonts w:eastAsiaTheme="majorEastAsia"/>
              </w:rPr>
              <w:t xml:space="preserve">), </w:t>
            </w:r>
            <w:proofErr w:type="spellStart"/>
            <w:r w:rsidRPr="00B45531">
              <w:rPr>
                <w:rStyle w:val="Emphasis"/>
                <w:rFonts w:eastAsiaTheme="majorEastAsia"/>
              </w:rPr>
              <w:t>Johnbelkinia</w:t>
            </w:r>
            <w:proofErr w:type="spellEnd"/>
            <w:r w:rsidRPr="00B45531">
              <w:rPr>
                <w:rStyle w:val="u-font-serif"/>
                <w:rFonts w:eastAsiaTheme="majorEastAsia"/>
              </w:rPr>
              <w:t xml:space="preserve"> (</w:t>
            </w:r>
            <w:r w:rsidRPr="00B45531">
              <w:rPr>
                <w:rStyle w:val="Emphasis"/>
                <w:rFonts w:eastAsiaTheme="majorEastAsia"/>
              </w:rPr>
              <w:t>Jb.</w:t>
            </w:r>
            <w:r w:rsidRPr="00B45531">
              <w:rPr>
                <w:rStyle w:val="u-font-serif"/>
                <w:rFonts w:eastAsiaTheme="majorEastAsia"/>
              </w:rPr>
              <w:t xml:space="preserve">), </w:t>
            </w:r>
            <w:proofErr w:type="spellStart"/>
            <w:r w:rsidRPr="00B45531">
              <w:rPr>
                <w:rStyle w:val="Emphasis"/>
                <w:rFonts w:eastAsiaTheme="majorEastAsia"/>
              </w:rPr>
              <w:t>Isostomyia</w:t>
            </w:r>
            <w:proofErr w:type="spellEnd"/>
            <w:r w:rsidRPr="00B45531">
              <w:rPr>
                <w:rStyle w:val="u-font-serif"/>
                <w:rFonts w:eastAsiaTheme="majorEastAsia"/>
              </w:rPr>
              <w:t xml:space="preserve"> (</w:t>
            </w:r>
            <w:r w:rsidRPr="00B45531">
              <w:rPr>
                <w:rStyle w:val="Emphasis"/>
                <w:rFonts w:eastAsiaTheme="majorEastAsia"/>
              </w:rPr>
              <w:t>Is.</w:t>
            </w:r>
            <w:r w:rsidRPr="00B45531">
              <w:rPr>
                <w:rStyle w:val="u-font-serif"/>
                <w:rFonts w:eastAsiaTheme="majorEastAsia"/>
              </w:rPr>
              <w:t xml:space="preserve">), </w:t>
            </w:r>
            <w:proofErr w:type="spellStart"/>
            <w:r w:rsidRPr="00B45531">
              <w:rPr>
                <w:rStyle w:val="Emphasis"/>
                <w:rFonts w:eastAsiaTheme="majorEastAsia"/>
              </w:rPr>
              <w:t>Tripteroides</w:t>
            </w:r>
            <w:proofErr w:type="spellEnd"/>
            <w:r w:rsidRPr="00B45531">
              <w:rPr>
                <w:rStyle w:val="u-font-serif"/>
                <w:rFonts w:eastAsiaTheme="majorEastAsia"/>
              </w:rPr>
              <w:t xml:space="preserve"> (</w:t>
            </w:r>
            <w:r w:rsidRPr="00B45531">
              <w:rPr>
                <w:rStyle w:val="Emphasis"/>
                <w:rFonts w:eastAsiaTheme="majorEastAsia"/>
              </w:rPr>
              <w:t>Tp.</w:t>
            </w:r>
            <w:r w:rsidRPr="00B45531">
              <w:rPr>
                <w:rStyle w:val="u-font-serif"/>
                <w:rFonts w:eastAsiaTheme="majorEastAsia"/>
              </w:rPr>
              <w:t xml:space="preserve">), </w:t>
            </w:r>
            <w:r w:rsidRPr="00B45531">
              <w:rPr>
                <w:rStyle w:val="Emphasis"/>
                <w:rFonts w:eastAsiaTheme="majorEastAsia"/>
              </w:rPr>
              <w:t>Malaya</w:t>
            </w:r>
            <w:r w:rsidRPr="00B45531">
              <w:rPr>
                <w:rStyle w:val="u-font-serif"/>
                <w:rFonts w:eastAsiaTheme="majorEastAsia"/>
              </w:rPr>
              <w:t xml:space="preserve"> (</w:t>
            </w:r>
            <w:r w:rsidRPr="00B45531">
              <w:rPr>
                <w:rStyle w:val="Emphasis"/>
                <w:rFonts w:eastAsiaTheme="majorEastAsia"/>
              </w:rPr>
              <w:t>Ml</w:t>
            </w:r>
            <w:r w:rsidRPr="00B45531">
              <w:rPr>
                <w:rStyle w:val="u-font-serif"/>
                <w:rFonts w:eastAsiaTheme="majorEastAsia"/>
              </w:rPr>
              <w:t xml:space="preserve">.), </w:t>
            </w:r>
            <w:proofErr w:type="spellStart"/>
            <w:r w:rsidRPr="00B45531">
              <w:rPr>
                <w:rStyle w:val="Emphasis"/>
                <w:rFonts w:eastAsiaTheme="majorEastAsia"/>
              </w:rPr>
              <w:t>Topomyia</w:t>
            </w:r>
            <w:proofErr w:type="spellEnd"/>
            <w:r w:rsidRPr="00B45531">
              <w:rPr>
                <w:rStyle w:val="u-font-serif"/>
                <w:rFonts w:eastAsiaTheme="majorEastAsia"/>
              </w:rPr>
              <w:t xml:space="preserve"> (</w:t>
            </w:r>
            <w:r w:rsidRPr="00B45531">
              <w:rPr>
                <w:rStyle w:val="Emphasis"/>
                <w:rFonts w:eastAsiaTheme="majorEastAsia"/>
              </w:rPr>
              <w:t>To.</w:t>
            </w:r>
            <w:r w:rsidRPr="00B45531">
              <w:rPr>
                <w:rStyle w:val="u-font-serif"/>
                <w:rFonts w:eastAsiaTheme="majorEastAsia"/>
              </w:rPr>
              <w:t xml:space="preserve">), </w:t>
            </w:r>
            <w:proofErr w:type="spellStart"/>
            <w:r w:rsidRPr="00B45531">
              <w:rPr>
                <w:rStyle w:val="Emphasis"/>
                <w:rFonts w:eastAsiaTheme="majorEastAsia"/>
              </w:rPr>
              <w:t>Maorigoeldia</w:t>
            </w:r>
            <w:proofErr w:type="spellEnd"/>
            <w:r w:rsidRPr="00B45531">
              <w:rPr>
                <w:rStyle w:val="u-font-serif"/>
                <w:rFonts w:eastAsiaTheme="majorEastAsia"/>
              </w:rPr>
              <w:t xml:space="preserve"> (</w:t>
            </w:r>
            <w:r w:rsidRPr="00B45531">
              <w:rPr>
                <w:rStyle w:val="Emphasis"/>
                <w:rFonts w:eastAsiaTheme="majorEastAsia"/>
              </w:rPr>
              <w:t>Mg.</w:t>
            </w:r>
            <w:r w:rsidRPr="00B45531">
              <w:rPr>
                <w:rStyle w:val="u-font-serif"/>
                <w:rFonts w:eastAsiaTheme="majorEastAsia"/>
              </w:rPr>
              <w:t>)</w:t>
            </w:r>
          </w:p>
        </w:tc>
      </w:tr>
      <w:tr w:rsidR="00C37194" w:rsidRPr="004B6EB5" w14:paraId="1E494318" w14:textId="77777777">
        <w:tc>
          <w:tcPr>
            <w:tcW w:w="1980" w:type="dxa"/>
          </w:tcPr>
          <w:p w14:paraId="20F09433" w14:textId="77777777" w:rsidR="00C37194" w:rsidRPr="00B45531" w:rsidRDefault="00C37194" w:rsidP="00C20A58">
            <w:pPr>
              <w:contextualSpacing/>
              <w:rPr>
                <w:sz w:val="22"/>
                <w:szCs w:val="22"/>
              </w:rPr>
            </w:pPr>
          </w:p>
        </w:tc>
        <w:tc>
          <w:tcPr>
            <w:tcW w:w="1843" w:type="dxa"/>
          </w:tcPr>
          <w:p w14:paraId="48723302" w14:textId="77777777" w:rsidR="00C37194" w:rsidRPr="00B45531" w:rsidRDefault="00C37194" w:rsidP="00C20A58">
            <w:pPr>
              <w:contextualSpacing/>
              <w:rPr>
                <w:rStyle w:val="u-font-serif"/>
                <w:rFonts w:eastAsiaTheme="majorEastAsia"/>
                <w:sz w:val="22"/>
                <w:szCs w:val="22"/>
              </w:rPr>
            </w:pPr>
            <w:proofErr w:type="spellStart"/>
            <w:r w:rsidRPr="00B45531">
              <w:rPr>
                <w:rStyle w:val="u-font-serif"/>
                <w:rFonts w:eastAsiaTheme="majorEastAsia"/>
              </w:rPr>
              <w:t>Toxorhynchitini</w:t>
            </w:r>
            <w:proofErr w:type="spellEnd"/>
          </w:p>
        </w:tc>
        <w:tc>
          <w:tcPr>
            <w:tcW w:w="5527" w:type="dxa"/>
          </w:tcPr>
          <w:p w14:paraId="601B9C55" w14:textId="77777777" w:rsidR="00C37194" w:rsidRPr="00B45531" w:rsidRDefault="00C37194" w:rsidP="00C20A58">
            <w:pPr>
              <w:contextualSpacing/>
              <w:rPr>
                <w:rStyle w:val="Emphasis"/>
                <w:rFonts w:eastAsiaTheme="majorEastAsia"/>
                <w:i w:val="0"/>
                <w:iCs w:val="0"/>
                <w:sz w:val="22"/>
                <w:szCs w:val="22"/>
              </w:rPr>
            </w:pPr>
            <w:proofErr w:type="spellStart"/>
            <w:r w:rsidRPr="00B45531">
              <w:rPr>
                <w:rStyle w:val="Emphasis"/>
                <w:rFonts w:eastAsiaTheme="majorEastAsia"/>
              </w:rPr>
              <w:t>Toxorhynchites</w:t>
            </w:r>
            <w:proofErr w:type="spellEnd"/>
            <w:r w:rsidRPr="00B45531">
              <w:rPr>
                <w:rStyle w:val="u-font-serif"/>
                <w:rFonts w:eastAsiaTheme="majorEastAsia"/>
              </w:rPr>
              <w:t xml:space="preserve"> (</w:t>
            </w:r>
            <w:r w:rsidRPr="00B45531">
              <w:rPr>
                <w:rStyle w:val="Emphasis"/>
                <w:rFonts w:eastAsiaTheme="majorEastAsia"/>
              </w:rPr>
              <w:t>Tx.</w:t>
            </w:r>
            <w:r w:rsidRPr="00B45531">
              <w:rPr>
                <w:rStyle w:val="u-font-serif"/>
                <w:rFonts w:eastAsiaTheme="majorEastAsia"/>
              </w:rPr>
              <w:t>)</w:t>
            </w:r>
          </w:p>
        </w:tc>
      </w:tr>
      <w:tr w:rsidR="00C37194" w:rsidRPr="004B6EB5" w14:paraId="6825C380" w14:textId="77777777">
        <w:tc>
          <w:tcPr>
            <w:tcW w:w="1980" w:type="dxa"/>
          </w:tcPr>
          <w:p w14:paraId="7B9FBDDE" w14:textId="77777777" w:rsidR="00C37194" w:rsidRPr="00B45531" w:rsidRDefault="00C37194" w:rsidP="00C20A58">
            <w:pPr>
              <w:contextualSpacing/>
              <w:rPr>
                <w:sz w:val="22"/>
                <w:szCs w:val="22"/>
              </w:rPr>
            </w:pPr>
          </w:p>
        </w:tc>
        <w:tc>
          <w:tcPr>
            <w:tcW w:w="1843" w:type="dxa"/>
          </w:tcPr>
          <w:p w14:paraId="3A43D8CC" w14:textId="77777777" w:rsidR="00C37194" w:rsidRPr="00B45531" w:rsidRDefault="00C37194" w:rsidP="00C20A58">
            <w:pPr>
              <w:contextualSpacing/>
              <w:rPr>
                <w:rStyle w:val="u-font-serif"/>
                <w:rFonts w:eastAsiaTheme="majorEastAsia"/>
                <w:sz w:val="22"/>
                <w:szCs w:val="22"/>
              </w:rPr>
            </w:pPr>
            <w:proofErr w:type="spellStart"/>
            <w:r w:rsidRPr="00B45531">
              <w:rPr>
                <w:rStyle w:val="u-font-serif"/>
                <w:rFonts w:eastAsiaTheme="majorEastAsia"/>
              </w:rPr>
              <w:t>Uranotaeniini</w:t>
            </w:r>
            <w:proofErr w:type="spellEnd"/>
          </w:p>
        </w:tc>
        <w:tc>
          <w:tcPr>
            <w:tcW w:w="5527" w:type="dxa"/>
          </w:tcPr>
          <w:p w14:paraId="57E0DA5B" w14:textId="77777777" w:rsidR="00C37194" w:rsidRPr="00B45531" w:rsidRDefault="00C37194" w:rsidP="00C20A58">
            <w:pPr>
              <w:contextualSpacing/>
              <w:rPr>
                <w:rStyle w:val="Emphasis"/>
                <w:rFonts w:eastAsiaTheme="majorEastAsia"/>
                <w:i w:val="0"/>
                <w:iCs w:val="0"/>
                <w:sz w:val="22"/>
                <w:szCs w:val="22"/>
              </w:rPr>
            </w:pPr>
            <w:proofErr w:type="spellStart"/>
            <w:r w:rsidRPr="00B45531">
              <w:rPr>
                <w:rStyle w:val="Emphasis"/>
                <w:rFonts w:eastAsiaTheme="majorEastAsia"/>
              </w:rPr>
              <w:t>Uranotaenia</w:t>
            </w:r>
            <w:proofErr w:type="spellEnd"/>
            <w:r w:rsidRPr="00B45531">
              <w:rPr>
                <w:rStyle w:val="u-font-serif"/>
                <w:rFonts w:eastAsiaTheme="majorEastAsia"/>
              </w:rPr>
              <w:t xml:space="preserve"> (</w:t>
            </w:r>
            <w:r w:rsidRPr="00B45531">
              <w:rPr>
                <w:rStyle w:val="Emphasis"/>
                <w:rFonts w:eastAsiaTheme="majorEastAsia"/>
              </w:rPr>
              <w:t>Ur.</w:t>
            </w:r>
            <w:r w:rsidRPr="00B45531">
              <w:rPr>
                <w:rStyle w:val="u-font-serif"/>
                <w:rFonts w:eastAsiaTheme="majorEastAsia"/>
              </w:rPr>
              <w:t>)</w:t>
            </w:r>
          </w:p>
        </w:tc>
      </w:tr>
    </w:tbl>
    <w:p w14:paraId="0BC9FBAA" w14:textId="77777777" w:rsidR="00C37194" w:rsidRPr="004E13A3" w:rsidRDefault="00C37194" w:rsidP="00C37194">
      <w:pPr>
        <w:pStyle w:val="paragraph"/>
        <w:spacing w:before="0" w:beforeAutospacing="0" w:after="0" w:afterAutospacing="0"/>
        <w:jc w:val="center"/>
        <w:textAlignment w:val="baseline"/>
        <w:rPr>
          <w:sz w:val="18"/>
          <w:szCs w:val="18"/>
        </w:rPr>
      </w:pPr>
    </w:p>
    <w:p w14:paraId="5EC86D64" w14:textId="77777777" w:rsidR="00C37194" w:rsidRPr="004E13A3" w:rsidRDefault="00C37194" w:rsidP="00C37194">
      <w:pPr>
        <w:pStyle w:val="paragraph"/>
        <w:spacing w:before="0" w:beforeAutospacing="0" w:after="0" w:afterAutospacing="0"/>
        <w:jc w:val="center"/>
        <w:textAlignment w:val="baseline"/>
        <w:rPr>
          <w:sz w:val="18"/>
          <w:szCs w:val="18"/>
        </w:rPr>
      </w:pPr>
    </w:p>
    <w:p w14:paraId="4A197DDA" w14:textId="77777777" w:rsidR="00C37194" w:rsidRPr="00B45531" w:rsidRDefault="00C37194" w:rsidP="00C37194">
      <w:pPr>
        <w:rPr>
          <w:rFonts w:ascii="Times New Roman" w:hAnsi="Times New Roman"/>
          <w:b/>
        </w:rPr>
      </w:pPr>
      <w:r w:rsidRPr="00B45531">
        <w:rPr>
          <w:rFonts w:ascii="Times New Roman" w:hAnsi="Times New Roman"/>
          <w:b/>
        </w:rPr>
        <w:br w:type="page"/>
      </w:r>
    </w:p>
    <w:p w14:paraId="10991D87" w14:textId="1A38A53F" w:rsidR="00710BB4" w:rsidRPr="00510EBB" w:rsidRDefault="00C37194" w:rsidP="00510EBB">
      <w:pPr>
        <w:pStyle w:val="Heading2"/>
        <w:spacing w:line="276" w:lineRule="auto"/>
        <w:rPr>
          <w:rFonts w:ascii="Times New Roman" w:hAnsi="Times New Roman" w:cs="Times New Roman"/>
          <w:b/>
          <w:color w:val="auto"/>
          <w:sz w:val="28"/>
          <w:szCs w:val="28"/>
          <w:lang w:val="en-GB"/>
        </w:rPr>
      </w:pPr>
      <w:bookmarkStart w:id="160" w:name="_Toc161220536"/>
      <w:r w:rsidRPr="00510EBB">
        <w:rPr>
          <w:rFonts w:ascii="Times New Roman" w:hAnsi="Times New Roman" w:cs="Times New Roman"/>
          <w:b/>
          <w:color w:val="auto"/>
          <w:sz w:val="28"/>
          <w:szCs w:val="28"/>
          <w:lang w:val="en-GB"/>
        </w:rPr>
        <w:lastRenderedPageBreak/>
        <w:t>A</w:t>
      </w:r>
      <w:r w:rsidR="00713833" w:rsidRPr="00510EBB">
        <w:rPr>
          <w:rFonts w:ascii="Times New Roman" w:hAnsi="Times New Roman" w:cs="Times New Roman"/>
          <w:b/>
          <w:color w:val="auto"/>
          <w:sz w:val="28"/>
          <w:szCs w:val="28"/>
          <w:lang w:val="en-GB"/>
        </w:rPr>
        <w:t>nnex</w:t>
      </w:r>
      <w:r w:rsidRPr="00510EBB">
        <w:rPr>
          <w:rFonts w:ascii="Times New Roman" w:hAnsi="Times New Roman" w:cs="Times New Roman"/>
          <w:b/>
          <w:color w:val="auto"/>
          <w:sz w:val="28"/>
          <w:szCs w:val="28"/>
          <w:lang w:val="en-GB"/>
        </w:rPr>
        <w:t xml:space="preserve"> </w:t>
      </w:r>
      <w:r w:rsidR="00710BB4" w:rsidRPr="00510EBB">
        <w:rPr>
          <w:rFonts w:ascii="Times New Roman" w:hAnsi="Times New Roman" w:cs="Times New Roman"/>
          <w:b/>
          <w:bCs/>
          <w:color w:val="auto"/>
          <w:sz w:val="28"/>
          <w:szCs w:val="28"/>
          <w:lang w:val="en-GB"/>
        </w:rPr>
        <w:t>V</w:t>
      </w:r>
      <w:bookmarkEnd w:id="160"/>
    </w:p>
    <w:p w14:paraId="4EFDFCF2" w14:textId="4309D171" w:rsidR="00C37194" w:rsidRPr="00510EBB" w:rsidRDefault="00C37194" w:rsidP="00C37194">
      <w:pPr>
        <w:rPr>
          <w:rFonts w:ascii="Times New Roman" w:hAnsi="Times New Roman"/>
          <w:b/>
          <w:sz w:val="28"/>
          <w:szCs w:val="28"/>
        </w:rPr>
      </w:pPr>
      <w:r w:rsidRPr="00510EBB">
        <w:rPr>
          <w:rFonts w:ascii="Times New Roman" w:hAnsi="Times New Roman"/>
          <w:b/>
          <w:sz w:val="28"/>
          <w:szCs w:val="28"/>
        </w:rPr>
        <w:t>Non-exhaustive list of mosquito vectors of diseases</w:t>
      </w:r>
    </w:p>
    <w:tbl>
      <w:tblPr>
        <w:tblStyle w:val="TableGrid"/>
        <w:tblW w:w="0" w:type="auto"/>
        <w:tblLook w:val="04A0" w:firstRow="1" w:lastRow="0" w:firstColumn="1" w:lastColumn="0" w:noHBand="0" w:noVBand="1"/>
      </w:tblPr>
      <w:tblGrid>
        <w:gridCol w:w="1064"/>
        <w:gridCol w:w="1992"/>
        <w:gridCol w:w="2127"/>
        <w:gridCol w:w="1317"/>
        <w:gridCol w:w="2516"/>
      </w:tblGrid>
      <w:tr w:rsidR="00C37194" w:rsidRPr="004B6EB5" w14:paraId="1FED1F01" w14:textId="77777777" w:rsidTr="00501163">
        <w:tc>
          <w:tcPr>
            <w:tcW w:w="1064" w:type="dxa"/>
          </w:tcPr>
          <w:p w14:paraId="00DDA736" w14:textId="77777777" w:rsidR="00C37194" w:rsidRPr="00B45531" w:rsidRDefault="00C37194" w:rsidP="00C20A58">
            <w:pPr>
              <w:rPr>
                <w:b/>
                <w:bCs/>
                <w:sz w:val="22"/>
                <w:szCs w:val="22"/>
              </w:rPr>
            </w:pPr>
            <w:r w:rsidRPr="00B45531">
              <w:rPr>
                <w:b/>
                <w:bCs/>
                <w:sz w:val="22"/>
                <w:szCs w:val="22"/>
              </w:rPr>
              <w:t>Host</w:t>
            </w:r>
          </w:p>
        </w:tc>
        <w:tc>
          <w:tcPr>
            <w:tcW w:w="1992" w:type="dxa"/>
            <w:vAlign w:val="center"/>
          </w:tcPr>
          <w:p w14:paraId="5264672E" w14:textId="7E3BF645" w:rsidR="00C37194" w:rsidRPr="00B45531" w:rsidRDefault="00C37194" w:rsidP="00501163">
            <w:pPr>
              <w:rPr>
                <w:b/>
                <w:bCs/>
                <w:sz w:val="22"/>
                <w:szCs w:val="22"/>
              </w:rPr>
            </w:pPr>
            <w:r w:rsidRPr="00B45531">
              <w:rPr>
                <w:b/>
                <w:bCs/>
                <w:sz w:val="22"/>
                <w:szCs w:val="22"/>
              </w:rPr>
              <w:t xml:space="preserve">Mosquito </w:t>
            </w:r>
            <w:r w:rsidR="00C20A58">
              <w:rPr>
                <w:b/>
                <w:bCs/>
                <w:sz w:val="22"/>
                <w:szCs w:val="22"/>
              </w:rPr>
              <w:t>s</w:t>
            </w:r>
            <w:r w:rsidRPr="00B45531">
              <w:rPr>
                <w:b/>
                <w:bCs/>
                <w:sz w:val="22"/>
                <w:szCs w:val="22"/>
              </w:rPr>
              <w:t>pecies</w:t>
            </w:r>
          </w:p>
        </w:tc>
        <w:tc>
          <w:tcPr>
            <w:tcW w:w="2127" w:type="dxa"/>
          </w:tcPr>
          <w:p w14:paraId="70D74220" w14:textId="77777777" w:rsidR="00C37194" w:rsidRPr="00B45531" w:rsidRDefault="00C37194" w:rsidP="00501163">
            <w:pPr>
              <w:rPr>
                <w:b/>
                <w:bCs/>
                <w:sz w:val="22"/>
                <w:szCs w:val="22"/>
              </w:rPr>
            </w:pPr>
            <w:r w:rsidRPr="00B45531">
              <w:rPr>
                <w:b/>
                <w:bCs/>
                <w:sz w:val="22"/>
                <w:szCs w:val="22"/>
              </w:rPr>
              <w:t>Disease</w:t>
            </w:r>
          </w:p>
        </w:tc>
        <w:tc>
          <w:tcPr>
            <w:tcW w:w="1317" w:type="dxa"/>
          </w:tcPr>
          <w:p w14:paraId="0D10B8F1" w14:textId="77777777" w:rsidR="00C37194" w:rsidRPr="00B45531" w:rsidRDefault="00C37194" w:rsidP="00501163">
            <w:pPr>
              <w:rPr>
                <w:b/>
                <w:bCs/>
                <w:sz w:val="22"/>
                <w:szCs w:val="22"/>
              </w:rPr>
            </w:pPr>
            <w:r w:rsidRPr="00B45531">
              <w:rPr>
                <w:b/>
                <w:bCs/>
                <w:sz w:val="22"/>
                <w:szCs w:val="22"/>
              </w:rPr>
              <w:t>Pathogen</w:t>
            </w:r>
          </w:p>
        </w:tc>
        <w:tc>
          <w:tcPr>
            <w:tcW w:w="2516" w:type="dxa"/>
          </w:tcPr>
          <w:p w14:paraId="5593BE01" w14:textId="77777777" w:rsidR="00C37194" w:rsidRPr="00B45531" w:rsidRDefault="00C37194" w:rsidP="00501163">
            <w:pPr>
              <w:rPr>
                <w:b/>
                <w:bCs/>
                <w:sz w:val="22"/>
                <w:szCs w:val="22"/>
              </w:rPr>
            </w:pPr>
            <w:r w:rsidRPr="00B45531">
              <w:rPr>
                <w:b/>
                <w:bCs/>
                <w:sz w:val="22"/>
                <w:szCs w:val="22"/>
              </w:rPr>
              <w:t>Reference(s)</w:t>
            </w:r>
          </w:p>
        </w:tc>
      </w:tr>
      <w:tr w:rsidR="00C37194" w:rsidRPr="004B6EB5" w14:paraId="2BE11631" w14:textId="77777777" w:rsidTr="00501163">
        <w:tc>
          <w:tcPr>
            <w:tcW w:w="1064" w:type="dxa"/>
            <w:vMerge w:val="restart"/>
          </w:tcPr>
          <w:p w14:paraId="66CB3FC1" w14:textId="77777777" w:rsidR="00C37194" w:rsidRPr="00B45531" w:rsidRDefault="00C37194">
            <w:pPr>
              <w:contextualSpacing/>
              <w:rPr>
                <w:sz w:val="22"/>
                <w:szCs w:val="22"/>
              </w:rPr>
            </w:pPr>
            <w:r w:rsidRPr="00B45531">
              <w:rPr>
                <w:sz w:val="22"/>
                <w:szCs w:val="22"/>
              </w:rPr>
              <w:t>Human</w:t>
            </w:r>
          </w:p>
        </w:tc>
        <w:tc>
          <w:tcPr>
            <w:tcW w:w="1992" w:type="dxa"/>
            <w:vMerge w:val="restart"/>
            <w:vAlign w:val="center"/>
          </w:tcPr>
          <w:p w14:paraId="1E59B984" w14:textId="77777777" w:rsidR="00C37194" w:rsidRPr="00B45531" w:rsidRDefault="00C37194" w:rsidP="007D7B67">
            <w:pPr>
              <w:contextualSpacing/>
              <w:rPr>
                <w:i/>
                <w:iCs/>
                <w:sz w:val="22"/>
                <w:szCs w:val="22"/>
              </w:rPr>
            </w:pPr>
            <w:r w:rsidRPr="00B45531">
              <w:rPr>
                <w:i/>
                <w:iCs/>
                <w:sz w:val="22"/>
                <w:szCs w:val="22"/>
              </w:rPr>
              <w:t>Aedes aegypti</w:t>
            </w:r>
          </w:p>
        </w:tc>
        <w:tc>
          <w:tcPr>
            <w:tcW w:w="2127" w:type="dxa"/>
          </w:tcPr>
          <w:p w14:paraId="732EADBB" w14:textId="77777777" w:rsidR="00C37194" w:rsidRPr="00B45531" w:rsidRDefault="00C37194" w:rsidP="00501163">
            <w:pPr>
              <w:contextualSpacing/>
              <w:rPr>
                <w:sz w:val="22"/>
                <w:szCs w:val="22"/>
              </w:rPr>
            </w:pPr>
            <w:r w:rsidRPr="00B45531">
              <w:rPr>
                <w:sz w:val="22"/>
                <w:szCs w:val="22"/>
              </w:rPr>
              <w:t>Chikungunya</w:t>
            </w:r>
          </w:p>
        </w:tc>
        <w:tc>
          <w:tcPr>
            <w:tcW w:w="1317" w:type="dxa"/>
          </w:tcPr>
          <w:p w14:paraId="60CBC249" w14:textId="77777777" w:rsidR="00C37194" w:rsidRPr="00B45531" w:rsidRDefault="00C37194" w:rsidP="00501163">
            <w:pPr>
              <w:contextualSpacing/>
              <w:rPr>
                <w:sz w:val="22"/>
                <w:szCs w:val="22"/>
              </w:rPr>
            </w:pPr>
            <w:r w:rsidRPr="00B45531">
              <w:rPr>
                <w:sz w:val="22"/>
                <w:szCs w:val="22"/>
              </w:rPr>
              <w:t>Virus</w:t>
            </w:r>
          </w:p>
        </w:tc>
        <w:tc>
          <w:tcPr>
            <w:tcW w:w="2516" w:type="dxa"/>
          </w:tcPr>
          <w:p w14:paraId="03E96555" w14:textId="41F8AFA4" w:rsidR="00C37194" w:rsidRPr="007F17D9" w:rsidRDefault="00C37194" w:rsidP="00501163">
            <w:pPr>
              <w:contextualSpacing/>
              <w:rPr>
                <w:color w:val="000000" w:themeColor="text1"/>
                <w:sz w:val="22"/>
                <w:szCs w:val="22"/>
              </w:rPr>
            </w:pPr>
            <w:r w:rsidRPr="007F17D9">
              <w:rPr>
                <w:color w:val="000000" w:themeColor="text1"/>
                <w:sz w:val="22"/>
                <w:szCs w:val="22"/>
              </w:rPr>
              <w:t>WHO, 2022</w:t>
            </w:r>
            <w:r w:rsidR="00280AF8">
              <w:rPr>
                <w:color w:val="000000" w:themeColor="text1"/>
                <w:sz w:val="22"/>
                <w:szCs w:val="22"/>
              </w:rPr>
              <w:t>a</w:t>
            </w:r>
          </w:p>
        </w:tc>
      </w:tr>
      <w:tr w:rsidR="00C37194" w:rsidRPr="004B6EB5" w14:paraId="0362CD03" w14:textId="77777777" w:rsidTr="00501163">
        <w:tc>
          <w:tcPr>
            <w:tcW w:w="1064" w:type="dxa"/>
            <w:vMerge/>
          </w:tcPr>
          <w:p w14:paraId="751D24FF" w14:textId="77777777" w:rsidR="00C37194" w:rsidRPr="00B45531" w:rsidRDefault="00C37194">
            <w:pPr>
              <w:contextualSpacing/>
              <w:rPr>
                <w:sz w:val="22"/>
                <w:szCs w:val="22"/>
              </w:rPr>
            </w:pPr>
          </w:p>
        </w:tc>
        <w:tc>
          <w:tcPr>
            <w:tcW w:w="1992" w:type="dxa"/>
            <w:vMerge/>
            <w:vAlign w:val="center"/>
          </w:tcPr>
          <w:p w14:paraId="7A214A9C" w14:textId="77777777" w:rsidR="00C37194" w:rsidRPr="00B45531" w:rsidRDefault="00C37194" w:rsidP="007D7B67">
            <w:pPr>
              <w:contextualSpacing/>
              <w:rPr>
                <w:i/>
                <w:iCs/>
                <w:sz w:val="22"/>
                <w:szCs w:val="22"/>
              </w:rPr>
            </w:pPr>
          </w:p>
        </w:tc>
        <w:tc>
          <w:tcPr>
            <w:tcW w:w="2127" w:type="dxa"/>
          </w:tcPr>
          <w:p w14:paraId="6A384C2A" w14:textId="77777777" w:rsidR="00C37194" w:rsidRPr="00B45531" w:rsidRDefault="00C37194" w:rsidP="00501163">
            <w:pPr>
              <w:contextualSpacing/>
              <w:rPr>
                <w:sz w:val="22"/>
                <w:szCs w:val="22"/>
              </w:rPr>
            </w:pPr>
            <w:r w:rsidRPr="00B45531">
              <w:rPr>
                <w:sz w:val="22"/>
                <w:szCs w:val="22"/>
              </w:rPr>
              <w:t>Dengue fever</w:t>
            </w:r>
          </w:p>
        </w:tc>
        <w:tc>
          <w:tcPr>
            <w:tcW w:w="1317" w:type="dxa"/>
          </w:tcPr>
          <w:p w14:paraId="0CCECD17" w14:textId="77777777" w:rsidR="00C37194" w:rsidRPr="00B45531" w:rsidRDefault="00C37194" w:rsidP="00501163">
            <w:pPr>
              <w:contextualSpacing/>
              <w:rPr>
                <w:sz w:val="22"/>
                <w:szCs w:val="22"/>
              </w:rPr>
            </w:pPr>
            <w:r w:rsidRPr="00B45531">
              <w:rPr>
                <w:sz w:val="22"/>
                <w:szCs w:val="22"/>
              </w:rPr>
              <w:t>Virus</w:t>
            </w:r>
          </w:p>
        </w:tc>
        <w:tc>
          <w:tcPr>
            <w:tcW w:w="2516" w:type="dxa"/>
          </w:tcPr>
          <w:p w14:paraId="749E990F" w14:textId="41DAE51E" w:rsidR="00C37194" w:rsidRPr="007F17D9" w:rsidRDefault="00C37194" w:rsidP="00501163">
            <w:pPr>
              <w:contextualSpacing/>
              <w:rPr>
                <w:color w:val="000000" w:themeColor="text1"/>
                <w:sz w:val="22"/>
                <w:szCs w:val="22"/>
              </w:rPr>
            </w:pPr>
            <w:r w:rsidRPr="007F17D9">
              <w:rPr>
                <w:color w:val="000000" w:themeColor="text1"/>
                <w:sz w:val="22"/>
                <w:szCs w:val="22"/>
              </w:rPr>
              <w:t>WHO, 2023</w:t>
            </w:r>
            <w:r w:rsidR="007F17D9" w:rsidRPr="007F17D9">
              <w:rPr>
                <w:color w:val="000000" w:themeColor="text1"/>
                <w:sz w:val="22"/>
                <w:szCs w:val="22"/>
              </w:rPr>
              <w:t>b</w:t>
            </w:r>
          </w:p>
        </w:tc>
      </w:tr>
      <w:tr w:rsidR="00C37194" w:rsidRPr="004B6EB5" w14:paraId="3D3C049B" w14:textId="77777777" w:rsidTr="00501163">
        <w:tc>
          <w:tcPr>
            <w:tcW w:w="1064" w:type="dxa"/>
            <w:vMerge/>
          </w:tcPr>
          <w:p w14:paraId="005FA99C" w14:textId="77777777" w:rsidR="00C37194" w:rsidRPr="00B45531" w:rsidRDefault="00C37194">
            <w:pPr>
              <w:contextualSpacing/>
              <w:rPr>
                <w:sz w:val="22"/>
                <w:szCs w:val="22"/>
              </w:rPr>
            </w:pPr>
          </w:p>
        </w:tc>
        <w:tc>
          <w:tcPr>
            <w:tcW w:w="1992" w:type="dxa"/>
            <w:vMerge/>
            <w:vAlign w:val="center"/>
          </w:tcPr>
          <w:p w14:paraId="70FA7E04" w14:textId="77777777" w:rsidR="00C37194" w:rsidRPr="00B45531" w:rsidRDefault="00C37194" w:rsidP="007D7B67">
            <w:pPr>
              <w:contextualSpacing/>
              <w:rPr>
                <w:i/>
                <w:iCs/>
                <w:sz w:val="22"/>
                <w:szCs w:val="22"/>
              </w:rPr>
            </w:pPr>
          </w:p>
        </w:tc>
        <w:tc>
          <w:tcPr>
            <w:tcW w:w="2127" w:type="dxa"/>
          </w:tcPr>
          <w:p w14:paraId="54C15012" w14:textId="77777777" w:rsidR="00C37194" w:rsidRPr="00B45531" w:rsidRDefault="00C37194" w:rsidP="00501163">
            <w:pPr>
              <w:contextualSpacing/>
              <w:rPr>
                <w:sz w:val="22"/>
                <w:szCs w:val="22"/>
              </w:rPr>
            </w:pPr>
            <w:r w:rsidRPr="00B45531">
              <w:rPr>
                <w:sz w:val="22"/>
                <w:szCs w:val="22"/>
              </w:rPr>
              <w:t>Mayaro fever**</w:t>
            </w:r>
          </w:p>
        </w:tc>
        <w:tc>
          <w:tcPr>
            <w:tcW w:w="1317" w:type="dxa"/>
          </w:tcPr>
          <w:p w14:paraId="1729AB11" w14:textId="77777777" w:rsidR="00C37194" w:rsidRPr="00B45531" w:rsidRDefault="00C37194" w:rsidP="00501163">
            <w:pPr>
              <w:contextualSpacing/>
              <w:rPr>
                <w:sz w:val="22"/>
                <w:szCs w:val="22"/>
              </w:rPr>
            </w:pPr>
            <w:r w:rsidRPr="00B45531">
              <w:rPr>
                <w:sz w:val="22"/>
                <w:szCs w:val="22"/>
              </w:rPr>
              <w:t>Virus</w:t>
            </w:r>
          </w:p>
        </w:tc>
        <w:tc>
          <w:tcPr>
            <w:tcW w:w="2516" w:type="dxa"/>
          </w:tcPr>
          <w:p w14:paraId="34946D90" w14:textId="1D2E508D" w:rsidR="00C37194" w:rsidRPr="009E6578" w:rsidRDefault="00C37194" w:rsidP="00501163">
            <w:pPr>
              <w:contextualSpacing/>
              <w:rPr>
                <w:sz w:val="22"/>
                <w:szCs w:val="22"/>
              </w:rPr>
            </w:pPr>
            <w:r w:rsidRPr="009E6578">
              <w:rPr>
                <w:sz w:val="22"/>
                <w:szCs w:val="22"/>
              </w:rPr>
              <w:t xml:space="preserve">Celone </w:t>
            </w:r>
            <w:r w:rsidR="00E0160F" w:rsidRPr="009E6578">
              <w:rPr>
                <w:sz w:val="22"/>
                <w:szCs w:val="22"/>
              </w:rPr>
              <w:t>and others,</w:t>
            </w:r>
            <w:r w:rsidR="00005B4A" w:rsidRPr="009E6578">
              <w:rPr>
                <w:sz w:val="22"/>
                <w:szCs w:val="22"/>
              </w:rPr>
              <w:t xml:space="preserve"> </w:t>
            </w:r>
            <w:r w:rsidRPr="009E6578">
              <w:rPr>
                <w:sz w:val="22"/>
                <w:szCs w:val="22"/>
              </w:rPr>
              <w:t>2021</w:t>
            </w:r>
          </w:p>
        </w:tc>
      </w:tr>
      <w:tr w:rsidR="00C37194" w:rsidRPr="004B6EB5" w14:paraId="5F00E5CD" w14:textId="77777777" w:rsidTr="00501163">
        <w:tc>
          <w:tcPr>
            <w:tcW w:w="1064" w:type="dxa"/>
            <w:vMerge/>
          </w:tcPr>
          <w:p w14:paraId="4289793D" w14:textId="77777777" w:rsidR="00C37194" w:rsidRPr="00B45531" w:rsidRDefault="00C37194">
            <w:pPr>
              <w:contextualSpacing/>
              <w:rPr>
                <w:sz w:val="22"/>
                <w:szCs w:val="22"/>
              </w:rPr>
            </w:pPr>
          </w:p>
        </w:tc>
        <w:tc>
          <w:tcPr>
            <w:tcW w:w="1992" w:type="dxa"/>
            <w:vMerge/>
            <w:vAlign w:val="center"/>
          </w:tcPr>
          <w:p w14:paraId="2EFCE537" w14:textId="77777777" w:rsidR="00C37194" w:rsidRPr="00B45531" w:rsidRDefault="00C37194" w:rsidP="007D7B67">
            <w:pPr>
              <w:contextualSpacing/>
              <w:rPr>
                <w:i/>
                <w:iCs/>
                <w:sz w:val="22"/>
                <w:szCs w:val="22"/>
              </w:rPr>
            </w:pPr>
          </w:p>
        </w:tc>
        <w:tc>
          <w:tcPr>
            <w:tcW w:w="2127" w:type="dxa"/>
          </w:tcPr>
          <w:p w14:paraId="36F23078" w14:textId="77777777" w:rsidR="00C37194" w:rsidRPr="00B45531" w:rsidRDefault="00C37194" w:rsidP="00501163">
            <w:pPr>
              <w:contextualSpacing/>
              <w:rPr>
                <w:sz w:val="22"/>
                <w:szCs w:val="22"/>
              </w:rPr>
            </w:pPr>
            <w:r w:rsidRPr="00B45531">
              <w:rPr>
                <w:sz w:val="22"/>
                <w:szCs w:val="22"/>
              </w:rPr>
              <w:t>Lymphatic filariasis</w:t>
            </w:r>
          </w:p>
        </w:tc>
        <w:tc>
          <w:tcPr>
            <w:tcW w:w="1317" w:type="dxa"/>
          </w:tcPr>
          <w:p w14:paraId="043A3BFF" w14:textId="77777777" w:rsidR="00C37194" w:rsidRPr="00B45531" w:rsidRDefault="00C37194" w:rsidP="00501163">
            <w:pPr>
              <w:contextualSpacing/>
              <w:rPr>
                <w:sz w:val="22"/>
                <w:szCs w:val="22"/>
              </w:rPr>
            </w:pPr>
            <w:r w:rsidRPr="00B45531">
              <w:rPr>
                <w:sz w:val="22"/>
                <w:szCs w:val="22"/>
              </w:rPr>
              <w:t xml:space="preserve">Nematode </w:t>
            </w:r>
          </w:p>
        </w:tc>
        <w:tc>
          <w:tcPr>
            <w:tcW w:w="2516" w:type="dxa"/>
          </w:tcPr>
          <w:p w14:paraId="491C554A" w14:textId="5CEC6272" w:rsidR="00C37194" w:rsidRPr="00B45531" w:rsidRDefault="00C37194" w:rsidP="00501163">
            <w:pPr>
              <w:contextualSpacing/>
              <w:rPr>
                <w:sz w:val="22"/>
                <w:szCs w:val="22"/>
              </w:rPr>
            </w:pPr>
            <w:r w:rsidRPr="007F17D9">
              <w:rPr>
                <w:color w:val="000000" w:themeColor="text1"/>
                <w:sz w:val="22"/>
                <w:szCs w:val="22"/>
              </w:rPr>
              <w:t>WHO, 2023</w:t>
            </w:r>
            <w:r w:rsidR="007F17D9" w:rsidRPr="007F17D9">
              <w:rPr>
                <w:color w:val="000000" w:themeColor="text1"/>
                <w:sz w:val="22"/>
                <w:szCs w:val="22"/>
              </w:rPr>
              <w:t>c</w:t>
            </w:r>
          </w:p>
        </w:tc>
      </w:tr>
      <w:tr w:rsidR="00C37194" w:rsidRPr="004B6EB5" w14:paraId="5823FCB5" w14:textId="77777777" w:rsidTr="00501163">
        <w:tc>
          <w:tcPr>
            <w:tcW w:w="1064" w:type="dxa"/>
            <w:vMerge/>
          </w:tcPr>
          <w:p w14:paraId="407CD538" w14:textId="77777777" w:rsidR="00C37194" w:rsidRPr="00B45531" w:rsidRDefault="00C37194">
            <w:pPr>
              <w:contextualSpacing/>
              <w:rPr>
                <w:sz w:val="22"/>
                <w:szCs w:val="22"/>
              </w:rPr>
            </w:pPr>
          </w:p>
        </w:tc>
        <w:tc>
          <w:tcPr>
            <w:tcW w:w="1992" w:type="dxa"/>
            <w:vMerge/>
            <w:vAlign w:val="center"/>
          </w:tcPr>
          <w:p w14:paraId="100CA6D4" w14:textId="77777777" w:rsidR="00C37194" w:rsidRPr="00B45531" w:rsidRDefault="00C37194" w:rsidP="007D7B67">
            <w:pPr>
              <w:contextualSpacing/>
              <w:rPr>
                <w:i/>
                <w:iCs/>
                <w:sz w:val="22"/>
                <w:szCs w:val="22"/>
              </w:rPr>
            </w:pPr>
          </w:p>
        </w:tc>
        <w:tc>
          <w:tcPr>
            <w:tcW w:w="2127" w:type="dxa"/>
          </w:tcPr>
          <w:p w14:paraId="5068D28E" w14:textId="77777777" w:rsidR="00C37194" w:rsidRPr="00B45531" w:rsidRDefault="00C37194" w:rsidP="00501163">
            <w:pPr>
              <w:contextualSpacing/>
              <w:rPr>
                <w:sz w:val="22"/>
                <w:szCs w:val="22"/>
              </w:rPr>
            </w:pPr>
            <w:r w:rsidRPr="00B45531">
              <w:rPr>
                <w:sz w:val="22"/>
                <w:szCs w:val="22"/>
              </w:rPr>
              <w:t>Rift Valley fever</w:t>
            </w:r>
          </w:p>
        </w:tc>
        <w:tc>
          <w:tcPr>
            <w:tcW w:w="1317" w:type="dxa"/>
          </w:tcPr>
          <w:p w14:paraId="60626C9F" w14:textId="77777777" w:rsidR="00C37194" w:rsidRPr="00B45531" w:rsidRDefault="00C37194" w:rsidP="00501163">
            <w:pPr>
              <w:contextualSpacing/>
              <w:rPr>
                <w:sz w:val="22"/>
                <w:szCs w:val="22"/>
              </w:rPr>
            </w:pPr>
            <w:r w:rsidRPr="00B45531">
              <w:rPr>
                <w:sz w:val="22"/>
                <w:szCs w:val="22"/>
              </w:rPr>
              <w:t>Virus</w:t>
            </w:r>
          </w:p>
        </w:tc>
        <w:tc>
          <w:tcPr>
            <w:tcW w:w="2516" w:type="dxa"/>
          </w:tcPr>
          <w:p w14:paraId="3AEE0433" w14:textId="69467DED" w:rsidR="00C37194" w:rsidRPr="00B45531" w:rsidRDefault="00C37194" w:rsidP="00501163">
            <w:pPr>
              <w:contextualSpacing/>
              <w:rPr>
                <w:sz w:val="22"/>
                <w:szCs w:val="22"/>
              </w:rPr>
            </w:pPr>
            <w:r w:rsidRPr="009E6578">
              <w:rPr>
                <w:sz w:val="22"/>
                <w:szCs w:val="22"/>
              </w:rPr>
              <w:t xml:space="preserve">Gregor </w:t>
            </w:r>
            <w:r w:rsidR="00E0160F" w:rsidRPr="009E6578">
              <w:rPr>
                <w:sz w:val="22"/>
                <w:szCs w:val="22"/>
              </w:rPr>
              <w:t>and others,</w:t>
            </w:r>
            <w:r w:rsidRPr="009E6578">
              <w:rPr>
                <w:sz w:val="22"/>
                <w:szCs w:val="22"/>
              </w:rPr>
              <w:t xml:space="preserve"> 2021</w:t>
            </w:r>
          </w:p>
        </w:tc>
      </w:tr>
      <w:tr w:rsidR="00C37194" w:rsidRPr="004B6EB5" w14:paraId="2B93F8F2" w14:textId="77777777" w:rsidTr="00501163">
        <w:tc>
          <w:tcPr>
            <w:tcW w:w="1064" w:type="dxa"/>
            <w:vMerge/>
          </w:tcPr>
          <w:p w14:paraId="77A27FF8" w14:textId="77777777" w:rsidR="00C37194" w:rsidRPr="00B45531" w:rsidRDefault="00C37194">
            <w:pPr>
              <w:contextualSpacing/>
              <w:rPr>
                <w:sz w:val="22"/>
                <w:szCs w:val="22"/>
              </w:rPr>
            </w:pPr>
          </w:p>
        </w:tc>
        <w:tc>
          <w:tcPr>
            <w:tcW w:w="1992" w:type="dxa"/>
            <w:vMerge/>
            <w:vAlign w:val="center"/>
          </w:tcPr>
          <w:p w14:paraId="30145397" w14:textId="77777777" w:rsidR="00C37194" w:rsidRPr="00B45531" w:rsidRDefault="00C37194" w:rsidP="007D7B67">
            <w:pPr>
              <w:contextualSpacing/>
              <w:rPr>
                <w:i/>
                <w:iCs/>
                <w:sz w:val="22"/>
                <w:szCs w:val="22"/>
              </w:rPr>
            </w:pPr>
          </w:p>
        </w:tc>
        <w:tc>
          <w:tcPr>
            <w:tcW w:w="2127" w:type="dxa"/>
          </w:tcPr>
          <w:p w14:paraId="16D7A37F" w14:textId="77777777" w:rsidR="00C37194" w:rsidRPr="00B45531" w:rsidRDefault="00C37194" w:rsidP="00501163">
            <w:pPr>
              <w:contextualSpacing/>
              <w:rPr>
                <w:sz w:val="22"/>
                <w:szCs w:val="22"/>
              </w:rPr>
            </w:pPr>
            <w:r w:rsidRPr="00B45531">
              <w:rPr>
                <w:sz w:val="22"/>
                <w:szCs w:val="22"/>
              </w:rPr>
              <w:t>Urban yellow fever</w:t>
            </w:r>
          </w:p>
        </w:tc>
        <w:tc>
          <w:tcPr>
            <w:tcW w:w="1317" w:type="dxa"/>
          </w:tcPr>
          <w:p w14:paraId="69A7F83B" w14:textId="77777777" w:rsidR="00C37194" w:rsidRPr="00B45531" w:rsidRDefault="00C37194" w:rsidP="00501163">
            <w:pPr>
              <w:contextualSpacing/>
              <w:rPr>
                <w:sz w:val="22"/>
                <w:szCs w:val="22"/>
              </w:rPr>
            </w:pPr>
            <w:r w:rsidRPr="00B45531">
              <w:rPr>
                <w:sz w:val="22"/>
                <w:szCs w:val="22"/>
              </w:rPr>
              <w:t>Virus</w:t>
            </w:r>
          </w:p>
        </w:tc>
        <w:tc>
          <w:tcPr>
            <w:tcW w:w="2516" w:type="dxa"/>
          </w:tcPr>
          <w:p w14:paraId="6BEAD901" w14:textId="73898F78" w:rsidR="00C37194" w:rsidRPr="00B45531" w:rsidRDefault="00C37194" w:rsidP="00501163">
            <w:pPr>
              <w:contextualSpacing/>
              <w:rPr>
                <w:sz w:val="22"/>
                <w:szCs w:val="22"/>
              </w:rPr>
            </w:pPr>
            <w:r w:rsidRPr="009E6578">
              <w:rPr>
                <w:sz w:val="22"/>
                <w:szCs w:val="22"/>
              </w:rPr>
              <w:t xml:space="preserve">Shinde </w:t>
            </w:r>
            <w:r w:rsidR="00E0160F" w:rsidRPr="009E6578">
              <w:rPr>
                <w:sz w:val="22"/>
                <w:szCs w:val="22"/>
              </w:rPr>
              <w:t>and others,</w:t>
            </w:r>
            <w:r w:rsidRPr="009E6578">
              <w:rPr>
                <w:sz w:val="22"/>
                <w:szCs w:val="22"/>
              </w:rPr>
              <w:t xml:space="preserve"> 2022;</w:t>
            </w:r>
            <w:r w:rsidRPr="00B45531">
              <w:rPr>
                <w:sz w:val="22"/>
                <w:szCs w:val="22"/>
              </w:rPr>
              <w:t xml:space="preserve"> </w:t>
            </w:r>
            <w:r w:rsidRPr="007F17D9">
              <w:rPr>
                <w:color w:val="000000" w:themeColor="text1"/>
                <w:sz w:val="22"/>
                <w:szCs w:val="22"/>
              </w:rPr>
              <w:t>WHO, 2023</w:t>
            </w:r>
            <w:r w:rsidR="007F17D9" w:rsidRPr="007F17D9">
              <w:rPr>
                <w:color w:val="000000" w:themeColor="text1"/>
                <w:sz w:val="22"/>
                <w:szCs w:val="22"/>
              </w:rPr>
              <w:t>e</w:t>
            </w:r>
          </w:p>
        </w:tc>
      </w:tr>
      <w:tr w:rsidR="00C37194" w:rsidRPr="004B6EB5" w14:paraId="142B2401" w14:textId="77777777" w:rsidTr="00501163">
        <w:trPr>
          <w:trHeight w:val="347"/>
        </w:trPr>
        <w:tc>
          <w:tcPr>
            <w:tcW w:w="1064" w:type="dxa"/>
            <w:vMerge/>
          </w:tcPr>
          <w:p w14:paraId="66C21FDF" w14:textId="77777777" w:rsidR="00C37194" w:rsidRPr="00B45531" w:rsidRDefault="00C37194">
            <w:pPr>
              <w:contextualSpacing/>
              <w:rPr>
                <w:sz w:val="22"/>
                <w:szCs w:val="22"/>
              </w:rPr>
            </w:pPr>
          </w:p>
        </w:tc>
        <w:tc>
          <w:tcPr>
            <w:tcW w:w="1992" w:type="dxa"/>
            <w:vMerge/>
            <w:vAlign w:val="center"/>
          </w:tcPr>
          <w:p w14:paraId="404DA48C" w14:textId="77777777" w:rsidR="00C37194" w:rsidRPr="00B45531" w:rsidRDefault="00C37194" w:rsidP="007D7B67">
            <w:pPr>
              <w:contextualSpacing/>
              <w:rPr>
                <w:i/>
                <w:iCs/>
                <w:sz w:val="22"/>
                <w:szCs w:val="22"/>
              </w:rPr>
            </w:pPr>
          </w:p>
        </w:tc>
        <w:tc>
          <w:tcPr>
            <w:tcW w:w="2127" w:type="dxa"/>
          </w:tcPr>
          <w:p w14:paraId="7DAE7655" w14:textId="77777777" w:rsidR="00C37194" w:rsidRPr="00B45531" w:rsidRDefault="00C37194" w:rsidP="00501163">
            <w:pPr>
              <w:contextualSpacing/>
              <w:rPr>
                <w:sz w:val="22"/>
                <w:szCs w:val="22"/>
              </w:rPr>
            </w:pPr>
            <w:r w:rsidRPr="00B45531">
              <w:rPr>
                <w:sz w:val="22"/>
                <w:szCs w:val="22"/>
              </w:rPr>
              <w:t>Zika fever</w:t>
            </w:r>
          </w:p>
        </w:tc>
        <w:tc>
          <w:tcPr>
            <w:tcW w:w="1317" w:type="dxa"/>
          </w:tcPr>
          <w:p w14:paraId="28FE952A" w14:textId="77777777" w:rsidR="00C37194" w:rsidRPr="00B45531" w:rsidRDefault="00C37194" w:rsidP="00501163">
            <w:pPr>
              <w:contextualSpacing/>
              <w:rPr>
                <w:sz w:val="22"/>
                <w:szCs w:val="22"/>
              </w:rPr>
            </w:pPr>
            <w:r w:rsidRPr="00B45531">
              <w:rPr>
                <w:sz w:val="22"/>
                <w:szCs w:val="22"/>
              </w:rPr>
              <w:t>Virus</w:t>
            </w:r>
          </w:p>
        </w:tc>
        <w:tc>
          <w:tcPr>
            <w:tcW w:w="2516" w:type="dxa"/>
          </w:tcPr>
          <w:p w14:paraId="49AD3084" w14:textId="77777777" w:rsidR="00C37194" w:rsidRPr="00B45531" w:rsidRDefault="00C37194" w:rsidP="00501163">
            <w:pPr>
              <w:contextualSpacing/>
              <w:rPr>
                <w:sz w:val="22"/>
                <w:szCs w:val="22"/>
              </w:rPr>
            </w:pPr>
            <w:r w:rsidRPr="009E6578">
              <w:rPr>
                <w:sz w:val="22"/>
                <w:szCs w:val="22"/>
              </w:rPr>
              <w:t>Kauffman &amp; Kramer, 2017</w:t>
            </w:r>
          </w:p>
        </w:tc>
      </w:tr>
      <w:tr w:rsidR="00C37194" w:rsidRPr="004B6EB5" w14:paraId="79A61A9A" w14:textId="77777777" w:rsidTr="00501163">
        <w:trPr>
          <w:trHeight w:val="189"/>
        </w:trPr>
        <w:tc>
          <w:tcPr>
            <w:tcW w:w="1064" w:type="dxa"/>
            <w:vMerge/>
          </w:tcPr>
          <w:p w14:paraId="5610EAFE" w14:textId="77777777" w:rsidR="00C37194" w:rsidRPr="00B45531" w:rsidRDefault="00C37194">
            <w:pPr>
              <w:contextualSpacing/>
              <w:rPr>
                <w:sz w:val="22"/>
                <w:szCs w:val="22"/>
              </w:rPr>
            </w:pPr>
          </w:p>
        </w:tc>
        <w:tc>
          <w:tcPr>
            <w:tcW w:w="1992" w:type="dxa"/>
            <w:vAlign w:val="center"/>
          </w:tcPr>
          <w:p w14:paraId="6213E7B1" w14:textId="6A4C2894" w:rsidR="00C37194" w:rsidRPr="00B45531" w:rsidRDefault="00C37194" w:rsidP="007D7B67">
            <w:pPr>
              <w:contextualSpacing/>
              <w:rPr>
                <w:i/>
                <w:iCs/>
                <w:sz w:val="22"/>
                <w:szCs w:val="22"/>
              </w:rPr>
            </w:pPr>
            <w:r w:rsidRPr="00B45531">
              <w:rPr>
                <w:i/>
                <w:iCs/>
                <w:sz w:val="22"/>
                <w:szCs w:val="22"/>
              </w:rPr>
              <w:t xml:space="preserve">Ae. </w:t>
            </w:r>
            <w:r w:rsidR="004B2519">
              <w:rPr>
                <w:i/>
                <w:iCs/>
                <w:sz w:val="22"/>
                <w:szCs w:val="22"/>
              </w:rPr>
              <w:t>a</w:t>
            </w:r>
            <w:r w:rsidRPr="00B45531">
              <w:rPr>
                <w:i/>
                <w:iCs/>
                <w:sz w:val="22"/>
                <w:szCs w:val="22"/>
              </w:rPr>
              <w:t>fricanus</w:t>
            </w:r>
          </w:p>
        </w:tc>
        <w:tc>
          <w:tcPr>
            <w:tcW w:w="2127" w:type="dxa"/>
          </w:tcPr>
          <w:p w14:paraId="30AC4DD7" w14:textId="77777777" w:rsidR="00C37194" w:rsidRPr="00B45531" w:rsidRDefault="00C37194" w:rsidP="00501163">
            <w:pPr>
              <w:contextualSpacing/>
              <w:rPr>
                <w:sz w:val="22"/>
                <w:szCs w:val="22"/>
              </w:rPr>
            </w:pPr>
            <w:r w:rsidRPr="00B45531">
              <w:rPr>
                <w:sz w:val="22"/>
                <w:szCs w:val="22"/>
              </w:rPr>
              <w:t>Zika fever</w:t>
            </w:r>
          </w:p>
        </w:tc>
        <w:tc>
          <w:tcPr>
            <w:tcW w:w="1317" w:type="dxa"/>
          </w:tcPr>
          <w:p w14:paraId="5D32F118" w14:textId="77777777" w:rsidR="00C37194" w:rsidRPr="00B45531" w:rsidRDefault="00C37194" w:rsidP="00501163">
            <w:pPr>
              <w:contextualSpacing/>
              <w:rPr>
                <w:sz w:val="22"/>
                <w:szCs w:val="22"/>
              </w:rPr>
            </w:pPr>
            <w:r w:rsidRPr="00B45531">
              <w:rPr>
                <w:sz w:val="22"/>
                <w:szCs w:val="22"/>
              </w:rPr>
              <w:t>Virus</w:t>
            </w:r>
          </w:p>
        </w:tc>
        <w:tc>
          <w:tcPr>
            <w:tcW w:w="2516" w:type="dxa"/>
          </w:tcPr>
          <w:p w14:paraId="06580435" w14:textId="1FFDCDAE" w:rsidR="00C37194" w:rsidRPr="00B45531" w:rsidRDefault="00C37194" w:rsidP="00501163">
            <w:pPr>
              <w:contextualSpacing/>
              <w:rPr>
                <w:sz w:val="22"/>
                <w:szCs w:val="22"/>
              </w:rPr>
            </w:pPr>
            <w:r w:rsidRPr="009E6578">
              <w:rPr>
                <w:sz w:val="22"/>
                <w:szCs w:val="22"/>
              </w:rPr>
              <w:t xml:space="preserve">Haddow </w:t>
            </w:r>
            <w:r w:rsidR="00E0160F" w:rsidRPr="009E6578">
              <w:rPr>
                <w:sz w:val="22"/>
                <w:szCs w:val="22"/>
              </w:rPr>
              <w:t xml:space="preserve">and others, </w:t>
            </w:r>
            <w:r w:rsidRPr="009E6578">
              <w:rPr>
                <w:sz w:val="22"/>
                <w:szCs w:val="22"/>
              </w:rPr>
              <w:t>1964</w:t>
            </w:r>
          </w:p>
        </w:tc>
      </w:tr>
      <w:tr w:rsidR="00C37194" w:rsidRPr="004B6EB5" w14:paraId="6D440DAE" w14:textId="77777777" w:rsidTr="00501163">
        <w:tc>
          <w:tcPr>
            <w:tcW w:w="1064" w:type="dxa"/>
            <w:vMerge/>
          </w:tcPr>
          <w:p w14:paraId="74576C5F" w14:textId="77777777" w:rsidR="00C37194" w:rsidRPr="00B45531" w:rsidRDefault="00C37194">
            <w:pPr>
              <w:contextualSpacing/>
              <w:rPr>
                <w:sz w:val="22"/>
                <w:szCs w:val="22"/>
              </w:rPr>
            </w:pPr>
          </w:p>
        </w:tc>
        <w:tc>
          <w:tcPr>
            <w:tcW w:w="1992" w:type="dxa"/>
            <w:vMerge w:val="restart"/>
            <w:vAlign w:val="center"/>
          </w:tcPr>
          <w:p w14:paraId="58E55E0A" w14:textId="32B66DE9" w:rsidR="00C37194" w:rsidRPr="00B45531" w:rsidRDefault="00C37194" w:rsidP="007D7B67">
            <w:pPr>
              <w:contextualSpacing/>
              <w:rPr>
                <w:i/>
                <w:iCs/>
                <w:sz w:val="22"/>
                <w:szCs w:val="22"/>
              </w:rPr>
            </w:pPr>
            <w:r w:rsidRPr="00B45531">
              <w:rPr>
                <w:i/>
                <w:iCs/>
                <w:sz w:val="22"/>
                <w:szCs w:val="22"/>
              </w:rPr>
              <w:t xml:space="preserve">Ae. </w:t>
            </w:r>
            <w:r w:rsidR="004B2519">
              <w:rPr>
                <w:i/>
                <w:iCs/>
                <w:sz w:val="22"/>
                <w:szCs w:val="22"/>
              </w:rPr>
              <w:t>a</w:t>
            </w:r>
            <w:r w:rsidRPr="00B45531">
              <w:rPr>
                <w:i/>
                <w:iCs/>
                <w:sz w:val="22"/>
                <w:szCs w:val="22"/>
              </w:rPr>
              <w:t>lbopictus</w:t>
            </w:r>
          </w:p>
        </w:tc>
        <w:tc>
          <w:tcPr>
            <w:tcW w:w="2127" w:type="dxa"/>
          </w:tcPr>
          <w:p w14:paraId="72558444" w14:textId="77777777" w:rsidR="00C37194" w:rsidRPr="00B45531" w:rsidRDefault="00C37194" w:rsidP="00501163">
            <w:pPr>
              <w:contextualSpacing/>
              <w:rPr>
                <w:sz w:val="22"/>
                <w:szCs w:val="22"/>
              </w:rPr>
            </w:pPr>
            <w:r w:rsidRPr="00B45531">
              <w:rPr>
                <w:sz w:val="22"/>
                <w:szCs w:val="22"/>
              </w:rPr>
              <w:t>Chikungunya</w:t>
            </w:r>
          </w:p>
        </w:tc>
        <w:tc>
          <w:tcPr>
            <w:tcW w:w="1317" w:type="dxa"/>
          </w:tcPr>
          <w:p w14:paraId="55C00E5A" w14:textId="77777777" w:rsidR="00C37194" w:rsidRPr="00B45531" w:rsidRDefault="00C37194" w:rsidP="00501163">
            <w:pPr>
              <w:contextualSpacing/>
              <w:rPr>
                <w:sz w:val="22"/>
                <w:szCs w:val="22"/>
              </w:rPr>
            </w:pPr>
            <w:r w:rsidRPr="00B45531">
              <w:rPr>
                <w:sz w:val="22"/>
                <w:szCs w:val="22"/>
              </w:rPr>
              <w:t>Virus</w:t>
            </w:r>
          </w:p>
        </w:tc>
        <w:tc>
          <w:tcPr>
            <w:tcW w:w="2516" w:type="dxa"/>
          </w:tcPr>
          <w:p w14:paraId="43F37108" w14:textId="7C76F001" w:rsidR="00C37194" w:rsidRPr="00CF3F20" w:rsidRDefault="00C37194" w:rsidP="00501163">
            <w:pPr>
              <w:contextualSpacing/>
              <w:rPr>
                <w:color w:val="000000" w:themeColor="text1"/>
                <w:sz w:val="22"/>
                <w:szCs w:val="22"/>
              </w:rPr>
            </w:pPr>
            <w:r w:rsidRPr="00CF3F20">
              <w:rPr>
                <w:color w:val="000000" w:themeColor="text1"/>
                <w:sz w:val="22"/>
                <w:szCs w:val="22"/>
              </w:rPr>
              <w:t>WHO, 2022</w:t>
            </w:r>
            <w:r w:rsidR="00280AF8">
              <w:rPr>
                <w:color w:val="000000" w:themeColor="text1"/>
                <w:sz w:val="22"/>
                <w:szCs w:val="22"/>
              </w:rPr>
              <w:t>a</w:t>
            </w:r>
          </w:p>
        </w:tc>
      </w:tr>
      <w:tr w:rsidR="00C37194" w:rsidRPr="004B6EB5" w14:paraId="5F33BA8C" w14:textId="77777777" w:rsidTr="00501163">
        <w:tc>
          <w:tcPr>
            <w:tcW w:w="1064" w:type="dxa"/>
            <w:vMerge/>
          </w:tcPr>
          <w:p w14:paraId="66CDBAE1" w14:textId="77777777" w:rsidR="00C37194" w:rsidRPr="00B45531" w:rsidRDefault="00C37194">
            <w:pPr>
              <w:contextualSpacing/>
              <w:rPr>
                <w:sz w:val="22"/>
                <w:szCs w:val="22"/>
              </w:rPr>
            </w:pPr>
          </w:p>
        </w:tc>
        <w:tc>
          <w:tcPr>
            <w:tcW w:w="1992" w:type="dxa"/>
            <w:vMerge/>
            <w:vAlign w:val="center"/>
          </w:tcPr>
          <w:p w14:paraId="7D872E83" w14:textId="77777777" w:rsidR="00C37194" w:rsidRPr="00B45531" w:rsidRDefault="00C37194">
            <w:pPr>
              <w:contextualSpacing/>
              <w:jc w:val="center"/>
              <w:rPr>
                <w:i/>
                <w:iCs/>
                <w:sz w:val="22"/>
                <w:szCs w:val="22"/>
              </w:rPr>
            </w:pPr>
          </w:p>
        </w:tc>
        <w:tc>
          <w:tcPr>
            <w:tcW w:w="2127" w:type="dxa"/>
          </w:tcPr>
          <w:p w14:paraId="4610638E" w14:textId="77777777" w:rsidR="00C37194" w:rsidRPr="00B45531" w:rsidRDefault="00C37194" w:rsidP="00501163">
            <w:pPr>
              <w:contextualSpacing/>
              <w:rPr>
                <w:sz w:val="22"/>
                <w:szCs w:val="22"/>
              </w:rPr>
            </w:pPr>
            <w:r w:rsidRPr="00B45531">
              <w:rPr>
                <w:sz w:val="22"/>
                <w:szCs w:val="22"/>
              </w:rPr>
              <w:t>Dengue fever</w:t>
            </w:r>
          </w:p>
        </w:tc>
        <w:tc>
          <w:tcPr>
            <w:tcW w:w="1317" w:type="dxa"/>
          </w:tcPr>
          <w:p w14:paraId="7DC8241C" w14:textId="77777777" w:rsidR="00C37194" w:rsidRPr="00B45531" w:rsidRDefault="00C37194" w:rsidP="00501163">
            <w:pPr>
              <w:contextualSpacing/>
              <w:rPr>
                <w:sz w:val="22"/>
                <w:szCs w:val="22"/>
              </w:rPr>
            </w:pPr>
          </w:p>
        </w:tc>
        <w:tc>
          <w:tcPr>
            <w:tcW w:w="2516" w:type="dxa"/>
          </w:tcPr>
          <w:p w14:paraId="021E4B19" w14:textId="3FA48E03" w:rsidR="00C37194" w:rsidRPr="00CF3F20" w:rsidRDefault="00C37194" w:rsidP="00501163">
            <w:pPr>
              <w:contextualSpacing/>
              <w:rPr>
                <w:color w:val="000000" w:themeColor="text1"/>
                <w:sz w:val="22"/>
                <w:szCs w:val="22"/>
              </w:rPr>
            </w:pPr>
            <w:r w:rsidRPr="00CF3F20">
              <w:rPr>
                <w:color w:val="000000" w:themeColor="text1"/>
                <w:sz w:val="22"/>
                <w:szCs w:val="22"/>
              </w:rPr>
              <w:t>WHO, 20</w:t>
            </w:r>
            <w:r w:rsidR="00F34E2E" w:rsidRPr="00CF3F20">
              <w:rPr>
                <w:color w:val="000000" w:themeColor="text1"/>
                <w:sz w:val="22"/>
                <w:szCs w:val="22"/>
              </w:rPr>
              <w:t>19</w:t>
            </w:r>
            <w:r w:rsidRPr="00CF3F20">
              <w:rPr>
                <w:color w:val="000000" w:themeColor="text1"/>
                <w:sz w:val="22"/>
                <w:szCs w:val="22"/>
              </w:rPr>
              <w:t xml:space="preserve"> </w:t>
            </w:r>
          </w:p>
        </w:tc>
      </w:tr>
      <w:tr w:rsidR="00C37194" w:rsidRPr="004B6EB5" w14:paraId="500AE807" w14:textId="77777777" w:rsidTr="00501163">
        <w:tc>
          <w:tcPr>
            <w:tcW w:w="1064" w:type="dxa"/>
            <w:vMerge/>
          </w:tcPr>
          <w:p w14:paraId="5E887D1A" w14:textId="77777777" w:rsidR="00C37194" w:rsidRPr="00B45531" w:rsidRDefault="00C37194">
            <w:pPr>
              <w:rPr>
                <w:sz w:val="22"/>
                <w:szCs w:val="22"/>
              </w:rPr>
            </w:pPr>
          </w:p>
        </w:tc>
        <w:tc>
          <w:tcPr>
            <w:tcW w:w="1992" w:type="dxa"/>
            <w:vMerge/>
            <w:vAlign w:val="center"/>
          </w:tcPr>
          <w:p w14:paraId="35344309" w14:textId="77777777" w:rsidR="00C37194" w:rsidRPr="00B45531" w:rsidRDefault="00C37194">
            <w:pPr>
              <w:jc w:val="center"/>
              <w:rPr>
                <w:i/>
                <w:iCs/>
                <w:sz w:val="22"/>
                <w:szCs w:val="22"/>
              </w:rPr>
            </w:pPr>
          </w:p>
        </w:tc>
        <w:tc>
          <w:tcPr>
            <w:tcW w:w="2127" w:type="dxa"/>
          </w:tcPr>
          <w:p w14:paraId="30FC7C06" w14:textId="77777777" w:rsidR="00C37194" w:rsidRPr="00B45531" w:rsidRDefault="00C37194" w:rsidP="00501163">
            <w:pPr>
              <w:contextualSpacing/>
              <w:rPr>
                <w:sz w:val="22"/>
                <w:szCs w:val="22"/>
              </w:rPr>
            </w:pPr>
            <w:r w:rsidRPr="00B45531">
              <w:rPr>
                <w:sz w:val="22"/>
                <w:szCs w:val="22"/>
              </w:rPr>
              <w:t>Jamestown Canyon virus</w:t>
            </w:r>
          </w:p>
        </w:tc>
        <w:tc>
          <w:tcPr>
            <w:tcW w:w="1317" w:type="dxa"/>
          </w:tcPr>
          <w:p w14:paraId="612EBE28" w14:textId="77777777" w:rsidR="00C37194" w:rsidRPr="00B45531" w:rsidRDefault="00C37194" w:rsidP="00501163">
            <w:pPr>
              <w:contextualSpacing/>
              <w:rPr>
                <w:sz w:val="22"/>
                <w:szCs w:val="22"/>
              </w:rPr>
            </w:pPr>
            <w:r w:rsidRPr="00B45531">
              <w:rPr>
                <w:sz w:val="22"/>
                <w:szCs w:val="22"/>
              </w:rPr>
              <w:t>Virus</w:t>
            </w:r>
          </w:p>
        </w:tc>
        <w:tc>
          <w:tcPr>
            <w:tcW w:w="2516" w:type="dxa"/>
          </w:tcPr>
          <w:p w14:paraId="5941E56A" w14:textId="66C84D8C" w:rsidR="00C37194" w:rsidRPr="00B45531" w:rsidRDefault="00C37194" w:rsidP="00501163">
            <w:pPr>
              <w:contextualSpacing/>
              <w:rPr>
                <w:sz w:val="22"/>
                <w:szCs w:val="22"/>
              </w:rPr>
            </w:pPr>
            <w:proofErr w:type="spellStart"/>
            <w:r w:rsidRPr="009E6578">
              <w:rPr>
                <w:sz w:val="22"/>
                <w:szCs w:val="22"/>
              </w:rPr>
              <w:t>Paupy</w:t>
            </w:r>
            <w:proofErr w:type="spellEnd"/>
            <w:r w:rsidRPr="009E6578">
              <w:rPr>
                <w:sz w:val="22"/>
                <w:szCs w:val="22"/>
              </w:rPr>
              <w:t xml:space="preserve"> </w:t>
            </w:r>
            <w:r w:rsidR="00E0160F" w:rsidRPr="009E6578">
              <w:rPr>
                <w:sz w:val="22"/>
                <w:szCs w:val="22"/>
              </w:rPr>
              <w:t>and others,</w:t>
            </w:r>
            <w:r w:rsidR="003E7B19" w:rsidRPr="009E6578">
              <w:rPr>
                <w:sz w:val="22"/>
                <w:szCs w:val="22"/>
              </w:rPr>
              <w:t xml:space="preserve"> </w:t>
            </w:r>
            <w:r w:rsidRPr="009E6578">
              <w:rPr>
                <w:sz w:val="22"/>
                <w:szCs w:val="22"/>
              </w:rPr>
              <w:t>2009</w:t>
            </w:r>
          </w:p>
        </w:tc>
      </w:tr>
      <w:tr w:rsidR="00C37194" w:rsidRPr="004B6EB5" w14:paraId="647EA4DC" w14:textId="77777777" w:rsidTr="00501163">
        <w:tc>
          <w:tcPr>
            <w:tcW w:w="1064" w:type="dxa"/>
            <w:vMerge/>
          </w:tcPr>
          <w:p w14:paraId="4D742A2F" w14:textId="77777777" w:rsidR="00C37194" w:rsidRPr="00B45531" w:rsidRDefault="00C37194">
            <w:pPr>
              <w:rPr>
                <w:sz w:val="22"/>
                <w:szCs w:val="22"/>
              </w:rPr>
            </w:pPr>
          </w:p>
        </w:tc>
        <w:tc>
          <w:tcPr>
            <w:tcW w:w="1992" w:type="dxa"/>
            <w:vMerge/>
            <w:vAlign w:val="center"/>
          </w:tcPr>
          <w:p w14:paraId="7C833E83" w14:textId="77777777" w:rsidR="00C37194" w:rsidRPr="00B45531" w:rsidRDefault="00C37194">
            <w:pPr>
              <w:jc w:val="center"/>
              <w:rPr>
                <w:i/>
                <w:iCs/>
                <w:sz w:val="22"/>
                <w:szCs w:val="22"/>
              </w:rPr>
            </w:pPr>
          </w:p>
        </w:tc>
        <w:tc>
          <w:tcPr>
            <w:tcW w:w="2127" w:type="dxa"/>
          </w:tcPr>
          <w:p w14:paraId="520227F1" w14:textId="77777777" w:rsidR="00C37194" w:rsidRPr="00B45531" w:rsidRDefault="00C37194" w:rsidP="00501163">
            <w:pPr>
              <w:contextualSpacing/>
              <w:rPr>
                <w:sz w:val="22"/>
                <w:szCs w:val="22"/>
              </w:rPr>
            </w:pPr>
            <w:r w:rsidRPr="00B45531">
              <w:rPr>
                <w:sz w:val="22"/>
                <w:szCs w:val="22"/>
              </w:rPr>
              <w:t>Lymphatic filariasis</w:t>
            </w:r>
          </w:p>
        </w:tc>
        <w:tc>
          <w:tcPr>
            <w:tcW w:w="1317" w:type="dxa"/>
          </w:tcPr>
          <w:p w14:paraId="37C3283C" w14:textId="77777777" w:rsidR="00C37194" w:rsidRPr="00B45531" w:rsidRDefault="00C37194" w:rsidP="00501163">
            <w:pPr>
              <w:contextualSpacing/>
              <w:rPr>
                <w:sz w:val="22"/>
                <w:szCs w:val="22"/>
              </w:rPr>
            </w:pPr>
            <w:r w:rsidRPr="00B45531">
              <w:rPr>
                <w:sz w:val="22"/>
                <w:szCs w:val="22"/>
              </w:rPr>
              <w:t>Nematode</w:t>
            </w:r>
          </w:p>
        </w:tc>
        <w:tc>
          <w:tcPr>
            <w:tcW w:w="2516" w:type="dxa"/>
          </w:tcPr>
          <w:p w14:paraId="54EB5DE9" w14:textId="0B607A46" w:rsidR="00C37194" w:rsidRPr="00CF3F20" w:rsidRDefault="00C37194" w:rsidP="00501163">
            <w:pPr>
              <w:contextualSpacing/>
              <w:rPr>
                <w:color w:val="000000" w:themeColor="text1"/>
                <w:sz w:val="22"/>
                <w:szCs w:val="22"/>
              </w:rPr>
            </w:pPr>
            <w:r w:rsidRPr="00CF3F20">
              <w:rPr>
                <w:color w:val="000000" w:themeColor="text1"/>
                <w:sz w:val="22"/>
                <w:szCs w:val="22"/>
              </w:rPr>
              <w:t>WHO, 2023</w:t>
            </w:r>
            <w:r w:rsidR="00CF3F20" w:rsidRPr="00CF3F20">
              <w:rPr>
                <w:color w:val="000000" w:themeColor="text1"/>
                <w:sz w:val="22"/>
                <w:szCs w:val="22"/>
              </w:rPr>
              <w:t>c</w:t>
            </w:r>
          </w:p>
        </w:tc>
      </w:tr>
      <w:tr w:rsidR="00C37194" w:rsidRPr="004B6EB5" w14:paraId="21D9C98C" w14:textId="77777777" w:rsidTr="00501163">
        <w:tc>
          <w:tcPr>
            <w:tcW w:w="1064" w:type="dxa"/>
            <w:vMerge/>
          </w:tcPr>
          <w:p w14:paraId="6987775E" w14:textId="77777777" w:rsidR="00C37194" w:rsidRPr="00B45531" w:rsidRDefault="00C37194">
            <w:pPr>
              <w:rPr>
                <w:sz w:val="22"/>
                <w:szCs w:val="22"/>
              </w:rPr>
            </w:pPr>
          </w:p>
        </w:tc>
        <w:tc>
          <w:tcPr>
            <w:tcW w:w="1992" w:type="dxa"/>
            <w:vMerge/>
            <w:vAlign w:val="center"/>
          </w:tcPr>
          <w:p w14:paraId="0CFB3D20" w14:textId="77777777" w:rsidR="00C37194" w:rsidRPr="00B45531" w:rsidRDefault="00C37194">
            <w:pPr>
              <w:jc w:val="center"/>
              <w:rPr>
                <w:i/>
                <w:iCs/>
                <w:sz w:val="22"/>
                <w:szCs w:val="22"/>
              </w:rPr>
            </w:pPr>
          </w:p>
        </w:tc>
        <w:tc>
          <w:tcPr>
            <w:tcW w:w="2127" w:type="dxa"/>
          </w:tcPr>
          <w:p w14:paraId="1D649E4A" w14:textId="77777777" w:rsidR="00C37194" w:rsidRPr="00B45531" w:rsidRDefault="00C37194" w:rsidP="00501163">
            <w:pPr>
              <w:contextualSpacing/>
              <w:rPr>
                <w:sz w:val="22"/>
                <w:szCs w:val="22"/>
              </w:rPr>
            </w:pPr>
            <w:r w:rsidRPr="00B45531">
              <w:rPr>
                <w:sz w:val="22"/>
                <w:szCs w:val="22"/>
              </w:rPr>
              <w:t>Mayaro fever</w:t>
            </w:r>
          </w:p>
        </w:tc>
        <w:tc>
          <w:tcPr>
            <w:tcW w:w="1317" w:type="dxa"/>
          </w:tcPr>
          <w:p w14:paraId="3819300F"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39558B9D" w14:textId="2D53DCAF" w:rsidR="00C37194" w:rsidRPr="00B45531" w:rsidRDefault="00C37194" w:rsidP="00501163">
            <w:pPr>
              <w:contextualSpacing/>
              <w:rPr>
                <w:sz w:val="22"/>
                <w:szCs w:val="22"/>
              </w:rPr>
            </w:pPr>
            <w:r w:rsidRPr="009E6578">
              <w:rPr>
                <w:sz w:val="22"/>
                <w:szCs w:val="22"/>
              </w:rPr>
              <w:t xml:space="preserve">Celone </w:t>
            </w:r>
            <w:r w:rsidR="003E7B19" w:rsidRPr="009E6578">
              <w:rPr>
                <w:sz w:val="22"/>
                <w:szCs w:val="22"/>
              </w:rPr>
              <w:t>and others,</w:t>
            </w:r>
            <w:r w:rsidRPr="009E6578">
              <w:rPr>
                <w:sz w:val="22"/>
                <w:szCs w:val="22"/>
              </w:rPr>
              <w:t xml:space="preserve"> 2021</w:t>
            </w:r>
          </w:p>
        </w:tc>
      </w:tr>
      <w:tr w:rsidR="00C37194" w:rsidRPr="004B6EB5" w14:paraId="09383719" w14:textId="77777777" w:rsidTr="00501163">
        <w:tc>
          <w:tcPr>
            <w:tcW w:w="1064" w:type="dxa"/>
            <w:vMerge/>
          </w:tcPr>
          <w:p w14:paraId="3B15CC96" w14:textId="77777777" w:rsidR="00C37194" w:rsidRPr="00B45531" w:rsidRDefault="00C37194">
            <w:pPr>
              <w:rPr>
                <w:sz w:val="22"/>
                <w:szCs w:val="22"/>
              </w:rPr>
            </w:pPr>
          </w:p>
        </w:tc>
        <w:tc>
          <w:tcPr>
            <w:tcW w:w="1992" w:type="dxa"/>
            <w:vMerge/>
            <w:vAlign w:val="center"/>
          </w:tcPr>
          <w:p w14:paraId="4E567055" w14:textId="77777777" w:rsidR="00C37194" w:rsidRPr="00B45531" w:rsidRDefault="00C37194">
            <w:pPr>
              <w:jc w:val="center"/>
              <w:rPr>
                <w:i/>
                <w:iCs/>
                <w:sz w:val="22"/>
                <w:szCs w:val="22"/>
              </w:rPr>
            </w:pPr>
          </w:p>
        </w:tc>
        <w:tc>
          <w:tcPr>
            <w:tcW w:w="2127" w:type="dxa"/>
          </w:tcPr>
          <w:p w14:paraId="65203E8C" w14:textId="77777777" w:rsidR="00C37194" w:rsidRPr="00B45531" w:rsidRDefault="00C37194" w:rsidP="00501163">
            <w:pPr>
              <w:contextualSpacing/>
              <w:rPr>
                <w:sz w:val="22"/>
                <w:szCs w:val="22"/>
              </w:rPr>
            </w:pPr>
            <w:r w:rsidRPr="00B45531">
              <w:rPr>
                <w:sz w:val="22"/>
                <w:szCs w:val="22"/>
              </w:rPr>
              <w:t>Potosi virus</w:t>
            </w:r>
          </w:p>
        </w:tc>
        <w:tc>
          <w:tcPr>
            <w:tcW w:w="1317" w:type="dxa"/>
          </w:tcPr>
          <w:p w14:paraId="210C809D" w14:textId="77777777" w:rsidR="00C37194" w:rsidRPr="00B45531" w:rsidRDefault="00C37194" w:rsidP="00501163">
            <w:pPr>
              <w:contextualSpacing/>
              <w:rPr>
                <w:sz w:val="22"/>
                <w:szCs w:val="22"/>
              </w:rPr>
            </w:pPr>
            <w:r w:rsidRPr="00B45531">
              <w:rPr>
                <w:sz w:val="22"/>
                <w:szCs w:val="22"/>
              </w:rPr>
              <w:t>Virus</w:t>
            </w:r>
          </w:p>
        </w:tc>
        <w:tc>
          <w:tcPr>
            <w:tcW w:w="2516" w:type="dxa"/>
          </w:tcPr>
          <w:p w14:paraId="77AED542" w14:textId="054603D7" w:rsidR="00C37194" w:rsidRPr="009E6578" w:rsidRDefault="00C37194" w:rsidP="00501163">
            <w:pPr>
              <w:contextualSpacing/>
              <w:rPr>
                <w:sz w:val="22"/>
                <w:szCs w:val="22"/>
              </w:rPr>
            </w:pPr>
            <w:proofErr w:type="spellStart"/>
            <w:r w:rsidRPr="009E6578">
              <w:rPr>
                <w:sz w:val="22"/>
                <w:szCs w:val="22"/>
              </w:rPr>
              <w:t>Paupy</w:t>
            </w:r>
            <w:proofErr w:type="spellEnd"/>
            <w:r w:rsidRPr="009E6578">
              <w:rPr>
                <w:sz w:val="22"/>
                <w:szCs w:val="22"/>
              </w:rPr>
              <w:t xml:space="preserve"> </w:t>
            </w:r>
            <w:r w:rsidR="003E7B19" w:rsidRPr="009E6578">
              <w:rPr>
                <w:sz w:val="22"/>
                <w:szCs w:val="22"/>
              </w:rPr>
              <w:t>and others,</w:t>
            </w:r>
            <w:r w:rsidRPr="009E6578">
              <w:rPr>
                <w:sz w:val="22"/>
                <w:szCs w:val="22"/>
              </w:rPr>
              <w:t xml:space="preserve"> 2009</w:t>
            </w:r>
          </w:p>
        </w:tc>
      </w:tr>
      <w:tr w:rsidR="00C37194" w:rsidRPr="004B6EB5" w14:paraId="48964FAE" w14:textId="77777777" w:rsidTr="00501163">
        <w:tc>
          <w:tcPr>
            <w:tcW w:w="1064" w:type="dxa"/>
            <w:vMerge/>
          </w:tcPr>
          <w:p w14:paraId="4CA65FC5" w14:textId="77777777" w:rsidR="00C37194" w:rsidRPr="00B45531" w:rsidRDefault="00C37194">
            <w:pPr>
              <w:rPr>
                <w:sz w:val="22"/>
                <w:szCs w:val="22"/>
              </w:rPr>
            </w:pPr>
          </w:p>
        </w:tc>
        <w:tc>
          <w:tcPr>
            <w:tcW w:w="1992" w:type="dxa"/>
            <w:vMerge/>
            <w:vAlign w:val="center"/>
          </w:tcPr>
          <w:p w14:paraId="25B4F06B" w14:textId="77777777" w:rsidR="00C37194" w:rsidRPr="00B45531" w:rsidRDefault="00C37194">
            <w:pPr>
              <w:jc w:val="center"/>
              <w:rPr>
                <w:i/>
                <w:iCs/>
                <w:sz w:val="22"/>
                <w:szCs w:val="22"/>
              </w:rPr>
            </w:pPr>
          </w:p>
        </w:tc>
        <w:tc>
          <w:tcPr>
            <w:tcW w:w="2127" w:type="dxa"/>
          </w:tcPr>
          <w:p w14:paraId="29780945" w14:textId="77777777" w:rsidR="00C37194" w:rsidRPr="00B45531" w:rsidRDefault="00C37194" w:rsidP="00501163">
            <w:pPr>
              <w:contextualSpacing/>
              <w:rPr>
                <w:sz w:val="22"/>
                <w:szCs w:val="22"/>
              </w:rPr>
            </w:pPr>
            <w:r w:rsidRPr="00B45531">
              <w:rPr>
                <w:sz w:val="22"/>
                <w:szCs w:val="22"/>
              </w:rPr>
              <w:t>Zika fever</w:t>
            </w:r>
          </w:p>
        </w:tc>
        <w:tc>
          <w:tcPr>
            <w:tcW w:w="1317" w:type="dxa"/>
          </w:tcPr>
          <w:p w14:paraId="7D087215" w14:textId="77777777" w:rsidR="00C37194" w:rsidRPr="00B45531" w:rsidRDefault="00C37194" w:rsidP="00501163">
            <w:pPr>
              <w:contextualSpacing/>
              <w:rPr>
                <w:sz w:val="22"/>
                <w:szCs w:val="22"/>
              </w:rPr>
            </w:pPr>
            <w:r w:rsidRPr="00B45531">
              <w:rPr>
                <w:sz w:val="22"/>
                <w:szCs w:val="22"/>
              </w:rPr>
              <w:t>Virus</w:t>
            </w:r>
          </w:p>
        </w:tc>
        <w:tc>
          <w:tcPr>
            <w:tcW w:w="2516" w:type="dxa"/>
          </w:tcPr>
          <w:p w14:paraId="480D7D8C" w14:textId="1B6D0F82" w:rsidR="00C37194" w:rsidRPr="00B45531" w:rsidRDefault="00C37194" w:rsidP="00501163">
            <w:pPr>
              <w:contextualSpacing/>
              <w:rPr>
                <w:sz w:val="22"/>
                <w:szCs w:val="22"/>
              </w:rPr>
            </w:pPr>
            <w:r w:rsidRPr="009E6578">
              <w:rPr>
                <w:sz w:val="22"/>
                <w:szCs w:val="22"/>
              </w:rPr>
              <w:t>Kauffman &amp; Kramer, 2017</w:t>
            </w:r>
            <w:r w:rsidRPr="00B45531">
              <w:rPr>
                <w:sz w:val="22"/>
                <w:szCs w:val="22"/>
              </w:rPr>
              <w:t xml:space="preserve">; </w:t>
            </w:r>
            <w:r w:rsidRPr="00280AF8">
              <w:rPr>
                <w:color w:val="000000" w:themeColor="text1"/>
                <w:sz w:val="22"/>
                <w:szCs w:val="22"/>
              </w:rPr>
              <w:t>WHO</w:t>
            </w:r>
            <w:r w:rsidR="0013288B" w:rsidRPr="00280AF8">
              <w:rPr>
                <w:color w:val="000000" w:themeColor="text1"/>
                <w:sz w:val="22"/>
                <w:szCs w:val="22"/>
              </w:rPr>
              <w:t>,</w:t>
            </w:r>
            <w:r w:rsidRPr="00280AF8">
              <w:rPr>
                <w:color w:val="000000" w:themeColor="text1"/>
                <w:sz w:val="22"/>
                <w:szCs w:val="22"/>
              </w:rPr>
              <w:t xml:space="preserve"> 2019</w:t>
            </w:r>
            <w:r w:rsidR="000E41E2" w:rsidRPr="00280AF8">
              <w:rPr>
                <w:color w:val="000000" w:themeColor="text1"/>
                <w:sz w:val="22"/>
                <w:szCs w:val="22"/>
              </w:rPr>
              <w:t>, 2022</w:t>
            </w:r>
            <w:r w:rsidR="00280AF8">
              <w:rPr>
                <w:color w:val="000000" w:themeColor="text1"/>
                <w:sz w:val="22"/>
                <w:szCs w:val="22"/>
              </w:rPr>
              <w:t>b</w:t>
            </w:r>
          </w:p>
        </w:tc>
      </w:tr>
      <w:tr w:rsidR="00C37194" w:rsidRPr="004B6EB5" w14:paraId="6A1683AA" w14:textId="77777777" w:rsidTr="00501163">
        <w:tc>
          <w:tcPr>
            <w:tcW w:w="1064" w:type="dxa"/>
            <w:vMerge/>
          </w:tcPr>
          <w:p w14:paraId="497BAEA9" w14:textId="77777777" w:rsidR="00C37194" w:rsidRPr="00B45531" w:rsidRDefault="00C37194">
            <w:pPr>
              <w:rPr>
                <w:sz w:val="22"/>
                <w:szCs w:val="22"/>
              </w:rPr>
            </w:pPr>
          </w:p>
        </w:tc>
        <w:tc>
          <w:tcPr>
            <w:tcW w:w="1992" w:type="dxa"/>
            <w:vMerge w:val="restart"/>
            <w:vAlign w:val="center"/>
          </w:tcPr>
          <w:p w14:paraId="28E86B2D" w14:textId="57FC607A" w:rsidR="00C37194" w:rsidRPr="00B45531" w:rsidRDefault="00C37194" w:rsidP="007D7B67">
            <w:pPr>
              <w:rPr>
                <w:i/>
                <w:iCs/>
                <w:sz w:val="22"/>
                <w:szCs w:val="22"/>
              </w:rPr>
            </w:pPr>
            <w:r w:rsidRPr="00B45531">
              <w:rPr>
                <w:i/>
                <w:iCs/>
                <w:sz w:val="22"/>
                <w:szCs w:val="22"/>
              </w:rPr>
              <w:t xml:space="preserve">Ae. </w:t>
            </w:r>
            <w:proofErr w:type="spellStart"/>
            <w:r w:rsidR="00D862F2">
              <w:rPr>
                <w:i/>
                <w:iCs/>
                <w:sz w:val="22"/>
                <w:szCs w:val="22"/>
              </w:rPr>
              <w:t>a</w:t>
            </w:r>
            <w:r w:rsidRPr="00B45531">
              <w:rPr>
                <w:i/>
                <w:iCs/>
                <w:sz w:val="22"/>
                <w:szCs w:val="22"/>
              </w:rPr>
              <w:t>tropalpus</w:t>
            </w:r>
            <w:proofErr w:type="spellEnd"/>
          </w:p>
        </w:tc>
        <w:tc>
          <w:tcPr>
            <w:tcW w:w="2127" w:type="dxa"/>
          </w:tcPr>
          <w:p w14:paraId="776478C2" w14:textId="77777777" w:rsidR="00C37194" w:rsidRPr="00B45531" w:rsidRDefault="00C37194" w:rsidP="00501163">
            <w:pPr>
              <w:contextualSpacing/>
              <w:rPr>
                <w:sz w:val="22"/>
                <w:szCs w:val="22"/>
              </w:rPr>
            </w:pPr>
            <w:r w:rsidRPr="00B45531">
              <w:rPr>
                <w:sz w:val="22"/>
                <w:szCs w:val="22"/>
              </w:rPr>
              <w:t>La Crosse encephalitis</w:t>
            </w:r>
          </w:p>
        </w:tc>
        <w:tc>
          <w:tcPr>
            <w:tcW w:w="1317" w:type="dxa"/>
          </w:tcPr>
          <w:p w14:paraId="64799B64" w14:textId="77777777" w:rsidR="00C37194" w:rsidRPr="00B45531" w:rsidRDefault="00C37194" w:rsidP="00501163">
            <w:pPr>
              <w:contextualSpacing/>
              <w:rPr>
                <w:sz w:val="22"/>
                <w:szCs w:val="22"/>
              </w:rPr>
            </w:pPr>
            <w:r w:rsidRPr="00B45531">
              <w:rPr>
                <w:sz w:val="22"/>
                <w:szCs w:val="22"/>
              </w:rPr>
              <w:t>Virus</w:t>
            </w:r>
          </w:p>
        </w:tc>
        <w:tc>
          <w:tcPr>
            <w:tcW w:w="2516" w:type="dxa"/>
          </w:tcPr>
          <w:p w14:paraId="284B4158" w14:textId="6A0DEF8C" w:rsidR="00C37194" w:rsidRPr="00B45531" w:rsidRDefault="00C37194" w:rsidP="00501163">
            <w:pPr>
              <w:contextualSpacing/>
              <w:rPr>
                <w:sz w:val="22"/>
                <w:szCs w:val="22"/>
              </w:rPr>
            </w:pPr>
            <w:proofErr w:type="spellStart"/>
            <w:r w:rsidRPr="009E6578">
              <w:rPr>
                <w:sz w:val="22"/>
                <w:szCs w:val="22"/>
              </w:rPr>
              <w:t>Giunti</w:t>
            </w:r>
            <w:proofErr w:type="spellEnd"/>
            <w:r w:rsidRPr="009E6578">
              <w:rPr>
                <w:sz w:val="22"/>
                <w:szCs w:val="22"/>
              </w:rPr>
              <w:t xml:space="preserve"> </w:t>
            </w:r>
            <w:r w:rsidR="003E7B19" w:rsidRPr="009E6578">
              <w:rPr>
                <w:sz w:val="22"/>
                <w:szCs w:val="22"/>
              </w:rPr>
              <w:t>and others,</w:t>
            </w:r>
            <w:r w:rsidRPr="009E6578">
              <w:rPr>
                <w:sz w:val="22"/>
                <w:szCs w:val="22"/>
              </w:rPr>
              <w:t xml:space="preserve"> 2023</w:t>
            </w:r>
          </w:p>
        </w:tc>
      </w:tr>
      <w:tr w:rsidR="00C37194" w:rsidRPr="004B6EB5" w14:paraId="10187A06" w14:textId="77777777" w:rsidTr="00501163">
        <w:tc>
          <w:tcPr>
            <w:tcW w:w="1064" w:type="dxa"/>
            <w:vMerge/>
          </w:tcPr>
          <w:p w14:paraId="7CC60186" w14:textId="77777777" w:rsidR="00C37194" w:rsidRPr="00B45531" w:rsidRDefault="00C37194">
            <w:pPr>
              <w:rPr>
                <w:sz w:val="22"/>
                <w:szCs w:val="22"/>
              </w:rPr>
            </w:pPr>
          </w:p>
        </w:tc>
        <w:tc>
          <w:tcPr>
            <w:tcW w:w="1992" w:type="dxa"/>
            <w:vMerge/>
            <w:vAlign w:val="center"/>
          </w:tcPr>
          <w:p w14:paraId="533559AE" w14:textId="77777777" w:rsidR="00C37194" w:rsidRPr="00B45531" w:rsidRDefault="00C37194" w:rsidP="007D7B67">
            <w:pPr>
              <w:rPr>
                <w:i/>
                <w:iCs/>
                <w:sz w:val="22"/>
                <w:szCs w:val="22"/>
              </w:rPr>
            </w:pPr>
          </w:p>
        </w:tc>
        <w:tc>
          <w:tcPr>
            <w:tcW w:w="2127" w:type="dxa"/>
          </w:tcPr>
          <w:p w14:paraId="40BE468C" w14:textId="77777777" w:rsidR="00C37194" w:rsidRPr="00B45531" w:rsidRDefault="00C37194" w:rsidP="00501163">
            <w:pPr>
              <w:contextualSpacing/>
              <w:rPr>
                <w:sz w:val="22"/>
                <w:szCs w:val="22"/>
              </w:rPr>
            </w:pPr>
            <w:r w:rsidRPr="00B45531">
              <w:rPr>
                <w:sz w:val="22"/>
                <w:szCs w:val="22"/>
              </w:rPr>
              <w:t>West Nile fever</w:t>
            </w:r>
          </w:p>
        </w:tc>
        <w:tc>
          <w:tcPr>
            <w:tcW w:w="1317" w:type="dxa"/>
          </w:tcPr>
          <w:p w14:paraId="5EA536A2" w14:textId="77777777" w:rsidR="00C37194" w:rsidRPr="00B45531" w:rsidRDefault="00C37194" w:rsidP="00501163">
            <w:pPr>
              <w:contextualSpacing/>
              <w:rPr>
                <w:sz w:val="22"/>
                <w:szCs w:val="22"/>
              </w:rPr>
            </w:pPr>
            <w:r w:rsidRPr="00B45531">
              <w:rPr>
                <w:sz w:val="22"/>
                <w:szCs w:val="22"/>
              </w:rPr>
              <w:t>Virus</w:t>
            </w:r>
          </w:p>
        </w:tc>
        <w:tc>
          <w:tcPr>
            <w:tcW w:w="2516" w:type="dxa"/>
          </w:tcPr>
          <w:p w14:paraId="032DD386" w14:textId="33ABC0A7" w:rsidR="00C37194" w:rsidRPr="009E6578" w:rsidRDefault="00C37194" w:rsidP="00501163">
            <w:pPr>
              <w:contextualSpacing/>
              <w:rPr>
                <w:sz w:val="22"/>
                <w:szCs w:val="22"/>
              </w:rPr>
            </w:pPr>
            <w:proofErr w:type="spellStart"/>
            <w:r w:rsidRPr="009E6578">
              <w:rPr>
                <w:sz w:val="22"/>
                <w:szCs w:val="22"/>
              </w:rPr>
              <w:t>Giunti</w:t>
            </w:r>
            <w:proofErr w:type="spellEnd"/>
            <w:r w:rsidRPr="009E6578">
              <w:rPr>
                <w:sz w:val="22"/>
                <w:szCs w:val="22"/>
              </w:rPr>
              <w:t xml:space="preserve"> </w:t>
            </w:r>
            <w:r w:rsidR="003E7B19" w:rsidRPr="009E6578">
              <w:rPr>
                <w:sz w:val="22"/>
                <w:szCs w:val="22"/>
              </w:rPr>
              <w:t>and others,</w:t>
            </w:r>
            <w:r w:rsidRPr="009E6578">
              <w:rPr>
                <w:sz w:val="22"/>
                <w:szCs w:val="22"/>
              </w:rPr>
              <w:t xml:space="preserve"> 2023</w:t>
            </w:r>
          </w:p>
        </w:tc>
      </w:tr>
      <w:tr w:rsidR="00C37194" w:rsidRPr="004B6EB5" w14:paraId="61F17FD4" w14:textId="77777777" w:rsidTr="00501163">
        <w:trPr>
          <w:trHeight w:val="233"/>
        </w:trPr>
        <w:tc>
          <w:tcPr>
            <w:tcW w:w="1064" w:type="dxa"/>
            <w:vMerge/>
          </w:tcPr>
          <w:p w14:paraId="160DF075" w14:textId="77777777" w:rsidR="00C37194" w:rsidRPr="00B45531" w:rsidRDefault="00C37194">
            <w:pPr>
              <w:rPr>
                <w:sz w:val="22"/>
                <w:szCs w:val="22"/>
              </w:rPr>
            </w:pPr>
          </w:p>
        </w:tc>
        <w:tc>
          <w:tcPr>
            <w:tcW w:w="1992" w:type="dxa"/>
            <w:vMerge w:val="restart"/>
            <w:vAlign w:val="center"/>
          </w:tcPr>
          <w:p w14:paraId="2FCE6C6E" w14:textId="2987B962"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b</w:t>
            </w:r>
            <w:r w:rsidRPr="00B45531">
              <w:rPr>
                <w:i/>
                <w:iCs/>
                <w:sz w:val="22"/>
                <w:szCs w:val="22"/>
              </w:rPr>
              <w:t>romeliae</w:t>
            </w:r>
            <w:proofErr w:type="spellEnd"/>
          </w:p>
        </w:tc>
        <w:tc>
          <w:tcPr>
            <w:tcW w:w="2127" w:type="dxa"/>
          </w:tcPr>
          <w:p w14:paraId="1D228D15" w14:textId="77777777" w:rsidR="00C37194" w:rsidRPr="00B45531" w:rsidRDefault="00C37194" w:rsidP="00501163">
            <w:pPr>
              <w:contextualSpacing/>
              <w:rPr>
                <w:sz w:val="22"/>
                <w:szCs w:val="22"/>
              </w:rPr>
            </w:pPr>
            <w:r w:rsidRPr="00B45531">
              <w:rPr>
                <w:sz w:val="22"/>
                <w:szCs w:val="22"/>
              </w:rPr>
              <w:t xml:space="preserve">Dengue fever </w:t>
            </w:r>
          </w:p>
        </w:tc>
        <w:tc>
          <w:tcPr>
            <w:tcW w:w="1317" w:type="dxa"/>
          </w:tcPr>
          <w:p w14:paraId="518B1F4B" w14:textId="77777777" w:rsidR="00C37194" w:rsidRPr="00B45531" w:rsidRDefault="00C37194" w:rsidP="00501163">
            <w:pPr>
              <w:contextualSpacing/>
              <w:rPr>
                <w:sz w:val="22"/>
                <w:szCs w:val="22"/>
              </w:rPr>
            </w:pPr>
            <w:r w:rsidRPr="00B45531">
              <w:rPr>
                <w:sz w:val="22"/>
                <w:szCs w:val="22"/>
              </w:rPr>
              <w:t xml:space="preserve">Virus </w:t>
            </w:r>
          </w:p>
        </w:tc>
        <w:tc>
          <w:tcPr>
            <w:tcW w:w="2516" w:type="dxa"/>
            <w:vMerge w:val="restart"/>
          </w:tcPr>
          <w:p w14:paraId="613C50B8" w14:textId="63366EF1" w:rsidR="00C37194" w:rsidRPr="00B45531" w:rsidRDefault="00C37194" w:rsidP="00501163">
            <w:pPr>
              <w:contextualSpacing/>
              <w:rPr>
                <w:sz w:val="22"/>
                <w:szCs w:val="22"/>
              </w:rPr>
            </w:pPr>
            <w:r w:rsidRPr="009E6578">
              <w:rPr>
                <w:sz w:val="22"/>
                <w:szCs w:val="22"/>
              </w:rPr>
              <w:t xml:space="preserve">Foster </w:t>
            </w:r>
            <w:r w:rsidR="0029637D" w:rsidRPr="009E6578">
              <w:rPr>
                <w:sz w:val="22"/>
                <w:szCs w:val="22"/>
              </w:rPr>
              <w:t>and</w:t>
            </w:r>
            <w:r w:rsidRPr="009E6578">
              <w:rPr>
                <w:sz w:val="22"/>
                <w:szCs w:val="22"/>
              </w:rPr>
              <w:t xml:space="preserve"> Walker, 2019</w:t>
            </w:r>
          </w:p>
        </w:tc>
      </w:tr>
      <w:tr w:rsidR="00C37194" w:rsidRPr="004B6EB5" w14:paraId="5E0BCBB1" w14:textId="77777777" w:rsidTr="00501163">
        <w:trPr>
          <w:trHeight w:val="67"/>
        </w:trPr>
        <w:tc>
          <w:tcPr>
            <w:tcW w:w="1064" w:type="dxa"/>
            <w:vMerge/>
          </w:tcPr>
          <w:p w14:paraId="08C1D1D1" w14:textId="77777777" w:rsidR="00C37194" w:rsidRPr="00B45531" w:rsidRDefault="00C37194">
            <w:pPr>
              <w:rPr>
                <w:sz w:val="22"/>
                <w:szCs w:val="22"/>
              </w:rPr>
            </w:pPr>
          </w:p>
        </w:tc>
        <w:tc>
          <w:tcPr>
            <w:tcW w:w="1992" w:type="dxa"/>
            <w:vMerge/>
            <w:vAlign w:val="center"/>
          </w:tcPr>
          <w:p w14:paraId="0E9B04B0" w14:textId="77777777" w:rsidR="00C37194" w:rsidRPr="00B45531" w:rsidRDefault="00C37194" w:rsidP="007D7B67">
            <w:pPr>
              <w:contextualSpacing/>
              <w:rPr>
                <w:i/>
                <w:iCs/>
                <w:sz w:val="22"/>
                <w:szCs w:val="22"/>
              </w:rPr>
            </w:pPr>
          </w:p>
        </w:tc>
        <w:tc>
          <w:tcPr>
            <w:tcW w:w="2127" w:type="dxa"/>
          </w:tcPr>
          <w:p w14:paraId="6C0F8B88" w14:textId="77777777" w:rsidR="00C37194" w:rsidRPr="00B45531" w:rsidRDefault="00C37194" w:rsidP="00501163">
            <w:pPr>
              <w:contextualSpacing/>
              <w:rPr>
                <w:sz w:val="22"/>
                <w:szCs w:val="22"/>
              </w:rPr>
            </w:pPr>
            <w:r w:rsidRPr="00B45531">
              <w:rPr>
                <w:sz w:val="22"/>
                <w:szCs w:val="22"/>
              </w:rPr>
              <w:t xml:space="preserve">Yellow fever </w:t>
            </w:r>
          </w:p>
        </w:tc>
        <w:tc>
          <w:tcPr>
            <w:tcW w:w="1317" w:type="dxa"/>
          </w:tcPr>
          <w:p w14:paraId="2B68D811" w14:textId="77777777" w:rsidR="00C37194" w:rsidRPr="00B45531" w:rsidRDefault="00C37194" w:rsidP="00501163">
            <w:pPr>
              <w:contextualSpacing/>
              <w:rPr>
                <w:sz w:val="22"/>
                <w:szCs w:val="22"/>
              </w:rPr>
            </w:pPr>
            <w:r w:rsidRPr="00B45531">
              <w:rPr>
                <w:sz w:val="22"/>
                <w:szCs w:val="22"/>
              </w:rPr>
              <w:t xml:space="preserve">Virus </w:t>
            </w:r>
          </w:p>
        </w:tc>
        <w:tc>
          <w:tcPr>
            <w:tcW w:w="2516" w:type="dxa"/>
            <w:vMerge/>
          </w:tcPr>
          <w:p w14:paraId="7035E129" w14:textId="77777777" w:rsidR="00C37194" w:rsidRPr="00B45531" w:rsidRDefault="00C37194" w:rsidP="00501163">
            <w:pPr>
              <w:contextualSpacing/>
              <w:rPr>
                <w:sz w:val="22"/>
                <w:szCs w:val="22"/>
              </w:rPr>
            </w:pPr>
          </w:p>
        </w:tc>
      </w:tr>
      <w:tr w:rsidR="00C37194" w:rsidRPr="004B6EB5" w14:paraId="2470FE82" w14:textId="77777777" w:rsidTr="00501163">
        <w:tc>
          <w:tcPr>
            <w:tcW w:w="1064" w:type="dxa"/>
            <w:vMerge/>
          </w:tcPr>
          <w:p w14:paraId="0592316D" w14:textId="77777777" w:rsidR="00C37194" w:rsidRPr="00B45531" w:rsidRDefault="00C37194">
            <w:pPr>
              <w:rPr>
                <w:sz w:val="22"/>
                <w:szCs w:val="22"/>
              </w:rPr>
            </w:pPr>
          </w:p>
        </w:tc>
        <w:tc>
          <w:tcPr>
            <w:tcW w:w="1992" w:type="dxa"/>
            <w:vAlign w:val="center"/>
          </w:tcPr>
          <w:p w14:paraId="547EDA32" w14:textId="5CD9B1EB"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c</w:t>
            </w:r>
            <w:r w:rsidRPr="00B45531">
              <w:rPr>
                <w:i/>
                <w:iCs/>
                <w:sz w:val="22"/>
                <w:szCs w:val="22"/>
              </w:rPr>
              <w:t>antans</w:t>
            </w:r>
            <w:proofErr w:type="spellEnd"/>
          </w:p>
        </w:tc>
        <w:tc>
          <w:tcPr>
            <w:tcW w:w="2127" w:type="dxa"/>
          </w:tcPr>
          <w:p w14:paraId="21858177" w14:textId="77777777" w:rsidR="00C37194" w:rsidRPr="00B45531" w:rsidRDefault="00C37194" w:rsidP="00501163">
            <w:pPr>
              <w:contextualSpacing/>
              <w:rPr>
                <w:sz w:val="22"/>
                <w:szCs w:val="22"/>
              </w:rPr>
            </w:pPr>
            <w:proofErr w:type="spellStart"/>
            <w:r w:rsidRPr="00B45531">
              <w:rPr>
                <w:sz w:val="22"/>
                <w:szCs w:val="22"/>
              </w:rPr>
              <w:t>Tahyna</w:t>
            </w:r>
            <w:proofErr w:type="spellEnd"/>
            <w:r w:rsidRPr="00B45531">
              <w:rPr>
                <w:sz w:val="22"/>
                <w:szCs w:val="22"/>
              </w:rPr>
              <w:t xml:space="preserve"> virus**</w:t>
            </w:r>
          </w:p>
        </w:tc>
        <w:tc>
          <w:tcPr>
            <w:tcW w:w="1317" w:type="dxa"/>
          </w:tcPr>
          <w:p w14:paraId="19C468C8"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1EF47D20" w14:textId="5F0A84A2" w:rsidR="00C37194" w:rsidRPr="00B45531" w:rsidRDefault="00C37194" w:rsidP="00501163">
            <w:pPr>
              <w:contextualSpacing/>
              <w:rPr>
                <w:sz w:val="22"/>
                <w:szCs w:val="22"/>
              </w:rPr>
            </w:pPr>
            <w:r w:rsidRPr="00B45531">
              <w:rPr>
                <w:sz w:val="22"/>
                <w:szCs w:val="22"/>
              </w:rPr>
              <w:t xml:space="preserve">Cai </w:t>
            </w:r>
            <w:r w:rsidR="003E7B19">
              <w:rPr>
                <w:sz w:val="22"/>
                <w:szCs w:val="22"/>
              </w:rPr>
              <w:t>and others,</w:t>
            </w:r>
            <w:r w:rsidRPr="00B45531">
              <w:rPr>
                <w:sz w:val="22"/>
                <w:szCs w:val="22"/>
              </w:rPr>
              <w:t xml:space="preserve"> 2023</w:t>
            </w:r>
          </w:p>
        </w:tc>
      </w:tr>
      <w:tr w:rsidR="00C37194" w:rsidRPr="004B6EB5" w14:paraId="062D40F9" w14:textId="77777777" w:rsidTr="00501163">
        <w:tc>
          <w:tcPr>
            <w:tcW w:w="1064" w:type="dxa"/>
            <w:vMerge/>
          </w:tcPr>
          <w:p w14:paraId="1DE07873" w14:textId="77777777" w:rsidR="00C37194" w:rsidRPr="00B45531" w:rsidRDefault="00C37194">
            <w:pPr>
              <w:rPr>
                <w:sz w:val="22"/>
                <w:szCs w:val="22"/>
              </w:rPr>
            </w:pPr>
          </w:p>
        </w:tc>
        <w:tc>
          <w:tcPr>
            <w:tcW w:w="1992" w:type="dxa"/>
            <w:vAlign w:val="center"/>
          </w:tcPr>
          <w:p w14:paraId="4779A899" w14:textId="4AE69815"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c</w:t>
            </w:r>
            <w:r w:rsidRPr="00B45531">
              <w:rPr>
                <w:i/>
                <w:iCs/>
                <w:sz w:val="22"/>
                <w:szCs w:val="22"/>
              </w:rPr>
              <w:t>aspius</w:t>
            </w:r>
            <w:proofErr w:type="spellEnd"/>
          </w:p>
        </w:tc>
        <w:tc>
          <w:tcPr>
            <w:tcW w:w="2127" w:type="dxa"/>
          </w:tcPr>
          <w:p w14:paraId="2145C0BD" w14:textId="77777777" w:rsidR="00C37194" w:rsidRPr="00B45531" w:rsidRDefault="00C37194" w:rsidP="00501163">
            <w:pPr>
              <w:contextualSpacing/>
              <w:rPr>
                <w:sz w:val="22"/>
                <w:szCs w:val="22"/>
              </w:rPr>
            </w:pPr>
            <w:proofErr w:type="spellStart"/>
            <w:r w:rsidRPr="00B45531">
              <w:rPr>
                <w:sz w:val="22"/>
                <w:szCs w:val="22"/>
              </w:rPr>
              <w:t>Tahyna</w:t>
            </w:r>
            <w:proofErr w:type="spellEnd"/>
            <w:r w:rsidRPr="00B45531">
              <w:rPr>
                <w:sz w:val="22"/>
                <w:szCs w:val="22"/>
              </w:rPr>
              <w:t xml:space="preserve"> virus</w:t>
            </w:r>
          </w:p>
        </w:tc>
        <w:tc>
          <w:tcPr>
            <w:tcW w:w="1317" w:type="dxa"/>
          </w:tcPr>
          <w:p w14:paraId="0BFFCD42"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6F721219" w14:textId="318F1D02" w:rsidR="00C37194" w:rsidRPr="00B45531" w:rsidRDefault="00C37194" w:rsidP="00501163">
            <w:pPr>
              <w:contextualSpacing/>
              <w:rPr>
                <w:sz w:val="22"/>
                <w:szCs w:val="22"/>
              </w:rPr>
            </w:pPr>
            <w:proofErr w:type="spellStart"/>
            <w:r w:rsidRPr="009E6578">
              <w:rPr>
                <w:sz w:val="22"/>
                <w:szCs w:val="22"/>
              </w:rPr>
              <w:t>Calzolari</w:t>
            </w:r>
            <w:proofErr w:type="spellEnd"/>
            <w:r w:rsidRPr="009E6578">
              <w:rPr>
                <w:sz w:val="22"/>
                <w:szCs w:val="22"/>
              </w:rPr>
              <w:t xml:space="preserve"> </w:t>
            </w:r>
            <w:r w:rsidR="003E7B19" w:rsidRPr="009E6578">
              <w:rPr>
                <w:sz w:val="22"/>
                <w:szCs w:val="22"/>
              </w:rPr>
              <w:t>and others,</w:t>
            </w:r>
            <w:r w:rsidRPr="009E6578">
              <w:rPr>
                <w:sz w:val="22"/>
                <w:szCs w:val="22"/>
              </w:rPr>
              <w:t xml:space="preserve"> 2022</w:t>
            </w:r>
          </w:p>
        </w:tc>
      </w:tr>
      <w:tr w:rsidR="00C37194" w:rsidRPr="004B6EB5" w14:paraId="72B82F3A" w14:textId="77777777" w:rsidTr="00501163">
        <w:tc>
          <w:tcPr>
            <w:tcW w:w="1064" w:type="dxa"/>
            <w:vMerge/>
          </w:tcPr>
          <w:p w14:paraId="1122358D" w14:textId="77777777" w:rsidR="00C37194" w:rsidRPr="00B45531" w:rsidRDefault="00C37194">
            <w:pPr>
              <w:rPr>
                <w:sz w:val="22"/>
                <w:szCs w:val="22"/>
              </w:rPr>
            </w:pPr>
          </w:p>
        </w:tc>
        <w:tc>
          <w:tcPr>
            <w:tcW w:w="1992" w:type="dxa"/>
            <w:vAlign w:val="center"/>
          </w:tcPr>
          <w:p w14:paraId="686D1253" w14:textId="46BCF4DE" w:rsidR="00C37194" w:rsidRPr="00B45531" w:rsidRDefault="00C37194" w:rsidP="007D7B67">
            <w:pPr>
              <w:contextualSpacing/>
              <w:rPr>
                <w:i/>
                <w:iCs/>
                <w:sz w:val="22"/>
                <w:szCs w:val="22"/>
              </w:rPr>
            </w:pPr>
            <w:r w:rsidRPr="00B45531">
              <w:rPr>
                <w:i/>
                <w:iCs/>
                <w:sz w:val="22"/>
                <w:szCs w:val="22"/>
              </w:rPr>
              <w:t xml:space="preserve">Ae. </w:t>
            </w:r>
            <w:r w:rsidR="00030FF2">
              <w:rPr>
                <w:i/>
                <w:iCs/>
                <w:sz w:val="22"/>
                <w:szCs w:val="22"/>
              </w:rPr>
              <w:t>c</w:t>
            </w:r>
            <w:r w:rsidRPr="00B45531">
              <w:rPr>
                <w:i/>
                <w:iCs/>
                <w:sz w:val="22"/>
                <w:szCs w:val="22"/>
              </w:rPr>
              <w:t>inereus</w:t>
            </w:r>
          </w:p>
        </w:tc>
        <w:tc>
          <w:tcPr>
            <w:tcW w:w="2127" w:type="dxa"/>
          </w:tcPr>
          <w:p w14:paraId="3B64EB85" w14:textId="77777777" w:rsidR="00C37194" w:rsidRPr="00B45531" w:rsidRDefault="00C37194" w:rsidP="00501163">
            <w:pPr>
              <w:contextualSpacing/>
              <w:rPr>
                <w:sz w:val="22"/>
                <w:szCs w:val="22"/>
              </w:rPr>
            </w:pPr>
            <w:r w:rsidRPr="00B45531">
              <w:rPr>
                <w:sz w:val="22"/>
                <w:szCs w:val="22"/>
              </w:rPr>
              <w:t>Rabbit fever (</w:t>
            </w:r>
            <w:proofErr w:type="spellStart"/>
            <w:r w:rsidRPr="00B45531">
              <w:rPr>
                <w:sz w:val="22"/>
                <w:szCs w:val="22"/>
              </w:rPr>
              <w:t>Tularemia</w:t>
            </w:r>
            <w:proofErr w:type="spellEnd"/>
            <w:r w:rsidRPr="00B45531">
              <w:rPr>
                <w:sz w:val="22"/>
                <w:szCs w:val="22"/>
              </w:rPr>
              <w:t>)</w:t>
            </w:r>
          </w:p>
        </w:tc>
        <w:tc>
          <w:tcPr>
            <w:tcW w:w="1317" w:type="dxa"/>
          </w:tcPr>
          <w:p w14:paraId="29AC2057" w14:textId="77777777" w:rsidR="00C37194" w:rsidRPr="00B45531" w:rsidRDefault="00C37194" w:rsidP="00501163">
            <w:pPr>
              <w:contextualSpacing/>
              <w:rPr>
                <w:sz w:val="22"/>
                <w:szCs w:val="22"/>
              </w:rPr>
            </w:pPr>
            <w:r w:rsidRPr="00B45531">
              <w:rPr>
                <w:sz w:val="22"/>
                <w:szCs w:val="22"/>
              </w:rPr>
              <w:t xml:space="preserve">Bacteria </w:t>
            </w:r>
          </w:p>
        </w:tc>
        <w:tc>
          <w:tcPr>
            <w:tcW w:w="2516" w:type="dxa"/>
          </w:tcPr>
          <w:p w14:paraId="4B6166F9" w14:textId="094CB302" w:rsidR="00C37194" w:rsidRPr="00B45531" w:rsidRDefault="00C37194" w:rsidP="00501163">
            <w:pPr>
              <w:contextualSpacing/>
              <w:rPr>
                <w:sz w:val="22"/>
                <w:szCs w:val="22"/>
              </w:rPr>
            </w:pPr>
            <w:r w:rsidRPr="009E6578">
              <w:rPr>
                <w:sz w:val="22"/>
                <w:szCs w:val="22"/>
              </w:rPr>
              <w:t xml:space="preserve">Petersen </w:t>
            </w:r>
            <w:r w:rsidR="003E7B19" w:rsidRPr="009E6578">
              <w:rPr>
                <w:sz w:val="22"/>
                <w:szCs w:val="22"/>
              </w:rPr>
              <w:t>and others,</w:t>
            </w:r>
            <w:r w:rsidRPr="009E6578">
              <w:rPr>
                <w:sz w:val="22"/>
                <w:szCs w:val="22"/>
              </w:rPr>
              <w:t xml:space="preserve"> 200</w:t>
            </w:r>
            <w:r w:rsidR="00DE773A" w:rsidRPr="009E6578">
              <w:rPr>
                <w:sz w:val="22"/>
                <w:szCs w:val="22"/>
              </w:rPr>
              <w:t>9</w:t>
            </w:r>
          </w:p>
        </w:tc>
      </w:tr>
      <w:tr w:rsidR="00C37194" w:rsidRPr="004B6EB5" w14:paraId="36DC4C5A" w14:textId="77777777" w:rsidTr="00501163">
        <w:tc>
          <w:tcPr>
            <w:tcW w:w="1064" w:type="dxa"/>
            <w:vMerge/>
          </w:tcPr>
          <w:p w14:paraId="1EF8BCEF" w14:textId="77777777" w:rsidR="00C37194" w:rsidRPr="00B45531" w:rsidRDefault="00C37194">
            <w:pPr>
              <w:rPr>
                <w:sz w:val="22"/>
                <w:szCs w:val="22"/>
              </w:rPr>
            </w:pPr>
          </w:p>
        </w:tc>
        <w:tc>
          <w:tcPr>
            <w:tcW w:w="1992" w:type="dxa"/>
            <w:vAlign w:val="center"/>
          </w:tcPr>
          <w:p w14:paraId="4774CFDA" w14:textId="691C0F5B" w:rsidR="00C37194" w:rsidRPr="00B45531" w:rsidRDefault="00C37194" w:rsidP="007D7B67">
            <w:pPr>
              <w:contextualSpacing/>
              <w:rPr>
                <w:i/>
                <w:iCs/>
                <w:sz w:val="22"/>
                <w:szCs w:val="22"/>
              </w:rPr>
            </w:pPr>
            <w:r w:rsidRPr="00B45531">
              <w:rPr>
                <w:i/>
                <w:iCs/>
                <w:sz w:val="22"/>
                <w:szCs w:val="22"/>
              </w:rPr>
              <w:t xml:space="preserve">Ae. </w:t>
            </w:r>
            <w:r w:rsidR="00030FF2">
              <w:rPr>
                <w:i/>
                <w:iCs/>
                <w:sz w:val="22"/>
                <w:szCs w:val="22"/>
              </w:rPr>
              <w:t>c</w:t>
            </w:r>
            <w:r w:rsidRPr="00B45531">
              <w:rPr>
                <w:i/>
                <w:iCs/>
                <w:sz w:val="22"/>
                <w:szCs w:val="22"/>
              </w:rPr>
              <w:t>ommunis</w:t>
            </w:r>
          </w:p>
        </w:tc>
        <w:tc>
          <w:tcPr>
            <w:tcW w:w="2127" w:type="dxa"/>
          </w:tcPr>
          <w:p w14:paraId="6756AC6B" w14:textId="77777777" w:rsidR="00C37194" w:rsidRPr="00B45531" w:rsidRDefault="00C37194" w:rsidP="00501163">
            <w:pPr>
              <w:contextualSpacing/>
              <w:rPr>
                <w:sz w:val="22"/>
                <w:szCs w:val="22"/>
              </w:rPr>
            </w:pPr>
            <w:proofErr w:type="spellStart"/>
            <w:r w:rsidRPr="00B45531">
              <w:rPr>
                <w:sz w:val="22"/>
                <w:szCs w:val="22"/>
              </w:rPr>
              <w:t>Sindbis</w:t>
            </w:r>
            <w:proofErr w:type="spellEnd"/>
            <w:r w:rsidRPr="00B45531">
              <w:rPr>
                <w:sz w:val="22"/>
                <w:szCs w:val="22"/>
              </w:rPr>
              <w:t xml:space="preserve"> fever</w:t>
            </w:r>
          </w:p>
        </w:tc>
        <w:tc>
          <w:tcPr>
            <w:tcW w:w="1317" w:type="dxa"/>
          </w:tcPr>
          <w:p w14:paraId="032176FE"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35DE93E3" w14:textId="170962B7" w:rsidR="00C37194" w:rsidRPr="00B45531" w:rsidRDefault="00C37194" w:rsidP="00501163">
            <w:pPr>
              <w:contextualSpacing/>
              <w:rPr>
                <w:sz w:val="22"/>
                <w:szCs w:val="22"/>
              </w:rPr>
            </w:pPr>
            <w:proofErr w:type="spellStart"/>
            <w:r w:rsidRPr="009E6578">
              <w:rPr>
                <w:sz w:val="22"/>
                <w:szCs w:val="22"/>
              </w:rPr>
              <w:t>Wilkman</w:t>
            </w:r>
            <w:proofErr w:type="spellEnd"/>
            <w:r w:rsidRPr="009E6578">
              <w:rPr>
                <w:sz w:val="22"/>
                <w:szCs w:val="22"/>
              </w:rPr>
              <w:t xml:space="preserve"> </w:t>
            </w:r>
            <w:r w:rsidR="003E7B19" w:rsidRPr="009E6578">
              <w:rPr>
                <w:sz w:val="22"/>
                <w:szCs w:val="22"/>
              </w:rPr>
              <w:t>and others,</w:t>
            </w:r>
            <w:r w:rsidRPr="009E6578">
              <w:rPr>
                <w:sz w:val="22"/>
                <w:szCs w:val="22"/>
              </w:rPr>
              <w:t xml:space="preserve"> 2023</w:t>
            </w:r>
          </w:p>
        </w:tc>
      </w:tr>
      <w:tr w:rsidR="00C37194" w:rsidRPr="004B6EB5" w14:paraId="2D6BF7A9" w14:textId="77777777" w:rsidTr="00501163">
        <w:tc>
          <w:tcPr>
            <w:tcW w:w="1064" w:type="dxa"/>
            <w:vMerge/>
          </w:tcPr>
          <w:p w14:paraId="3C69DDDB" w14:textId="77777777" w:rsidR="00C37194" w:rsidRPr="00B45531" w:rsidRDefault="00C37194">
            <w:pPr>
              <w:rPr>
                <w:sz w:val="22"/>
                <w:szCs w:val="22"/>
              </w:rPr>
            </w:pPr>
          </w:p>
        </w:tc>
        <w:tc>
          <w:tcPr>
            <w:tcW w:w="1992" w:type="dxa"/>
            <w:vAlign w:val="center"/>
          </w:tcPr>
          <w:p w14:paraId="4470E723" w14:textId="5647A310" w:rsidR="00C37194" w:rsidRPr="00B45531" w:rsidRDefault="00C37194" w:rsidP="007D7B67">
            <w:pPr>
              <w:contextualSpacing/>
              <w:rPr>
                <w:i/>
                <w:iCs/>
                <w:sz w:val="22"/>
                <w:szCs w:val="22"/>
              </w:rPr>
            </w:pPr>
            <w:r w:rsidRPr="00B45531">
              <w:rPr>
                <w:i/>
                <w:iCs/>
                <w:sz w:val="22"/>
                <w:szCs w:val="22"/>
              </w:rPr>
              <w:t xml:space="preserve">Ae. </w:t>
            </w:r>
            <w:r w:rsidR="00030FF2">
              <w:rPr>
                <w:i/>
                <w:iCs/>
                <w:sz w:val="22"/>
                <w:szCs w:val="22"/>
              </w:rPr>
              <w:t>d</w:t>
            </w:r>
            <w:r w:rsidRPr="00B45531">
              <w:rPr>
                <w:i/>
                <w:iCs/>
                <w:sz w:val="22"/>
                <w:szCs w:val="22"/>
              </w:rPr>
              <w:t>orsalis</w:t>
            </w:r>
          </w:p>
        </w:tc>
        <w:tc>
          <w:tcPr>
            <w:tcW w:w="2127" w:type="dxa"/>
          </w:tcPr>
          <w:p w14:paraId="3A5FF59E" w14:textId="77777777" w:rsidR="00C37194" w:rsidRPr="00B45531" w:rsidRDefault="00C37194" w:rsidP="00501163">
            <w:pPr>
              <w:contextualSpacing/>
              <w:rPr>
                <w:sz w:val="22"/>
                <w:szCs w:val="22"/>
              </w:rPr>
            </w:pPr>
            <w:r w:rsidRPr="00B45531">
              <w:rPr>
                <w:sz w:val="22"/>
                <w:szCs w:val="22"/>
              </w:rPr>
              <w:t xml:space="preserve">California encephalitis </w:t>
            </w:r>
          </w:p>
        </w:tc>
        <w:tc>
          <w:tcPr>
            <w:tcW w:w="1317" w:type="dxa"/>
          </w:tcPr>
          <w:p w14:paraId="0E5E8851"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5BA03DB4" w14:textId="7828EFFD" w:rsidR="00C37194" w:rsidRPr="00B45531" w:rsidRDefault="00C37194" w:rsidP="00501163">
            <w:pPr>
              <w:contextualSpacing/>
              <w:rPr>
                <w:sz w:val="22"/>
                <w:szCs w:val="22"/>
              </w:rPr>
            </w:pPr>
            <w:r w:rsidRPr="009E6578">
              <w:rPr>
                <w:sz w:val="22"/>
                <w:szCs w:val="22"/>
              </w:rPr>
              <w:t xml:space="preserve">Foster </w:t>
            </w:r>
            <w:r w:rsidR="0029637D" w:rsidRPr="009E6578">
              <w:rPr>
                <w:sz w:val="22"/>
                <w:szCs w:val="22"/>
              </w:rPr>
              <w:t>and</w:t>
            </w:r>
            <w:r w:rsidRPr="009E6578">
              <w:rPr>
                <w:sz w:val="22"/>
                <w:szCs w:val="22"/>
              </w:rPr>
              <w:t xml:space="preserve"> Walker, 2019</w:t>
            </w:r>
          </w:p>
        </w:tc>
      </w:tr>
      <w:tr w:rsidR="00C37194" w:rsidRPr="004B6EB5" w14:paraId="13099054" w14:textId="77777777" w:rsidTr="00501163">
        <w:tc>
          <w:tcPr>
            <w:tcW w:w="1064" w:type="dxa"/>
            <w:vMerge/>
          </w:tcPr>
          <w:p w14:paraId="2208DCFF" w14:textId="77777777" w:rsidR="00C37194" w:rsidRPr="00B45531" w:rsidRDefault="00C37194">
            <w:pPr>
              <w:rPr>
                <w:sz w:val="22"/>
                <w:szCs w:val="22"/>
              </w:rPr>
            </w:pPr>
          </w:p>
        </w:tc>
        <w:tc>
          <w:tcPr>
            <w:tcW w:w="1992" w:type="dxa"/>
            <w:vAlign w:val="center"/>
          </w:tcPr>
          <w:p w14:paraId="4912EADE" w14:textId="748B14B6"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e</w:t>
            </w:r>
            <w:r w:rsidRPr="00B45531">
              <w:rPr>
                <w:i/>
                <w:iCs/>
                <w:sz w:val="22"/>
                <w:szCs w:val="22"/>
              </w:rPr>
              <w:t>xcrucians</w:t>
            </w:r>
            <w:proofErr w:type="spellEnd"/>
          </w:p>
        </w:tc>
        <w:tc>
          <w:tcPr>
            <w:tcW w:w="2127" w:type="dxa"/>
          </w:tcPr>
          <w:p w14:paraId="75C92461" w14:textId="77777777" w:rsidR="00C37194" w:rsidRPr="00B45531" w:rsidRDefault="00C37194" w:rsidP="00501163">
            <w:pPr>
              <w:contextualSpacing/>
              <w:rPr>
                <w:sz w:val="22"/>
                <w:szCs w:val="22"/>
              </w:rPr>
            </w:pPr>
            <w:proofErr w:type="spellStart"/>
            <w:r w:rsidRPr="00B45531">
              <w:rPr>
                <w:sz w:val="22"/>
                <w:szCs w:val="22"/>
              </w:rPr>
              <w:t>Sindbis</w:t>
            </w:r>
            <w:proofErr w:type="spellEnd"/>
            <w:r w:rsidRPr="00B45531">
              <w:rPr>
                <w:sz w:val="22"/>
                <w:szCs w:val="22"/>
              </w:rPr>
              <w:t xml:space="preserve"> fever </w:t>
            </w:r>
          </w:p>
        </w:tc>
        <w:tc>
          <w:tcPr>
            <w:tcW w:w="1317" w:type="dxa"/>
          </w:tcPr>
          <w:p w14:paraId="4085A65B"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624BDA7B" w14:textId="5E1CB190" w:rsidR="00C37194" w:rsidRPr="00B45531" w:rsidRDefault="00C37194" w:rsidP="00501163">
            <w:pPr>
              <w:contextualSpacing/>
              <w:rPr>
                <w:sz w:val="22"/>
                <w:szCs w:val="22"/>
              </w:rPr>
            </w:pPr>
            <w:proofErr w:type="spellStart"/>
            <w:r w:rsidRPr="009E6578">
              <w:rPr>
                <w:sz w:val="22"/>
                <w:szCs w:val="22"/>
              </w:rPr>
              <w:t>Wilkman</w:t>
            </w:r>
            <w:proofErr w:type="spellEnd"/>
            <w:r w:rsidRPr="009E6578">
              <w:rPr>
                <w:sz w:val="22"/>
                <w:szCs w:val="22"/>
              </w:rPr>
              <w:t xml:space="preserve"> </w:t>
            </w:r>
            <w:r w:rsidR="003E7B19" w:rsidRPr="009E6578">
              <w:rPr>
                <w:sz w:val="22"/>
                <w:szCs w:val="22"/>
              </w:rPr>
              <w:t>and others,</w:t>
            </w:r>
            <w:r w:rsidRPr="009E6578">
              <w:rPr>
                <w:sz w:val="22"/>
                <w:szCs w:val="22"/>
              </w:rPr>
              <w:t xml:space="preserve"> 2023</w:t>
            </w:r>
          </w:p>
        </w:tc>
      </w:tr>
      <w:tr w:rsidR="00C37194" w:rsidRPr="004B6EB5" w14:paraId="13814C48" w14:textId="77777777" w:rsidTr="00501163">
        <w:tc>
          <w:tcPr>
            <w:tcW w:w="1064" w:type="dxa"/>
            <w:vMerge/>
          </w:tcPr>
          <w:p w14:paraId="70F2B2B7" w14:textId="77777777" w:rsidR="00C37194" w:rsidRPr="00B45531" w:rsidRDefault="00C37194">
            <w:pPr>
              <w:rPr>
                <w:sz w:val="22"/>
                <w:szCs w:val="22"/>
              </w:rPr>
            </w:pPr>
          </w:p>
        </w:tc>
        <w:tc>
          <w:tcPr>
            <w:tcW w:w="1992" w:type="dxa"/>
            <w:vAlign w:val="center"/>
          </w:tcPr>
          <w:p w14:paraId="29BF0C45" w14:textId="2C33D7FB"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f</w:t>
            </w:r>
            <w:r w:rsidRPr="00B45531">
              <w:rPr>
                <w:i/>
                <w:iCs/>
                <w:sz w:val="22"/>
                <w:szCs w:val="22"/>
              </w:rPr>
              <w:t>urcifer</w:t>
            </w:r>
            <w:proofErr w:type="spellEnd"/>
          </w:p>
        </w:tc>
        <w:tc>
          <w:tcPr>
            <w:tcW w:w="2127" w:type="dxa"/>
          </w:tcPr>
          <w:p w14:paraId="21467B39" w14:textId="77777777" w:rsidR="00C37194" w:rsidRPr="00B45531" w:rsidRDefault="00C37194" w:rsidP="00501163">
            <w:pPr>
              <w:contextualSpacing/>
              <w:rPr>
                <w:sz w:val="22"/>
                <w:szCs w:val="22"/>
              </w:rPr>
            </w:pPr>
            <w:r w:rsidRPr="00B45531">
              <w:rPr>
                <w:sz w:val="22"/>
                <w:szCs w:val="22"/>
              </w:rPr>
              <w:t xml:space="preserve">Dengue fever </w:t>
            </w:r>
          </w:p>
        </w:tc>
        <w:tc>
          <w:tcPr>
            <w:tcW w:w="1317" w:type="dxa"/>
          </w:tcPr>
          <w:p w14:paraId="27F2107A"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0C6ED8D6" w14:textId="16891F57" w:rsidR="00C37194" w:rsidRPr="00B45531" w:rsidRDefault="00C37194" w:rsidP="00501163">
            <w:pPr>
              <w:contextualSpacing/>
              <w:rPr>
                <w:sz w:val="22"/>
                <w:szCs w:val="22"/>
              </w:rPr>
            </w:pPr>
            <w:r w:rsidRPr="009E6578">
              <w:rPr>
                <w:sz w:val="22"/>
                <w:szCs w:val="22"/>
              </w:rPr>
              <w:t xml:space="preserve">Foster </w:t>
            </w:r>
            <w:r w:rsidR="0029637D" w:rsidRPr="009E6578">
              <w:rPr>
                <w:sz w:val="22"/>
                <w:szCs w:val="22"/>
              </w:rPr>
              <w:t>and</w:t>
            </w:r>
            <w:r w:rsidRPr="009E6578">
              <w:rPr>
                <w:sz w:val="22"/>
                <w:szCs w:val="22"/>
              </w:rPr>
              <w:t xml:space="preserve"> Walker, 2019</w:t>
            </w:r>
          </w:p>
        </w:tc>
      </w:tr>
      <w:tr w:rsidR="00C37194" w:rsidRPr="004B6EB5" w14:paraId="269261C3" w14:textId="77777777" w:rsidTr="00501163">
        <w:tc>
          <w:tcPr>
            <w:tcW w:w="1064" w:type="dxa"/>
            <w:vMerge/>
          </w:tcPr>
          <w:p w14:paraId="62582505" w14:textId="77777777" w:rsidR="00C37194" w:rsidRPr="00B45531" w:rsidRDefault="00C37194">
            <w:pPr>
              <w:rPr>
                <w:sz w:val="22"/>
                <w:szCs w:val="22"/>
              </w:rPr>
            </w:pPr>
          </w:p>
        </w:tc>
        <w:tc>
          <w:tcPr>
            <w:tcW w:w="1992" w:type="dxa"/>
            <w:vAlign w:val="center"/>
          </w:tcPr>
          <w:p w14:paraId="6A9119DD" w14:textId="77777777" w:rsidR="00C37194" w:rsidRPr="00B45531" w:rsidRDefault="00C37194" w:rsidP="007D7B67">
            <w:pPr>
              <w:contextualSpacing/>
              <w:rPr>
                <w:i/>
                <w:iCs/>
                <w:sz w:val="22"/>
                <w:szCs w:val="22"/>
              </w:rPr>
            </w:pPr>
            <w:proofErr w:type="spellStart"/>
            <w:proofErr w:type="gramStart"/>
            <w:r w:rsidRPr="00B45531">
              <w:rPr>
                <w:i/>
                <w:iCs/>
                <w:sz w:val="22"/>
                <w:szCs w:val="22"/>
              </w:rPr>
              <w:t>Ae.hensilli</w:t>
            </w:r>
            <w:proofErr w:type="spellEnd"/>
            <w:proofErr w:type="gramEnd"/>
          </w:p>
        </w:tc>
        <w:tc>
          <w:tcPr>
            <w:tcW w:w="2127" w:type="dxa"/>
          </w:tcPr>
          <w:p w14:paraId="5B9A2673" w14:textId="77777777" w:rsidR="00C37194" w:rsidRPr="00B45531" w:rsidRDefault="00C37194" w:rsidP="00501163">
            <w:pPr>
              <w:contextualSpacing/>
              <w:rPr>
                <w:sz w:val="22"/>
                <w:szCs w:val="22"/>
              </w:rPr>
            </w:pPr>
            <w:r w:rsidRPr="00B45531">
              <w:rPr>
                <w:sz w:val="22"/>
                <w:szCs w:val="22"/>
              </w:rPr>
              <w:t>Zika fever</w:t>
            </w:r>
          </w:p>
        </w:tc>
        <w:tc>
          <w:tcPr>
            <w:tcW w:w="1317" w:type="dxa"/>
          </w:tcPr>
          <w:p w14:paraId="43C1EA96" w14:textId="77777777" w:rsidR="00C37194" w:rsidRPr="00B45531" w:rsidRDefault="00C37194" w:rsidP="00501163">
            <w:pPr>
              <w:contextualSpacing/>
              <w:rPr>
                <w:sz w:val="22"/>
                <w:szCs w:val="22"/>
              </w:rPr>
            </w:pPr>
            <w:r w:rsidRPr="00B45531">
              <w:rPr>
                <w:sz w:val="22"/>
                <w:szCs w:val="22"/>
              </w:rPr>
              <w:t>Virus</w:t>
            </w:r>
          </w:p>
        </w:tc>
        <w:tc>
          <w:tcPr>
            <w:tcW w:w="2516" w:type="dxa"/>
          </w:tcPr>
          <w:p w14:paraId="01514A0C" w14:textId="0DD4CC2A" w:rsidR="00C37194" w:rsidRPr="009E6578" w:rsidRDefault="00C37194" w:rsidP="00501163">
            <w:pPr>
              <w:contextualSpacing/>
              <w:rPr>
                <w:sz w:val="22"/>
                <w:szCs w:val="22"/>
              </w:rPr>
            </w:pPr>
            <w:r w:rsidRPr="009E6578">
              <w:rPr>
                <w:sz w:val="22"/>
                <w:szCs w:val="22"/>
              </w:rPr>
              <w:t xml:space="preserve">Duffy </w:t>
            </w:r>
            <w:r w:rsidR="003E7B19" w:rsidRPr="009E6578">
              <w:rPr>
                <w:sz w:val="22"/>
                <w:szCs w:val="22"/>
              </w:rPr>
              <w:t>and others,</w:t>
            </w:r>
            <w:r w:rsidRPr="009E6578">
              <w:rPr>
                <w:sz w:val="22"/>
                <w:szCs w:val="22"/>
              </w:rPr>
              <w:t xml:space="preserve"> 2009</w:t>
            </w:r>
          </w:p>
        </w:tc>
      </w:tr>
      <w:tr w:rsidR="00C37194" w:rsidRPr="004B6EB5" w14:paraId="550D84CF" w14:textId="77777777" w:rsidTr="00501163">
        <w:tc>
          <w:tcPr>
            <w:tcW w:w="1064" w:type="dxa"/>
            <w:vMerge/>
          </w:tcPr>
          <w:p w14:paraId="58BD408B" w14:textId="77777777" w:rsidR="00C37194" w:rsidRPr="00B45531" w:rsidRDefault="00C37194">
            <w:pPr>
              <w:rPr>
                <w:sz w:val="22"/>
                <w:szCs w:val="22"/>
              </w:rPr>
            </w:pPr>
          </w:p>
        </w:tc>
        <w:tc>
          <w:tcPr>
            <w:tcW w:w="1992" w:type="dxa"/>
            <w:vAlign w:val="center"/>
          </w:tcPr>
          <w:p w14:paraId="6F61FD81" w14:textId="77777777" w:rsidR="00C37194" w:rsidRPr="00B45531" w:rsidRDefault="00C37194" w:rsidP="007D7B67">
            <w:pPr>
              <w:contextualSpacing/>
              <w:rPr>
                <w:i/>
                <w:iCs/>
                <w:sz w:val="22"/>
                <w:szCs w:val="22"/>
              </w:rPr>
            </w:pPr>
            <w:proofErr w:type="spellStart"/>
            <w:proofErr w:type="gramStart"/>
            <w:r w:rsidRPr="00B45531">
              <w:rPr>
                <w:i/>
                <w:iCs/>
                <w:sz w:val="22"/>
                <w:szCs w:val="22"/>
              </w:rPr>
              <w:t>Ae.japonicus</w:t>
            </w:r>
            <w:proofErr w:type="spellEnd"/>
            <w:proofErr w:type="gramEnd"/>
            <w:r w:rsidRPr="00B45531">
              <w:rPr>
                <w:i/>
                <w:iCs/>
                <w:sz w:val="22"/>
                <w:szCs w:val="22"/>
              </w:rPr>
              <w:t xml:space="preserve"> japonicus</w:t>
            </w:r>
          </w:p>
        </w:tc>
        <w:tc>
          <w:tcPr>
            <w:tcW w:w="2127" w:type="dxa"/>
          </w:tcPr>
          <w:p w14:paraId="1D4740B1" w14:textId="77777777" w:rsidR="00C37194" w:rsidRPr="00B45531" w:rsidRDefault="00C37194" w:rsidP="00501163">
            <w:pPr>
              <w:contextualSpacing/>
              <w:rPr>
                <w:sz w:val="22"/>
                <w:szCs w:val="22"/>
              </w:rPr>
            </w:pPr>
            <w:r w:rsidRPr="00B45531">
              <w:rPr>
                <w:sz w:val="22"/>
                <w:szCs w:val="22"/>
              </w:rPr>
              <w:t>Cache Valley fever**</w:t>
            </w:r>
          </w:p>
        </w:tc>
        <w:tc>
          <w:tcPr>
            <w:tcW w:w="1317" w:type="dxa"/>
          </w:tcPr>
          <w:p w14:paraId="51897F78" w14:textId="77777777" w:rsidR="00C37194" w:rsidRPr="00B45531" w:rsidRDefault="00C37194" w:rsidP="00501163">
            <w:pPr>
              <w:contextualSpacing/>
              <w:rPr>
                <w:sz w:val="22"/>
                <w:szCs w:val="22"/>
              </w:rPr>
            </w:pPr>
            <w:r w:rsidRPr="00B45531">
              <w:rPr>
                <w:sz w:val="22"/>
                <w:szCs w:val="22"/>
              </w:rPr>
              <w:t>Virus</w:t>
            </w:r>
          </w:p>
        </w:tc>
        <w:tc>
          <w:tcPr>
            <w:tcW w:w="2516" w:type="dxa"/>
          </w:tcPr>
          <w:p w14:paraId="22EC0F23" w14:textId="37A91B7C" w:rsidR="00C37194" w:rsidRPr="00B45531" w:rsidRDefault="00C37194" w:rsidP="00501163">
            <w:pPr>
              <w:contextualSpacing/>
              <w:rPr>
                <w:sz w:val="22"/>
                <w:szCs w:val="22"/>
              </w:rPr>
            </w:pPr>
            <w:r w:rsidRPr="009E6578">
              <w:rPr>
                <w:sz w:val="22"/>
                <w:szCs w:val="22"/>
              </w:rPr>
              <w:t xml:space="preserve">Waddell </w:t>
            </w:r>
            <w:r w:rsidR="003E7B19" w:rsidRPr="009E6578">
              <w:rPr>
                <w:sz w:val="22"/>
                <w:szCs w:val="22"/>
              </w:rPr>
              <w:t>and others,</w:t>
            </w:r>
            <w:r w:rsidRPr="009E6578">
              <w:rPr>
                <w:sz w:val="22"/>
                <w:szCs w:val="22"/>
              </w:rPr>
              <w:t xml:space="preserve"> 2019</w:t>
            </w:r>
          </w:p>
        </w:tc>
      </w:tr>
      <w:tr w:rsidR="00C37194" w:rsidRPr="004B6EB5" w14:paraId="1D7477A6" w14:textId="77777777" w:rsidTr="00501163">
        <w:tc>
          <w:tcPr>
            <w:tcW w:w="1064" w:type="dxa"/>
            <w:vMerge/>
          </w:tcPr>
          <w:p w14:paraId="02ACE3E7" w14:textId="77777777" w:rsidR="00C37194" w:rsidRPr="00B45531" w:rsidRDefault="00C37194">
            <w:pPr>
              <w:rPr>
                <w:sz w:val="22"/>
                <w:szCs w:val="22"/>
              </w:rPr>
            </w:pPr>
          </w:p>
        </w:tc>
        <w:tc>
          <w:tcPr>
            <w:tcW w:w="1992" w:type="dxa"/>
            <w:vMerge w:val="restart"/>
            <w:vAlign w:val="center"/>
          </w:tcPr>
          <w:p w14:paraId="3DAFBB35" w14:textId="5CB56AC6"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l</w:t>
            </w:r>
            <w:r w:rsidRPr="00B45531">
              <w:rPr>
                <w:i/>
                <w:iCs/>
                <w:sz w:val="22"/>
                <w:szCs w:val="22"/>
              </w:rPr>
              <w:t>uteocephalus</w:t>
            </w:r>
            <w:proofErr w:type="spellEnd"/>
          </w:p>
        </w:tc>
        <w:tc>
          <w:tcPr>
            <w:tcW w:w="2127" w:type="dxa"/>
          </w:tcPr>
          <w:p w14:paraId="19ADB321" w14:textId="77777777" w:rsidR="00C37194" w:rsidRPr="00B45531" w:rsidRDefault="00C37194" w:rsidP="00501163">
            <w:pPr>
              <w:contextualSpacing/>
              <w:rPr>
                <w:sz w:val="22"/>
                <w:szCs w:val="22"/>
              </w:rPr>
            </w:pPr>
            <w:r w:rsidRPr="00B45531">
              <w:rPr>
                <w:sz w:val="22"/>
                <w:szCs w:val="22"/>
              </w:rPr>
              <w:t>Dengue fever</w:t>
            </w:r>
          </w:p>
        </w:tc>
        <w:tc>
          <w:tcPr>
            <w:tcW w:w="1317" w:type="dxa"/>
          </w:tcPr>
          <w:p w14:paraId="37BDBF6C" w14:textId="77777777" w:rsidR="00C37194" w:rsidRPr="00B45531" w:rsidRDefault="00C37194" w:rsidP="00501163">
            <w:pPr>
              <w:contextualSpacing/>
              <w:rPr>
                <w:sz w:val="22"/>
                <w:szCs w:val="22"/>
              </w:rPr>
            </w:pPr>
            <w:r w:rsidRPr="00B45531">
              <w:rPr>
                <w:sz w:val="22"/>
                <w:szCs w:val="22"/>
              </w:rPr>
              <w:t>Virus</w:t>
            </w:r>
          </w:p>
        </w:tc>
        <w:tc>
          <w:tcPr>
            <w:tcW w:w="2516" w:type="dxa"/>
            <w:vMerge w:val="restart"/>
          </w:tcPr>
          <w:p w14:paraId="05656230" w14:textId="18A00E6F" w:rsidR="00C37194" w:rsidRPr="00B45531" w:rsidRDefault="00C37194" w:rsidP="00501163">
            <w:pPr>
              <w:contextualSpacing/>
              <w:rPr>
                <w:sz w:val="22"/>
                <w:szCs w:val="22"/>
              </w:rPr>
            </w:pPr>
            <w:r w:rsidRPr="009E6578">
              <w:rPr>
                <w:sz w:val="22"/>
                <w:szCs w:val="22"/>
              </w:rPr>
              <w:t xml:space="preserve">Foster </w:t>
            </w:r>
            <w:r w:rsidR="0029637D" w:rsidRPr="009E6578">
              <w:rPr>
                <w:sz w:val="22"/>
                <w:szCs w:val="22"/>
              </w:rPr>
              <w:t>and</w:t>
            </w:r>
            <w:r w:rsidRPr="009E6578">
              <w:rPr>
                <w:sz w:val="22"/>
                <w:szCs w:val="22"/>
              </w:rPr>
              <w:t xml:space="preserve"> Walker, 2019</w:t>
            </w:r>
          </w:p>
        </w:tc>
      </w:tr>
      <w:tr w:rsidR="00C37194" w:rsidRPr="004B6EB5" w14:paraId="664D2801" w14:textId="77777777" w:rsidTr="00501163">
        <w:tc>
          <w:tcPr>
            <w:tcW w:w="1064" w:type="dxa"/>
            <w:vMerge/>
          </w:tcPr>
          <w:p w14:paraId="181ED53A" w14:textId="77777777" w:rsidR="00C37194" w:rsidRPr="00B45531" w:rsidRDefault="00C37194">
            <w:pPr>
              <w:rPr>
                <w:sz w:val="22"/>
                <w:szCs w:val="22"/>
              </w:rPr>
            </w:pPr>
          </w:p>
        </w:tc>
        <w:tc>
          <w:tcPr>
            <w:tcW w:w="1992" w:type="dxa"/>
            <w:vMerge/>
            <w:vAlign w:val="center"/>
          </w:tcPr>
          <w:p w14:paraId="71E6D534" w14:textId="77777777" w:rsidR="00C37194" w:rsidRPr="00B45531" w:rsidRDefault="00C37194">
            <w:pPr>
              <w:contextualSpacing/>
              <w:jc w:val="center"/>
              <w:rPr>
                <w:i/>
                <w:iCs/>
                <w:sz w:val="22"/>
                <w:szCs w:val="22"/>
              </w:rPr>
            </w:pPr>
          </w:p>
        </w:tc>
        <w:tc>
          <w:tcPr>
            <w:tcW w:w="2127" w:type="dxa"/>
          </w:tcPr>
          <w:p w14:paraId="3F8E2281" w14:textId="77777777" w:rsidR="00C37194" w:rsidRPr="00B45531" w:rsidRDefault="00C37194" w:rsidP="00501163">
            <w:pPr>
              <w:contextualSpacing/>
              <w:rPr>
                <w:sz w:val="22"/>
                <w:szCs w:val="22"/>
              </w:rPr>
            </w:pPr>
            <w:r w:rsidRPr="00B45531">
              <w:rPr>
                <w:sz w:val="22"/>
                <w:szCs w:val="22"/>
              </w:rPr>
              <w:t>Yellow fever</w:t>
            </w:r>
          </w:p>
        </w:tc>
        <w:tc>
          <w:tcPr>
            <w:tcW w:w="1317" w:type="dxa"/>
          </w:tcPr>
          <w:p w14:paraId="4ACE7705" w14:textId="77777777" w:rsidR="00C37194" w:rsidRPr="00B45531" w:rsidRDefault="00C37194" w:rsidP="00501163">
            <w:pPr>
              <w:contextualSpacing/>
              <w:rPr>
                <w:sz w:val="22"/>
                <w:szCs w:val="22"/>
              </w:rPr>
            </w:pPr>
            <w:r w:rsidRPr="00B45531">
              <w:rPr>
                <w:sz w:val="22"/>
                <w:szCs w:val="22"/>
              </w:rPr>
              <w:t>Virus</w:t>
            </w:r>
          </w:p>
        </w:tc>
        <w:tc>
          <w:tcPr>
            <w:tcW w:w="2516" w:type="dxa"/>
            <w:vMerge/>
          </w:tcPr>
          <w:p w14:paraId="6DB8D195" w14:textId="77777777" w:rsidR="00C37194" w:rsidRPr="00B45531" w:rsidRDefault="00C37194" w:rsidP="00501163">
            <w:pPr>
              <w:contextualSpacing/>
              <w:rPr>
                <w:sz w:val="22"/>
                <w:szCs w:val="22"/>
              </w:rPr>
            </w:pPr>
          </w:p>
        </w:tc>
      </w:tr>
      <w:tr w:rsidR="00C37194" w:rsidRPr="004B6EB5" w14:paraId="64C43777" w14:textId="77777777" w:rsidTr="00501163">
        <w:tc>
          <w:tcPr>
            <w:tcW w:w="1064" w:type="dxa"/>
            <w:vMerge/>
          </w:tcPr>
          <w:p w14:paraId="39049757" w14:textId="77777777" w:rsidR="00C37194" w:rsidRPr="00B45531" w:rsidRDefault="00C37194">
            <w:pPr>
              <w:rPr>
                <w:sz w:val="22"/>
                <w:szCs w:val="22"/>
              </w:rPr>
            </w:pPr>
          </w:p>
        </w:tc>
        <w:tc>
          <w:tcPr>
            <w:tcW w:w="1992" w:type="dxa"/>
            <w:vMerge/>
            <w:vAlign w:val="center"/>
          </w:tcPr>
          <w:p w14:paraId="002EAA71" w14:textId="77777777" w:rsidR="00C37194" w:rsidRPr="00B45531" w:rsidRDefault="00C37194">
            <w:pPr>
              <w:contextualSpacing/>
              <w:jc w:val="center"/>
              <w:rPr>
                <w:i/>
                <w:iCs/>
                <w:sz w:val="22"/>
                <w:szCs w:val="22"/>
              </w:rPr>
            </w:pPr>
          </w:p>
        </w:tc>
        <w:tc>
          <w:tcPr>
            <w:tcW w:w="2127" w:type="dxa"/>
          </w:tcPr>
          <w:p w14:paraId="194D6F9E" w14:textId="77777777" w:rsidR="00C37194" w:rsidRPr="00B45531" w:rsidRDefault="00C37194" w:rsidP="00501163">
            <w:pPr>
              <w:contextualSpacing/>
              <w:rPr>
                <w:sz w:val="22"/>
                <w:szCs w:val="22"/>
              </w:rPr>
            </w:pPr>
            <w:r w:rsidRPr="00B45531">
              <w:rPr>
                <w:sz w:val="22"/>
                <w:szCs w:val="22"/>
              </w:rPr>
              <w:t>Zika fever</w:t>
            </w:r>
          </w:p>
        </w:tc>
        <w:tc>
          <w:tcPr>
            <w:tcW w:w="1317" w:type="dxa"/>
          </w:tcPr>
          <w:p w14:paraId="4ABFCD93" w14:textId="77777777" w:rsidR="00C37194" w:rsidRPr="00B45531" w:rsidRDefault="00C37194" w:rsidP="00501163">
            <w:pPr>
              <w:contextualSpacing/>
              <w:rPr>
                <w:sz w:val="22"/>
                <w:szCs w:val="22"/>
              </w:rPr>
            </w:pPr>
            <w:r w:rsidRPr="00B45531">
              <w:rPr>
                <w:sz w:val="22"/>
                <w:szCs w:val="22"/>
              </w:rPr>
              <w:t>Virus</w:t>
            </w:r>
          </w:p>
        </w:tc>
        <w:tc>
          <w:tcPr>
            <w:tcW w:w="2516" w:type="dxa"/>
          </w:tcPr>
          <w:p w14:paraId="3B3E6C0E" w14:textId="6D902EAC" w:rsidR="00C37194" w:rsidRPr="00B45531" w:rsidRDefault="00C37194" w:rsidP="00501163">
            <w:pPr>
              <w:contextualSpacing/>
              <w:rPr>
                <w:sz w:val="22"/>
                <w:szCs w:val="22"/>
              </w:rPr>
            </w:pPr>
            <w:proofErr w:type="spellStart"/>
            <w:r w:rsidRPr="009E6578">
              <w:rPr>
                <w:sz w:val="22"/>
                <w:szCs w:val="22"/>
              </w:rPr>
              <w:t>Epelbion</w:t>
            </w:r>
            <w:proofErr w:type="spellEnd"/>
            <w:r w:rsidRPr="009E6578">
              <w:rPr>
                <w:sz w:val="22"/>
                <w:szCs w:val="22"/>
              </w:rPr>
              <w:t xml:space="preserve"> </w:t>
            </w:r>
            <w:r w:rsidR="003E7B19" w:rsidRPr="009E6578">
              <w:rPr>
                <w:sz w:val="22"/>
                <w:szCs w:val="22"/>
              </w:rPr>
              <w:t>and others,</w:t>
            </w:r>
            <w:r w:rsidRPr="009E6578">
              <w:rPr>
                <w:sz w:val="22"/>
                <w:szCs w:val="22"/>
              </w:rPr>
              <w:t xml:space="preserve"> 2017</w:t>
            </w:r>
            <w:r w:rsidRPr="00B45531">
              <w:rPr>
                <w:sz w:val="22"/>
                <w:szCs w:val="22"/>
              </w:rPr>
              <w:t xml:space="preserve"> </w:t>
            </w:r>
          </w:p>
        </w:tc>
      </w:tr>
      <w:tr w:rsidR="00C37194" w:rsidRPr="004B6EB5" w14:paraId="757ABEFF" w14:textId="77777777" w:rsidTr="00501163">
        <w:tc>
          <w:tcPr>
            <w:tcW w:w="1064" w:type="dxa"/>
            <w:vMerge/>
          </w:tcPr>
          <w:p w14:paraId="5690BD06" w14:textId="77777777" w:rsidR="00C37194" w:rsidRPr="00B45531" w:rsidRDefault="00C37194">
            <w:pPr>
              <w:rPr>
                <w:sz w:val="22"/>
                <w:szCs w:val="22"/>
              </w:rPr>
            </w:pPr>
          </w:p>
        </w:tc>
        <w:tc>
          <w:tcPr>
            <w:tcW w:w="1992" w:type="dxa"/>
            <w:vAlign w:val="center"/>
          </w:tcPr>
          <w:p w14:paraId="09B0857F" w14:textId="1B5A27BB"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m</w:t>
            </w:r>
            <w:r w:rsidRPr="00B45531">
              <w:rPr>
                <w:i/>
                <w:iCs/>
                <w:sz w:val="22"/>
                <w:szCs w:val="22"/>
              </w:rPr>
              <w:t>elanimon</w:t>
            </w:r>
            <w:proofErr w:type="spellEnd"/>
          </w:p>
        </w:tc>
        <w:tc>
          <w:tcPr>
            <w:tcW w:w="2127" w:type="dxa"/>
          </w:tcPr>
          <w:p w14:paraId="53FE0558" w14:textId="77777777" w:rsidR="00C37194" w:rsidRPr="00B45531" w:rsidRDefault="00C37194" w:rsidP="00501163">
            <w:pPr>
              <w:contextualSpacing/>
              <w:rPr>
                <w:sz w:val="22"/>
                <w:szCs w:val="22"/>
              </w:rPr>
            </w:pPr>
            <w:r w:rsidRPr="00B45531">
              <w:rPr>
                <w:sz w:val="22"/>
                <w:szCs w:val="22"/>
              </w:rPr>
              <w:t xml:space="preserve">California encephalitis virus </w:t>
            </w:r>
          </w:p>
        </w:tc>
        <w:tc>
          <w:tcPr>
            <w:tcW w:w="1317" w:type="dxa"/>
          </w:tcPr>
          <w:p w14:paraId="531FE140" w14:textId="77777777" w:rsidR="00C37194" w:rsidRPr="00B45531" w:rsidRDefault="00C37194" w:rsidP="00501163">
            <w:pPr>
              <w:contextualSpacing/>
              <w:rPr>
                <w:sz w:val="22"/>
                <w:szCs w:val="22"/>
              </w:rPr>
            </w:pPr>
            <w:r w:rsidRPr="00B45531">
              <w:rPr>
                <w:sz w:val="22"/>
                <w:szCs w:val="22"/>
              </w:rPr>
              <w:t>Virus</w:t>
            </w:r>
          </w:p>
        </w:tc>
        <w:tc>
          <w:tcPr>
            <w:tcW w:w="2516" w:type="dxa"/>
          </w:tcPr>
          <w:p w14:paraId="09113DC1" w14:textId="3367F390" w:rsidR="00C37194" w:rsidRPr="009E6578" w:rsidRDefault="00C37194" w:rsidP="00501163">
            <w:pPr>
              <w:contextualSpacing/>
              <w:rPr>
                <w:sz w:val="22"/>
                <w:szCs w:val="22"/>
              </w:rPr>
            </w:pPr>
            <w:r w:rsidRPr="009E6578">
              <w:rPr>
                <w:sz w:val="22"/>
                <w:szCs w:val="22"/>
              </w:rPr>
              <w:t xml:space="preserve">Foster </w:t>
            </w:r>
            <w:r w:rsidR="0029637D" w:rsidRPr="009E6578">
              <w:rPr>
                <w:sz w:val="22"/>
                <w:szCs w:val="22"/>
              </w:rPr>
              <w:t>and</w:t>
            </w:r>
            <w:r w:rsidRPr="009E6578">
              <w:rPr>
                <w:sz w:val="22"/>
                <w:szCs w:val="22"/>
              </w:rPr>
              <w:t xml:space="preserve"> Walker, 2019</w:t>
            </w:r>
          </w:p>
        </w:tc>
      </w:tr>
      <w:tr w:rsidR="00C37194" w:rsidRPr="004B6EB5" w14:paraId="1459D81E" w14:textId="77777777" w:rsidTr="00501163">
        <w:tc>
          <w:tcPr>
            <w:tcW w:w="1064" w:type="dxa"/>
            <w:vMerge/>
          </w:tcPr>
          <w:p w14:paraId="00FE2B16" w14:textId="77777777" w:rsidR="00C37194" w:rsidRPr="00B45531" w:rsidRDefault="00C37194">
            <w:pPr>
              <w:rPr>
                <w:sz w:val="22"/>
                <w:szCs w:val="22"/>
              </w:rPr>
            </w:pPr>
          </w:p>
        </w:tc>
        <w:tc>
          <w:tcPr>
            <w:tcW w:w="1992" w:type="dxa"/>
            <w:vAlign w:val="center"/>
          </w:tcPr>
          <w:p w14:paraId="31C79494" w14:textId="25C08404"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n</w:t>
            </w:r>
            <w:r w:rsidRPr="00B45531">
              <w:rPr>
                <w:i/>
                <w:iCs/>
                <w:sz w:val="22"/>
                <w:szCs w:val="22"/>
              </w:rPr>
              <w:t>iveus</w:t>
            </w:r>
            <w:proofErr w:type="spellEnd"/>
          </w:p>
        </w:tc>
        <w:tc>
          <w:tcPr>
            <w:tcW w:w="2127" w:type="dxa"/>
          </w:tcPr>
          <w:p w14:paraId="509BC456" w14:textId="77777777" w:rsidR="00C37194" w:rsidRPr="00B45531" w:rsidRDefault="00C37194" w:rsidP="00501163">
            <w:pPr>
              <w:contextualSpacing/>
              <w:rPr>
                <w:sz w:val="22"/>
                <w:szCs w:val="22"/>
              </w:rPr>
            </w:pPr>
            <w:r w:rsidRPr="00B45531">
              <w:rPr>
                <w:sz w:val="22"/>
                <w:szCs w:val="22"/>
              </w:rPr>
              <w:t xml:space="preserve">Lymphatic filariases </w:t>
            </w:r>
          </w:p>
        </w:tc>
        <w:tc>
          <w:tcPr>
            <w:tcW w:w="1317" w:type="dxa"/>
          </w:tcPr>
          <w:p w14:paraId="02C80308" w14:textId="77777777" w:rsidR="00C37194" w:rsidRPr="00B45531" w:rsidRDefault="00C37194" w:rsidP="00501163">
            <w:pPr>
              <w:contextualSpacing/>
              <w:rPr>
                <w:sz w:val="22"/>
                <w:szCs w:val="22"/>
              </w:rPr>
            </w:pPr>
            <w:r w:rsidRPr="00B45531">
              <w:rPr>
                <w:sz w:val="22"/>
                <w:szCs w:val="22"/>
              </w:rPr>
              <w:t xml:space="preserve">Nematode </w:t>
            </w:r>
          </w:p>
        </w:tc>
        <w:tc>
          <w:tcPr>
            <w:tcW w:w="2516" w:type="dxa"/>
          </w:tcPr>
          <w:p w14:paraId="4E28F55D" w14:textId="353BB367" w:rsidR="00C37194" w:rsidRPr="009E6578" w:rsidRDefault="00C37194" w:rsidP="00501163">
            <w:pPr>
              <w:contextualSpacing/>
              <w:rPr>
                <w:sz w:val="22"/>
                <w:szCs w:val="22"/>
              </w:rPr>
            </w:pPr>
            <w:r w:rsidRPr="009E6578">
              <w:rPr>
                <w:sz w:val="22"/>
                <w:szCs w:val="22"/>
              </w:rPr>
              <w:t xml:space="preserve">Foster </w:t>
            </w:r>
            <w:r w:rsidR="0029637D" w:rsidRPr="009E6578">
              <w:rPr>
                <w:sz w:val="22"/>
                <w:szCs w:val="22"/>
              </w:rPr>
              <w:t>and</w:t>
            </w:r>
            <w:r w:rsidRPr="009E6578">
              <w:rPr>
                <w:sz w:val="22"/>
                <w:szCs w:val="22"/>
              </w:rPr>
              <w:t xml:space="preserve"> Walker, 2019 </w:t>
            </w:r>
          </w:p>
        </w:tc>
      </w:tr>
      <w:tr w:rsidR="00C37194" w:rsidRPr="004B6EB5" w14:paraId="2DDC73B7" w14:textId="77777777" w:rsidTr="00501163">
        <w:tc>
          <w:tcPr>
            <w:tcW w:w="1064" w:type="dxa"/>
            <w:vMerge/>
          </w:tcPr>
          <w:p w14:paraId="55C4AD85" w14:textId="77777777" w:rsidR="00C37194" w:rsidRPr="00B45531" w:rsidRDefault="00C37194">
            <w:pPr>
              <w:rPr>
                <w:sz w:val="22"/>
                <w:szCs w:val="22"/>
              </w:rPr>
            </w:pPr>
          </w:p>
        </w:tc>
        <w:tc>
          <w:tcPr>
            <w:tcW w:w="1992" w:type="dxa"/>
            <w:vAlign w:val="center"/>
          </w:tcPr>
          <w:p w14:paraId="7541B11D" w14:textId="2E9A4613"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o</w:t>
            </w:r>
            <w:r w:rsidRPr="00B45531">
              <w:rPr>
                <w:i/>
                <w:iCs/>
                <w:sz w:val="22"/>
                <w:szCs w:val="22"/>
              </w:rPr>
              <w:t>pok</w:t>
            </w:r>
            <w:proofErr w:type="spellEnd"/>
          </w:p>
        </w:tc>
        <w:tc>
          <w:tcPr>
            <w:tcW w:w="2127" w:type="dxa"/>
          </w:tcPr>
          <w:p w14:paraId="743491A7" w14:textId="77777777" w:rsidR="00C37194" w:rsidRPr="00B45531" w:rsidRDefault="00C37194" w:rsidP="00501163">
            <w:pPr>
              <w:contextualSpacing/>
              <w:rPr>
                <w:sz w:val="22"/>
                <w:szCs w:val="22"/>
              </w:rPr>
            </w:pPr>
            <w:r w:rsidRPr="00B45531">
              <w:rPr>
                <w:sz w:val="22"/>
                <w:szCs w:val="22"/>
              </w:rPr>
              <w:t>Dengue fever</w:t>
            </w:r>
          </w:p>
        </w:tc>
        <w:tc>
          <w:tcPr>
            <w:tcW w:w="1317" w:type="dxa"/>
          </w:tcPr>
          <w:p w14:paraId="1FC4B812"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58D63C84" w14:textId="5EC1EDAA" w:rsidR="00C37194" w:rsidRPr="009E6578" w:rsidRDefault="00C37194" w:rsidP="00501163">
            <w:pPr>
              <w:contextualSpacing/>
              <w:rPr>
                <w:sz w:val="22"/>
                <w:szCs w:val="22"/>
              </w:rPr>
            </w:pPr>
            <w:r w:rsidRPr="009E6578">
              <w:rPr>
                <w:sz w:val="22"/>
                <w:szCs w:val="22"/>
              </w:rPr>
              <w:t xml:space="preserve">Foster </w:t>
            </w:r>
            <w:r w:rsidR="0029637D" w:rsidRPr="009E6578">
              <w:rPr>
                <w:sz w:val="22"/>
                <w:szCs w:val="22"/>
              </w:rPr>
              <w:t>and</w:t>
            </w:r>
            <w:r w:rsidRPr="009E6578">
              <w:rPr>
                <w:sz w:val="22"/>
                <w:szCs w:val="22"/>
              </w:rPr>
              <w:t xml:space="preserve"> Walker, 2019</w:t>
            </w:r>
          </w:p>
        </w:tc>
      </w:tr>
      <w:tr w:rsidR="00C37194" w:rsidRPr="004B6EB5" w14:paraId="77B6471B" w14:textId="77777777" w:rsidTr="00501163">
        <w:tc>
          <w:tcPr>
            <w:tcW w:w="1064" w:type="dxa"/>
            <w:vMerge/>
          </w:tcPr>
          <w:p w14:paraId="7D4FEC33" w14:textId="77777777" w:rsidR="00C37194" w:rsidRPr="00B45531" w:rsidRDefault="00C37194">
            <w:pPr>
              <w:rPr>
                <w:sz w:val="22"/>
                <w:szCs w:val="22"/>
              </w:rPr>
            </w:pPr>
          </w:p>
        </w:tc>
        <w:tc>
          <w:tcPr>
            <w:tcW w:w="1992" w:type="dxa"/>
            <w:vMerge w:val="restart"/>
            <w:vAlign w:val="center"/>
          </w:tcPr>
          <w:p w14:paraId="7E254D9F" w14:textId="7B966500"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p</w:t>
            </w:r>
            <w:r w:rsidRPr="00B45531">
              <w:rPr>
                <w:i/>
                <w:iCs/>
                <w:sz w:val="22"/>
                <w:szCs w:val="22"/>
              </w:rPr>
              <w:t>olynesiensis</w:t>
            </w:r>
            <w:proofErr w:type="spellEnd"/>
          </w:p>
        </w:tc>
        <w:tc>
          <w:tcPr>
            <w:tcW w:w="2127" w:type="dxa"/>
          </w:tcPr>
          <w:p w14:paraId="781FB895" w14:textId="77777777" w:rsidR="00C37194" w:rsidRPr="00B45531" w:rsidRDefault="00C37194" w:rsidP="00501163">
            <w:pPr>
              <w:contextualSpacing/>
              <w:rPr>
                <w:sz w:val="22"/>
                <w:szCs w:val="22"/>
              </w:rPr>
            </w:pPr>
            <w:proofErr w:type="spellStart"/>
            <w:r w:rsidRPr="00B45531">
              <w:rPr>
                <w:sz w:val="22"/>
                <w:szCs w:val="22"/>
              </w:rPr>
              <w:t>Chikungungya</w:t>
            </w:r>
            <w:proofErr w:type="spellEnd"/>
          </w:p>
        </w:tc>
        <w:tc>
          <w:tcPr>
            <w:tcW w:w="1317" w:type="dxa"/>
          </w:tcPr>
          <w:p w14:paraId="73F914A7" w14:textId="77777777" w:rsidR="00C37194" w:rsidRPr="00B45531" w:rsidRDefault="00C37194" w:rsidP="00501163">
            <w:pPr>
              <w:contextualSpacing/>
              <w:rPr>
                <w:sz w:val="22"/>
                <w:szCs w:val="22"/>
              </w:rPr>
            </w:pPr>
            <w:r w:rsidRPr="00B45531">
              <w:rPr>
                <w:sz w:val="22"/>
                <w:szCs w:val="22"/>
              </w:rPr>
              <w:t>Virus</w:t>
            </w:r>
          </w:p>
        </w:tc>
        <w:tc>
          <w:tcPr>
            <w:tcW w:w="2516" w:type="dxa"/>
          </w:tcPr>
          <w:p w14:paraId="359A337E" w14:textId="4F5B7964" w:rsidR="00C37194" w:rsidRPr="00B45531" w:rsidRDefault="00C37194" w:rsidP="00501163">
            <w:pPr>
              <w:contextualSpacing/>
              <w:rPr>
                <w:sz w:val="22"/>
                <w:szCs w:val="22"/>
              </w:rPr>
            </w:pPr>
            <w:r w:rsidRPr="009E6578">
              <w:rPr>
                <w:sz w:val="22"/>
                <w:szCs w:val="22"/>
              </w:rPr>
              <w:t xml:space="preserve">Richard </w:t>
            </w:r>
            <w:r w:rsidR="003E7B19" w:rsidRPr="009E6578">
              <w:rPr>
                <w:sz w:val="22"/>
                <w:szCs w:val="22"/>
              </w:rPr>
              <w:t>and others,</w:t>
            </w:r>
            <w:r w:rsidRPr="009E6578">
              <w:rPr>
                <w:sz w:val="22"/>
                <w:szCs w:val="22"/>
              </w:rPr>
              <w:t xml:space="preserve"> 2016</w:t>
            </w:r>
          </w:p>
        </w:tc>
      </w:tr>
      <w:tr w:rsidR="00C37194" w:rsidRPr="004B6EB5" w14:paraId="6CFBA583" w14:textId="77777777" w:rsidTr="00501163">
        <w:tc>
          <w:tcPr>
            <w:tcW w:w="1064" w:type="dxa"/>
            <w:vMerge/>
          </w:tcPr>
          <w:p w14:paraId="26D2CAF3" w14:textId="77777777" w:rsidR="00C37194" w:rsidRPr="00B45531" w:rsidRDefault="00C37194">
            <w:pPr>
              <w:rPr>
                <w:sz w:val="22"/>
                <w:szCs w:val="22"/>
              </w:rPr>
            </w:pPr>
          </w:p>
        </w:tc>
        <w:tc>
          <w:tcPr>
            <w:tcW w:w="1992" w:type="dxa"/>
            <w:vMerge/>
            <w:vAlign w:val="center"/>
          </w:tcPr>
          <w:p w14:paraId="7FC094BB" w14:textId="77777777" w:rsidR="00C37194" w:rsidRPr="00B45531" w:rsidRDefault="00C37194">
            <w:pPr>
              <w:contextualSpacing/>
              <w:jc w:val="center"/>
              <w:rPr>
                <w:i/>
                <w:iCs/>
                <w:sz w:val="22"/>
                <w:szCs w:val="22"/>
              </w:rPr>
            </w:pPr>
          </w:p>
        </w:tc>
        <w:tc>
          <w:tcPr>
            <w:tcW w:w="2127" w:type="dxa"/>
          </w:tcPr>
          <w:p w14:paraId="1A16BC94" w14:textId="77777777" w:rsidR="00C37194" w:rsidRPr="00B45531" w:rsidRDefault="00C37194" w:rsidP="00501163">
            <w:pPr>
              <w:contextualSpacing/>
              <w:rPr>
                <w:sz w:val="22"/>
                <w:szCs w:val="22"/>
              </w:rPr>
            </w:pPr>
            <w:r w:rsidRPr="00B45531">
              <w:rPr>
                <w:sz w:val="22"/>
                <w:szCs w:val="22"/>
              </w:rPr>
              <w:t xml:space="preserve">Dengue fever </w:t>
            </w:r>
          </w:p>
        </w:tc>
        <w:tc>
          <w:tcPr>
            <w:tcW w:w="1317" w:type="dxa"/>
          </w:tcPr>
          <w:p w14:paraId="754D29F1" w14:textId="77777777" w:rsidR="00C37194" w:rsidRPr="00B45531" w:rsidRDefault="00C37194" w:rsidP="00501163">
            <w:pPr>
              <w:contextualSpacing/>
              <w:rPr>
                <w:sz w:val="22"/>
                <w:szCs w:val="22"/>
              </w:rPr>
            </w:pPr>
            <w:r w:rsidRPr="00B45531">
              <w:rPr>
                <w:sz w:val="22"/>
                <w:szCs w:val="22"/>
              </w:rPr>
              <w:t xml:space="preserve">Virus </w:t>
            </w:r>
          </w:p>
        </w:tc>
        <w:tc>
          <w:tcPr>
            <w:tcW w:w="2516" w:type="dxa"/>
            <w:vMerge w:val="restart"/>
          </w:tcPr>
          <w:p w14:paraId="2C4EFAE3" w14:textId="2493B08F"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61C2385C" w14:textId="77777777" w:rsidTr="00501163">
        <w:tc>
          <w:tcPr>
            <w:tcW w:w="1064" w:type="dxa"/>
            <w:vMerge/>
          </w:tcPr>
          <w:p w14:paraId="0D0984A2" w14:textId="77777777" w:rsidR="00C37194" w:rsidRPr="00B45531" w:rsidRDefault="00C37194">
            <w:pPr>
              <w:rPr>
                <w:sz w:val="22"/>
                <w:szCs w:val="22"/>
              </w:rPr>
            </w:pPr>
          </w:p>
        </w:tc>
        <w:tc>
          <w:tcPr>
            <w:tcW w:w="1992" w:type="dxa"/>
            <w:vMerge/>
            <w:vAlign w:val="center"/>
          </w:tcPr>
          <w:p w14:paraId="41320003" w14:textId="77777777" w:rsidR="00C37194" w:rsidRPr="00B45531" w:rsidRDefault="00C37194">
            <w:pPr>
              <w:contextualSpacing/>
              <w:jc w:val="center"/>
              <w:rPr>
                <w:i/>
                <w:iCs/>
                <w:sz w:val="22"/>
                <w:szCs w:val="22"/>
              </w:rPr>
            </w:pPr>
          </w:p>
        </w:tc>
        <w:tc>
          <w:tcPr>
            <w:tcW w:w="2127" w:type="dxa"/>
          </w:tcPr>
          <w:p w14:paraId="36373FAB" w14:textId="77777777" w:rsidR="00C37194" w:rsidRPr="00B45531" w:rsidRDefault="00C37194" w:rsidP="00501163">
            <w:pPr>
              <w:contextualSpacing/>
              <w:rPr>
                <w:sz w:val="22"/>
                <w:szCs w:val="22"/>
              </w:rPr>
            </w:pPr>
            <w:r w:rsidRPr="00B45531">
              <w:rPr>
                <w:sz w:val="22"/>
                <w:szCs w:val="22"/>
              </w:rPr>
              <w:t>Lymphatic filariasis</w:t>
            </w:r>
          </w:p>
        </w:tc>
        <w:tc>
          <w:tcPr>
            <w:tcW w:w="1317" w:type="dxa"/>
          </w:tcPr>
          <w:p w14:paraId="00924F07" w14:textId="77777777" w:rsidR="00C37194" w:rsidRPr="00B45531" w:rsidRDefault="00C37194" w:rsidP="00501163">
            <w:pPr>
              <w:contextualSpacing/>
              <w:rPr>
                <w:sz w:val="22"/>
                <w:szCs w:val="22"/>
              </w:rPr>
            </w:pPr>
            <w:r w:rsidRPr="00B45531">
              <w:rPr>
                <w:sz w:val="22"/>
                <w:szCs w:val="22"/>
              </w:rPr>
              <w:t>Nematode</w:t>
            </w:r>
          </w:p>
        </w:tc>
        <w:tc>
          <w:tcPr>
            <w:tcW w:w="2516" w:type="dxa"/>
            <w:vMerge/>
          </w:tcPr>
          <w:p w14:paraId="07EE7319" w14:textId="77777777" w:rsidR="00C37194" w:rsidRPr="009E6578" w:rsidRDefault="00C37194" w:rsidP="00501163">
            <w:pPr>
              <w:contextualSpacing/>
              <w:rPr>
                <w:sz w:val="22"/>
                <w:szCs w:val="22"/>
              </w:rPr>
            </w:pPr>
          </w:p>
        </w:tc>
      </w:tr>
      <w:tr w:rsidR="00C37194" w:rsidRPr="004B6EB5" w14:paraId="1C061237" w14:textId="77777777" w:rsidTr="00501163">
        <w:trPr>
          <w:trHeight w:val="626"/>
        </w:trPr>
        <w:tc>
          <w:tcPr>
            <w:tcW w:w="1064" w:type="dxa"/>
            <w:vMerge/>
          </w:tcPr>
          <w:p w14:paraId="72F90230" w14:textId="77777777" w:rsidR="00C37194" w:rsidRPr="00B45531" w:rsidRDefault="00C37194">
            <w:pPr>
              <w:rPr>
                <w:sz w:val="22"/>
                <w:szCs w:val="22"/>
              </w:rPr>
            </w:pPr>
          </w:p>
        </w:tc>
        <w:tc>
          <w:tcPr>
            <w:tcW w:w="1992" w:type="dxa"/>
            <w:vMerge w:val="restart"/>
            <w:vAlign w:val="center"/>
          </w:tcPr>
          <w:p w14:paraId="55D5EF03" w14:textId="4AFAD80C"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p</w:t>
            </w:r>
            <w:r w:rsidRPr="00B45531">
              <w:rPr>
                <w:i/>
                <w:iCs/>
                <w:sz w:val="22"/>
                <w:szCs w:val="22"/>
              </w:rPr>
              <w:t>seudoscutellaris</w:t>
            </w:r>
            <w:proofErr w:type="spellEnd"/>
          </w:p>
          <w:p w14:paraId="0B3F1E6F" w14:textId="77777777" w:rsidR="00C37194" w:rsidRPr="00B45531" w:rsidRDefault="00C37194" w:rsidP="007D7B67">
            <w:pPr>
              <w:contextualSpacing/>
              <w:rPr>
                <w:i/>
                <w:iCs/>
                <w:sz w:val="22"/>
                <w:szCs w:val="22"/>
              </w:rPr>
            </w:pPr>
          </w:p>
          <w:p w14:paraId="0F7F41B9" w14:textId="77777777" w:rsidR="00C37194" w:rsidRPr="00B45531" w:rsidRDefault="00C37194" w:rsidP="007D7B67">
            <w:pPr>
              <w:contextualSpacing/>
              <w:rPr>
                <w:i/>
                <w:iCs/>
                <w:sz w:val="22"/>
                <w:szCs w:val="22"/>
              </w:rPr>
            </w:pPr>
          </w:p>
        </w:tc>
        <w:tc>
          <w:tcPr>
            <w:tcW w:w="2127" w:type="dxa"/>
          </w:tcPr>
          <w:p w14:paraId="20090EEE" w14:textId="77777777" w:rsidR="00C37194" w:rsidRPr="00B45531" w:rsidRDefault="00C37194" w:rsidP="00501163">
            <w:pPr>
              <w:contextualSpacing/>
              <w:rPr>
                <w:sz w:val="22"/>
                <w:szCs w:val="22"/>
              </w:rPr>
            </w:pPr>
            <w:r w:rsidRPr="00B45531">
              <w:rPr>
                <w:sz w:val="22"/>
                <w:szCs w:val="22"/>
              </w:rPr>
              <w:t>Dengue fever</w:t>
            </w:r>
          </w:p>
        </w:tc>
        <w:tc>
          <w:tcPr>
            <w:tcW w:w="1317" w:type="dxa"/>
          </w:tcPr>
          <w:p w14:paraId="168E8732"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74E54E9F" w14:textId="1D6A396E"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2239D01C" w14:textId="77777777" w:rsidTr="00501163">
        <w:tc>
          <w:tcPr>
            <w:tcW w:w="1064" w:type="dxa"/>
            <w:vMerge/>
          </w:tcPr>
          <w:p w14:paraId="2FF5838D" w14:textId="77777777" w:rsidR="00C37194" w:rsidRPr="00B45531" w:rsidRDefault="00C37194">
            <w:pPr>
              <w:rPr>
                <w:sz w:val="22"/>
                <w:szCs w:val="22"/>
              </w:rPr>
            </w:pPr>
          </w:p>
        </w:tc>
        <w:tc>
          <w:tcPr>
            <w:tcW w:w="1992" w:type="dxa"/>
            <w:vMerge/>
            <w:vAlign w:val="center"/>
          </w:tcPr>
          <w:p w14:paraId="78C47B35" w14:textId="77777777" w:rsidR="00C37194" w:rsidRPr="00B45531" w:rsidRDefault="00C37194" w:rsidP="007D7B67">
            <w:pPr>
              <w:contextualSpacing/>
              <w:rPr>
                <w:i/>
                <w:iCs/>
                <w:sz w:val="22"/>
                <w:szCs w:val="22"/>
              </w:rPr>
            </w:pPr>
          </w:p>
        </w:tc>
        <w:tc>
          <w:tcPr>
            <w:tcW w:w="2127" w:type="dxa"/>
          </w:tcPr>
          <w:p w14:paraId="24B788EE" w14:textId="77777777" w:rsidR="00C37194" w:rsidRPr="00B45531" w:rsidRDefault="00C37194" w:rsidP="00501163">
            <w:pPr>
              <w:contextualSpacing/>
              <w:rPr>
                <w:sz w:val="22"/>
                <w:szCs w:val="22"/>
              </w:rPr>
            </w:pPr>
            <w:proofErr w:type="spellStart"/>
            <w:r w:rsidRPr="00B45531">
              <w:rPr>
                <w:sz w:val="22"/>
                <w:szCs w:val="22"/>
              </w:rPr>
              <w:t>Lymphatis</w:t>
            </w:r>
            <w:proofErr w:type="spellEnd"/>
            <w:r w:rsidRPr="00B45531">
              <w:rPr>
                <w:sz w:val="22"/>
                <w:szCs w:val="22"/>
              </w:rPr>
              <w:t xml:space="preserve"> filariasis </w:t>
            </w:r>
          </w:p>
        </w:tc>
        <w:tc>
          <w:tcPr>
            <w:tcW w:w="1317" w:type="dxa"/>
          </w:tcPr>
          <w:p w14:paraId="300CE2DC" w14:textId="77777777" w:rsidR="00C37194" w:rsidRPr="00B45531" w:rsidRDefault="00C37194" w:rsidP="00501163">
            <w:pPr>
              <w:contextualSpacing/>
              <w:rPr>
                <w:sz w:val="22"/>
                <w:szCs w:val="22"/>
              </w:rPr>
            </w:pPr>
            <w:r w:rsidRPr="00B45531">
              <w:rPr>
                <w:sz w:val="22"/>
                <w:szCs w:val="22"/>
              </w:rPr>
              <w:t>Nematode</w:t>
            </w:r>
          </w:p>
        </w:tc>
        <w:tc>
          <w:tcPr>
            <w:tcW w:w="2516" w:type="dxa"/>
          </w:tcPr>
          <w:p w14:paraId="7967E7F0" w14:textId="55D146FD"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51FE814E" w14:textId="77777777" w:rsidTr="00501163">
        <w:tc>
          <w:tcPr>
            <w:tcW w:w="1064" w:type="dxa"/>
            <w:vMerge/>
          </w:tcPr>
          <w:p w14:paraId="1EF187A2" w14:textId="77777777" w:rsidR="00C37194" w:rsidRPr="00B45531" w:rsidRDefault="00C37194">
            <w:pPr>
              <w:rPr>
                <w:sz w:val="22"/>
                <w:szCs w:val="22"/>
              </w:rPr>
            </w:pPr>
          </w:p>
        </w:tc>
        <w:tc>
          <w:tcPr>
            <w:tcW w:w="1992" w:type="dxa"/>
            <w:vAlign w:val="center"/>
          </w:tcPr>
          <w:p w14:paraId="32ED13F0" w14:textId="57AF5715"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r</w:t>
            </w:r>
            <w:r w:rsidRPr="00B45531">
              <w:rPr>
                <w:i/>
                <w:iCs/>
                <w:sz w:val="22"/>
                <w:szCs w:val="22"/>
              </w:rPr>
              <w:t>otumae</w:t>
            </w:r>
            <w:proofErr w:type="spellEnd"/>
          </w:p>
        </w:tc>
        <w:tc>
          <w:tcPr>
            <w:tcW w:w="2127" w:type="dxa"/>
          </w:tcPr>
          <w:p w14:paraId="4C22BFF8" w14:textId="77777777" w:rsidR="00C37194" w:rsidRPr="00B45531" w:rsidRDefault="00C37194" w:rsidP="00501163">
            <w:pPr>
              <w:contextualSpacing/>
              <w:rPr>
                <w:sz w:val="22"/>
                <w:szCs w:val="22"/>
              </w:rPr>
            </w:pPr>
            <w:r w:rsidRPr="00B45531">
              <w:rPr>
                <w:sz w:val="22"/>
                <w:szCs w:val="22"/>
              </w:rPr>
              <w:t>Dengue fever</w:t>
            </w:r>
          </w:p>
        </w:tc>
        <w:tc>
          <w:tcPr>
            <w:tcW w:w="1317" w:type="dxa"/>
          </w:tcPr>
          <w:p w14:paraId="6C2B6881"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58550DC7" w14:textId="20C40D59"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48FDA283" w14:textId="77777777" w:rsidTr="00501163">
        <w:tc>
          <w:tcPr>
            <w:tcW w:w="1064" w:type="dxa"/>
            <w:vMerge/>
          </w:tcPr>
          <w:p w14:paraId="2BB36A66" w14:textId="77777777" w:rsidR="00C37194" w:rsidRPr="00B45531" w:rsidRDefault="00C37194">
            <w:pPr>
              <w:rPr>
                <w:sz w:val="22"/>
                <w:szCs w:val="22"/>
              </w:rPr>
            </w:pPr>
          </w:p>
        </w:tc>
        <w:tc>
          <w:tcPr>
            <w:tcW w:w="1992" w:type="dxa"/>
            <w:vAlign w:val="center"/>
          </w:tcPr>
          <w:p w14:paraId="1D059576" w14:textId="059794CB" w:rsidR="00C37194" w:rsidRPr="00B45531" w:rsidRDefault="00C37194" w:rsidP="007D7B67">
            <w:pPr>
              <w:contextualSpacing/>
              <w:rPr>
                <w:i/>
                <w:iCs/>
                <w:sz w:val="22"/>
                <w:szCs w:val="22"/>
              </w:rPr>
            </w:pPr>
            <w:r w:rsidRPr="00B45531">
              <w:rPr>
                <w:i/>
                <w:iCs/>
                <w:sz w:val="22"/>
                <w:szCs w:val="22"/>
              </w:rPr>
              <w:t xml:space="preserve">Ae. </w:t>
            </w:r>
            <w:r w:rsidR="00030FF2">
              <w:rPr>
                <w:i/>
                <w:iCs/>
                <w:sz w:val="22"/>
                <w:szCs w:val="22"/>
              </w:rPr>
              <w:t>s</w:t>
            </w:r>
            <w:r w:rsidRPr="00B45531">
              <w:rPr>
                <w:i/>
                <w:iCs/>
                <w:sz w:val="22"/>
                <w:szCs w:val="22"/>
              </w:rPr>
              <w:t>capularis</w:t>
            </w:r>
          </w:p>
        </w:tc>
        <w:tc>
          <w:tcPr>
            <w:tcW w:w="2127" w:type="dxa"/>
          </w:tcPr>
          <w:p w14:paraId="7A439180" w14:textId="77777777" w:rsidR="00C37194" w:rsidRPr="00B45531" w:rsidRDefault="00C37194" w:rsidP="00501163">
            <w:pPr>
              <w:contextualSpacing/>
              <w:rPr>
                <w:sz w:val="22"/>
                <w:szCs w:val="22"/>
              </w:rPr>
            </w:pPr>
            <w:r w:rsidRPr="00B45531">
              <w:rPr>
                <w:sz w:val="22"/>
                <w:szCs w:val="22"/>
              </w:rPr>
              <w:t>Cache Valley fever**</w:t>
            </w:r>
          </w:p>
        </w:tc>
        <w:tc>
          <w:tcPr>
            <w:tcW w:w="1317" w:type="dxa"/>
          </w:tcPr>
          <w:p w14:paraId="0D31E034" w14:textId="77777777" w:rsidR="00C37194" w:rsidRPr="00B45531" w:rsidRDefault="00C37194" w:rsidP="00501163">
            <w:pPr>
              <w:contextualSpacing/>
              <w:rPr>
                <w:sz w:val="22"/>
                <w:szCs w:val="22"/>
              </w:rPr>
            </w:pPr>
            <w:r w:rsidRPr="00B45531">
              <w:rPr>
                <w:sz w:val="22"/>
                <w:szCs w:val="22"/>
              </w:rPr>
              <w:t>Virus</w:t>
            </w:r>
          </w:p>
        </w:tc>
        <w:tc>
          <w:tcPr>
            <w:tcW w:w="2516" w:type="dxa"/>
          </w:tcPr>
          <w:p w14:paraId="4D72D261" w14:textId="034CC361" w:rsidR="00C37194" w:rsidRPr="009E6578" w:rsidRDefault="00C37194" w:rsidP="00501163">
            <w:pPr>
              <w:contextualSpacing/>
              <w:rPr>
                <w:sz w:val="22"/>
                <w:szCs w:val="22"/>
              </w:rPr>
            </w:pPr>
            <w:r w:rsidRPr="009E6578">
              <w:rPr>
                <w:sz w:val="22"/>
                <w:szCs w:val="22"/>
              </w:rPr>
              <w:t xml:space="preserve">Waddell </w:t>
            </w:r>
            <w:r w:rsidR="003E7B19" w:rsidRPr="009E6578">
              <w:rPr>
                <w:sz w:val="22"/>
                <w:szCs w:val="22"/>
              </w:rPr>
              <w:t>and others,</w:t>
            </w:r>
            <w:r w:rsidRPr="009E6578">
              <w:rPr>
                <w:sz w:val="22"/>
                <w:szCs w:val="22"/>
              </w:rPr>
              <w:t xml:space="preserve"> 2019</w:t>
            </w:r>
          </w:p>
        </w:tc>
      </w:tr>
      <w:tr w:rsidR="00C37194" w:rsidRPr="004B6EB5" w14:paraId="7A2F596B" w14:textId="77777777" w:rsidTr="00501163">
        <w:tc>
          <w:tcPr>
            <w:tcW w:w="1064" w:type="dxa"/>
            <w:vMerge/>
          </w:tcPr>
          <w:p w14:paraId="45505C2C" w14:textId="77777777" w:rsidR="00C37194" w:rsidRPr="00B45531" w:rsidRDefault="00C37194">
            <w:pPr>
              <w:rPr>
                <w:sz w:val="22"/>
                <w:szCs w:val="22"/>
              </w:rPr>
            </w:pPr>
          </w:p>
        </w:tc>
        <w:tc>
          <w:tcPr>
            <w:tcW w:w="1992" w:type="dxa"/>
            <w:vAlign w:val="center"/>
          </w:tcPr>
          <w:p w14:paraId="36ECE2FF" w14:textId="1A4A403E"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s</w:t>
            </w:r>
            <w:r w:rsidRPr="00B45531">
              <w:rPr>
                <w:i/>
                <w:iCs/>
                <w:sz w:val="22"/>
                <w:szCs w:val="22"/>
              </w:rPr>
              <w:t>cutellaris</w:t>
            </w:r>
            <w:proofErr w:type="spellEnd"/>
          </w:p>
        </w:tc>
        <w:tc>
          <w:tcPr>
            <w:tcW w:w="2127" w:type="dxa"/>
          </w:tcPr>
          <w:p w14:paraId="38CD1067" w14:textId="77777777" w:rsidR="00C37194" w:rsidRPr="00B45531" w:rsidRDefault="00C37194" w:rsidP="00501163">
            <w:pPr>
              <w:contextualSpacing/>
              <w:rPr>
                <w:sz w:val="22"/>
                <w:szCs w:val="22"/>
              </w:rPr>
            </w:pPr>
            <w:r w:rsidRPr="00B45531">
              <w:rPr>
                <w:sz w:val="22"/>
                <w:szCs w:val="22"/>
              </w:rPr>
              <w:t>Dengue fever</w:t>
            </w:r>
          </w:p>
        </w:tc>
        <w:tc>
          <w:tcPr>
            <w:tcW w:w="1317" w:type="dxa"/>
          </w:tcPr>
          <w:p w14:paraId="2DFB0900"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129506B7" w14:textId="2EAECCE6"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5C19642C" w14:textId="77777777" w:rsidTr="00501163">
        <w:tc>
          <w:tcPr>
            <w:tcW w:w="1064" w:type="dxa"/>
            <w:vMerge/>
          </w:tcPr>
          <w:p w14:paraId="05864DE5" w14:textId="77777777" w:rsidR="00C37194" w:rsidRPr="00B45531" w:rsidRDefault="00C37194">
            <w:pPr>
              <w:rPr>
                <w:sz w:val="22"/>
                <w:szCs w:val="22"/>
              </w:rPr>
            </w:pPr>
          </w:p>
        </w:tc>
        <w:tc>
          <w:tcPr>
            <w:tcW w:w="1992" w:type="dxa"/>
            <w:vAlign w:val="center"/>
          </w:tcPr>
          <w:p w14:paraId="0C66EC96" w14:textId="6BCE91B8"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s</w:t>
            </w:r>
            <w:r w:rsidRPr="00B45531">
              <w:rPr>
                <w:i/>
                <w:iCs/>
                <w:sz w:val="22"/>
                <w:szCs w:val="22"/>
              </w:rPr>
              <w:t>ollicitans</w:t>
            </w:r>
            <w:proofErr w:type="spellEnd"/>
          </w:p>
        </w:tc>
        <w:tc>
          <w:tcPr>
            <w:tcW w:w="2127" w:type="dxa"/>
          </w:tcPr>
          <w:p w14:paraId="638EF847" w14:textId="77777777" w:rsidR="00C37194" w:rsidRPr="00B45531" w:rsidRDefault="00C37194" w:rsidP="00501163">
            <w:pPr>
              <w:contextualSpacing/>
              <w:rPr>
                <w:sz w:val="22"/>
                <w:szCs w:val="22"/>
              </w:rPr>
            </w:pPr>
            <w:r w:rsidRPr="00B45531">
              <w:rPr>
                <w:sz w:val="22"/>
                <w:szCs w:val="22"/>
              </w:rPr>
              <w:t>Cache Valley fever**</w:t>
            </w:r>
          </w:p>
        </w:tc>
        <w:tc>
          <w:tcPr>
            <w:tcW w:w="1317" w:type="dxa"/>
          </w:tcPr>
          <w:p w14:paraId="7ED7A810" w14:textId="77777777" w:rsidR="00C37194" w:rsidRPr="00B45531" w:rsidRDefault="00C37194" w:rsidP="00501163">
            <w:pPr>
              <w:contextualSpacing/>
              <w:rPr>
                <w:sz w:val="22"/>
                <w:szCs w:val="22"/>
              </w:rPr>
            </w:pPr>
            <w:r w:rsidRPr="00B45531">
              <w:rPr>
                <w:sz w:val="22"/>
                <w:szCs w:val="22"/>
              </w:rPr>
              <w:t>Virus</w:t>
            </w:r>
          </w:p>
        </w:tc>
        <w:tc>
          <w:tcPr>
            <w:tcW w:w="2516" w:type="dxa"/>
          </w:tcPr>
          <w:p w14:paraId="325759B6" w14:textId="32F00FBE" w:rsidR="00C37194" w:rsidRPr="009E6578" w:rsidRDefault="00C37194" w:rsidP="00501163">
            <w:pPr>
              <w:contextualSpacing/>
              <w:rPr>
                <w:sz w:val="22"/>
                <w:szCs w:val="22"/>
              </w:rPr>
            </w:pPr>
            <w:r w:rsidRPr="009E6578">
              <w:rPr>
                <w:sz w:val="22"/>
                <w:szCs w:val="22"/>
              </w:rPr>
              <w:t xml:space="preserve">Waddell </w:t>
            </w:r>
            <w:r w:rsidR="003E7B19" w:rsidRPr="009E6578">
              <w:rPr>
                <w:sz w:val="22"/>
                <w:szCs w:val="22"/>
              </w:rPr>
              <w:t>and others,</w:t>
            </w:r>
            <w:r w:rsidRPr="009E6578">
              <w:rPr>
                <w:sz w:val="22"/>
                <w:szCs w:val="22"/>
              </w:rPr>
              <w:t xml:space="preserve"> 2019</w:t>
            </w:r>
          </w:p>
        </w:tc>
      </w:tr>
      <w:tr w:rsidR="00C37194" w:rsidRPr="004B6EB5" w14:paraId="26776193" w14:textId="77777777" w:rsidTr="00501163">
        <w:tc>
          <w:tcPr>
            <w:tcW w:w="1064" w:type="dxa"/>
            <w:vMerge/>
          </w:tcPr>
          <w:p w14:paraId="5524C9A5" w14:textId="77777777" w:rsidR="00C37194" w:rsidRPr="00B45531" w:rsidRDefault="00C37194">
            <w:pPr>
              <w:rPr>
                <w:sz w:val="22"/>
                <w:szCs w:val="22"/>
              </w:rPr>
            </w:pPr>
          </w:p>
        </w:tc>
        <w:tc>
          <w:tcPr>
            <w:tcW w:w="1992" w:type="dxa"/>
            <w:vAlign w:val="center"/>
          </w:tcPr>
          <w:p w14:paraId="7F589ABA" w14:textId="541FDB00"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t</w:t>
            </w:r>
            <w:r w:rsidRPr="00B45531">
              <w:rPr>
                <w:i/>
                <w:iCs/>
                <w:sz w:val="22"/>
                <w:szCs w:val="22"/>
              </w:rPr>
              <w:t>aeniorhynchus</w:t>
            </w:r>
            <w:proofErr w:type="spellEnd"/>
          </w:p>
        </w:tc>
        <w:tc>
          <w:tcPr>
            <w:tcW w:w="2127" w:type="dxa"/>
          </w:tcPr>
          <w:p w14:paraId="0534BEF8" w14:textId="77777777" w:rsidR="00C37194" w:rsidRPr="00B45531" w:rsidRDefault="00C37194" w:rsidP="00501163">
            <w:pPr>
              <w:contextualSpacing/>
              <w:rPr>
                <w:sz w:val="22"/>
                <w:szCs w:val="22"/>
              </w:rPr>
            </w:pPr>
            <w:r w:rsidRPr="00B45531">
              <w:rPr>
                <w:sz w:val="22"/>
                <w:szCs w:val="22"/>
              </w:rPr>
              <w:t>Cache Valley fever**</w:t>
            </w:r>
          </w:p>
        </w:tc>
        <w:tc>
          <w:tcPr>
            <w:tcW w:w="1317" w:type="dxa"/>
          </w:tcPr>
          <w:p w14:paraId="538EEB10" w14:textId="77777777" w:rsidR="00C37194" w:rsidRPr="00B45531" w:rsidRDefault="00C37194" w:rsidP="00501163">
            <w:pPr>
              <w:contextualSpacing/>
              <w:rPr>
                <w:sz w:val="22"/>
                <w:szCs w:val="22"/>
              </w:rPr>
            </w:pPr>
            <w:r w:rsidRPr="00B45531">
              <w:rPr>
                <w:sz w:val="22"/>
                <w:szCs w:val="22"/>
              </w:rPr>
              <w:t>Virus</w:t>
            </w:r>
          </w:p>
        </w:tc>
        <w:tc>
          <w:tcPr>
            <w:tcW w:w="2516" w:type="dxa"/>
          </w:tcPr>
          <w:p w14:paraId="2CDC9CC8" w14:textId="3E98CC02" w:rsidR="00C37194" w:rsidRPr="009E6578" w:rsidRDefault="00C37194" w:rsidP="00501163">
            <w:pPr>
              <w:contextualSpacing/>
              <w:rPr>
                <w:sz w:val="22"/>
                <w:szCs w:val="22"/>
              </w:rPr>
            </w:pPr>
            <w:r w:rsidRPr="009E6578">
              <w:rPr>
                <w:sz w:val="22"/>
                <w:szCs w:val="22"/>
              </w:rPr>
              <w:t xml:space="preserve">Waddell </w:t>
            </w:r>
            <w:r w:rsidR="003E7B19" w:rsidRPr="009E6578">
              <w:rPr>
                <w:sz w:val="22"/>
                <w:szCs w:val="22"/>
              </w:rPr>
              <w:t>and others,</w:t>
            </w:r>
            <w:r w:rsidRPr="009E6578">
              <w:rPr>
                <w:sz w:val="22"/>
                <w:szCs w:val="22"/>
              </w:rPr>
              <w:t xml:space="preserve"> 2019</w:t>
            </w:r>
          </w:p>
        </w:tc>
      </w:tr>
      <w:tr w:rsidR="00C37194" w:rsidRPr="004B6EB5" w14:paraId="5AF6D707" w14:textId="77777777" w:rsidTr="00501163">
        <w:tc>
          <w:tcPr>
            <w:tcW w:w="1064" w:type="dxa"/>
            <w:vMerge/>
          </w:tcPr>
          <w:p w14:paraId="4CE711BA" w14:textId="77777777" w:rsidR="00C37194" w:rsidRPr="00B45531" w:rsidRDefault="00C37194">
            <w:pPr>
              <w:rPr>
                <w:sz w:val="22"/>
                <w:szCs w:val="22"/>
              </w:rPr>
            </w:pPr>
          </w:p>
        </w:tc>
        <w:tc>
          <w:tcPr>
            <w:tcW w:w="1992" w:type="dxa"/>
            <w:vAlign w:val="center"/>
          </w:tcPr>
          <w:p w14:paraId="579FF7CB" w14:textId="5129AA76"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t</w:t>
            </w:r>
            <w:r w:rsidRPr="00B45531">
              <w:rPr>
                <w:i/>
                <w:iCs/>
                <w:sz w:val="22"/>
                <w:szCs w:val="22"/>
              </w:rPr>
              <w:t>aylori</w:t>
            </w:r>
            <w:proofErr w:type="spellEnd"/>
          </w:p>
        </w:tc>
        <w:tc>
          <w:tcPr>
            <w:tcW w:w="2127" w:type="dxa"/>
          </w:tcPr>
          <w:p w14:paraId="2EF1FDD0" w14:textId="77777777" w:rsidR="00C37194" w:rsidRPr="00B45531" w:rsidRDefault="00C37194" w:rsidP="00501163">
            <w:pPr>
              <w:contextualSpacing/>
              <w:rPr>
                <w:sz w:val="22"/>
                <w:szCs w:val="22"/>
              </w:rPr>
            </w:pPr>
            <w:r w:rsidRPr="00B45531">
              <w:rPr>
                <w:sz w:val="22"/>
                <w:szCs w:val="22"/>
              </w:rPr>
              <w:t xml:space="preserve">Dengue fever </w:t>
            </w:r>
          </w:p>
        </w:tc>
        <w:tc>
          <w:tcPr>
            <w:tcW w:w="1317" w:type="dxa"/>
          </w:tcPr>
          <w:p w14:paraId="14A2F0F4"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4A0272B1" w14:textId="65E812FF"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E13A3" w14:paraId="78D20032" w14:textId="77777777" w:rsidTr="00501163">
        <w:tc>
          <w:tcPr>
            <w:tcW w:w="1064" w:type="dxa"/>
            <w:vMerge/>
          </w:tcPr>
          <w:p w14:paraId="4AA40281" w14:textId="77777777" w:rsidR="00C37194" w:rsidRPr="00B45531" w:rsidRDefault="00C37194">
            <w:pPr>
              <w:rPr>
                <w:sz w:val="22"/>
                <w:szCs w:val="22"/>
              </w:rPr>
            </w:pPr>
          </w:p>
        </w:tc>
        <w:tc>
          <w:tcPr>
            <w:tcW w:w="1992" w:type="dxa"/>
            <w:vAlign w:val="center"/>
          </w:tcPr>
          <w:p w14:paraId="1100FC56" w14:textId="51907D71"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t</w:t>
            </w:r>
            <w:r w:rsidRPr="00B45531">
              <w:rPr>
                <w:i/>
                <w:iCs/>
                <w:sz w:val="22"/>
                <w:szCs w:val="22"/>
              </w:rPr>
              <w:t>riseriatus</w:t>
            </w:r>
            <w:proofErr w:type="spellEnd"/>
          </w:p>
        </w:tc>
        <w:tc>
          <w:tcPr>
            <w:tcW w:w="2127" w:type="dxa"/>
          </w:tcPr>
          <w:p w14:paraId="6DDD312D" w14:textId="77777777" w:rsidR="00C37194" w:rsidRPr="00B45531" w:rsidRDefault="00C37194" w:rsidP="00501163">
            <w:pPr>
              <w:contextualSpacing/>
              <w:rPr>
                <w:sz w:val="22"/>
                <w:szCs w:val="22"/>
              </w:rPr>
            </w:pPr>
            <w:r w:rsidRPr="00B45531">
              <w:rPr>
                <w:sz w:val="22"/>
                <w:szCs w:val="22"/>
              </w:rPr>
              <w:t>La Crosse encephalitis</w:t>
            </w:r>
          </w:p>
        </w:tc>
        <w:tc>
          <w:tcPr>
            <w:tcW w:w="1317" w:type="dxa"/>
          </w:tcPr>
          <w:p w14:paraId="59B4858E" w14:textId="77777777" w:rsidR="00C37194" w:rsidRPr="00B45531" w:rsidRDefault="00C37194" w:rsidP="00501163">
            <w:pPr>
              <w:contextualSpacing/>
              <w:rPr>
                <w:sz w:val="22"/>
                <w:szCs w:val="22"/>
              </w:rPr>
            </w:pPr>
            <w:r w:rsidRPr="00B45531">
              <w:rPr>
                <w:sz w:val="22"/>
                <w:szCs w:val="22"/>
              </w:rPr>
              <w:t>Virus</w:t>
            </w:r>
          </w:p>
        </w:tc>
        <w:tc>
          <w:tcPr>
            <w:tcW w:w="2516" w:type="dxa"/>
          </w:tcPr>
          <w:p w14:paraId="7D747C50" w14:textId="77777777" w:rsidR="00C37194" w:rsidRPr="009E6578" w:rsidRDefault="00C37194" w:rsidP="00501163">
            <w:pPr>
              <w:contextualSpacing/>
              <w:rPr>
                <w:sz w:val="22"/>
                <w:szCs w:val="22"/>
              </w:rPr>
            </w:pPr>
            <w:r w:rsidRPr="009E6578">
              <w:rPr>
                <w:sz w:val="22"/>
                <w:szCs w:val="22"/>
              </w:rPr>
              <w:t xml:space="preserve"> </w:t>
            </w:r>
          </w:p>
        </w:tc>
      </w:tr>
      <w:tr w:rsidR="00C37194" w:rsidRPr="004B6EB5" w14:paraId="0ACFBA62" w14:textId="77777777" w:rsidTr="00501163">
        <w:tc>
          <w:tcPr>
            <w:tcW w:w="1064" w:type="dxa"/>
            <w:vMerge/>
          </w:tcPr>
          <w:p w14:paraId="2B5E772D" w14:textId="77777777" w:rsidR="00C37194" w:rsidRPr="00B45531" w:rsidRDefault="00C37194">
            <w:pPr>
              <w:rPr>
                <w:sz w:val="22"/>
                <w:lang w:val="fr-FR"/>
              </w:rPr>
            </w:pPr>
          </w:p>
        </w:tc>
        <w:tc>
          <w:tcPr>
            <w:tcW w:w="1992" w:type="dxa"/>
            <w:vMerge w:val="restart"/>
            <w:vAlign w:val="center"/>
          </w:tcPr>
          <w:p w14:paraId="620EBA4F" w14:textId="58D95B9B"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v</w:t>
            </w:r>
            <w:r w:rsidRPr="00B45531">
              <w:rPr>
                <w:i/>
                <w:iCs/>
                <w:sz w:val="22"/>
                <w:szCs w:val="22"/>
              </w:rPr>
              <w:t>exans</w:t>
            </w:r>
            <w:proofErr w:type="spellEnd"/>
          </w:p>
        </w:tc>
        <w:tc>
          <w:tcPr>
            <w:tcW w:w="2127" w:type="dxa"/>
          </w:tcPr>
          <w:p w14:paraId="6A0E550B" w14:textId="77777777" w:rsidR="00C37194" w:rsidRPr="00B45531" w:rsidRDefault="00C37194" w:rsidP="00501163">
            <w:pPr>
              <w:contextualSpacing/>
              <w:rPr>
                <w:sz w:val="22"/>
                <w:szCs w:val="22"/>
              </w:rPr>
            </w:pPr>
            <w:r w:rsidRPr="00B45531">
              <w:rPr>
                <w:sz w:val="22"/>
                <w:szCs w:val="22"/>
              </w:rPr>
              <w:t>Cache Valley fever**</w:t>
            </w:r>
          </w:p>
        </w:tc>
        <w:tc>
          <w:tcPr>
            <w:tcW w:w="1317" w:type="dxa"/>
          </w:tcPr>
          <w:p w14:paraId="42E179DC" w14:textId="77777777" w:rsidR="00C37194" w:rsidRPr="00B45531" w:rsidRDefault="00C37194" w:rsidP="00501163">
            <w:pPr>
              <w:contextualSpacing/>
              <w:rPr>
                <w:sz w:val="22"/>
                <w:szCs w:val="22"/>
              </w:rPr>
            </w:pPr>
            <w:r w:rsidRPr="00B45531">
              <w:rPr>
                <w:sz w:val="22"/>
                <w:szCs w:val="22"/>
              </w:rPr>
              <w:t>Virus</w:t>
            </w:r>
          </w:p>
        </w:tc>
        <w:tc>
          <w:tcPr>
            <w:tcW w:w="2516" w:type="dxa"/>
          </w:tcPr>
          <w:p w14:paraId="5F0CD838" w14:textId="06D74D5C" w:rsidR="00C37194" w:rsidRPr="009E6578" w:rsidRDefault="00C37194" w:rsidP="00501163">
            <w:pPr>
              <w:contextualSpacing/>
              <w:rPr>
                <w:sz w:val="22"/>
                <w:szCs w:val="22"/>
              </w:rPr>
            </w:pPr>
            <w:r w:rsidRPr="009E6578">
              <w:rPr>
                <w:sz w:val="22"/>
                <w:szCs w:val="22"/>
              </w:rPr>
              <w:t xml:space="preserve">Waddell </w:t>
            </w:r>
            <w:r w:rsidR="003E7B19" w:rsidRPr="009E6578">
              <w:rPr>
                <w:sz w:val="22"/>
                <w:szCs w:val="22"/>
              </w:rPr>
              <w:t>and others,</w:t>
            </w:r>
            <w:r w:rsidRPr="009E6578">
              <w:rPr>
                <w:sz w:val="22"/>
                <w:szCs w:val="22"/>
              </w:rPr>
              <w:t xml:space="preserve"> 2019</w:t>
            </w:r>
          </w:p>
        </w:tc>
      </w:tr>
      <w:tr w:rsidR="00C37194" w:rsidRPr="00C0700C" w14:paraId="05170B7D" w14:textId="77777777" w:rsidTr="00501163">
        <w:tc>
          <w:tcPr>
            <w:tcW w:w="1064" w:type="dxa"/>
            <w:vMerge/>
          </w:tcPr>
          <w:p w14:paraId="5E2DF381" w14:textId="77777777" w:rsidR="00C37194" w:rsidRPr="00B45531" w:rsidRDefault="00C37194">
            <w:pPr>
              <w:rPr>
                <w:sz w:val="22"/>
                <w:szCs w:val="22"/>
              </w:rPr>
            </w:pPr>
          </w:p>
        </w:tc>
        <w:tc>
          <w:tcPr>
            <w:tcW w:w="1992" w:type="dxa"/>
            <w:vMerge/>
            <w:vAlign w:val="center"/>
          </w:tcPr>
          <w:p w14:paraId="23E374A8" w14:textId="77777777" w:rsidR="00C37194" w:rsidRPr="00B45531" w:rsidRDefault="00C37194" w:rsidP="007D7B67">
            <w:pPr>
              <w:contextualSpacing/>
              <w:rPr>
                <w:i/>
                <w:iCs/>
                <w:sz w:val="22"/>
                <w:szCs w:val="22"/>
              </w:rPr>
            </w:pPr>
          </w:p>
        </w:tc>
        <w:tc>
          <w:tcPr>
            <w:tcW w:w="2127" w:type="dxa"/>
          </w:tcPr>
          <w:p w14:paraId="67FF0DDF" w14:textId="77777777" w:rsidR="00C37194" w:rsidRPr="00B45531" w:rsidRDefault="00C37194" w:rsidP="00501163">
            <w:pPr>
              <w:contextualSpacing/>
              <w:rPr>
                <w:sz w:val="22"/>
                <w:szCs w:val="22"/>
              </w:rPr>
            </w:pPr>
            <w:proofErr w:type="spellStart"/>
            <w:r w:rsidRPr="00B45531">
              <w:rPr>
                <w:sz w:val="22"/>
                <w:szCs w:val="22"/>
              </w:rPr>
              <w:t>Tahyna</w:t>
            </w:r>
            <w:proofErr w:type="spellEnd"/>
            <w:r w:rsidRPr="00B45531">
              <w:rPr>
                <w:sz w:val="22"/>
                <w:szCs w:val="22"/>
              </w:rPr>
              <w:t xml:space="preserve"> virus</w:t>
            </w:r>
          </w:p>
        </w:tc>
        <w:tc>
          <w:tcPr>
            <w:tcW w:w="1317" w:type="dxa"/>
          </w:tcPr>
          <w:p w14:paraId="3EC410BC" w14:textId="77777777" w:rsidR="00C37194" w:rsidRPr="00B45531" w:rsidRDefault="00C37194" w:rsidP="00501163">
            <w:pPr>
              <w:contextualSpacing/>
              <w:rPr>
                <w:sz w:val="22"/>
                <w:szCs w:val="22"/>
              </w:rPr>
            </w:pPr>
            <w:r w:rsidRPr="00B45531">
              <w:rPr>
                <w:sz w:val="22"/>
                <w:szCs w:val="22"/>
              </w:rPr>
              <w:t>Virus</w:t>
            </w:r>
          </w:p>
        </w:tc>
        <w:tc>
          <w:tcPr>
            <w:tcW w:w="2516" w:type="dxa"/>
          </w:tcPr>
          <w:p w14:paraId="02C2C548" w14:textId="28D2EDA2" w:rsidR="00C37194" w:rsidRPr="009E6578" w:rsidRDefault="00C37194" w:rsidP="00501163">
            <w:pPr>
              <w:contextualSpacing/>
              <w:rPr>
                <w:sz w:val="22"/>
                <w:szCs w:val="22"/>
                <w:lang w:val="en-US"/>
              </w:rPr>
            </w:pPr>
            <w:r w:rsidRPr="009E6578">
              <w:rPr>
                <w:sz w:val="22"/>
                <w:szCs w:val="22"/>
                <w:lang w:val="en-US"/>
              </w:rPr>
              <w:t xml:space="preserve">Cai </w:t>
            </w:r>
            <w:r w:rsidR="002F2651" w:rsidRPr="009E6578">
              <w:rPr>
                <w:sz w:val="22"/>
                <w:szCs w:val="22"/>
              </w:rPr>
              <w:t>and others</w:t>
            </w:r>
            <w:r w:rsidRPr="009E6578">
              <w:rPr>
                <w:sz w:val="22"/>
                <w:szCs w:val="22"/>
                <w:lang w:val="en-US"/>
              </w:rPr>
              <w:t xml:space="preserve">, 2023; </w:t>
            </w:r>
            <w:proofErr w:type="spellStart"/>
            <w:r w:rsidRPr="009E6578">
              <w:rPr>
                <w:sz w:val="22"/>
                <w:szCs w:val="22"/>
                <w:lang w:val="en-US"/>
              </w:rPr>
              <w:t>Mravcova</w:t>
            </w:r>
            <w:proofErr w:type="spellEnd"/>
            <w:r w:rsidRPr="009E6578">
              <w:rPr>
                <w:sz w:val="22"/>
                <w:szCs w:val="22"/>
                <w:lang w:val="en-US"/>
              </w:rPr>
              <w:t xml:space="preserve"> </w:t>
            </w:r>
            <w:r w:rsidR="003E7B19" w:rsidRPr="009E6578">
              <w:rPr>
                <w:sz w:val="22"/>
                <w:szCs w:val="22"/>
                <w:lang w:val="en-US"/>
              </w:rPr>
              <w:t>and others,</w:t>
            </w:r>
            <w:r w:rsidRPr="009E6578">
              <w:rPr>
                <w:sz w:val="22"/>
                <w:szCs w:val="22"/>
                <w:lang w:val="en-US"/>
              </w:rPr>
              <w:t xml:space="preserve"> 2023</w:t>
            </w:r>
          </w:p>
        </w:tc>
      </w:tr>
      <w:tr w:rsidR="00C37194" w:rsidRPr="004B6EB5" w14:paraId="088B1CF1" w14:textId="77777777" w:rsidTr="00501163">
        <w:tc>
          <w:tcPr>
            <w:tcW w:w="1064" w:type="dxa"/>
            <w:vMerge/>
          </w:tcPr>
          <w:p w14:paraId="602073F5" w14:textId="77777777" w:rsidR="00C37194" w:rsidRPr="00E64AF4" w:rsidRDefault="00C37194">
            <w:pPr>
              <w:rPr>
                <w:sz w:val="22"/>
                <w:lang w:val="en-US"/>
              </w:rPr>
            </w:pPr>
          </w:p>
        </w:tc>
        <w:tc>
          <w:tcPr>
            <w:tcW w:w="1992" w:type="dxa"/>
            <w:vAlign w:val="center"/>
          </w:tcPr>
          <w:p w14:paraId="580D5BA7" w14:textId="259C2433" w:rsidR="00C37194" w:rsidRPr="00B45531" w:rsidRDefault="00C37194" w:rsidP="007D7B67">
            <w:pPr>
              <w:contextualSpacing/>
              <w:rPr>
                <w:i/>
                <w:iCs/>
                <w:sz w:val="22"/>
                <w:szCs w:val="22"/>
              </w:rPr>
            </w:pPr>
            <w:r w:rsidRPr="00B45531">
              <w:rPr>
                <w:i/>
                <w:iCs/>
                <w:sz w:val="22"/>
                <w:szCs w:val="22"/>
              </w:rPr>
              <w:t>Ae.</w:t>
            </w:r>
            <w:r w:rsidR="00030FF2">
              <w:rPr>
                <w:i/>
                <w:iCs/>
                <w:sz w:val="22"/>
                <w:szCs w:val="22"/>
              </w:rPr>
              <w:t xml:space="preserve"> </w:t>
            </w:r>
            <w:proofErr w:type="spellStart"/>
            <w:r w:rsidRPr="00B45531">
              <w:rPr>
                <w:i/>
                <w:iCs/>
                <w:sz w:val="22"/>
                <w:szCs w:val="22"/>
              </w:rPr>
              <w:t>vittatus</w:t>
            </w:r>
            <w:proofErr w:type="spellEnd"/>
          </w:p>
        </w:tc>
        <w:tc>
          <w:tcPr>
            <w:tcW w:w="2127" w:type="dxa"/>
          </w:tcPr>
          <w:p w14:paraId="13820889" w14:textId="77777777" w:rsidR="00C37194" w:rsidRPr="00B45531" w:rsidRDefault="00C37194" w:rsidP="00501163">
            <w:pPr>
              <w:contextualSpacing/>
              <w:rPr>
                <w:sz w:val="22"/>
                <w:szCs w:val="22"/>
              </w:rPr>
            </w:pPr>
            <w:r w:rsidRPr="00B45531">
              <w:rPr>
                <w:sz w:val="22"/>
                <w:szCs w:val="22"/>
              </w:rPr>
              <w:t xml:space="preserve">Yellow fever** </w:t>
            </w:r>
          </w:p>
        </w:tc>
        <w:tc>
          <w:tcPr>
            <w:tcW w:w="1317" w:type="dxa"/>
          </w:tcPr>
          <w:p w14:paraId="7E8E34B3"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3088BB6D" w14:textId="1D90EA09" w:rsidR="00C37194" w:rsidRPr="00B45531" w:rsidRDefault="00C37194" w:rsidP="00501163">
            <w:pPr>
              <w:contextualSpacing/>
              <w:rPr>
                <w:sz w:val="22"/>
                <w:szCs w:val="22"/>
              </w:rPr>
            </w:pPr>
            <w:r w:rsidRPr="009E6578">
              <w:rPr>
                <w:sz w:val="22"/>
                <w:szCs w:val="22"/>
              </w:rPr>
              <w:t xml:space="preserve">Sudeep </w:t>
            </w:r>
            <w:r w:rsidR="00061743" w:rsidRPr="009E6578">
              <w:rPr>
                <w:sz w:val="22"/>
                <w:szCs w:val="22"/>
              </w:rPr>
              <w:t>and</w:t>
            </w:r>
            <w:r w:rsidRPr="009E6578">
              <w:rPr>
                <w:sz w:val="22"/>
                <w:szCs w:val="22"/>
              </w:rPr>
              <w:t xml:space="preserve"> Shil, 2017</w:t>
            </w:r>
            <w:r w:rsidRPr="00B45531">
              <w:rPr>
                <w:sz w:val="22"/>
                <w:szCs w:val="22"/>
              </w:rPr>
              <w:t xml:space="preserve"> </w:t>
            </w:r>
          </w:p>
        </w:tc>
      </w:tr>
      <w:tr w:rsidR="00C37194" w:rsidRPr="004B6EB5" w14:paraId="7CB4FE17" w14:textId="77777777" w:rsidTr="00501163">
        <w:tc>
          <w:tcPr>
            <w:tcW w:w="1064" w:type="dxa"/>
            <w:vMerge/>
          </w:tcPr>
          <w:p w14:paraId="5BE202F2" w14:textId="77777777" w:rsidR="00C37194" w:rsidRPr="00B45531" w:rsidRDefault="00C37194">
            <w:pPr>
              <w:rPr>
                <w:sz w:val="22"/>
                <w:szCs w:val="22"/>
              </w:rPr>
            </w:pPr>
          </w:p>
        </w:tc>
        <w:tc>
          <w:tcPr>
            <w:tcW w:w="1992" w:type="dxa"/>
            <w:vMerge w:val="restart"/>
            <w:vAlign w:val="center"/>
          </w:tcPr>
          <w:p w14:paraId="0897DD00" w14:textId="77777777" w:rsidR="00C37194" w:rsidRPr="00B45531" w:rsidRDefault="00C37194" w:rsidP="007D7B67">
            <w:pPr>
              <w:contextualSpacing/>
              <w:rPr>
                <w:i/>
                <w:iCs/>
                <w:sz w:val="22"/>
                <w:szCs w:val="22"/>
              </w:rPr>
            </w:pPr>
            <w:r w:rsidRPr="00B45531">
              <w:rPr>
                <w:i/>
                <w:iCs/>
                <w:sz w:val="22"/>
                <w:szCs w:val="22"/>
              </w:rPr>
              <w:t>Anopheles gambiae</w:t>
            </w:r>
          </w:p>
        </w:tc>
        <w:tc>
          <w:tcPr>
            <w:tcW w:w="2127" w:type="dxa"/>
          </w:tcPr>
          <w:p w14:paraId="45060FBB" w14:textId="77777777" w:rsidR="00C37194" w:rsidRPr="00B45531" w:rsidRDefault="00C37194" w:rsidP="00501163">
            <w:pPr>
              <w:contextualSpacing/>
              <w:rPr>
                <w:sz w:val="22"/>
                <w:szCs w:val="22"/>
              </w:rPr>
            </w:pPr>
            <w:r w:rsidRPr="00B45531">
              <w:rPr>
                <w:sz w:val="22"/>
                <w:szCs w:val="22"/>
              </w:rPr>
              <w:t>Malaria</w:t>
            </w:r>
          </w:p>
        </w:tc>
        <w:tc>
          <w:tcPr>
            <w:tcW w:w="1317" w:type="dxa"/>
          </w:tcPr>
          <w:p w14:paraId="149664C2" w14:textId="77777777" w:rsidR="00C37194" w:rsidRPr="00B45531" w:rsidRDefault="00C37194" w:rsidP="00501163">
            <w:pPr>
              <w:contextualSpacing/>
              <w:rPr>
                <w:sz w:val="22"/>
                <w:szCs w:val="22"/>
              </w:rPr>
            </w:pPr>
            <w:r w:rsidRPr="00B45531">
              <w:rPr>
                <w:sz w:val="22"/>
                <w:szCs w:val="22"/>
              </w:rPr>
              <w:t>Plasmodium</w:t>
            </w:r>
          </w:p>
        </w:tc>
        <w:tc>
          <w:tcPr>
            <w:tcW w:w="2516" w:type="dxa"/>
          </w:tcPr>
          <w:p w14:paraId="68A42890" w14:textId="3EF32336" w:rsidR="00C37194" w:rsidRPr="009E6578" w:rsidRDefault="00C37194" w:rsidP="00501163">
            <w:pPr>
              <w:contextualSpacing/>
              <w:rPr>
                <w:sz w:val="22"/>
                <w:szCs w:val="22"/>
              </w:rPr>
            </w:pPr>
            <w:proofErr w:type="spellStart"/>
            <w:r w:rsidRPr="009E6578">
              <w:rPr>
                <w:sz w:val="22"/>
                <w:szCs w:val="22"/>
              </w:rPr>
              <w:t>Djihinto</w:t>
            </w:r>
            <w:proofErr w:type="spellEnd"/>
            <w:r w:rsidRPr="009E6578">
              <w:rPr>
                <w:sz w:val="22"/>
                <w:szCs w:val="22"/>
              </w:rPr>
              <w:t xml:space="preserve"> </w:t>
            </w:r>
            <w:r w:rsidR="00565EEF" w:rsidRPr="009E6578">
              <w:rPr>
                <w:sz w:val="22"/>
                <w:szCs w:val="22"/>
              </w:rPr>
              <w:t>and others,</w:t>
            </w:r>
            <w:r w:rsidRPr="009E6578">
              <w:rPr>
                <w:sz w:val="22"/>
                <w:szCs w:val="22"/>
              </w:rPr>
              <w:t xml:space="preserve"> 2022</w:t>
            </w:r>
          </w:p>
        </w:tc>
      </w:tr>
      <w:tr w:rsidR="00C37194" w:rsidRPr="004B6EB5" w14:paraId="2AE6265C" w14:textId="77777777" w:rsidTr="00501163">
        <w:tc>
          <w:tcPr>
            <w:tcW w:w="1064" w:type="dxa"/>
            <w:vMerge/>
          </w:tcPr>
          <w:p w14:paraId="4684BA22" w14:textId="77777777" w:rsidR="00C37194" w:rsidRPr="00B45531" w:rsidRDefault="00C37194">
            <w:pPr>
              <w:rPr>
                <w:sz w:val="22"/>
                <w:szCs w:val="22"/>
              </w:rPr>
            </w:pPr>
          </w:p>
        </w:tc>
        <w:tc>
          <w:tcPr>
            <w:tcW w:w="1992" w:type="dxa"/>
            <w:vMerge/>
            <w:vAlign w:val="center"/>
          </w:tcPr>
          <w:p w14:paraId="6CE574E7" w14:textId="77777777" w:rsidR="00C37194" w:rsidRPr="00B45531" w:rsidRDefault="00C37194" w:rsidP="007D7B67">
            <w:pPr>
              <w:contextualSpacing/>
              <w:rPr>
                <w:i/>
                <w:iCs/>
                <w:sz w:val="22"/>
                <w:szCs w:val="22"/>
              </w:rPr>
            </w:pPr>
          </w:p>
        </w:tc>
        <w:tc>
          <w:tcPr>
            <w:tcW w:w="2127" w:type="dxa"/>
          </w:tcPr>
          <w:p w14:paraId="39C2B7DB" w14:textId="77777777" w:rsidR="00C37194" w:rsidRPr="00B45531" w:rsidRDefault="00C37194" w:rsidP="00501163">
            <w:pPr>
              <w:contextualSpacing/>
              <w:rPr>
                <w:sz w:val="22"/>
                <w:szCs w:val="22"/>
              </w:rPr>
            </w:pPr>
            <w:r w:rsidRPr="00B45531">
              <w:rPr>
                <w:sz w:val="22"/>
                <w:szCs w:val="22"/>
              </w:rPr>
              <w:t>Lymphatic filariasis</w:t>
            </w:r>
          </w:p>
        </w:tc>
        <w:tc>
          <w:tcPr>
            <w:tcW w:w="1317" w:type="dxa"/>
          </w:tcPr>
          <w:p w14:paraId="7E1422CC" w14:textId="77777777" w:rsidR="00C37194" w:rsidRPr="00B45531" w:rsidRDefault="00C37194" w:rsidP="00501163">
            <w:pPr>
              <w:contextualSpacing/>
              <w:rPr>
                <w:sz w:val="22"/>
                <w:szCs w:val="22"/>
              </w:rPr>
            </w:pPr>
            <w:r w:rsidRPr="00B45531">
              <w:rPr>
                <w:sz w:val="22"/>
                <w:szCs w:val="22"/>
              </w:rPr>
              <w:t xml:space="preserve">Nematode </w:t>
            </w:r>
          </w:p>
        </w:tc>
        <w:tc>
          <w:tcPr>
            <w:tcW w:w="2516" w:type="dxa"/>
          </w:tcPr>
          <w:p w14:paraId="6587EEEF" w14:textId="5D2A8533" w:rsidR="00C37194" w:rsidRPr="00E7261D" w:rsidRDefault="00C37194" w:rsidP="00501163">
            <w:pPr>
              <w:pStyle w:val="EndNoteBibliographyTitle"/>
              <w:spacing w:before="0"/>
              <w:contextualSpacing/>
              <w:jc w:val="left"/>
              <w:rPr>
                <w:rFonts w:ascii="Times New Roman" w:hAnsi="Times New Roman" w:cs="Times New Roman"/>
                <w:noProof w:val="0"/>
                <w:kern w:val="0"/>
                <w:lang w:val="en-GB"/>
              </w:rPr>
            </w:pPr>
            <w:r w:rsidRPr="009E6578">
              <w:rPr>
                <w:rFonts w:ascii="Times New Roman" w:hAnsi="Times New Roman" w:cs="Times New Roman"/>
                <w:sz w:val="22"/>
                <w:szCs w:val="22"/>
              </w:rPr>
              <w:t xml:space="preserve">Foster </w:t>
            </w:r>
            <w:r w:rsidR="00061743" w:rsidRPr="009E6578">
              <w:rPr>
                <w:rFonts w:ascii="Times New Roman" w:hAnsi="Times New Roman" w:cs="Times New Roman"/>
                <w:sz w:val="22"/>
                <w:szCs w:val="22"/>
              </w:rPr>
              <w:t>and</w:t>
            </w:r>
            <w:r w:rsidRPr="009E6578">
              <w:rPr>
                <w:rFonts w:ascii="Times New Roman" w:hAnsi="Times New Roman" w:cs="Times New Roman"/>
                <w:sz w:val="22"/>
                <w:szCs w:val="22"/>
              </w:rPr>
              <w:t xml:space="preserve"> Walker, 2019</w:t>
            </w:r>
          </w:p>
        </w:tc>
      </w:tr>
      <w:tr w:rsidR="00C37194" w:rsidRPr="004B6EB5" w14:paraId="51516496" w14:textId="77777777" w:rsidTr="00501163">
        <w:tc>
          <w:tcPr>
            <w:tcW w:w="1064" w:type="dxa"/>
            <w:vMerge/>
          </w:tcPr>
          <w:p w14:paraId="5A5A6199" w14:textId="77777777" w:rsidR="00C37194" w:rsidRPr="00B45531" w:rsidRDefault="00C37194">
            <w:pPr>
              <w:rPr>
                <w:sz w:val="22"/>
                <w:szCs w:val="22"/>
              </w:rPr>
            </w:pPr>
          </w:p>
        </w:tc>
        <w:tc>
          <w:tcPr>
            <w:tcW w:w="1992" w:type="dxa"/>
            <w:vMerge w:val="restart"/>
            <w:vAlign w:val="center"/>
          </w:tcPr>
          <w:p w14:paraId="585F240A" w14:textId="77777777" w:rsidR="00C37194" w:rsidRPr="00B45531" w:rsidRDefault="00C37194" w:rsidP="007D7B67">
            <w:pPr>
              <w:contextualSpacing/>
              <w:rPr>
                <w:i/>
                <w:iCs/>
                <w:sz w:val="22"/>
                <w:szCs w:val="22"/>
              </w:rPr>
            </w:pPr>
            <w:proofErr w:type="spellStart"/>
            <w:proofErr w:type="gramStart"/>
            <w:r w:rsidRPr="00B45531">
              <w:rPr>
                <w:i/>
                <w:iCs/>
                <w:sz w:val="22"/>
                <w:szCs w:val="22"/>
              </w:rPr>
              <w:t>An.arabiensis</w:t>
            </w:r>
            <w:proofErr w:type="spellEnd"/>
            <w:proofErr w:type="gramEnd"/>
          </w:p>
        </w:tc>
        <w:tc>
          <w:tcPr>
            <w:tcW w:w="2127" w:type="dxa"/>
          </w:tcPr>
          <w:p w14:paraId="54F67E54" w14:textId="77777777" w:rsidR="00C37194" w:rsidRPr="00B45531" w:rsidRDefault="00C37194" w:rsidP="00501163">
            <w:pPr>
              <w:contextualSpacing/>
              <w:rPr>
                <w:sz w:val="22"/>
                <w:szCs w:val="22"/>
              </w:rPr>
            </w:pPr>
            <w:r w:rsidRPr="00B45531">
              <w:rPr>
                <w:sz w:val="22"/>
                <w:szCs w:val="22"/>
              </w:rPr>
              <w:t>Malaria</w:t>
            </w:r>
          </w:p>
        </w:tc>
        <w:tc>
          <w:tcPr>
            <w:tcW w:w="1317" w:type="dxa"/>
          </w:tcPr>
          <w:p w14:paraId="0F594F89" w14:textId="77777777" w:rsidR="00C37194" w:rsidRPr="00B45531" w:rsidRDefault="00C37194" w:rsidP="00501163">
            <w:pPr>
              <w:contextualSpacing/>
              <w:rPr>
                <w:sz w:val="22"/>
                <w:szCs w:val="22"/>
              </w:rPr>
            </w:pPr>
            <w:r w:rsidRPr="00B45531">
              <w:rPr>
                <w:sz w:val="22"/>
                <w:szCs w:val="22"/>
              </w:rPr>
              <w:t>Plasmodium</w:t>
            </w:r>
          </w:p>
        </w:tc>
        <w:tc>
          <w:tcPr>
            <w:tcW w:w="2516" w:type="dxa"/>
          </w:tcPr>
          <w:p w14:paraId="704CE746" w14:textId="109AB3C6" w:rsidR="00C37194" w:rsidRPr="009E6578" w:rsidRDefault="00C37194" w:rsidP="00501163">
            <w:pPr>
              <w:contextualSpacing/>
              <w:rPr>
                <w:sz w:val="22"/>
                <w:szCs w:val="22"/>
              </w:rPr>
            </w:pPr>
            <w:proofErr w:type="spellStart"/>
            <w:r w:rsidRPr="009E6578">
              <w:rPr>
                <w:sz w:val="22"/>
                <w:szCs w:val="22"/>
              </w:rPr>
              <w:t>Djihinto</w:t>
            </w:r>
            <w:proofErr w:type="spellEnd"/>
            <w:r w:rsidRPr="009E6578">
              <w:rPr>
                <w:sz w:val="22"/>
                <w:szCs w:val="22"/>
              </w:rPr>
              <w:t xml:space="preserve"> </w:t>
            </w:r>
            <w:r w:rsidR="00565EEF" w:rsidRPr="009E6578">
              <w:rPr>
                <w:sz w:val="22"/>
                <w:szCs w:val="22"/>
              </w:rPr>
              <w:t>and others,</w:t>
            </w:r>
            <w:r w:rsidRPr="009E6578">
              <w:rPr>
                <w:sz w:val="22"/>
                <w:szCs w:val="22"/>
              </w:rPr>
              <w:t xml:space="preserve"> 2022</w:t>
            </w:r>
          </w:p>
        </w:tc>
      </w:tr>
      <w:tr w:rsidR="00C37194" w:rsidRPr="004B6EB5" w14:paraId="07F99AB6" w14:textId="77777777" w:rsidTr="00501163">
        <w:tc>
          <w:tcPr>
            <w:tcW w:w="1064" w:type="dxa"/>
            <w:vMerge/>
          </w:tcPr>
          <w:p w14:paraId="3A8CA795" w14:textId="77777777" w:rsidR="00C37194" w:rsidRPr="00B45531" w:rsidRDefault="00C37194">
            <w:pPr>
              <w:rPr>
                <w:sz w:val="22"/>
                <w:szCs w:val="22"/>
              </w:rPr>
            </w:pPr>
          </w:p>
        </w:tc>
        <w:tc>
          <w:tcPr>
            <w:tcW w:w="1992" w:type="dxa"/>
            <w:vMerge/>
            <w:vAlign w:val="center"/>
          </w:tcPr>
          <w:p w14:paraId="4105D7D8" w14:textId="77777777" w:rsidR="00C37194" w:rsidRPr="00B45531" w:rsidRDefault="00C37194" w:rsidP="007D7B67">
            <w:pPr>
              <w:contextualSpacing/>
              <w:rPr>
                <w:i/>
                <w:iCs/>
                <w:sz w:val="22"/>
                <w:szCs w:val="22"/>
              </w:rPr>
            </w:pPr>
          </w:p>
        </w:tc>
        <w:tc>
          <w:tcPr>
            <w:tcW w:w="2127" w:type="dxa"/>
          </w:tcPr>
          <w:p w14:paraId="183655B5" w14:textId="77777777" w:rsidR="00C37194" w:rsidRPr="00B45531" w:rsidRDefault="00C37194" w:rsidP="00501163">
            <w:pPr>
              <w:contextualSpacing/>
              <w:rPr>
                <w:sz w:val="22"/>
                <w:szCs w:val="22"/>
              </w:rPr>
            </w:pPr>
            <w:r w:rsidRPr="00B45531">
              <w:rPr>
                <w:sz w:val="22"/>
                <w:szCs w:val="22"/>
              </w:rPr>
              <w:t>Lymphatic filariasis</w:t>
            </w:r>
          </w:p>
        </w:tc>
        <w:tc>
          <w:tcPr>
            <w:tcW w:w="1317" w:type="dxa"/>
          </w:tcPr>
          <w:p w14:paraId="7782CB3B" w14:textId="77777777" w:rsidR="00C37194" w:rsidRPr="00B45531" w:rsidRDefault="00C37194" w:rsidP="00501163">
            <w:pPr>
              <w:contextualSpacing/>
              <w:rPr>
                <w:sz w:val="22"/>
                <w:szCs w:val="22"/>
              </w:rPr>
            </w:pPr>
            <w:r w:rsidRPr="00B45531">
              <w:rPr>
                <w:sz w:val="22"/>
                <w:szCs w:val="22"/>
              </w:rPr>
              <w:t xml:space="preserve">Nematode </w:t>
            </w:r>
          </w:p>
        </w:tc>
        <w:tc>
          <w:tcPr>
            <w:tcW w:w="2516" w:type="dxa"/>
          </w:tcPr>
          <w:p w14:paraId="6FBB8566" w14:textId="55998745"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27B57C87" w14:textId="77777777" w:rsidTr="00501163">
        <w:tc>
          <w:tcPr>
            <w:tcW w:w="1064" w:type="dxa"/>
            <w:vMerge/>
          </w:tcPr>
          <w:p w14:paraId="0DB0E6F3" w14:textId="77777777" w:rsidR="00C37194" w:rsidRPr="00B45531" w:rsidRDefault="00C37194">
            <w:pPr>
              <w:rPr>
                <w:sz w:val="22"/>
                <w:szCs w:val="22"/>
              </w:rPr>
            </w:pPr>
          </w:p>
        </w:tc>
        <w:tc>
          <w:tcPr>
            <w:tcW w:w="1992" w:type="dxa"/>
            <w:vAlign w:val="center"/>
          </w:tcPr>
          <w:p w14:paraId="5698BFE8" w14:textId="5AE1030B" w:rsidR="00C37194" w:rsidRPr="00B45531" w:rsidRDefault="00C37194" w:rsidP="007D7B67">
            <w:pPr>
              <w:contextualSpacing/>
              <w:rPr>
                <w:i/>
                <w:iCs/>
                <w:sz w:val="22"/>
                <w:szCs w:val="22"/>
              </w:rPr>
            </w:pPr>
            <w:r w:rsidRPr="00B45531">
              <w:rPr>
                <w:i/>
                <w:iCs/>
                <w:sz w:val="22"/>
                <w:szCs w:val="22"/>
              </w:rPr>
              <w:t xml:space="preserve">An. </w:t>
            </w:r>
            <w:proofErr w:type="spellStart"/>
            <w:r w:rsidR="004B3E45" w:rsidRPr="00B45531">
              <w:rPr>
                <w:i/>
                <w:iCs/>
                <w:sz w:val="22"/>
                <w:szCs w:val="22"/>
              </w:rPr>
              <w:t>B</w:t>
            </w:r>
            <w:r w:rsidRPr="00B45531">
              <w:rPr>
                <w:i/>
                <w:iCs/>
                <w:sz w:val="22"/>
                <w:szCs w:val="22"/>
              </w:rPr>
              <w:t>arbirostris</w:t>
            </w:r>
            <w:proofErr w:type="spellEnd"/>
          </w:p>
        </w:tc>
        <w:tc>
          <w:tcPr>
            <w:tcW w:w="2127" w:type="dxa"/>
          </w:tcPr>
          <w:p w14:paraId="3D0719FF" w14:textId="77777777" w:rsidR="00C37194" w:rsidRPr="00B45531" w:rsidRDefault="00C37194" w:rsidP="00501163">
            <w:pPr>
              <w:contextualSpacing/>
              <w:rPr>
                <w:sz w:val="22"/>
                <w:szCs w:val="22"/>
              </w:rPr>
            </w:pPr>
            <w:r w:rsidRPr="00B45531">
              <w:rPr>
                <w:sz w:val="22"/>
                <w:szCs w:val="22"/>
              </w:rPr>
              <w:t xml:space="preserve">Lymphatic filariasis </w:t>
            </w:r>
          </w:p>
        </w:tc>
        <w:tc>
          <w:tcPr>
            <w:tcW w:w="1317" w:type="dxa"/>
          </w:tcPr>
          <w:p w14:paraId="547D28FF" w14:textId="77777777" w:rsidR="00C37194" w:rsidRPr="00B45531" w:rsidRDefault="00C37194" w:rsidP="00501163">
            <w:pPr>
              <w:contextualSpacing/>
              <w:rPr>
                <w:sz w:val="22"/>
                <w:szCs w:val="22"/>
              </w:rPr>
            </w:pPr>
            <w:r w:rsidRPr="00B45531">
              <w:rPr>
                <w:sz w:val="22"/>
                <w:szCs w:val="22"/>
              </w:rPr>
              <w:t xml:space="preserve">Nematode </w:t>
            </w:r>
          </w:p>
        </w:tc>
        <w:tc>
          <w:tcPr>
            <w:tcW w:w="2516" w:type="dxa"/>
          </w:tcPr>
          <w:p w14:paraId="609AA4EA" w14:textId="2B0BE3CA"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756F170D" w14:textId="77777777" w:rsidTr="00501163">
        <w:tc>
          <w:tcPr>
            <w:tcW w:w="1064" w:type="dxa"/>
            <w:vMerge/>
          </w:tcPr>
          <w:p w14:paraId="78770083" w14:textId="77777777" w:rsidR="00C37194" w:rsidRPr="00B45531" w:rsidRDefault="00C37194">
            <w:pPr>
              <w:rPr>
                <w:sz w:val="22"/>
                <w:szCs w:val="22"/>
              </w:rPr>
            </w:pPr>
          </w:p>
        </w:tc>
        <w:tc>
          <w:tcPr>
            <w:tcW w:w="1992" w:type="dxa"/>
            <w:vAlign w:val="center"/>
          </w:tcPr>
          <w:p w14:paraId="085B87A5" w14:textId="2292FE2E" w:rsidR="00C37194" w:rsidRPr="00B45531" w:rsidRDefault="00C37194" w:rsidP="007D7B67">
            <w:pPr>
              <w:contextualSpacing/>
              <w:rPr>
                <w:i/>
                <w:iCs/>
                <w:sz w:val="22"/>
                <w:szCs w:val="22"/>
              </w:rPr>
            </w:pPr>
            <w:r w:rsidRPr="00B45531">
              <w:rPr>
                <w:i/>
                <w:iCs/>
                <w:sz w:val="22"/>
                <w:szCs w:val="22"/>
              </w:rPr>
              <w:t xml:space="preserve">An. </w:t>
            </w:r>
            <w:proofErr w:type="spellStart"/>
            <w:r w:rsidR="00030FF2">
              <w:rPr>
                <w:i/>
                <w:iCs/>
                <w:sz w:val="22"/>
                <w:szCs w:val="22"/>
              </w:rPr>
              <w:t>c</w:t>
            </w:r>
            <w:r w:rsidRPr="00B45531">
              <w:rPr>
                <w:i/>
                <w:iCs/>
                <w:sz w:val="22"/>
                <w:szCs w:val="22"/>
              </w:rPr>
              <w:t>oluzzii</w:t>
            </w:r>
            <w:proofErr w:type="spellEnd"/>
          </w:p>
        </w:tc>
        <w:tc>
          <w:tcPr>
            <w:tcW w:w="2127" w:type="dxa"/>
          </w:tcPr>
          <w:p w14:paraId="3A6F87B4" w14:textId="77777777" w:rsidR="00C37194" w:rsidRPr="00B45531" w:rsidRDefault="00C37194" w:rsidP="00501163">
            <w:pPr>
              <w:contextualSpacing/>
              <w:rPr>
                <w:sz w:val="22"/>
                <w:szCs w:val="22"/>
              </w:rPr>
            </w:pPr>
            <w:r w:rsidRPr="00B45531">
              <w:rPr>
                <w:sz w:val="22"/>
                <w:szCs w:val="22"/>
              </w:rPr>
              <w:t>Malaria</w:t>
            </w:r>
          </w:p>
        </w:tc>
        <w:tc>
          <w:tcPr>
            <w:tcW w:w="1317" w:type="dxa"/>
          </w:tcPr>
          <w:p w14:paraId="63B5D829" w14:textId="77777777" w:rsidR="00C37194" w:rsidRPr="00B45531" w:rsidRDefault="00C37194" w:rsidP="00501163">
            <w:pPr>
              <w:contextualSpacing/>
              <w:rPr>
                <w:sz w:val="22"/>
                <w:szCs w:val="22"/>
              </w:rPr>
            </w:pPr>
            <w:r w:rsidRPr="00B45531">
              <w:rPr>
                <w:sz w:val="22"/>
                <w:szCs w:val="22"/>
              </w:rPr>
              <w:t>Plasmodium</w:t>
            </w:r>
          </w:p>
        </w:tc>
        <w:tc>
          <w:tcPr>
            <w:tcW w:w="2516" w:type="dxa"/>
          </w:tcPr>
          <w:p w14:paraId="52327994" w14:textId="19EF6EA6" w:rsidR="00C37194" w:rsidRPr="009E6578" w:rsidRDefault="00C37194" w:rsidP="00501163">
            <w:pPr>
              <w:contextualSpacing/>
              <w:rPr>
                <w:sz w:val="22"/>
                <w:szCs w:val="22"/>
              </w:rPr>
            </w:pPr>
            <w:proofErr w:type="spellStart"/>
            <w:r w:rsidRPr="009E6578">
              <w:rPr>
                <w:sz w:val="22"/>
                <w:szCs w:val="22"/>
              </w:rPr>
              <w:t>Djihinto</w:t>
            </w:r>
            <w:proofErr w:type="spellEnd"/>
            <w:r w:rsidRPr="009E6578">
              <w:rPr>
                <w:sz w:val="22"/>
                <w:szCs w:val="22"/>
              </w:rPr>
              <w:t xml:space="preserve"> </w:t>
            </w:r>
            <w:r w:rsidR="00565EEF" w:rsidRPr="009E6578">
              <w:rPr>
                <w:sz w:val="22"/>
                <w:szCs w:val="22"/>
              </w:rPr>
              <w:t>and others,</w:t>
            </w:r>
            <w:r w:rsidRPr="009E6578">
              <w:rPr>
                <w:sz w:val="22"/>
                <w:szCs w:val="22"/>
              </w:rPr>
              <w:t xml:space="preserve"> 2022</w:t>
            </w:r>
          </w:p>
        </w:tc>
      </w:tr>
      <w:tr w:rsidR="00C37194" w:rsidRPr="004B6EB5" w14:paraId="4FAC7146" w14:textId="77777777" w:rsidTr="00501163">
        <w:tc>
          <w:tcPr>
            <w:tcW w:w="1064" w:type="dxa"/>
            <w:vMerge/>
          </w:tcPr>
          <w:p w14:paraId="41D44A54" w14:textId="77777777" w:rsidR="00C37194" w:rsidRPr="00B45531" w:rsidRDefault="00C37194">
            <w:pPr>
              <w:rPr>
                <w:sz w:val="22"/>
                <w:szCs w:val="22"/>
              </w:rPr>
            </w:pPr>
          </w:p>
        </w:tc>
        <w:tc>
          <w:tcPr>
            <w:tcW w:w="1992" w:type="dxa"/>
            <w:vAlign w:val="center"/>
          </w:tcPr>
          <w:p w14:paraId="0834550E" w14:textId="0B7FF1C3" w:rsidR="00C37194" w:rsidRPr="00B45531" w:rsidRDefault="00C37194" w:rsidP="007D7B67">
            <w:pPr>
              <w:contextualSpacing/>
              <w:rPr>
                <w:i/>
                <w:iCs/>
                <w:sz w:val="22"/>
                <w:szCs w:val="22"/>
              </w:rPr>
            </w:pPr>
            <w:r w:rsidRPr="00B45531">
              <w:rPr>
                <w:i/>
                <w:iCs/>
                <w:sz w:val="22"/>
                <w:szCs w:val="22"/>
              </w:rPr>
              <w:t xml:space="preserve">An. </w:t>
            </w:r>
            <w:proofErr w:type="spellStart"/>
            <w:r w:rsidR="00030FF2">
              <w:rPr>
                <w:i/>
                <w:iCs/>
                <w:sz w:val="22"/>
                <w:szCs w:val="22"/>
              </w:rPr>
              <w:t>f</w:t>
            </w:r>
            <w:r w:rsidRPr="00B45531">
              <w:rPr>
                <w:i/>
                <w:iCs/>
                <w:sz w:val="22"/>
                <w:szCs w:val="22"/>
              </w:rPr>
              <w:t>unestus</w:t>
            </w:r>
            <w:proofErr w:type="spellEnd"/>
          </w:p>
        </w:tc>
        <w:tc>
          <w:tcPr>
            <w:tcW w:w="2127" w:type="dxa"/>
          </w:tcPr>
          <w:p w14:paraId="5AAFBA13" w14:textId="77777777" w:rsidR="00C37194" w:rsidRPr="00B45531" w:rsidRDefault="00C37194" w:rsidP="00501163">
            <w:pPr>
              <w:contextualSpacing/>
              <w:rPr>
                <w:sz w:val="22"/>
                <w:szCs w:val="22"/>
              </w:rPr>
            </w:pPr>
            <w:r w:rsidRPr="00B45531">
              <w:rPr>
                <w:sz w:val="22"/>
                <w:szCs w:val="22"/>
              </w:rPr>
              <w:t>Malaria</w:t>
            </w:r>
          </w:p>
        </w:tc>
        <w:tc>
          <w:tcPr>
            <w:tcW w:w="1317" w:type="dxa"/>
          </w:tcPr>
          <w:p w14:paraId="22824964" w14:textId="77777777" w:rsidR="00C37194" w:rsidRPr="00B45531" w:rsidRDefault="00C37194" w:rsidP="00501163">
            <w:pPr>
              <w:contextualSpacing/>
              <w:rPr>
                <w:sz w:val="22"/>
                <w:szCs w:val="22"/>
              </w:rPr>
            </w:pPr>
            <w:r w:rsidRPr="00B45531">
              <w:rPr>
                <w:sz w:val="22"/>
                <w:szCs w:val="22"/>
              </w:rPr>
              <w:t>Plasmodium</w:t>
            </w:r>
          </w:p>
        </w:tc>
        <w:tc>
          <w:tcPr>
            <w:tcW w:w="2516" w:type="dxa"/>
          </w:tcPr>
          <w:p w14:paraId="7B4636AC" w14:textId="1174A73B" w:rsidR="00C37194" w:rsidRPr="009E6578" w:rsidRDefault="00C37194" w:rsidP="00501163">
            <w:pPr>
              <w:contextualSpacing/>
              <w:rPr>
                <w:sz w:val="22"/>
                <w:szCs w:val="22"/>
              </w:rPr>
            </w:pPr>
            <w:proofErr w:type="spellStart"/>
            <w:r w:rsidRPr="009E6578">
              <w:rPr>
                <w:sz w:val="22"/>
                <w:szCs w:val="22"/>
              </w:rPr>
              <w:t>Djihinto</w:t>
            </w:r>
            <w:proofErr w:type="spellEnd"/>
            <w:r w:rsidRPr="009E6578">
              <w:rPr>
                <w:sz w:val="22"/>
                <w:szCs w:val="22"/>
              </w:rPr>
              <w:t xml:space="preserve"> </w:t>
            </w:r>
            <w:r w:rsidR="00565EEF" w:rsidRPr="009E6578">
              <w:rPr>
                <w:sz w:val="22"/>
                <w:szCs w:val="22"/>
              </w:rPr>
              <w:t>and others,</w:t>
            </w:r>
            <w:r w:rsidRPr="009E6578">
              <w:rPr>
                <w:sz w:val="22"/>
                <w:szCs w:val="22"/>
              </w:rPr>
              <w:t xml:space="preserve"> 2022</w:t>
            </w:r>
          </w:p>
        </w:tc>
      </w:tr>
      <w:tr w:rsidR="00C37194" w:rsidRPr="004B6EB5" w14:paraId="22EC3A4A" w14:textId="77777777" w:rsidTr="00501163">
        <w:tc>
          <w:tcPr>
            <w:tcW w:w="1064" w:type="dxa"/>
            <w:vMerge/>
          </w:tcPr>
          <w:p w14:paraId="25826FF6" w14:textId="77777777" w:rsidR="00C37194" w:rsidRPr="00B45531" w:rsidRDefault="00C37194">
            <w:pPr>
              <w:rPr>
                <w:sz w:val="22"/>
                <w:szCs w:val="22"/>
              </w:rPr>
            </w:pPr>
          </w:p>
        </w:tc>
        <w:tc>
          <w:tcPr>
            <w:tcW w:w="1992" w:type="dxa"/>
            <w:vAlign w:val="center"/>
          </w:tcPr>
          <w:p w14:paraId="180DE891" w14:textId="7DD3E90F" w:rsidR="00C37194" w:rsidRPr="00B45531" w:rsidRDefault="00C37194" w:rsidP="007D7B67">
            <w:pPr>
              <w:contextualSpacing/>
              <w:rPr>
                <w:i/>
                <w:iCs/>
                <w:sz w:val="22"/>
                <w:szCs w:val="22"/>
              </w:rPr>
            </w:pPr>
            <w:r w:rsidRPr="00B45531">
              <w:rPr>
                <w:i/>
                <w:iCs/>
                <w:sz w:val="22"/>
                <w:szCs w:val="22"/>
              </w:rPr>
              <w:t xml:space="preserve">An. </w:t>
            </w:r>
            <w:proofErr w:type="spellStart"/>
            <w:r w:rsidR="00030FF2">
              <w:rPr>
                <w:i/>
                <w:iCs/>
                <w:sz w:val="22"/>
                <w:szCs w:val="22"/>
              </w:rPr>
              <w:t>s</w:t>
            </w:r>
            <w:r w:rsidRPr="00B45531">
              <w:rPr>
                <w:i/>
                <w:iCs/>
                <w:sz w:val="22"/>
                <w:szCs w:val="22"/>
              </w:rPr>
              <w:t>tephensi</w:t>
            </w:r>
            <w:proofErr w:type="spellEnd"/>
          </w:p>
        </w:tc>
        <w:tc>
          <w:tcPr>
            <w:tcW w:w="2127" w:type="dxa"/>
          </w:tcPr>
          <w:p w14:paraId="689FBEFE" w14:textId="77777777" w:rsidR="00C37194" w:rsidRPr="00B45531" w:rsidRDefault="00C37194" w:rsidP="00501163">
            <w:pPr>
              <w:contextualSpacing/>
              <w:rPr>
                <w:sz w:val="22"/>
                <w:szCs w:val="22"/>
              </w:rPr>
            </w:pPr>
            <w:r w:rsidRPr="00B45531">
              <w:rPr>
                <w:sz w:val="22"/>
                <w:szCs w:val="22"/>
              </w:rPr>
              <w:t>Malaria</w:t>
            </w:r>
          </w:p>
        </w:tc>
        <w:tc>
          <w:tcPr>
            <w:tcW w:w="1317" w:type="dxa"/>
          </w:tcPr>
          <w:p w14:paraId="536EF894" w14:textId="77777777" w:rsidR="00C37194" w:rsidRPr="00B45531" w:rsidRDefault="00C37194" w:rsidP="00501163">
            <w:pPr>
              <w:contextualSpacing/>
              <w:rPr>
                <w:sz w:val="22"/>
                <w:szCs w:val="22"/>
              </w:rPr>
            </w:pPr>
            <w:r w:rsidRPr="00B45531">
              <w:rPr>
                <w:sz w:val="22"/>
                <w:szCs w:val="22"/>
              </w:rPr>
              <w:t>Plasmodium</w:t>
            </w:r>
          </w:p>
        </w:tc>
        <w:tc>
          <w:tcPr>
            <w:tcW w:w="2516" w:type="dxa"/>
          </w:tcPr>
          <w:p w14:paraId="63432B97" w14:textId="43403C81" w:rsidR="00C37194" w:rsidRPr="009E6578" w:rsidRDefault="00C37194" w:rsidP="00501163">
            <w:pPr>
              <w:contextualSpacing/>
              <w:rPr>
                <w:sz w:val="22"/>
                <w:szCs w:val="22"/>
              </w:rPr>
            </w:pPr>
            <w:proofErr w:type="spellStart"/>
            <w:r w:rsidRPr="009E6578">
              <w:rPr>
                <w:sz w:val="22"/>
                <w:szCs w:val="22"/>
              </w:rPr>
              <w:t>Djihinto</w:t>
            </w:r>
            <w:proofErr w:type="spellEnd"/>
            <w:r w:rsidRPr="009E6578">
              <w:rPr>
                <w:sz w:val="22"/>
                <w:szCs w:val="22"/>
              </w:rPr>
              <w:t xml:space="preserve"> </w:t>
            </w:r>
            <w:r w:rsidR="00565EEF" w:rsidRPr="009E6578">
              <w:rPr>
                <w:sz w:val="22"/>
                <w:szCs w:val="22"/>
              </w:rPr>
              <w:t xml:space="preserve">and others, </w:t>
            </w:r>
            <w:r w:rsidRPr="009E6578">
              <w:rPr>
                <w:sz w:val="22"/>
                <w:szCs w:val="22"/>
              </w:rPr>
              <w:t>2022</w:t>
            </w:r>
          </w:p>
        </w:tc>
      </w:tr>
      <w:tr w:rsidR="00C37194" w:rsidRPr="004B6EB5" w14:paraId="3F7EADD1" w14:textId="77777777" w:rsidTr="00501163">
        <w:tc>
          <w:tcPr>
            <w:tcW w:w="1064" w:type="dxa"/>
            <w:vMerge/>
          </w:tcPr>
          <w:p w14:paraId="5B84FB14" w14:textId="77777777" w:rsidR="00C37194" w:rsidRPr="00B45531" w:rsidRDefault="00C37194">
            <w:pPr>
              <w:rPr>
                <w:sz w:val="22"/>
                <w:szCs w:val="22"/>
              </w:rPr>
            </w:pPr>
          </w:p>
        </w:tc>
        <w:tc>
          <w:tcPr>
            <w:tcW w:w="1992" w:type="dxa"/>
            <w:vAlign w:val="center"/>
          </w:tcPr>
          <w:p w14:paraId="17A11213" w14:textId="77777777" w:rsidR="00C37194" w:rsidRPr="00B45531" w:rsidRDefault="00C37194" w:rsidP="007D7B67">
            <w:pPr>
              <w:contextualSpacing/>
              <w:rPr>
                <w:i/>
                <w:iCs/>
                <w:sz w:val="22"/>
                <w:szCs w:val="22"/>
              </w:rPr>
            </w:pPr>
            <w:r w:rsidRPr="00B45531">
              <w:rPr>
                <w:i/>
                <w:iCs/>
                <w:sz w:val="22"/>
                <w:szCs w:val="22"/>
              </w:rPr>
              <w:t xml:space="preserve">Anopheles </w:t>
            </w:r>
            <w:proofErr w:type="spellStart"/>
            <w:r w:rsidRPr="00B45531">
              <w:rPr>
                <w:i/>
                <w:iCs/>
                <w:sz w:val="22"/>
                <w:szCs w:val="22"/>
              </w:rPr>
              <w:t>punctipennis</w:t>
            </w:r>
            <w:proofErr w:type="spellEnd"/>
          </w:p>
        </w:tc>
        <w:tc>
          <w:tcPr>
            <w:tcW w:w="2127" w:type="dxa"/>
          </w:tcPr>
          <w:p w14:paraId="193F1448" w14:textId="77777777" w:rsidR="00C37194" w:rsidRPr="00B45531" w:rsidRDefault="00C37194" w:rsidP="00501163">
            <w:pPr>
              <w:contextualSpacing/>
              <w:rPr>
                <w:sz w:val="22"/>
                <w:szCs w:val="22"/>
              </w:rPr>
            </w:pPr>
            <w:r w:rsidRPr="00B45531">
              <w:rPr>
                <w:sz w:val="22"/>
                <w:szCs w:val="22"/>
              </w:rPr>
              <w:t>Cache Valley fever**</w:t>
            </w:r>
          </w:p>
        </w:tc>
        <w:tc>
          <w:tcPr>
            <w:tcW w:w="1317" w:type="dxa"/>
          </w:tcPr>
          <w:p w14:paraId="23F9DC89" w14:textId="77777777" w:rsidR="00C37194" w:rsidRPr="00B45531" w:rsidRDefault="00C37194" w:rsidP="00501163">
            <w:pPr>
              <w:contextualSpacing/>
              <w:rPr>
                <w:sz w:val="22"/>
                <w:szCs w:val="22"/>
              </w:rPr>
            </w:pPr>
            <w:r w:rsidRPr="00B45531">
              <w:rPr>
                <w:sz w:val="22"/>
                <w:szCs w:val="22"/>
              </w:rPr>
              <w:t>Virus</w:t>
            </w:r>
          </w:p>
        </w:tc>
        <w:tc>
          <w:tcPr>
            <w:tcW w:w="2516" w:type="dxa"/>
          </w:tcPr>
          <w:p w14:paraId="438E2718" w14:textId="125DF1F0" w:rsidR="00C37194" w:rsidRPr="009E6578" w:rsidRDefault="00C37194" w:rsidP="00501163">
            <w:pPr>
              <w:contextualSpacing/>
              <w:rPr>
                <w:sz w:val="22"/>
                <w:szCs w:val="22"/>
              </w:rPr>
            </w:pPr>
            <w:r w:rsidRPr="009E6578">
              <w:rPr>
                <w:sz w:val="22"/>
                <w:szCs w:val="22"/>
              </w:rPr>
              <w:t xml:space="preserve">Waddell </w:t>
            </w:r>
            <w:r w:rsidR="00565EEF" w:rsidRPr="009E6578">
              <w:rPr>
                <w:sz w:val="22"/>
                <w:szCs w:val="22"/>
              </w:rPr>
              <w:t xml:space="preserve">and </w:t>
            </w:r>
            <w:proofErr w:type="gramStart"/>
            <w:r w:rsidR="00565EEF" w:rsidRPr="009E6578">
              <w:rPr>
                <w:sz w:val="22"/>
                <w:szCs w:val="22"/>
              </w:rPr>
              <w:t xml:space="preserve">others, </w:t>
            </w:r>
            <w:r w:rsidRPr="009E6578">
              <w:rPr>
                <w:sz w:val="22"/>
                <w:szCs w:val="22"/>
              </w:rPr>
              <w:t xml:space="preserve"> 2019</w:t>
            </w:r>
            <w:proofErr w:type="gramEnd"/>
          </w:p>
        </w:tc>
      </w:tr>
      <w:tr w:rsidR="00C37194" w:rsidRPr="004B6EB5" w14:paraId="57F58706" w14:textId="77777777" w:rsidTr="00501163">
        <w:tc>
          <w:tcPr>
            <w:tcW w:w="1064" w:type="dxa"/>
            <w:vMerge/>
          </w:tcPr>
          <w:p w14:paraId="79DF0C8E" w14:textId="77777777" w:rsidR="00C37194" w:rsidRPr="00B45531" w:rsidRDefault="00C37194">
            <w:pPr>
              <w:rPr>
                <w:sz w:val="22"/>
                <w:szCs w:val="22"/>
              </w:rPr>
            </w:pPr>
          </w:p>
        </w:tc>
        <w:tc>
          <w:tcPr>
            <w:tcW w:w="1992" w:type="dxa"/>
            <w:vAlign w:val="center"/>
          </w:tcPr>
          <w:p w14:paraId="7CF1976C" w14:textId="492E63E1" w:rsidR="00C37194" w:rsidRPr="00B45531" w:rsidRDefault="00C37194" w:rsidP="007D7B67">
            <w:pPr>
              <w:contextualSpacing/>
              <w:rPr>
                <w:i/>
                <w:iCs/>
                <w:sz w:val="22"/>
                <w:szCs w:val="22"/>
              </w:rPr>
            </w:pPr>
            <w:r w:rsidRPr="00B45531">
              <w:rPr>
                <w:i/>
                <w:iCs/>
                <w:sz w:val="22"/>
                <w:szCs w:val="22"/>
              </w:rPr>
              <w:t xml:space="preserve">An. </w:t>
            </w:r>
            <w:proofErr w:type="spellStart"/>
            <w:r w:rsidR="00030FF2">
              <w:rPr>
                <w:i/>
                <w:iCs/>
                <w:sz w:val="22"/>
                <w:szCs w:val="22"/>
              </w:rPr>
              <w:t>q</w:t>
            </w:r>
            <w:r w:rsidRPr="00B45531">
              <w:rPr>
                <w:i/>
                <w:iCs/>
                <w:sz w:val="22"/>
                <w:szCs w:val="22"/>
              </w:rPr>
              <w:t>uadrimaculatus</w:t>
            </w:r>
            <w:proofErr w:type="spellEnd"/>
          </w:p>
        </w:tc>
        <w:tc>
          <w:tcPr>
            <w:tcW w:w="2127" w:type="dxa"/>
          </w:tcPr>
          <w:p w14:paraId="5B4B038B" w14:textId="77777777" w:rsidR="00C37194" w:rsidRPr="00B45531" w:rsidRDefault="00C37194" w:rsidP="00501163">
            <w:pPr>
              <w:contextualSpacing/>
              <w:rPr>
                <w:sz w:val="22"/>
                <w:szCs w:val="22"/>
              </w:rPr>
            </w:pPr>
            <w:r w:rsidRPr="00B45531">
              <w:rPr>
                <w:sz w:val="22"/>
                <w:szCs w:val="22"/>
              </w:rPr>
              <w:t>Cache Valley fever**</w:t>
            </w:r>
          </w:p>
        </w:tc>
        <w:tc>
          <w:tcPr>
            <w:tcW w:w="1317" w:type="dxa"/>
          </w:tcPr>
          <w:p w14:paraId="67D3C855" w14:textId="77777777" w:rsidR="00C37194" w:rsidRPr="00B45531" w:rsidRDefault="00C37194" w:rsidP="00501163">
            <w:pPr>
              <w:contextualSpacing/>
              <w:rPr>
                <w:sz w:val="22"/>
                <w:szCs w:val="22"/>
              </w:rPr>
            </w:pPr>
            <w:r w:rsidRPr="00B45531">
              <w:rPr>
                <w:sz w:val="22"/>
                <w:szCs w:val="22"/>
              </w:rPr>
              <w:t>Virus</w:t>
            </w:r>
          </w:p>
        </w:tc>
        <w:tc>
          <w:tcPr>
            <w:tcW w:w="2516" w:type="dxa"/>
          </w:tcPr>
          <w:p w14:paraId="42B940BE" w14:textId="39174C32" w:rsidR="00C37194" w:rsidRPr="009E6578" w:rsidRDefault="00C37194" w:rsidP="00501163">
            <w:pPr>
              <w:contextualSpacing/>
              <w:rPr>
                <w:sz w:val="22"/>
                <w:szCs w:val="22"/>
              </w:rPr>
            </w:pPr>
            <w:r w:rsidRPr="009E6578">
              <w:rPr>
                <w:sz w:val="22"/>
                <w:szCs w:val="22"/>
              </w:rPr>
              <w:t xml:space="preserve">Waddell </w:t>
            </w:r>
            <w:r w:rsidR="00565EEF" w:rsidRPr="009E6578">
              <w:rPr>
                <w:sz w:val="22"/>
                <w:szCs w:val="22"/>
              </w:rPr>
              <w:t>and others,</w:t>
            </w:r>
            <w:r w:rsidRPr="009E6578">
              <w:rPr>
                <w:sz w:val="22"/>
                <w:szCs w:val="22"/>
              </w:rPr>
              <w:t xml:space="preserve"> 2019</w:t>
            </w:r>
          </w:p>
        </w:tc>
      </w:tr>
      <w:tr w:rsidR="00C37194" w:rsidRPr="004B6EB5" w14:paraId="5B5E4593" w14:textId="77777777" w:rsidTr="00501163">
        <w:tc>
          <w:tcPr>
            <w:tcW w:w="1064" w:type="dxa"/>
            <w:vMerge/>
          </w:tcPr>
          <w:p w14:paraId="0149CE65" w14:textId="77777777" w:rsidR="00C37194" w:rsidRPr="00B45531" w:rsidRDefault="00C37194">
            <w:pPr>
              <w:rPr>
                <w:sz w:val="22"/>
                <w:szCs w:val="22"/>
              </w:rPr>
            </w:pPr>
          </w:p>
        </w:tc>
        <w:tc>
          <w:tcPr>
            <w:tcW w:w="1992" w:type="dxa"/>
            <w:vAlign w:val="center"/>
          </w:tcPr>
          <w:p w14:paraId="077FAAAC" w14:textId="77777777" w:rsidR="00C37194" w:rsidRPr="00B45531" w:rsidRDefault="00C37194" w:rsidP="007D7B67">
            <w:pPr>
              <w:contextualSpacing/>
              <w:rPr>
                <w:i/>
                <w:iCs/>
                <w:sz w:val="22"/>
                <w:szCs w:val="22"/>
              </w:rPr>
            </w:pPr>
            <w:proofErr w:type="spellStart"/>
            <w:r w:rsidRPr="00B45531">
              <w:rPr>
                <w:i/>
                <w:iCs/>
                <w:sz w:val="22"/>
                <w:szCs w:val="22"/>
              </w:rPr>
              <w:t>Coquillettidia</w:t>
            </w:r>
            <w:proofErr w:type="spellEnd"/>
            <w:r w:rsidRPr="00B45531">
              <w:rPr>
                <w:i/>
                <w:iCs/>
                <w:sz w:val="22"/>
                <w:szCs w:val="22"/>
              </w:rPr>
              <w:t xml:space="preserve"> </w:t>
            </w:r>
            <w:proofErr w:type="spellStart"/>
            <w:r w:rsidRPr="00B45531">
              <w:rPr>
                <w:i/>
                <w:iCs/>
                <w:sz w:val="22"/>
                <w:szCs w:val="22"/>
              </w:rPr>
              <w:t>richiardii</w:t>
            </w:r>
            <w:proofErr w:type="spellEnd"/>
          </w:p>
        </w:tc>
        <w:tc>
          <w:tcPr>
            <w:tcW w:w="2127" w:type="dxa"/>
          </w:tcPr>
          <w:p w14:paraId="47C341E1" w14:textId="77777777" w:rsidR="00C37194" w:rsidRPr="00B45531" w:rsidRDefault="00C37194" w:rsidP="00501163">
            <w:pPr>
              <w:contextualSpacing/>
              <w:rPr>
                <w:sz w:val="22"/>
                <w:szCs w:val="22"/>
              </w:rPr>
            </w:pPr>
            <w:proofErr w:type="spellStart"/>
            <w:r w:rsidRPr="00B45531">
              <w:rPr>
                <w:sz w:val="22"/>
                <w:szCs w:val="22"/>
              </w:rPr>
              <w:t>Sindbis</w:t>
            </w:r>
            <w:proofErr w:type="spellEnd"/>
            <w:r w:rsidRPr="00B45531">
              <w:rPr>
                <w:sz w:val="22"/>
                <w:szCs w:val="22"/>
              </w:rPr>
              <w:t xml:space="preserve"> fever </w:t>
            </w:r>
          </w:p>
        </w:tc>
        <w:tc>
          <w:tcPr>
            <w:tcW w:w="1317" w:type="dxa"/>
          </w:tcPr>
          <w:p w14:paraId="28C33F53"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65612892" w14:textId="4DD2E2FE" w:rsidR="00C37194" w:rsidRPr="009E6578" w:rsidRDefault="00C37194" w:rsidP="00501163">
            <w:pPr>
              <w:contextualSpacing/>
              <w:rPr>
                <w:sz w:val="22"/>
                <w:szCs w:val="22"/>
              </w:rPr>
            </w:pPr>
            <w:proofErr w:type="spellStart"/>
            <w:r w:rsidRPr="009E6578">
              <w:rPr>
                <w:sz w:val="22"/>
                <w:szCs w:val="22"/>
              </w:rPr>
              <w:t>Wilkman</w:t>
            </w:r>
            <w:proofErr w:type="spellEnd"/>
            <w:r w:rsidRPr="009E6578">
              <w:rPr>
                <w:sz w:val="22"/>
                <w:szCs w:val="22"/>
              </w:rPr>
              <w:t xml:space="preserve"> </w:t>
            </w:r>
            <w:r w:rsidR="00565EEF" w:rsidRPr="009E6578">
              <w:rPr>
                <w:sz w:val="22"/>
                <w:szCs w:val="22"/>
              </w:rPr>
              <w:t xml:space="preserve">and others, </w:t>
            </w:r>
            <w:r w:rsidRPr="009E6578">
              <w:rPr>
                <w:sz w:val="22"/>
                <w:szCs w:val="22"/>
              </w:rPr>
              <w:t>2023</w:t>
            </w:r>
          </w:p>
        </w:tc>
      </w:tr>
      <w:tr w:rsidR="00C37194" w:rsidRPr="004B6EB5" w14:paraId="082E65EF" w14:textId="77777777" w:rsidTr="00501163">
        <w:tc>
          <w:tcPr>
            <w:tcW w:w="1064" w:type="dxa"/>
            <w:vMerge/>
          </w:tcPr>
          <w:p w14:paraId="4A9FFEC1" w14:textId="77777777" w:rsidR="00C37194" w:rsidRPr="00B45531" w:rsidRDefault="00C37194">
            <w:pPr>
              <w:rPr>
                <w:sz w:val="22"/>
                <w:szCs w:val="22"/>
              </w:rPr>
            </w:pPr>
          </w:p>
        </w:tc>
        <w:tc>
          <w:tcPr>
            <w:tcW w:w="1992" w:type="dxa"/>
            <w:vAlign w:val="center"/>
          </w:tcPr>
          <w:p w14:paraId="76FD1098" w14:textId="77777777" w:rsidR="00C37194" w:rsidRPr="00B45531" w:rsidRDefault="00C37194" w:rsidP="007D7B67">
            <w:pPr>
              <w:contextualSpacing/>
              <w:rPr>
                <w:i/>
                <w:iCs/>
                <w:sz w:val="22"/>
                <w:szCs w:val="22"/>
              </w:rPr>
            </w:pPr>
            <w:r w:rsidRPr="00B45531">
              <w:rPr>
                <w:i/>
                <w:iCs/>
                <w:sz w:val="22"/>
                <w:szCs w:val="22"/>
              </w:rPr>
              <w:t xml:space="preserve">Culex </w:t>
            </w:r>
            <w:proofErr w:type="spellStart"/>
            <w:r w:rsidRPr="00B45531">
              <w:rPr>
                <w:i/>
                <w:iCs/>
                <w:sz w:val="22"/>
                <w:szCs w:val="22"/>
              </w:rPr>
              <w:t>annulirostris</w:t>
            </w:r>
            <w:proofErr w:type="spellEnd"/>
          </w:p>
        </w:tc>
        <w:tc>
          <w:tcPr>
            <w:tcW w:w="2127" w:type="dxa"/>
          </w:tcPr>
          <w:p w14:paraId="6572994B" w14:textId="77777777" w:rsidR="00C37194" w:rsidRPr="00B45531" w:rsidRDefault="00C37194" w:rsidP="00501163">
            <w:pPr>
              <w:contextualSpacing/>
              <w:rPr>
                <w:sz w:val="22"/>
                <w:szCs w:val="22"/>
              </w:rPr>
            </w:pPr>
            <w:r w:rsidRPr="00B45531">
              <w:rPr>
                <w:sz w:val="22"/>
                <w:szCs w:val="22"/>
              </w:rPr>
              <w:t xml:space="preserve">Murray Valley encephalitis </w:t>
            </w:r>
          </w:p>
        </w:tc>
        <w:tc>
          <w:tcPr>
            <w:tcW w:w="1317" w:type="dxa"/>
          </w:tcPr>
          <w:p w14:paraId="786FB8AC"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710C83EF" w14:textId="2E5B1965" w:rsidR="00C37194" w:rsidRPr="00B45531" w:rsidRDefault="00C37194" w:rsidP="00501163">
            <w:pPr>
              <w:contextualSpacing/>
              <w:rPr>
                <w:sz w:val="22"/>
                <w:szCs w:val="22"/>
              </w:rPr>
            </w:pPr>
            <w:r w:rsidRPr="009E6578">
              <w:rPr>
                <w:sz w:val="22"/>
                <w:szCs w:val="22"/>
              </w:rPr>
              <w:t xml:space="preserve">Braddick </w:t>
            </w:r>
            <w:r w:rsidR="00565EEF" w:rsidRPr="009E6578">
              <w:rPr>
                <w:sz w:val="22"/>
                <w:szCs w:val="22"/>
              </w:rPr>
              <w:t>and others,</w:t>
            </w:r>
            <w:r w:rsidRPr="009E6578">
              <w:rPr>
                <w:sz w:val="22"/>
                <w:szCs w:val="22"/>
              </w:rPr>
              <w:t xml:space="preserve"> 2023</w:t>
            </w:r>
            <w:r w:rsidRPr="00B45531">
              <w:rPr>
                <w:sz w:val="22"/>
                <w:szCs w:val="22"/>
              </w:rPr>
              <w:t xml:space="preserve"> </w:t>
            </w:r>
          </w:p>
        </w:tc>
      </w:tr>
      <w:tr w:rsidR="00C37194" w:rsidRPr="004B6EB5" w14:paraId="253DBFFE" w14:textId="77777777" w:rsidTr="00501163">
        <w:tc>
          <w:tcPr>
            <w:tcW w:w="1064" w:type="dxa"/>
            <w:vMerge/>
          </w:tcPr>
          <w:p w14:paraId="770929E8" w14:textId="77777777" w:rsidR="00C37194" w:rsidRPr="00B45531" w:rsidRDefault="00C37194">
            <w:pPr>
              <w:rPr>
                <w:sz w:val="22"/>
                <w:szCs w:val="22"/>
              </w:rPr>
            </w:pPr>
          </w:p>
        </w:tc>
        <w:tc>
          <w:tcPr>
            <w:tcW w:w="1992" w:type="dxa"/>
            <w:vAlign w:val="center"/>
          </w:tcPr>
          <w:p w14:paraId="3599B04E" w14:textId="768C4222" w:rsidR="00C37194" w:rsidRPr="00B45531" w:rsidRDefault="00C37194" w:rsidP="007D7B67">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00030FF2">
              <w:rPr>
                <w:i/>
                <w:iCs/>
                <w:sz w:val="22"/>
                <w:szCs w:val="22"/>
              </w:rPr>
              <w:t>a</w:t>
            </w:r>
            <w:r w:rsidRPr="00B45531">
              <w:rPr>
                <w:i/>
                <w:iCs/>
                <w:sz w:val="22"/>
                <w:szCs w:val="22"/>
              </w:rPr>
              <w:t>ntennatus</w:t>
            </w:r>
            <w:proofErr w:type="spellEnd"/>
          </w:p>
        </w:tc>
        <w:tc>
          <w:tcPr>
            <w:tcW w:w="2127" w:type="dxa"/>
          </w:tcPr>
          <w:p w14:paraId="640D6019" w14:textId="77777777" w:rsidR="00C37194" w:rsidRPr="00B45531" w:rsidRDefault="00C37194" w:rsidP="00501163">
            <w:pPr>
              <w:contextualSpacing/>
              <w:rPr>
                <w:sz w:val="22"/>
                <w:szCs w:val="22"/>
              </w:rPr>
            </w:pPr>
            <w:r w:rsidRPr="00B45531">
              <w:rPr>
                <w:sz w:val="22"/>
                <w:szCs w:val="22"/>
              </w:rPr>
              <w:t>Rift Valley fever</w:t>
            </w:r>
          </w:p>
        </w:tc>
        <w:tc>
          <w:tcPr>
            <w:tcW w:w="1317" w:type="dxa"/>
          </w:tcPr>
          <w:p w14:paraId="702C8F06"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7877C141" w14:textId="0F313065" w:rsidR="00C37194" w:rsidRPr="00B45531" w:rsidRDefault="00C37194" w:rsidP="00501163">
            <w:pPr>
              <w:contextualSpacing/>
              <w:rPr>
                <w:sz w:val="22"/>
                <w:szCs w:val="22"/>
              </w:rPr>
            </w:pPr>
            <w:proofErr w:type="spellStart"/>
            <w:r w:rsidRPr="009E6578">
              <w:rPr>
                <w:sz w:val="22"/>
                <w:szCs w:val="22"/>
              </w:rPr>
              <w:t>Tantely</w:t>
            </w:r>
            <w:proofErr w:type="spellEnd"/>
            <w:r w:rsidRPr="009E6578">
              <w:rPr>
                <w:sz w:val="22"/>
                <w:szCs w:val="22"/>
              </w:rPr>
              <w:t xml:space="preserve"> </w:t>
            </w:r>
            <w:r w:rsidR="00565EEF" w:rsidRPr="009E6578">
              <w:rPr>
                <w:sz w:val="22"/>
                <w:szCs w:val="22"/>
              </w:rPr>
              <w:t>and others,</w:t>
            </w:r>
            <w:r w:rsidRPr="009E6578">
              <w:rPr>
                <w:sz w:val="22"/>
                <w:szCs w:val="22"/>
              </w:rPr>
              <w:t xml:space="preserve"> 2015</w:t>
            </w:r>
          </w:p>
        </w:tc>
      </w:tr>
      <w:tr w:rsidR="00C37194" w:rsidRPr="004B6EB5" w14:paraId="749DC243" w14:textId="77777777" w:rsidTr="00501163">
        <w:tc>
          <w:tcPr>
            <w:tcW w:w="1064" w:type="dxa"/>
            <w:vMerge/>
          </w:tcPr>
          <w:p w14:paraId="4CFB43F9" w14:textId="77777777" w:rsidR="00C37194" w:rsidRPr="00B45531" w:rsidRDefault="00C37194">
            <w:pPr>
              <w:rPr>
                <w:sz w:val="22"/>
                <w:szCs w:val="22"/>
              </w:rPr>
            </w:pPr>
          </w:p>
        </w:tc>
        <w:tc>
          <w:tcPr>
            <w:tcW w:w="1992" w:type="dxa"/>
            <w:vAlign w:val="center"/>
          </w:tcPr>
          <w:p w14:paraId="5E6B72FC" w14:textId="7AE180E8" w:rsidR="00C37194" w:rsidRPr="00B45531" w:rsidRDefault="00C37194" w:rsidP="007D7B67">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00030FF2">
              <w:rPr>
                <w:i/>
                <w:iCs/>
                <w:sz w:val="22"/>
                <w:szCs w:val="22"/>
              </w:rPr>
              <w:t>n</w:t>
            </w:r>
            <w:r w:rsidRPr="00B45531">
              <w:rPr>
                <w:i/>
                <w:iCs/>
                <w:sz w:val="22"/>
                <w:szCs w:val="22"/>
              </w:rPr>
              <w:t>igripalpus</w:t>
            </w:r>
            <w:proofErr w:type="spellEnd"/>
          </w:p>
        </w:tc>
        <w:tc>
          <w:tcPr>
            <w:tcW w:w="2127" w:type="dxa"/>
          </w:tcPr>
          <w:p w14:paraId="5B270AFB" w14:textId="77777777" w:rsidR="00C37194" w:rsidRPr="00B45531" w:rsidRDefault="00C37194" w:rsidP="00501163">
            <w:pPr>
              <w:contextualSpacing/>
              <w:rPr>
                <w:sz w:val="22"/>
                <w:szCs w:val="22"/>
              </w:rPr>
            </w:pPr>
            <w:r w:rsidRPr="00B45531">
              <w:rPr>
                <w:sz w:val="22"/>
                <w:szCs w:val="22"/>
              </w:rPr>
              <w:t>St. Louis encephalitis</w:t>
            </w:r>
          </w:p>
        </w:tc>
        <w:tc>
          <w:tcPr>
            <w:tcW w:w="1317" w:type="dxa"/>
          </w:tcPr>
          <w:p w14:paraId="03DD2C6F" w14:textId="77777777" w:rsidR="00C37194" w:rsidRPr="00B45531" w:rsidRDefault="00C37194" w:rsidP="00501163">
            <w:pPr>
              <w:contextualSpacing/>
              <w:rPr>
                <w:sz w:val="22"/>
                <w:szCs w:val="22"/>
              </w:rPr>
            </w:pPr>
            <w:r w:rsidRPr="00B45531">
              <w:rPr>
                <w:sz w:val="22"/>
                <w:szCs w:val="22"/>
              </w:rPr>
              <w:t>Virus</w:t>
            </w:r>
          </w:p>
        </w:tc>
        <w:tc>
          <w:tcPr>
            <w:tcW w:w="2516" w:type="dxa"/>
          </w:tcPr>
          <w:p w14:paraId="56FE4B5B" w14:textId="6614A997" w:rsidR="00C37194" w:rsidRPr="009E6578" w:rsidRDefault="00C37194" w:rsidP="00501163">
            <w:pPr>
              <w:contextualSpacing/>
              <w:rPr>
                <w:sz w:val="22"/>
                <w:szCs w:val="22"/>
              </w:rPr>
            </w:pPr>
            <w:r w:rsidRPr="009E6578">
              <w:rPr>
                <w:sz w:val="22"/>
                <w:szCs w:val="22"/>
              </w:rPr>
              <w:t xml:space="preserve">Curren </w:t>
            </w:r>
            <w:r w:rsidR="00565EEF" w:rsidRPr="009E6578">
              <w:rPr>
                <w:sz w:val="22"/>
                <w:szCs w:val="22"/>
              </w:rPr>
              <w:t>and others,</w:t>
            </w:r>
            <w:r w:rsidRPr="009E6578">
              <w:rPr>
                <w:sz w:val="22"/>
                <w:szCs w:val="22"/>
              </w:rPr>
              <w:t xml:space="preserve"> 2018</w:t>
            </w:r>
          </w:p>
        </w:tc>
      </w:tr>
      <w:tr w:rsidR="00C37194" w:rsidRPr="004B6EB5" w14:paraId="02E7E635" w14:textId="77777777" w:rsidTr="00501163">
        <w:tc>
          <w:tcPr>
            <w:tcW w:w="1064" w:type="dxa"/>
            <w:vMerge/>
          </w:tcPr>
          <w:p w14:paraId="63328D3B" w14:textId="77777777" w:rsidR="00C37194" w:rsidRPr="00B45531" w:rsidRDefault="00C37194">
            <w:pPr>
              <w:rPr>
                <w:sz w:val="22"/>
                <w:szCs w:val="22"/>
              </w:rPr>
            </w:pPr>
          </w:p>
        </w:tc>
        <w:tc>
          <w:tcPr>
            <w:tcW w:w="1992" w:type="dxa"/>
            <w:vMerge w:val="restart"/>
            <w:vAlign w:val="center"/>
          </w:tcPr>
          <w:p w14:paraId="25610B3E" w14:textId="0ABA2861" w:rsidR="00C37194" w:rsidRPr="00B45531" w:rsidRDefault="00C37194" w:rsidP="007D7B67">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r w:rsidR="00030FF2">
              <w:rPr>
                <w:i/>
                <w:iCs/>
                <w:sz w:val="22"/>
                <w:szCs w:val="22"/>
              </w:rPr>
              <w:t>p</w:t>
            </w:r>
            <w:r w:rsidRPr="00B45531">
              <w:rPr>
                <w:i/>
                <w:iCs/>
                <w:sz w:val="22"/>
                <w:szCs w:val="22"/>
              </w:rPr>
              <w:t>ipiens</w:t>
            </w:r>
          </w:p>
        </w:tc>
        <w:tc>
          <w:tcPr>
            <w:tcW w:w="2127" w:type="dxa"/>
          </w:tcPr>
          <w:p w14:paraId="16F91833" w14:textId="77777777" w:rsidR="00C37194" w:rsidRPr="00B45531" w:rsidRDefault="00C37194" w:rsidP="00501163">
            <w:pPr>
              <w:contextualSpacing/>
              <w:rPr>
                <w:sz w:val="22"/>
                <w:szCs w:val="22"/>
              </w:rPr>
            </w:pPr>
            <w:r w:rsidRPr="00B45531">
              <w:rPr>
                <w:sz w:val="22"/>
                <w:szCs w:val="22"/>
              </w:rPr>
              <w:t xml:space="preserve">Rift Valley fever </w:t>
            </w:r>
          </w:p>
        </w:tc>
        <w:tc>
          <w:tcPr>
            <w:tcW w:w="1317" w:type="dxa"/>
          </w:tcPr>
          <w:p w14:paraId="6D222BB9"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52F4582F" w14:textId="77777777" w:rsidR="00C37194" w:rsidRPr="009E6578" w:rsidRDefault="00C37194" w:rsidP="00501163">
            <w:pPr>
              <w:contextualSpacing/>
              <w:rPr>
                <w:sz w:val="22"/>
                <w:szCs w:val="22"/>
              </w:rPr>
            </w:pPr>
            <w:r w:rsidRPr="009E6578">
              <w:rPr>
                <w:sz w:val="22"/>
                <w:szCs w:val="22"/>
              </w:rPr>
              <w:t>Foster &amp; Walker, 2019</w:t>
            </w:r>
          </w:p>
        </w:tc>
      </w:tr>
      <w:tr w:rsidR="00C37194" w:rsidRPr="00595939" w14:paraId="2818FC80" w14:textId="77777777" w:rsidTr="00501163">
        <w:tc>
          <w:tcPr>
            <w:tcW w:w="1064" w:type="dxa"/>
            <w:vMerge/>
          </w:tcPr>
          <w:p w14:paraId="15773EA5" w14:textId="77777777" w:rsidR="00C37194" w:rsidRPr="00B45531" w:rsidRDefault="00C37194">
            <w:pPr>
              <w:rPr>
                <w:sz w:val="22"/>
                <w:szCs w:val="22"/>
              </w:rPr>
            </w:pPr>
          </w:p>
        </w:tc>
        <w:tc>
          <w:tcPr>
            <w:tcW w:w="1992" w:type="dxa"/>
            <w:vMerge/>
            <w:vAlign w:val="center"/>
          </w:tcPr>
          <w:p w14:paraId="1AAB0D0C" w14:textId="77777777" w:rsidR="00C37194" w:rsidRPr="00B45531" w:rsidRDefault="00C37194">
            <w:pPr>
              <w:contextualSpacing/>
              <w:jc w:val="center"/>
              <w:rPr>
                <w:i/>
                <w:iCs/>
                <w:sz w:val="22"/>
                <w:szCs w:val="22"/>
              </w:rPr>
            </w:pPr>
          </w:p>
        </w:tc>
        <w:tc>
          <w:tcPr>
            <w:tcW w:w="2127" w:type="dxa"/>
          </w:tcPr>
          <w:p w14:paraId="2F204C51" w14:textId="77777777" w:rsidR="00C37194" w:rsidRPr="00B45531" w:rsidRDefault="00C37194" w:rsidP="00501163">
            <w:pPr>
              <w:contextualSpacing/>
              <w:rPr>
                <w:sz w:val="22"/>
                <w:szCs w:val="22"/>
              </w:rPr>
            </w:pPr>
            <w:r w:rsidRPr="00B45531">
              <w:rPr>
                <w:sz w:val="22"/>
                <w:szCs w:val="22"/>
              </w:rPr>
              <w:t>St. Louis encephalitis</w:t>
            </w:r>
          </w:p>
        </w:tc>
        <w:tc>
          <w:tcPr>
            <w:tcW w:w="1317" w:type="dxa"/>
          </w:tcPr>
          <w:p w14:paraId="051C99CB" w14:textId="77777777" w:rsidR="00C37194" w:rsidRPr="00B45531" w:rsidRDefault="00C37194" w:rsidP="00501163">
            <w:pPr>
              <w:contextualSpacing/>
              <w:rPr>
                <w:sz w:val="22"/>
                <w:szCs w:val="22"/>
              </w:rPr>
            </w:pPr>
            <w:r w:rsidRPr="00B45531">
              <w:rPr>
                <w:sz w:val="22"/>
                <w:szCs w:val="22"/>
              </w:rPr>
              <w:t>Virus</w:t>
            </w:r>
          </w:p>
        </w:tc>
        <w:tc>
          <w:tcPr>
            <w:tcW w:w="2516" w:type="dxa"/>
          </w:tcPr>
          <w:p w14:paraId="3544B678" w14:textId="41BAF1D4" w:rsidR="00C37194" w:rsidRPr="009E6578" w:rsidRDefault="00C37194" w:rsidP="00501163">
            <w:pPr>
              <w:contextualSpacing/>
              <w:rPr>
                <w:sz w:val="22"/>
                <w:szCs w:val="22"/>
              </w:rPr>
            </w:pPr>
            <w:r w:rsidRPr="009E6578">
              <w:rPr>
                <w:sz w:val="22"/>
                <w:szCs w:val="22"/>
              </w:rPr>
              <w:t xml:space="preserve">Curren </w:t>
            </w:r>
            <w:r w:rsidR="00565EEF" w:rsidRPr="009E6578">
              <w:rPr>
                <w:sz w:val="22"/>
                <w:szCs w:val="22"/>
              </w:rPr>
              <w:t>and others,</w:t>
            </w:r>
            <w:r w:rsidRPr="009E6578">
              <w:rPr>
                <w:sz w:val="22"/>
                <w:szCs w:val="22"/>
              </w:rPr>
              <w:t xml:space="preserve"> 2018</w:t>
            </w:r>
          </w:p>
        </w:tc>
      </w:tr>
      <w:tr w:rsidR="00C37194" w:rsidRPr="004B6EB5" w14:paraId="7586D0C6" w14:textId="77777777" w:rsidTr="00501163">
        <w:tc>
          <w:tcPr>
            <w:tcW w:w="1064" w:type="dxa"/>
            <w:vMerge/>
          </w:tcPr>
          <w:p w14:paraId="619B8B59" w14:textId="77777777" w:rsidR="00C37194" w:rsidRPr="00B45531" w:rsidRDefault="00C37194">
            <w:pPr>
              <w:rPr>
                <w:sz w:val="22"/>
                <w:szCs w:val="22"/>
              </w:rPr>
            </w:pPr>
          </w:p>
        </w:tc>
        <w:tc>
          <w:tcPr>
            <w:tcW w:w="1992" w:type="dxa"/>
            <w:vMerge/>
            <w:vAlign w:val="center"/>
          </w:tcPr>
          <w:p w14:paraId="273DAECC" w14:textId="77777777" w:rsidR="00C37194" w:rsidRPr="00B45531" w:rsidRDefault="00C37194">
            <w:pPr>
              <w:contextualSpacing/>
              <w:jc w:val="center"/>
              <w:rPr>
                <w:i/>
                <w:iCs/>
                <w:sz w:val="22"/>
                <w:szCs w:val="22"/>
              </w:rPr>
            </w:pPr>
          </w:p>
        </w:tc>
        <w:tc>
          <w:tcPr>
            <w:tcW w:w="2127" w:type="dxa"/>
          </w:tcPr>
          <w:p w14:paraId="04679D4F" w14:textId="77777777" w:rsidR="00C37194" w:rsidRPr="00B45531" w:rsidRDefault="00C37194" w:rsidP="00501163">
            <w:pPr>
              <w:contextualSpacing/>
              <w:rPr>
                <w:sz w:val="22"/>
                <w:szCs w:val="22"/>
              </w:rPr>
            </w:pPr>
            <w:r w:rsidRPr="00B45531">
              <w:rPr>
                <w:sz w:val="22"/>
                <w:szCs w:val="22"/>
              </w:rPr>
              <w:t>Usutu virus</w:t>
            </w:r>
          </w:p>
        </w:tc>
        <w:tc>
          <w:tcPr>
            <w:tcW w:w="1317" w:type="dxa"/>
          </w:tcPr>
          <w:p w14:paraId="160A80F8" w14:textId="77777777" w:rsidR="00C37194" w:rsidRPr="00B45531" w:rsidRDefault="00C37194" w:rsidP="00501163">
            <w:pPr>
              <w:contextualSpacing/>
              <w:rPr>
                <w:sz w:val="22"/>
                <w:szCs w:val="22"/>
              </w:rPr>
            </w:pPr>
            <w:r w:rsidRPr="00B45531">
              <w:rPr>
                <w:sz w:val="22"/>
                <w:szCs w:val="22"/>
              </w:rPr>
              <w:t>Virus</w:t>
            </w:r>
          </w:p>
        </w:tc>
        <w:tc>
          <w:tcPr>
            <w:tcW w:w="2516" w:type="dxa"/>
          </w:tcPr>
          <w:p w14:paraId="2C027672" w14:textId="3BDC220A" w:rsidR="00C37194" w:rsidRPr="00B45531" w:rsidRDefault="00C37194" w:rsidP="00501163">
            <w:pPr>
              <w:contextualSpacing/>
              <w:rPr>
                <w:sz w:val="22"/>
                <w:szCs w:val="22"/>
              </w:rPr>
            </w:pPr>
            <w:r w:rsidRPr="009E6578">
              <w:rPr>
                <w:sz w:val="22"/>
                <w:szCs w:val="22"/>
              </w:rPr>
              <w:t xml:space="preserve">Braack </w:t>
            </w:r>
            <w:r w:rsidR="00565EEF" w:rsidRPr="009E6578">
              <w:rPr>
                <w:sz w:val="22"/>
                <w:szCs w:val="22"/>
              </w:rPr>
              <w:t>and others,</w:t>
            </w:r>
            <w:r w:rsidRPr="009E6578">
              <w:rPr>
                <w:sz w:val="22"/>
                <w:szCs w:val="22"/>
              </w:rPr>
              <w:t xml:space="preserve"> 2018;</w:t>
            </w:r>
            <w:r w:rsidRPr="00B45531">
              <w:rPr>
                <w:sz w:val="22"/>
                <w:szCs w:val="22"/>
              </w:rPr>
              <w:t xml:space="preserve"> </w:t>
            </w:r>
          </w:p>
        </w:tc>
      </w:tr>
      <w:tr w:rsidR="00C37194" w:rsidRPr="004B6EB5" w14:paraId="3AF70239" w14:textId="77777777" w:rsidTr="00501163">
        <w:trPr>
          <w:trHeight w:val="243"/>
        </w:trPr>
        <w:tc>
          <w:tcPr>
            <w:tcW w:w="1064" w:type="dxa"/>
            <w:vMerge/>
          </w:tcPr>
          <w:p w14:paraId="50042235" w14:textId="77777777" w:rsidR="00C37194" w:rsidRPr="00B45531" w:rsidRDefault="00C37194">
            <w:pPr>
              <w:rPr>
                <w:sz w:val="22"/>
                <w:szCs w:val="22"/>
              </w:rPr>
            </w:pPr>
          </w:p>
        </w:tc>
        <w:tc>
          <w:tcPr>
            <w:tcW w:w="1992" w:type="dxa"/>
            <w:vMerge/>
            <w:vAlign w:val="center"/>
          </w:tcPr>
          <w:p w14:paraId="49A122D8" w14:textId="77777777" w:rsidR="00C37194" w:rsidRPr="00B45531" w:rsidRDefault="00C37194">
            <w:pPr>
              <w:jc w:val="center"/>
              <w:rPr>
                <w:i/>
                <w:iCs/>
                <w:sz w:val="22"/>
                <w:szCs w:val="22"/>
              </w:rPr>
            </w:pPr>
          </w:p>
        </w:tc>
        <w:tc>
          <w:tcPr>
            <w:tcW w:w="2127" w:type="dxa"/>
          </w:tcPr>
          <w:p w14:paraId="45C29F45" w14:textId="77777777" w:rsidR="00C37194" w:rsidRPr="00B45531" w:rsidRDefault="00C37194" w:rsidP="00501163">
            <w:pPr>
              <w:contextualSpacing/>
              <w:rPr>
                <w:sz w:val="22"/>
                <w:szCs w:val="22"/>
              </w:rPr>
            </w:pPr>
            <w:r w:rsidRPr="00B45531">
              <w:rPr>
                <w:sz w:val="22"/>
                <w:szCs w:val="22"/>
              </w:rPr>
              <w:t>West Nile fever</w:t>
            </w:r>
          </w:p>
        </w:tc>
        <w:tc>
          <w:tcPr>
            <w:tcW w:w="1317" w:type="dxa"/>
          </w:tcPr>
          <w:p w14:paraId="5664FBFF" w14:textId="77777777" w:rsidR="00C37194" w:rsidRPr="00B45531" w:rsidRDefault="00C37194" w:rsidP="00501163">
            <w:pPr>
              <w:contextualSpacing/>
              <w:rPr>
                <w:sz w:val="22"/>
                <w:szCs w:val="22"/>
              </w:rPr>
            </w:pPr>
            <w:r w:rsidRPr="00B45531">
              <w:rPr>
                <w:sz w:val="22"/>
                <w:szCs w:val="22"/>
              </w:rPr>
              <w:t>Virus</w:t>
            </w:r>
          </w:p>
        </w:tc>
        <w:tc>
          <w:tcPr>
            <w:tcW w:w="2516" w:type="dxa"/>
          </w:tcPr>
          <w:p w14:paraId="7B244EFC" w14:textId="0712B32D" w:rsidR="00C37194" w:rsidRPr="009E6578" w:rsidRDefault="00C37194" w:rsidP="00501163">
            <w:pPr>
              <w:contextualSpacing/>
              <w:rPr>
                <w:sz w:val="22"/>
                <w:szCs w:val="22"/>
              </w:rPr>
            </w:pPr>
            <w:r w:rsidRPr="009E6578">
              <w:rPr>
                <w:sz w:val="22"/>
                <w:szCs w:val="22"/>
              </w:rPr>
              <w:t xml:space="preserve">Colpitts </w:t>
            </w:r>
            <w:r w:rsidR="00565EEF" w:rsidRPr="009E6578">
              <w:rPr>
                <w:sz w:val="22"/>
                <w:szCs w:val="22"/>
              </w:rPr>
              <w:t>and others,</w:t>
            </w:r>
            <w:r w:rsidRPr="009E6578">
              <w:rPr>
                <w:sz w:val="22"/>
                <w:szCs w:val="22"/>
              </w:rPr>
              <w:t xml:space="preserve"> 2012</w:t>
            </w:r>
          </w:p>
        </w:tc>
      </w:tr>
      <w:tr w:rsidR="00C37194" w:rsidRPr="004B6EB5" w14:paraId="64931E67" w14:textId="77777777" w:rsidTr="00501163">
        <w:tc>
          <w:tcPr>
            <w:tcW w:w="1064" w:type="dxa"/>
            <w:vMerge/>
          </w:tcPr>
          <w:p w14:paraId="311D151B" w14:textId="77777777" w:rsidR="00C37194" w:rsidRPr="00B45531" w:rsidRDefault="00C37194">
            <w:pPr>
              <w:rPr>
                <w:sz w:val="22"/>
                <w:szCs w:val="22"/>
              </w:rPr>
            </w:pPr>
          </w:p>
        </w:tc>
        <w:tc>
          <w:tcPr>
            <w:tcW w:w="1992" w:type="dxa"/>
            <w:vMerge w:val="restart"/>
            <w:vAlign w:val="center"/>
          </w:tcPr>
          <w:p w14:paraId="43BF82D4" w14:textId="329812CD" w:rsidR="00C37194" w:rsidRPr="00B45531" w:rsidRDefault="00C37194" w:rsidP="007D7B67">
            <w:pPr>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00030FF2">
              <w:rPr>
                <w:i/>
                <w:iCs/>
                <w:sz w:val="22"/>
                <w:szCs w:val="22"/>
              </w:rPr>
              <w:t>q</w:t>
            </w:r>
            <w:r w:rsidRPr="00B45531">
              <w:rPr>
                <w:i/>
                <w:iCs/>
                <w:sz w:val="22"/>
                <w:szCs w:val="22"/>
              </w:rPr>
              <w:t>uinquefasciatus</w:t>
            </w:r>
            <w:proofErr w:type="spellEnd"/>
          </w:p>
        </w:tc>
        <w:tc>
          <w:tcPr>
            <w:tcW w:w="2127" w:type="dxa"/>
          </w:tcPr>
          <w:p w14:paraId="250AC693" w14:textId="77777777" w:rsidR="00C37194" w:rsidRPr="00B45531" w:rsidRDefault="00C37194" w:rsidP="00501163">
            <w:pPr>
              <w:contextualSpacing/>
              <w:rPr>
                <w:sz w:val="22"/>
                <w:szCs w:val="22"/>
              </w:rPr>
            </w:pPr>
            <w:r w:rsidRPr="00B45531">
              <w:rPr>
                <w:sz w:val="22"/>
                <w:szCs w:val="22"/>
              </w:rPr>
              <w:t xml:space="preserve">Lymphatic filariasis </w:t>
            </w:r>
          </w:p>
        </w:tc>
        <w:tc>
          <w:tcPr>
            <w:tcW w:w="1317" w:type="dxa"/>
          </w:tcPr>
          <w:p w14:paraId="2970BACA" w14:textId="77777777" w:rsidR="00C37194" w:rsidRPr="00B45531" w:rsidRDefault="00C37194" w:rsidP="00501163">
            <w:pPr>
              <w:contextualSpacing/>
              <w:rPr>
                <w:sz w:val="22"/>
                <w:szCs w:val="22"/>
              </w:rPr>
            </w:pPr>
            <w:r w:rsidRPr="00B45531">
              <w:rPr>
                <w:sz w:val="22"/>
                <w:szCs w:val="22"/>
              </w:rPr>
              <w:t xml:space="preserve">Nematode </w:t>
            </w:r>
          </w:p>
        </w:tc>
        <w:tc>
          <w:tcPr>
            <w:tcW w:w="2516" w:type="dxa"/>
          </w:tcPr>
          <w:p w14:paraId="64BA9280" w14:textId="77777777" w:rsidR="00C37194" w:rsidRPr="00B45531" w:rsidRDefault="00C37194" w:rsidP="00501163">
            <w:pPr>
              <w:contextualSpacing/>
              <w:rPr>
                <w:sz w:val="22"/>
                <w:szCs w:val="22"/>
              </w:rPr>
            </w:pPr>
            <w:r w:rsidRPr="009E6578">
              <w:rPr>
                <w:sz w:val="22"/>
                <w:szCs w:val="22"/>
              </w:rPr>
              <w:t>Foster &amp; Walker, 2019</w:t>
            </w:r>
          </w:p>
        </w:tc>
      </w:tr>
      <w:tr w:rsidR="00C37194" w:rsidRPr="004B6EB5" w14:paraId="46F4BBC2" w14:textId="77777777" w:rsidTr="00501163">
        <w:tc>
          <w:tcPr>
            <w:tcW w:w="1064" w:type="dxa"/>
            <w:vMerge/>
          </w:tcPr>
          <w:p w14:paraId="7B023074" w14:textId="77777777" w:rsidR="00C37194" w:rsidRPr="00B45531" w:rsidRDefault="00C37194">
            <w:pPr>
              <w:rPr>
                <w:sz w:val="22"/>
                <w:szCs w:val="22"/>
              </w:rPr>
            </w:pPr>
          </w:p>
        </w:tc>
        <w:tc>
          <w:tcPr>
            <w:tcW w:w="1992" w:type="dxa"/>
            <w:vMerge/>
            <w:vAlign w:val="center"/>
          </w:tcPr>
          <w:p w14:paraId="1E09C695" w14:textId="77777777" w:rsidR="00C37194" w:rsidRPr="00B45531" w:rsidRDefault="00C37194" w:rsidP="007D7B67">
            <w:pPr>
              <w:rPr>
                <w:i/>
                <w:iCs/>
                <w:sz w:val="22"/>
                <w:szCs w:val="22"/>
              </w:rPr>
            </w:pPr>
          </w:p>
        </w:tc>
        <w:tc>
          <w:tcPr>
            <w:tcW w:w="2127" w:type="dxa"/>
          </w:tcPr>
          <w:p w14:paraId="78140017" w14:textId="77777777" w:rsidR="00C37194" w:rsidRPr="00B45531" w:rsidRDefault="00C37194" w:rsidP="00501163">
            <w:pPr>
              <w:contextualSpacing/>
              <w:rPr>
                <w:sz w:val="22"/>
                <w:szCs w:val="22"/>
              </w:rPr>
            </w:pPr>
            <w:r w:rsidRPr="00B45531">
              <w:rPr>
                <w:sz w:val="22"/>
                <w:szCs w:val="22"/>
              </w:rPr>
              <w:t>St. Louis encephalitis</w:t>
            </w:r>
          </w:p>
        </w:tc>
        <w:tc>
          <w:tcPr>
            <w:tcW w:w="1317" w:type="dxa"/>
          </w:tcPr>
          <w:p w14:paraId="32547AE0" w14:textId="77777777" w:rsidR="00C37194" w:rsidRPr="00B45531" w:rsidRDefault="00C37194" w:rsidP="00501163">
            <w:pPr>
              <w:contextualSpacing/>
              <w:rPr>
                <w:sz w:val="22"/>
                <w:szCs w:val="22"/>
              </w:rPr>
            </w:pPr>
            <w:r w:rsidRPr="00B45531">
              <w:rPr>
                <w:sz w:val="22"/>
                <w:szCs w:val="22"/>
              </w:rPr>
              <w:t>Virus</w:t>
            </w:r>
          </w:p>
        </w:tc>
        <w:tc>
          <w:tcPr>
            <w:tcW w:w="2516" w:type="dxa"/>
          </w:tcPr>
          <w:p w14:paraId="6DFABB6A" w14:textId="73707B25" w:rsidR="00C37194" w:rsidRPr="009E6578" w:rsidRDefault="00C37194" w:rsidP="00501163">
            <w:pPr>
              <w:contextualSpacing/>
              <w:rPr>
                <w:sz w:val="22"/>
                <w:szCs w:val="22"/>
              </w:rPr>
            </w:pPr>
            <w:r w:rsidRPr="009E6578">
              <w:rPr>
                <w:sz w:val="22"/>
                <w:szCs w:val="22"/>
              </w:rPr>
              <w:t xml:space="preserve">Curren </w:t>
            </w:r>
            <w:r w:rsidR="00565EEF" w:rsidRPr="009E6578">
              <w:rPr>
                <w:sz w:val="22"/>
                <w:szCs w:val="22"/>
              </w:rPr>
              <w:t>and others,</w:t>
            </w:r>
            <w:r w:rsidRPr="009E6578">
              <w:rPr>
                <w:sz w:val="22"/>
                <w:szCs w:val="22"/>
              </w:rPr>
              <w:t xml:space="preserve"> 2018</w:t>
            </w:r>
          </w:p>
        </w:tc>
      </w:tr>
      <w:tr w:rsidR="00C37194" w:rsidRPr="004B6EB5" w14:paraId="31B9FB94" w14:textId="77777777" w:rsidTr="00501163">
        <w:tc>
          <w:tcPr>
            <w:tcW w:w="1064" w:type="dxa"/>
            <w:vMerge/>
          </w:tcPr>
          <w:p w14:paraId="35D3CAD5" w14:textId="77777777" w:rsidR="00C37194" w:rsidRPr="00B45531" w:rsidRDefault="00C37194">
            <w:pPr>
              <w:rPr>
                <w:sz w:val="22"/>
                <w:szCs w:val="22"/>
              </w:rPr>
            </w:pPr>
          </w:p>
        </w:tc>
        <w:tc>
          <w:tcPr>
            <w:tcW w:w="1992" w:type="dxa"/>
            <w:vMerge/>
            <w:vAlign w:val="center"/>
          </w:tcPr>
          <w:p w14:paraId="1919208D" w14:textId="77777777" w:rsidR="00C37194" w:rsidRPr="00B45531" w:rsidRDefault="00C37194" w:rsidP="007D7B67">
            <w:pPr>
              <w:rPr>
                <w:i/>
                <w:iCs/>
                <w:sz w:val="22"/>
                <w:szCs w:val="22"/>
              </w:rPr>
            </w:pPr>
          </w:p>
        </w:tc>
        <w:tc>
          <w:tcPr>
            <w:tcW w:w="2127" w:type="dxa"/>
          </w:tcPr>
          <w:p w14:paraId="74028C86" w14:textId="77777777" w:rsidR="00C37194" w:rsidRPr="00B45531" w:rsidRDefault="00C37194" w:rsidP="00501163">
            <w:pPr>
              <w:contextualSpacing/>
              <w:rPr>
                <w:sz w:val="22"/>
                <w:szCs w:val="22"/>
              </w:rPr>
            </w:pPr>
            <w:r w:rsidRPr="00B45531">
              <w:rPr>
                <w:sz w:val="22"/>
                <w:szCs w:val="22"/>
              </w:rPr>
              <w:t>West Nile fever</w:t>
            </w:r>
          </w:p>
        </w:tc>
        <w:tc>
          <w:tcPr>
            <w:tcW w:w="1317" w:type="dxa"/>
          </w:tcPr>
          <w:p w14:paraId="20D5DF93" w14:textId="77777777" w:rsidR="00C37194" w:rsidRPr="00B45531" w:rsidRDefault="00C37194" w:rsidP="00501163">
            <w:pPr>
              <w:contextualSpacing/>
              <w:rPr>
                <w:sz w:val="22"/>
                <w:szCs w:val="22"/>
              </w:rPr>
            </w:pPr>
            <w:r w:rsidRPr="00B45531">
              <w:rPr>
                <w:sz w:val="22"/>
                <w:szCs w:val="22"/>
              </w:rPr>
              <w:t>Virus</w:t>
            </w:r>
          </w:p>
        </w:tc>
        <w:tc>
          <w:tcPr>
            <w:tcW w:w="2516" w:type="dxa"/>
          </w:tcPr>
          <w:p w14:paraId="47EEDDA6" w14:textId="3D312451" w:rsidR="00C37194" w:rsidRPr="009E6578" w:rsidRDefault="00C37194" w:rsidP="00501163">
            <w:pPr>
              <w:contextualSpacing/>
              <w:rPr>
                <w:sz w:val="22"/>
                <w:szCs w:val="22"/>
              </w:rPr>
            </w:pPr>
            <w:r w:rsidRPr="009E6578">
              <w:rPr>
                <w:sz w:val="22"/>
                <w:szCs w:val="22"/>
              </w:rPr>
              <w:t xml:space="preserve">Colpitts </w:t>
            </w:r>
            <w:r w:rsidR="00565EEF" w:rsidRPr="009E6578">
              <w:rPr>
                <w:sz w:val="22"/>
                <w:szCs w:val="22"/>
              </w:rPr>
              <w:t>and others,</w:t>
            </w:r>
            <w:r w:rsidRPr="009E6578">
              <w:rPr>
                <w:sz w:val="22"/>
                <w:szCs w:val="22"/>
              </w:rPr>
              <w:t xml:space="preserve"> 2012</w:t>
            </w:r>
          </w:p>
        </w:tc>
      </w:tr>
      <w:tr w:rsidR="00C37194" w:rsidRPr="00C0700C" w14:paraId="38949742" w14:textId="77777777" w:rsidTr="00501163">
        <w:tc>
          <w:tcPr>
            <w:tcW w:w="1064" w:type="dxa"/>
            <w:vMerge/>
          </w:tcPr>
          <w:p w14:paraId="46F5212D" w14:textId="77777777" w:rsidR="00C37194" w:rsidRPr="00B45531" w:rsidRDefault="00C37194">
            <w:pPr>
              <w:rPr>
                <w:sz w:val="22"/>
                <w:szCs w:val="22"/>
              </w:rPr>
            </w:pPr>
          </w:p>
        </w:tc>
        <w:tc>
          <w:tcPr>
            <w:tcW w:w="1992" w:type="dxa"/>
            <w:vAlign w:val="center"/>
          </w:tcPr>
          <w:p w14:paraId="45068EF8" w14:textId="5B8E7A29" w:rsidR="00C37194" w:rsidRPr="00B45531" w:rsidRDefault="00C37194" w:rsidP="007D7B67">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00030FF2">
              <w:rPr>
                <w:i/>
                <w:iCs/>
                <w:sz w:val="22"/>
                <w:szCs w:val="22"/>
              </w:rPr>
              <w:t>r</w:t>
            </w:r>
            <w:r w:rsidRPr="00B45531">
              <w:rPr>
                <w:i/>
                <w:iCs/>
                <w:sz w:val="22"/>
                <w:szCs w:val="22"/>
              </w:rPr>
              <w:t>ubinotus</w:t>
            </w:r>
            <w:proofErr w:type="spellEnd"/>
          </w:p>
        </w:tc>
        <w:tc>
          <w:tcPr>
            <w:tcW w:w="2127" w:type="dxa"/>
          </w:tcPr>
          <w:p w14:paraId="27A78ED8" w14:textId="77777777" w:rsidR="00C37194" w:rsidRPr="00B45531" w:rsidRDefault="00C37194" w:rsidP="00501163">
            <w:pPr>
              <w:contextualSpacing/>
              <w:rPr>
                <w:sz w:val="22"/>
                <w:szCs w:val="22"/>
              </w:rPr>
            </w:pPr>
            <w:r w:rsidRPr="00B45531">
              <w:rPr>
                <w:sz w:val="22"/>
                <w:szCs w:val="22"/>
              </w:rPr>
              <w:t>Banzi virus</w:t>
            </w:r>
          </w:p>
        </w:tc>
        <w:tc>
          <w:tcPr>
            <w:tcW w:w="1317" w:type="dxa"/>
          </w:tcPr>
          <w:p w14:paraId="621FCAA2" w14:textId="77777777" w:rsidR="00C37194" w:rsidRPr="00B45531" w:rsidRDefault="00C37194" w:rsidP="00501163">
            <w:pPr>
              <w:contextualSpacing/>
              <w:rPr>
                <w:sz w:val="22"/>
                <w:szCs w:val="22"/>
              </w:rPr>
            </w:pPr>
            <w:r w:rsidRPr="00B45531">
              <w:rPr>
                <w:sz w:val="22"/>
                <w:szCs w:val="22"/>
              </w:rPr>
              <w:t>Virus</w:t>
            </w:r>
          </w:p>
        </w:tc>
        <w:tc>
          <w:tcPr>
            <w:tcW w:w="2516" w:type="dxa"/>
          </w:tcPr>
          <w:p w14:paraId="78ADA4B4" w14:textId="55EE05E0" w:rsidR="00C37194" w:rsidRPr="009E6578" w:rsidRDefault="00C37194" w:rsidP="00501163">
            <w:pPr>
              <w:contextualSpacing/>
              <w:rPr>
                <w:sz w:val="22"/>
                <w:lang w:val="en-US"/>
              </w:rPr>
            </w:pPr>
            <w:r w:rsidRPr="009E6578">
              <w:rPr>
                <w:sz w:val="22"/>
                <w:szCs w:val="22"/>
                <w:lang w:val="en-US"/>
              </w:rPr>
              <w:t xml:space="preserve">Braack </w:t>
            </w:r>
            <w:r w:rsidR="00565EEF" w:rsidRPr="009E6578">
              <w:rPr>
                <w:sz w:val="22"/>
                <w:szCs w:val="22"/>
                <w:lang w:val="en-US"/>
              </w:rPr>
              <w:t>and others,</w:t>
            </w:r>
            <w:r w:rsidRPr="009E6578">
              <w:rPr>
                <w:sz w:val="22"/>
                <w:szCs w:val="22"/>
                <w:lang w:val="en-US"/>
              </w:rPr>
              <w:t xml:space="preserve"> 2018; </w:t>
            </w:r>
            <w:proofErr w:type="spellStart"/>
            <w:r w:rsidRPr="009E6578">
              <w:rPr>
                <w:sz w:val="22"/>
                <w:szCs w:val="22"/>
                <w:lang w:val="en-US"/>
              </w:rPr>
              <w:t>MacIntyre</w:t>
            </w:r>
            <w:proofErr w:type="spellEnd"/>
            <w:r w:rsidRPr="009E6578">
              <w:rPr>
                <w:sz w:val="22"/>
                <w:szCs w:val="22"/>
                <w:lang w:val="en-US"/>
              </w:rPr>
              <w:t xml:space="preserve"> </w:t>
            </w:r>
            <w:r w:rsidR="00565EEF" w:rsidRPr="009E6578">
              <w:rPr>
                <w:sz w:val="22"/>
                <w:szCs w:val="22"/>
                <w:lang w:val="en-US"/>
              </w:rPr>
              <w:t>and others,</w:t>
            </w:r>
            <w:r w:rsidRPr="009E6578">
              <w:rPr>
                <w:sz w:val="22"/>
                <w:szCs w:val="22"/>
                <w:lang w:val="en-US"/>
              </w:rPr>
              <w:t xml:space="preserve"> 2023</w:t>
            </w:r>
          </w:p>
        </w:tc>
      </w:tr>
      <w:tr w:rsidR="00C37194" w:rsidRPr="004B6EB5" w14:paraId="1ACD3004" w14:textId="77777777" w:rsidTr="00501163">
        <w:tc>
          <w:tcPr>
            <w:tcW w:w="1064" w:type="dxa"/>
            <w:vMerge/>
          </w:tcPr>
          <w:p w14:paraId="377BA135" w14:textId="77777777" w:rsidR="00C37194" w:rsidRPr="00E64AF4" w:rsidRDefault="00C37194">
            <w:pPr>
              <w:rPr>
                <w:sz w:val="22"/>
                <w:lang w:val="en-US"/>
              </w:rPr>
            </w:pPr>
          </w:p>
        </w:tc>
        <w:tc>
          <w:tcPr>
            <w:tcW w:w="1992" w:type="dxa"/>
            <w:vAlign w:val="center"/>
          </w:tcPr>
          <w:p w14:paraId="1CE44D1E" w14:textId="5C3A27E4" w:rsidR="00C37194" w:rsidRPr="00B45531" w:rsidRDefault="00C37194" w:rsidP="007D7B67">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00030FF2">
              <w:rPr>
                <w:i/>
                <w:iCs/>
                <w:sz w:val="22"/>
                <w:szCs w:val="22"/>
              </w:rPr>
              <w:t>s</w:t>
            </w:r>
            <w:r w:rsidRPr="00B45531">
              <w:rPr>
                <w:i/>
                <w:iCs/>
                <w:sz w:val="22"/>
                <w:szCs w:val="22"/>
              </w:rPr>
              <w:t>tigmatosoma</w:t>
            </w:r>
            <w:proofErr w:type="spellEnd"/>
          </w:p>
        </w:tc>
        <w:tc>
          <w:tcPr>
            <w:tcW w:w="2127" w:type="dxa"/>
          </w:tcPr>
          <w:p w14:paraId="7D6F29B9" w14:textId="77777777" w:rsidR="00C37194" w:rsidRPr="00B45531" w:rsidRDefault="00C37194" w:rsidP="00501163">
            <w:pPr>
              <w:contextualSpacing/>
              <w:rPr>
                <w:sz w:val="22"/>
                <w:szCs w:val="22"/>
              </w:rPr>
            </w:pPr>
            <w:r w:rsidRPr="00B45531">
              <w:rPr>
                <w:sz w:val="22"/>
                <w:szCs w:val="22"/>
              </w:rPr>
              <w:t>West Nile fever</w:t>
            </w:r>
          </w:p>
        </w:tc>
        <w:tc>
          <w:tcPr>
            <w:tcW w:w="1317" w:type="dxa"/>
          </w:tcPr>
          <w:p w14:paraId="2CA09665" w14:textId="77777777" w:rsidR="00C37194" w:rsidRPr="00B45531" w:rsidRDefault="00C37194" w:rsidP="00501163">
            <w:pPr>
              <w:contextualSpacing/>
              <w:rPr>
                <w:sz w:val="22"/>
                <w:szCs w:val="22"/>
              </w:rPr>
            </w:pPr>
            <w:r w:rsidRPr="00B45531">
              <w:rPr>
                <w:sz w:val="22"/>
                <w:szCs w:val="22"/>
              </w:rPr>
              <w:t>Virus</w:t>
            </w:r>
          </w:p>
        </w:tc>
        <w:tc>
          <w:tcPr>
            <w:tcW w:w="2516" w:type="dxa"/>
          </w:tcPr>
          <w:p w14:paraId="27B661A8" w14:textId="2764564A" w:rsidR="00C37194" w:rsidRPr="009E6578" w:rsidRDefault="00C37194" w:rsidP="00501163">
            <w:pPr>
              <w:contextualSpacing/>
              <w:rPr>
                <w:sz w:val="22"/>
                <w:szCs w:val="22"/>
              </w:rPr>
            </w:pPr>
            <w:r w:rsidRPr="009E6578">
              <w:rPr>
                <w:sz w:val="22"/>
                <w:szCs w:val="22"/>
              </w:rPr>
              <w:t xml:space="preserve">Colpitts </w:t>
            </w:r>
            <w:r w:rsidR="00565EEF" w:rsidRPr="009E6578">
              <w:rPr>
                <w:sz w:val="22"/>
                <w:szCs w:val="22"/>
              </w:rPr>
              <w:t>and others,</w:t>
            </w:r>
            <w:r w:rsidRPr="009E6578">
              <w:rPr>
                <w:sz w:val="22"/>
                <w:szCs w:val="22"/>
              </w:rPr>
              <w:t xml:space="preserve"> 2012</w:t>
            </w:r>
          </w:p>
        </w:tc>
      </w:tr>
      <w:tr w:rsidR="00C37194" w:rsidRPr="004B6EB5" w14:paraId="1F63F018" w14:textId="77777777" w:rsidTr="00501163">
        <w:tc>
          <w:tcPr>
            <w:tcW w:w="1064" w:type="dxa"/>
            <w:vMerge/>
          </w:tcPr>
          <w:p w14:paraId="4CB7D5F4" w14:textId="77777777" w:rsidR="00C37194" w:rsidRPr="00B45531" w:rsidRDefault="00C37194">
            <w:pPr>
              <w:rPr>
                <w:sz w:val="22"/>
                <w:szCs w:val="22"/>
              </w:rPr>
            </w:pPr>
          </w:p>
        </w:tc>
        <w:tc>
          <w:tcPr>
            <w:tcW w:w="1992" w:type="dxa"/>
            <w:vMerge w:val="restart"/>
            <w:vAlign w:val="center"/>
          </w:tcPr>
          <w:p w14:paraId="4397DCF0" w14:textId="66ED68CD" w:rsidR="00C37194" w:rsidRPr="00B45531" w:rsidRDefault="00C37194" w:rsidP="007D7B67">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00030FF2">
              <w:rPr>
                <w:i/>
                <w:iCs/>
                <w:sz w:val="22"/>
                <w:szCs w:val="22"/>
              </w:rPr>
              <w:t>t</w:t>
            </w:r>
            <w:r w:rsidRPr="00B45531">
              <w:rPr>
                <w:i/>
                <w:iCs/>
                <w:sz w:val="22"/>
                <w:szCs w:val="22"/>
              </w:rPr>
              <w:t>arsalis</w:t>
            </w:r>
            <w:proofErr w:type="spellEnd"/>
          </w:p>
        </w:tc>
        <w:tc>
          <w:tcPr>
            <w:tcW w:w="2127" w:type="dxa"/>
          </w:tcPr>
          <w:p w14:paraId="3403C139" w14:textId="77777777" w:rsidR="00C37194" w:rsidRPr="00B45531" w:rsidRDefault="00C37194" w:rsidP="00501163">
            <w:pPr>
              <w:contextualSpacing/>
              <w:rPr>
                <w:sz w:val="22"/>
                <w:szCs w:val="22"/>
              </w:rPr>
            </w:pPr>
            <w:r w:rsidRPr="00B45531">
              <w:rPr>
                <w:sz w:val="22"/>
                <w:szCs w:val="22"/>
              </w:rPr>
              <w:t>St. Louis encephalitis</w:t>
            </w:r>
          </w:p>
        </w:tc>
        <w:tc>
          <w:tcPr>
            <w:tcW w:w="1317" w:type="dxa"/>
          </w:tcPr>
          <w:p w14:paraId="0F187FFA" w14:textId="77777777" w:rsidR="00C37194" w:rsidRPr="00B45531" w:rsidRDefault="00C37194" w:rsidP="00501163">
            <w:pPr>
              <w:contextualSpacing/>
              <w:rPr>
                <w:sz w:val="22"/>
                <w:szCs w:val="22"/>
              </w:rPr>
            </w:pPr>
            <w:r w:rsidRPr="00B45531">
              <w:rPr>
                <w:sz w:val="22"/>
                <w:szCs w:val="22"/>
              </w:rPr>
              <w:t>Virus</w:t>
            </w:r>
          </w:p>
        </w:tc>
        <w:tc>
          <w:tcPr>
            <w:tcW w:w="2516" w:type="dxa"/>
          </w:tcPr>
          <w:p w14:paraId="39F24C3F" w14:textId="2BBD6102" w:rsidR="00C37194" w:rsidRPr="009E6578" w:rsidRDefault="00C37194" w:rsidP="00501163">
            <w:pPr>
              <w:contextualSpacing/>
              <w:rPr>
                <w:sz w:val="22"/>
                <w:szCs w:val="22"/>
              </w:rPr>
            </w:pPr>
            <w:r w:rsidRPr="009E6578">
              <w:rPr>
                <w:sz w:val="22"/>
                <w:szCs w:val="22"/>
              </w:rPr>
              <w:t xml:space="preserve">Curren </w:t>
            </w:r>
            <w:r w:rsidR="00565EEF" w:rsidRPr="009E6578">
              <w:rPr>
                <w:sz w:val="22"/>
                <w:szCs w:val="22"/>
              </w:rPr>
              <w:t xml:space="preserve">and others, </w:t>
            </w:r>
            <w:r w:rsidRPr="009E6578">
              <w:rPr>
                <w:sz w:val="22"/>
                <w:szCs w:val="22"/>
              </w:rPr>
              <w:t>2018</w:t>
            </w:r>
          </w:p>
        </w:tc>
      </w:tr>
      <w:tr w:rsidR="00C37194" w:rsidRPr="004B6EB5" w14:paraId="17CF83B8" w14:textId="77777777" w:rsidTr="00501163">
        <w:tc>
          <w:tcPr>
            <w:tcW w:w="1064" w:type="dxa"/>
            <w:vMerge/>
          </w:tcPr>
          <w:p w14:paraId="57FE8F13" w14:textId="77777777" w:rsidR="00C37194" w:rsidRPr="00B45531" w:rsidRDefault="00C37194">
            <w:pPr>
              <w:rPr>
                <w:sz w:val="22"/>
                <w:szCs w:val="22"/>
              </w:rPr>
            </w:pPr>
          </w:p>
        </w:tc>
        <w:tc>
          <w:tcPr>
            <w:tcW w:w="1992" w:type="dxa"/>
            <w:vMerge/>
            <w:vAlign w:val="center"/>
          </w:tcPr>
          <w:p w14:paraId="5BC3BB3F" w14:textId="77777777" w:rsidR="00C37194" w:rsidRPr="00B45531" w:rsidRDefault="00C37194">
            <w:pPr>
              <w:contextualSpacing/>
              <w:jc w:val="center"/>
              <w:rPr>
                <w:i/>
                <w:iCs/>
                <w:sz w:val="22"/>
                <w:szCs w:val="22"/>
              </w:rPr>
            </w:pPr>
          </w:p>
        </w:tc>
        <w:tc>
          <w:tcPr>
            <w:tcW w:w="2127" w:type="dxa"/>
          </w:tcPr>
          <w:p w14:paraId="7EF33693" w14:textId="77777777" w:rsidR="00C37194" w:rsidRPr="00B45531" w:rsidRDefault="00C37194" w:rsidP="00501163">
            <w:pPr>
              <w:contextualSpacing/>
              <w:rPr>
                <w:sz w:val="22"/>
                <w:szCs w:val="22"/>
              </w:rPr>
            </w:pPr>
            <w:r w:rsidRPr="00B45531">
              <w:rPr>
                <w:sz w:val="22"/>
                <w:szCs w:val="22"/>
              </w:rPr>
              <w:t>West Nile fever</w:t>
            </w:r>
          </w:p>
        </w:tc>
        <w:tc>
          <w:tcPr>
            <w:tcW w:w="1317" w:type="dxa"/>
          </w:tcPr>
          <w:p w14:paraId="5381ABAC" w14:textId="77777777" w:rsidR="00C37194" w:rsidRPr="00B45531" w:rsidRDefault="00C37194" w:rsidP="00501163">
            <w:pPr>
              <w:contextualSpacing/>
              <w:rPr>
                <w:sz w:val="22"/>
                <w:szCs w:val="22"/>
              </w:rPr>
            </w:pPr>
            <w:r w:rsidRPr="00B45531">
              <w:rPr>
                <w:sz w:val="22"/>
                <w:szCs w:val="22"/>
              </w:rPr>
              <w:t>Virus</w:t>
            </w:r>
          </w:p>
        </w:tc>
        <w:tc>
          <w:tcPr>
            <w:tcW w:w="2516" w:type="dxa"/>
          </w:tcPr>
          <w:p w14:paraId="30A3D282" w14:textId="6A685D02" w:rsidR="00C37194" w:rsidRPr="009E6578" w:rsidRDefault="00C37194" w:rsidP="00501163">
            <w:pPr>
              <w:contextualSpacing/>
              <w:rPr>
                <w:sz w:val="22"/>
                <w:szCs w:val="22"/>
              </w:rPr>
            </w:pPr>
            <w:r w:rsidRPr="009E6578">
              <w:rPr>
                <w:sz w:val="22"/>
                <w:szCs w:val="22"/>
              </w:rPr>
              <w:t xml:space="preserve">Colpitts </w:t>
            </w:r>
            <w:r w:rsidR="00565EEF" w:rsidRPr="009E6578">
              <w:rPr>
                <w:sz w:val="22"/>
                <w:szCs w:val="22"/>
              </w:rPr>
              <w:t xml:space="preserve">and others, </w:t>
            </w:r>
            <w:r w:rsidRPr="009E6578">
              <w:rPr>
                <w:sz w:val="22"/>
                <w:szCs w:val="22"/>
              </w:rPr>
              <w:t>2012</w:t>
            </w:r>
          </w:p>
        </w:tc>
      </w:tr>
      <w:tr w:rsidR="00C37194" w:rsidRPr="004B6EB5" w14:paraId="63966887" w14:textId="77777777" w:rsidTr="00501163">
        <w:tc>
          <w:tcPr>
            <w:tcW w:w="1064" w:type="dxa"/>
            <w:vMerge/>
          </w:tcPr>
          <w:p w14:paraId="0EFCF00E" w14:textId="77777777" w:rsidR="00C37194" w:rsidRPr="00B45531" w:rsidRDefault="00C37194">
            <w:pPr>
              <w:rPr>
                <w:sz w:val="22"/>
                <w:szCs w:val="22"/>
              </w:rPr>
            </w:pPr>
          </w:p>
        </w:tc>
        <w:tc>
          <w:tcPr>
            <w:tcW w:w="1992" w:type="dxa"/>
            <w:vAlign w:val="center"/>
          </w:tcPr>
          <w:p w14:paraId="18920422" w14:textId="219C0BA8" w:rsidR="00C37194" w:rsidRPr="00B45531" w:rsidRDefault="00C37194" w:rsidP="007D7B67">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00030FF2">
              <w:rPr>
                <w:i/>
                <w:iCs/>
                <w:sz w:val="22"/>
                <w:szCs w:val="22"/>
              </w:rPr>
              <w:t>t</w:t>
            </w:r>
            <w:r w:rsidRPr="00B45531">
              <w:rPr>
                <w:i/>
                <w:iCs/>
                <w:sz w:val="22"/>
                <w:szCs w:val="22"/>
              </w:rPr>
              <w:t>hriambus</w:t>
            </w:r>
            <w:proofErr w:type="spellEnd"/>
          </w:p>
        </w:tc>
        <w:tc>
          <w:tcPr>
            <w:tcW w:w="2127" w:type="dxa"/>
          </w:tcPr>
          <w:p w14:paraId="34B544EC" w14:textId="77777777" w:rsidR="00C37194" w:rsidRPr="00B45531" w:rsidRDefault="00C37194" w:rsidP="00501163">
            <w:pPr>
              <w:contextualSpacing/>
              <w:rPr>
                <w:sz w:val="22"/>
                <w:szCs w:val="22"/>
              </w:rPr>
            </w:pPr>
            <w:r w:rsidRPr="00B45531">
              <w:rPr>
                <w:sz w:val="22"/>
                <w:szCs w:val="22"/>
              </w:rPr>
              <w:t>West Nile fever</w:t>
            </w:r>
          </w:p>
        </w:tc>
        <w:tc>
          <w:tcPr>
            <w:tcW w:w="1317" w:type="dxa"/>
          </w:tcPr>
          <w:p w14:paraId="2921F0E5" w14:textId="77777777" w:rsidR="00C37194" w:rsidRPr="00B45531" w:rsidRDefault="00C37194" w:rsidP="00501163">
            <w:pPr>
              <w:contextualSpacing/>
              <w:rPr>
                <w:sz w:val="22"/>
                <w:szCs w:val="22"/>
              </w:rPr>
            </w:pPr>
            <w:r w:rsidRPr="00B45531">
              <w:rPr>
                <w:sz w:val="22"/>
                <w:szCs w:val="22"/>
              </w:rPr>
              <w:t>Virus</w:t>
            </w:r>
          </w:p>
        </w:tc>
        <w:tc>
          <w:tcPr>
            <w:tcW w:w="2516" w:type="dxa"/>
          </w:tcPr>
          <w:p w14:paraId="16234EE5" w14:textId="40C50B5D" w:rsidR="00C37194" w:rsidRPr="009E6578" w:rsidRDefault="00C37194" w:rsidP="00501163">
            <w:pPr>
              <w:contextualSpacing/>
              <w:rPr>
                <w:sz w:val="22"/>
                <w:szCs w:val="22"/>
              </w:rPr>
            </w:pPr>
            <w:r w:rsidRPr="009E6578">
              <w:rPr>
                <w:sz w:val="22"/>
                <w:szCs w:val="22"/>
              </w:rPr>
              <w:t xml:space="preserve">Colpitts </w:t>
            </w:r>
            <w:r w:rsidR="00565EEF" w:rsidRPr="009E6578">
              <w:rPr>
                <w:sz w:val="22"/>
                <w:szCs w:val="22"/>
              </w:rPr>
              <w:t xml:space="preserve">and </w:t>
            </w:r>
            <w:proofErr w:type="gramStart"/>
            <w:r w:rsidR="00565EEF" w:rsidRPr="009E6578">
              <w:rPr>
                <w:sz w:val="22"/>
                <w:szCs w:val="22"/>
              </w:rPr>
              <w:t xml:space="preserve">others, </w:t>
            </w:r>
            <w:r w:rsidRPr="009E6578">
              <w:rPr>
                <w:sz w:val="22"/>
                <w:szCs w:val="22"/>
              </w:rPr>
              <w:t xml:space="preserve"> 2012</w:t>
            </w:r>
            <w:proofErr w:type="gramEnd"/>
          </w:p>
        </w:tc>
      </w:tr>
      <w:tr w:rsidR="00C37194" w:rsidRPr="004B6EB5" w14:paraId="6002AF85" w14:textId="77777777" w:rsidTr="00501163">
        <w:tc>
          <w:tcPr>
            <w:tcW w:w="1064" w:type="dxa"/>
            <w:vMerge/>
          </w:tcPr>
          <w:p w14:paraId="1C34EBDF" w14:textId="77777777" w:rsidR="00C37194" w:rsidRPr="00B45531" w:rsidRDefault="00C37194">
            <w:pPr>
              <w:rPr>
                <w:sz w:val="22"/>
                <w:szCs w:val="22"/>
              </w:rPr>
            </w:pPr>
          </w:p>
        </w:tc>
        <w:tc>
          <w:tcPr>
            <w:tcW w:w="1992" w:type="dxa"/>
            <w:vAlign w:val="center"/>
          </w:tcPr>
          <w:p w14:paraId="354981E9" w14:textId="66869036" w:rsidR="00C37194" w:rsidRPr="00B45531" w:rsidRDefault="00C37194" w:rsidP="007D7B67">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00030FF2">
              <w:rPr>
                <w:i/>
                <w:iCs/>
                <w:sz w:val="22"/>
                <w:szCs w:val="22"/>
              </w:rPr>
              <w:t>t</w:t>
            </w:r>
            <w:r w:rsidRPr="00B45531">
              <w:rPr>
                <w:i/>
                <w:iCs/>
                <w:sz w:val="22"/>
                <w:szCs w:val="22"/>
              </w:rPr>
              <w:t>ritaeniorhynchus</w:t>
            </w:r>
            <w:proofErr w:type="spellEnd"/>
          </w:p>
        </w:tc>
        <w:tc>
          <w:tcPr>
            <w:tcW w:w="2127" w:type="dxa"/>
          </w:tcPr>
          <w:p w14:paraId="60098E73" w14:textId="77777777" w:rsidR="00C37194" w:rsidRPr="00B45531" w:rsidRDefault="00C37194" w:rsidP="00501163">
            <w:pPr>
              <w:contextualSpacing/>
              <w:rPr>
                <w:sz w:val="22"/>
                <w:szCs w:val="22"/>
              </w:rPr>
            </w:pPr>
            <w:r w:rsidRPr="00B45531">
              <w:rPr>
                <w:sz w:val="22"/>
                <w:szCs w:val="22"/>
              </w:rPr>
              <w:t xml:space="preserve">Japanese encephalitis </w:t>
            </w:r>
          </w:p>
        </w:tc>
        <w:tc>
          <w:tcPr>
            <w:tcW w:w="1317" w:type="dxa"/>
          </w:tcPr>
          <w:p w14:paraId="69AAC491"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5743D301" w14:textId="6251CF5E" w:rsidR="00C37194" w:rsidRPr="00B45531" w:rsidRDefault="00C37194" w:rsidP="00501163">
            <w:pPr>
              <w:contextualSpacing/>
              <w:rPr>
                <w:sz w:val="22"/>
                <w:szCs w:val="22"/>
              </w:rPr>
            </w:pPr>
            <w:r w:rsidRPr="009E6578">
              <w:rPr>
                <w:sz w:val="22"/>
                <w:szCs w:val="22"/>
              </w:rPr>
              <w:t xml:space="preserve">Lessard </w:t>
            </w:r>
            <w:r w:rsidR="00565EEF" w:rsidRPr="009E6578">
              <w:rPr>
                <w:sz w:val="22"/>
                <w:szCs w:val="22"/>
              </w:rPr>
              <w:t>and others,</w:t>
            </w:r>
            <w:r w:rsidRPr="009E6578">
              <w:rPr>
                <w:sz w:val="22"/>
                <w:szCs w:val="22"/>
              </w:rPr>
              <w:t xml:space="preserve"> 2021</w:t>
            </w:r>
          </w:p>
        </w:tc>
      </w:tr>
      <w:tr w:rsidR="00C37194" w:rsidRPr="004B6EB5" w14:paraId="5FF8AD35" w14:textId="77777777" w:rsidTr="00501163">
        <w:tc>
          <w:tcPr>
            <w:tcW w:w="1064" w:type="dxa"/>
            <w:vMerge/>
          </w:tcPr>
          <w:p w14:paraId="62145935" w14:textId="77777777" w:rsidR="00C37194" w:rsidRPr="00B45531" w:rsidRDefault="00C37194">
            <w:pPr>
              <w:rPr>
                <w:sz w:val="22"/>
                <w:szCs w:val="22"/>
              </w:rPr>
            </w:pPr>
          </w:p>
        </w:tc>
        <w:tc>
          <w:tcPr>
            <w:tcW w:w="1992" w:type="dxa"/>
            <w:vAlign w:val="center"/>
          </w:tcPr>
          <w:p w14:paraId="41AF2291" w14:textId="5953CAB0" w:rsidR="00C37194" w:rsidRPr="00B45531" w:rsidRDefault="00C37194" w:rsidP="007D7B67">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00030FF2">
              <w:rPr>
                <w:i/>
                <w:iCs/>
                <w:sz w:val="22"/>
                <w:szCs w:val="22"/>
              </w:rPr>
              <w:t>u</w:t>
            </w:r>
            <w:r w:rsidRPr="00B45531">
              <w:rPr>
                <w:i/>
                <w:iCs/>
                <w:sz w:val="22"/>
                <w:szCs w:val="22"/>
              </w:rPr>
              <w:t>nivittatus</w:t>
            </w:r>
            <w:proofErr w:type="spellEnd"/>
          </w:p>
        </w:tc>
        <w:tc>
          <w:tcPr>
            <w:tcW w:w="2127" w:type="dxa"/>
          </w:tcPr>
          <w:p w14:paraId="76CDE61F" w14:textId="77777777" w:rsidR="00C37194" w:rsidRPr="00B45531" w:rsidRDefault="00C37194" w:rsidP="00501163">
            <w:pPr>
              <w:contextualSpacing/>
              <w:rPr>
                <w:sz w:val="22"/>
                <w:szCs w:val="22"/>
              </w:rPr>
            </w:pPr>
            <w:r w:rsidRPr="00B45531">
              <w:rPr>
                <w:sz w:val="22"/>
                <w:szCs w:val="22"/>
              </w:rPr>
              <w:t xml:space="preserve">West Nile Virus </w:t>
            </w:r>
          </w:p>
        </w:tc>
        <w:tc>
          <w:tcPr>
            <w:tcW w:w="1317" w:type="dxa"/>
          </w:tcPr>
          <w:p w14:paraId="54021E1C"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7049F2E8" w14:textId="778D2828" w:rsidR="00C37194" w:rsidRPr="00B45531" w:rsidRDefault="00C37194" w:rsidP="00501163">
            <w:pPr>
              <w:contextualSpacing/>
              <w:rPr>
                <w:sz w:val="22"/>
                <w:szCs w:val="22"/>
              </w:rPr>
            </w:pPr>
            <w:r w:rsidRPr="009E6578">
              <w:rPr>
                <w:sz w:val="22"/>
                <w:szCs w:val="22"/>
              </w:rPr>
              <w:t xml:space="preserve">Cornel </w:t>
            </w:r>
            <w:r w:rsidR="00565EEF" w:rsidRPr="009E6578">
              <w:rPr>
                <w:sz w:val="22"/>
                <w:szCs w:val="22"/>
              </w:rPr>
              <w:t>and others,</w:t>
            </w:r>
            <w:r w:rsidRPr="009E6578">
              <w:rPr>
                <w:sz w:val="22"/>
                <w:szCs w:val="22"/>
              </w:rPr>
              <w:t xml:space="preserve"> 1993</w:t>
            </w:r>
          </w:p>
        </w:tc>
      </w:tr>
      <w:tr w:rsidR="00C37194" w:rsidRPr="004B6EB5" w14:paraId="73B8958A" w14:textId="77777777" w:rsidTr="00501163">
        <w:tc>
          <w:tcPr>
            <w:tcW w:w="1064" w:type="dxa"/>
            <w:vMerge/>
          </w:tcPr>
          <w:p w14:paraId="6219BF11" w14:textId="77777777" w:rsidR="00C37194" w:rsidRPr="00B45531" w:rsidRDefault="00C37194">
            <w:pPr>
              <w:rPr>
                <w:sz w:val="22"/>
                <w:szCs w:val="22"/>
              </w:rPr>
            </w:pPr>
          </w:p>
        </w:tc>
        <w:tc>
          <w:tcPr>
            <w:tcW w:w="1992" w:type="dxa"/>
            <w:vAlign w:val="center"/>
          </w:tcPr>
          <w:p w14:paraId="10C3CFD6" w14:textId="7FFFB0A2" w:rsidR="00C37194" w:rsidRPr="00B45531" w:rsidRDefault="00C37194" w:rsidP="007D7B67">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00030FF2">
              <w:rPr>
                <w:i/>
                <w:iCs/>
                <w:sz w:val="22"/>
                <w:szCs w:val="22"/>
              </w:rPr>
              <w:t>v</w:t>
            </w:r>
            <w:r w:rsidRPr="00B45531">
              <w:rPr>
                <w:i/>
                <w:iCs/>
                <w:sz w:val="22"/>
                <w:szCs w:val="22"/>
              </w:rPr>
              <w:t>ishnui</w:t>
            </w:r>
            <w:proofErr w:type="spellEnd"/>
          </w:p>
        </w:tc>
        <w:tc>
          <w:tcPr>
            <w:tcW w:w="2127" w:type="dxa"/>
          </w:tcPr>
          <w:p w14:paraId="4309045B" w14:textId="77777777" w:rsidR="00C37194" w:rsidRPr="00B45531" w:rsidRDefault="00C37194" w:rsidP="00501163">
            <w:pPr>
              <w:contextualSpacing/>
              <w:rPr>
                <w:sz w:val="22"/>
                <w:szCs w:val="22"/>
              </w:rPr>
            </w:pPr>
            <w:r w:rsidRPr="00B45531">
              <w:rPr>
                <w:sz w:val="22"/>
                <w:szCs w:val="22"/>
              </w:rPr>
              <w:t>Japanese encephalitis</w:t>
            </w:r>
          </w:p>
        </w:tc>
        <w:tc>
          <w:tcPr>
            <w:tcW w:w="1317" w:type="dxa"/>
          </w:tcPr>
          <w:p w14:paraId="4BF8F910"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2977CB22" w14:textId="7D4A6CA8" w:rsidR="00C37194" w:rsidRPr="00B45531" w:rsidRDefault="00C37194" w:rsidP="00501163">
            <w:pPr>
              <w:contextualSpacing/>
              <w:rPr>
                <w:sz w:val="22"/>
                <w:szCs w:val="22"/>
              </w:rPr>
            </w:pPr>
            <w:proofErr w:type="spellStart"/>
            <w:r w:rsidRPr="009E6578">
              <w:rPr>
                <w:sz w:val="22"/>
                <w:szCs w:val="22"/>
              </w:rPr>
              <w:t>Maquart</w:t>
            </w:r>
            <w:proofErr w:type="spellEnd"/>
            <w:r w:rsidRPr="009E6578">
              <w:rPr>
                <w:sz w:val="22"/>
                <w:szCs w:val="22"/>
              </w:rPr>
              <w:t xml:space="preserve"> </w:t>
            </w:r>
            <w:r w:rsidR="00565EEF" w:rsidRPr="009E6578">
              <w:rPr>
                <w:sz w:val="22"/>
                <w:szCs w:val="22"/>
              </w:rPr>
              <w:t xml:space="preserve">and </w:t>
            </w:r>
            <w:proofErr w:type="gramStart"/>
            <w:r w:rsidR="00565EEF" w:rsidRPr="009E6578">
              <w:rPr>
                <w:sz w:val="22"/>
                <w:szCs w:val="22"/>
              </w:rPr>
              <w:t xml:space="preserve">others, </w:t>
            </w:r>
            <w:r w:rsidRPr="009E6578">
              <w:rPr>
                <w:sz w:val="22"/>
                <w:szCs w:val="22"/>
              </w:rPr>
              <w:t xml:space="preserve"> 2022</w:t>
            </w:r>
            <w:proofErr w:type="gramEnd"/>
          </w:p>
        </w:tc>
      </w:tr>
      <w:tr w:rsidR="00C37194" w:rsidRPr="00D5247F" w14:paraId="4103E447" w14:textId="77777777" w:rsidTr="00501163">
        <w:tc>
          <w:tcPr>
            <w:tcW w:w="1064" w:type="dxa"/>
            <w:vMerge/>
          </w:tcPr>
          <w:p w14:paraId="0B4DC633" w14:textId="77777777" w:rsidR="00C37194" w:rsidRPr="00B45531" w:rsidRDefault="00C37194">
            <w:pPr>
              <w:rPr>
                <w:sz w:val="22"/>
                <w:szCs w:val="22"/>
              </w:rPr>
            </w:pPr>
          </w:p>
        </w:tc>
        <w:tc>
          <w:tcPr>
            <w:tcW w:w="1992" w:type="dxa"/>
            <w:vMerge w:val="restart"/>
            <w:vAlign w:val="center"/>
          </w:tcPr>
          <w:p w14:paraId="41B937C4" w14:textId="77777777" w:rsidR="00C37194" w:rsidRPr="00B45531" w:rsidRDefault="00C37194" w:rsidP="007D7B67">
            <w:pPr>
              <w:contextualSpacing/>
              <w:rPr>
                <w:i/>
                <w:iCs/>
                <w:sz w:val="22"/>
                <w:szCs w:val="22"/>
              </w:rPr>
            </w:pPr>
            <w:proofErr w:type="spellStart"/>
            <w:r w:rsidRPr="00B45531">
              <w:rPr>
                <w:i/>
                <w:iCs/>
                <w:sz w:val="22"/>
                <w:szCs w:val="22"/>
              </w:rPr>
              <w:t>Haemagogus</w:t>
            </w:r>
            <w:proofErr w:type="spellEnd"/>
            <w:r w:rsidRPr="00B45531">
              <w:rPr>
                <w:i/>
                <w:iCs/>
                <w:sz w:val="22"/>
                <w:szCs w:val="22"/>
              </w:rPr>
              <w:t xml:space="preserve"> </w:t>
            </w:r>
            <w:proofErr w:type="spellStart"/>
            <w:r w:rsidRPr="00B45531">
              <w:rPr>
                <w:i/>
                <w:iCs/>
                <w:sz w:val="22"/>
                <w:szCs w:val="22"/>
              </w:rPr>
              <w:t>janthinomys</w:t>
            </w:r>
            <w:proofErr w:type="spellEnd"/>
          </w:p>
        </w:tc>
        <w:tc>
          <w:tcPr>
            <w:tcW w:w="2127" w:type="dxa"/>
          </w:tcPr>
          <w:p w14:paraId="799D3E9B" w14:textId="77777777" w:rsidR="00C37194" w:rsidRPr="00B45531" w:rsidRDefault="00C37194" w:rsidP="00501163">
            <w:pPr>
              <w:contextualSpacing/>
              <w:rPr>
                <w:sz w:val="22"/>
                <w:szCs w:val="22"/>
              </w:rPr>
            </w:pPr>
            <w:r w:rsidRPr="00B45531">
              <w:rPr>
                <w:sz w:val="22"/>
                <w:szCs w:val="22"/>
              </w:rPr>
              <w:t>Mayaro fever</w:t>
            </w:r>
          </w:p>
        </w:tc>
        <w:tc>
          <w:tcPr>
            <w:tcW w:w="1317" w:type="dxa"/>
          </w:tcPr>
          <w:p w14:paraId="2077A96F" w14:textId="77777777" w:rsidR="00C37194" w:rsidRPr="00B45531" w:rsidRDefault="00C37194" w:rsidP="00501163">
            <w:pPr>
              <w:contextualSpacing/>
              <w:rPr>
                <w:sz w:val="22"/>
                <w:szCs w:val="22"/>
              </w:rPr>
            </w:pPr>
            <w:r w:rsidRPr="00B45531">
              <w:rPr>
                <w:sz w:val="22"/>
                <w:szCs w:val="22"/>
              </w:rPr>
              <w:t>Virus</w:t>
            </w:r>
          </w:p>
        </w:tc>
        <w:tc>
          <w:tcPr>
            <w:tcW w:w="2516" w:type="dxa"/>
          </w:tcPr>
          <w:p w14:paraId="29ABDB2C" w14:textId="51650078" w:rsidR="00C37194" w:rsidRPr="007409BA" w:rsidRDefault="00C37194" w:rsidP="00501163">
            <w:pPr>
              <w:contextualSpacing/>
              <w:rPr>
                <w:sz w:val="22"/>
                <w:lang w:val="en-US"/>
              </w:rPr>
            </w:pPr>
            <w:r w:rsidRPr="009E6578">
              <w:rPr>
                <w:sz w:val="22"/>
                <w:szCs w:val="22"/>
                <w:lang w:val="en-US"/>
              </w:rPr>
              <w:t xml:space="preserve">Hoch </w:t>
            </w:r>
            <w:r w:rsidR="003105CD" w:rsidRPr="009E6578">
              <w:rPr>
                <w:sz w:val="22"/>
                <w:szCs w:val="22"/>
                <w:lang w:val="en-US"/>
              </w:rPr>
              <w:t>and others,</w:t>
            </w:r>
            <w:r w:rsidRPr="009E6578">
              <w:rPr>
                <w:sz w:val="22"/>
                <w:szCs w:val="22"/>
                <w:lang w:val="en-US"/>
              </w:rPr>
              <w:t xml:space="preserve"> 1981; Periera </w:t>
            </w:r>
            <w:r w:rsidR="003105CD" w:rsidRPr="009E6578">
              <w:rPr>
                <w:sz w:val="22"/>
                <w:szCs w:val="22"/>
                <w:lang w:val="en-US"/>
              </w:rPr>
              <w:t>and others,</w:t>
            </w:r>
            <w:r w:rsidRPr="009E6578">
              <w:rPr>
                <w:sz w:val="22"/>
                <w:szCs w:val="22"/>
                <w:lang w:val="en-US"/>
              </w:rPr>
              <w:t xml:space="preserve"> 2021; Celone </w:t>
            </w:r>
            <w:r w:rsidR="00565EEF" w:rsidRPr="009E6578">
              <w:rPr>
                <w:sz w:val="22"/>
                <w:szCs w:val="22"/>
                <w:lang w:val="en-US"/>
              </w:rPr>
              <w:t>and others,</w:t>
            </w:r>
            <w:r w:rsidRPr="009E6578">
              <w:rPr>
                <w:sz w:val="22"/>
                <w:szCs w:val="22"/>
                <w:lang w:val="en-US"/>
              </w:rPr>
              <w:t xml:space="preserve"> 2022</w:t>
            </w:r>
          </w:p>
        </w:tc>
      </w:tr>
      <w:tr w:rsidR="00C37194" w:rsidRPr="004B6EB5" w14:paraId="17E5FBE5" w14:textId="77777777" w:rsidTr="00501163">
        <w:tc>
          <w:tcPr>
            <w:tcW w:w="1064" w:type="dxa"/>
            <w:vMerge/>
          </w:tcPr>
          <w:p w14:paraId="4D594199" w14:textId="77777777" w:rsidR="00C37194" w:rsidRPr="00E64AF4" w:rsidRDefault="00C37194">
            <w:pPr>
              <w:rPr>
                <w:sz w:val="22"/>
                <w:lang w:val="en-US"/>
              </w:rPr>
            </w:pPr>
          </w:p>
        </w:tc>
        <w:tc>
          <w:tcPr>
            <w:tcW w:w="1992" w:type="dxa"/>
            <w:vMerge/>
            <w:vAlign w:val="center"/>
          </w:tcPr>
          <w:p w14:paraId="74366132" w14:textId="77777777" w:rsidR="00C37194" w:rsidRPr="00E64AF4" w:rsidRDefault="00C37194">
            <w:pPr>
              <w:contextualSpacing/>
              <w:jc w:val="center"/>
              <w:rPr>
                <w:i/>
                <w:sz w:val="22"/>
                <w:lang w:val="en-US"/>
              </w:rPr>
            </w:pPr>
          </w:p>
        </w:tc>
        <w:tc>
          <w:tcPr>
            <w:tcW w:w="2127" w:type="dxa"/>
          </w:tcPr>
          <w:p w14:paraId="653BBA77" w14:textId="77777777" w:rsidR="00C37194" w:rsidRPr="00B45531" w:rsidRDefault="00C37194" w:rsidP="00501163">
            <w:pPr>
              <w:contextualSpacing/>
              <w:rPr>
                <w:sz w:val="22"/>
                <w:szCs w:val="22"/>
              </w:rPr>
            </w:pPr>
            <w:r w:rsidRPr="00B45531">
              <w:rPr>
                <w:sz w:val="22"/>
                <w:szCs w:val="22"/>
              </w:rPr>
              <w:t>Yellow fever</w:t>
            </w:r>
          </w:p>
        </w:tc>
        <w:tc>
          <w:tcPr>
            <w:tcW w:w="1317" w:type="dxa"/>
          </w:tcPr>
          <w:p w14:paraId="3F6D5873"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60E6F8DC" w14:textId="04FEF530" w:rsidR="00C37194" w:rsidRPr="009E6578" w:rsidRDefault="00C37194" w:rsidP="00501163">
            <w:pPr>
              <w:contextualSpacing/>
              <w:rPr>
                <w:sz w:val="22"/>
                <w:szCs w:val="22"/>
              </w:rPr>
            </w:pPr>
            <w:r w:rsidRPr="009E6578">
              <w:rPr>
                <w:sz w:val="22"/>
                <w:szCs w:val="22"/>
              </w:rPr>
              <w:t xml:space="preserve">Celone </w:t>
            </w:r>
            <w:r w:rsidR="000A63A5" w:rsidRPr="009E6578">
              <w:rPr>
                <w:sz w:val="22"/>
                <w:szCs w:val="22"/>
              </w:rPr>
              <w:t>and others,</w:t>
            </w:r>
            <w:r w:rsidRPr="009E6578">
              <w:rPr>
                <w:sz w:val="22"/>
                <w:szCs w:val="22"/>
              </w:rPr>
              <w:t xml:space="preserve"> 2022 </w:t>
            </w:r>
          </w:p>
        </w:tc>
      </w:tr>
      <w:tr w:rsidR="00C37194" w:rsidRPr="004B6EB5" w14:paraId="026E41E0" w14:textId="77777777" w:rsidTr="00501163">
        <w:tc>
          <w:tcPr>
            <w:tcW w:w="1064" w:type="dxa"/>
            <w:vMerge/>
          </w:tcPr>
          <w:p w14:paraId="6CFD5036" w14:textId="77777777" w:rsidR="00C37194" w:rsidRPr="00B45531" w:rsidRDefault="00C37194">
            <w:pPr>
              <w:rPr>
                <w:sz w:val="22"/>
                <w:szCs w:val="22"/>
              </w:rPr>
            </w:pPr>
          </w:p>
        </w:tc>
        <w:tc>
          <w:tcPr>
            <w:tcW w:w="1992" w:type="dxa"/>
            <w:vAlign w:val="center"/>
          </w:tcPr>
          <w:p w14:paraId="4CFB2785" w14:textId="5ADC9B25" w:rsidR="00C37194" w:rsidRPr="00B45531" w:rsidRDefault="00C37194" w:rsidP="007D7B67">
            <w:pPr>
              <w:contextualSpacing/>
              <w:rPr>
                <w:i/>
                <w:iCs/>
                <w:sz w:val="22"/>
                <w:szCs w:val="22"/>
              </w:rPr>
            </w:pPr>
            <w:r w:rsidRPr="00B45531">
              <w:rPr>
                <w:i/>
                <w:iCs/>
                <w:sz w:val="22"/>
                <w:szCs w:val="22"/>
              </w:rPr>
              <w:t xml:space="preserve">Hg. </w:t>
            </w:r>
            <w:proofErr w:type="spellStart"/>
            <w:r w:rsidR="002A21C9">
              <w:rPr>
                <w:i/>
                <w:iCs/>
                <w:sz w:val="22"/>
                <w:szCs w:val="22"/>
              </w:rPr>
              <w:t>l</w:t>
            </w:r>
            <w:r w:rsidRPr="00B45531">
              <w:rPr>
                <w:i/>
                <w:iCs/>
                <w:sz w:val="22"/>
                <w:szCs w:val="22"/>
              </w:rPr>
              <w:t>eucocelaenus</w:t>
            </w:r>
            <w:proofErr w:type="spellEnd"/>
          </w:p>
        </w:tc>
        <w:tc>
          <w:tcPr>
            <w:tcW w:w="2127" w:type="dxa"/>
          </w:tcPr>
          <w:p w14:paraId="5A27F58D" w14:textId="77777777" w:rsidR="00C37194" w:rsidRPr="00B45531" w:rsidRDefault="00C37194" w:rsidP="00501163">
            <w:pPr>
              <w:contextualSpacing/>
              <w:rPr>
                <w:sz w:val="22"/>
                <w:szCs w:val="22"/>
              </w:rPr>
            </w:pPr>
            <w:r w:rsidRPr="00B45531">
              <w:rPr>
                <w:sz w:val="22"/>
                <w:szCs w:val="22"/>
              </w:rPr>
              <w:t>Yellow fever</w:t>
            </w:r>
          </w:p>
        </w:tc>
        <w:tc>
          <w:tcPr>
            <w:tcW w:w="1317" w:type="dxa"/>
          </w:tcPr>
          <w:p w14:paraId="4A041310"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195C3BC9" w14:textId="4410D521" w:rsidR="00C37194" w:rsidRPr="00B45531" w:rsidRDefault="00C37194" w:rsidP="00501163">
            <w:pPr>
              <w:contextualSpacing/>
              <w:rPr>
                <w:sz w:val="22"/>
                <w:szCs w:val="22"/>
              </w:rPr>
            </w:pPr>
            <w:r w:rsidRPr="009E6578">
              <w:rPr>
                <w:sz w:val="22"/>
                <w:szCs w:val="22"/>
              </w:rPr>
              <w:t xml:space="preserve">Da Silva </w:t>
            </w:r>
            <w:r w:rsidR="000A63A5" w:rsidRPr="009E6578">
              <w:rPr>
                <w:sz w:val="22"/>
                <w:szCs w:val="22"/>
              </w:rPr>
              <w:t>and others,</w:t>
            </w:r>
            <w:r w:rsidRPr="009E6578">
              <w:rPr>
                <w:sz w:val="22"/>
                <w:szCs w:val="22"/>
              </w:rPr>
              <w:t xml:space="preserve"> 2020</w:t>
            </w:r>
            <w:r w:rsidRPr="00B45531">
              <w:rPr>
                <w:sz w:val="22"/>
                <w:szCs w:val="22"/>
              </w:rPr>
              <w:t xml:space="preserve"> </w:t>
            </w:r>
          </w:p>
        </w:tc>
      </w:tr>
      <w:tr w:rsidR="00C37194" w:rsidRPr="004B6EB5" w14:paraId="14B58CD3" w14:textId="77777777" w:rsidTr="00501163">
        <w:tc>
          <w:tcPr>
            <w:tcW w:w="1064" w:type="dxa"/>
            <w:vMerge/>
          </w:tcPr>
          <w:p w14:paraId="5AE1D629" w14:textId="77777777" w:rsidR="00C37194" w:rsidRPr="00B45531" w:rsidRDefault="00C37194">
            <w:pPr>
              <w:rPr>
                <w:sz w:val="22"/>
                <w:szCs w:val="22"/>
              </w:rPr>
            </w:pPr>
          </w:p>
        </w:tc>
        <w:tc>
          <w:tcPr>
            <w:tcW w:w="1992" w:type="dxa"/>
            <w:vAlign w:val="center"/>
          </w:tcPr>
          <w:p w14:paraId="24E1CE0C" w14:textId="29F134D0" w:rsidR="00C37194" w:rsidRPr="00B45531" w:rsidRDefault="00C37194" w:rsidP="007D7B67">
            <w:pPr>
              <w:contextualSpacing/>
              <w:rPr>
                <w:i/>
                <w:iCs/>
                <w:sz w:val="22"/>
                <w:szCs w:val="22"/>
              </w:rPr>
            </w:pPr>
            <w:r w:rsidRPr="00B45531">
              <w:rPr>
                <w:i/>
                <w:iCs/>
                <w:sz w:val="22"/>
                <w:szCs w:val="22"/>
              </w:rPr>
              <w:t xml:space="preserve">Hg. </w:t>
            </w:r>
            <w:r w:rsidR="002A21C9">
              <w:rPr>
                <w:i/>
                <w:iCs/>
                <w:sz w:val="22"/>
                <w:szCs w:val="22"/>
              </w:rPr>
              <w:t>l</w:t>
            </w:r>
            <w:r w:rsidRPr="00B45531">
              <w:rPr>
                <w:i/>
                <w:iCs/>
                <w:sz w:val="22"/>
                <w:szCs w:val="22"/>
              </w:rPr>
              <w:t>ucifer</w:t>
            </w:r>
          </w:p>
        </w:tc>
        <w:tc>
          <w:tcPr>
            <w:tcW w:w="2127" w:type="dxa"/>
          </w:tcPr>
          <w:p w14:paraId="05AA631A" w14:textId="77777777" w:rsidR="00C37194" w:rsidRPr="00B45531" w:rsidRDefault="00C37194" w:rsidP="00501163">
            <w:pPr>
              <w:contextualSpacing/>
              <w:rPr>
                <w:sz w:val="22"/>
                <w:szCs w:val="22"/>
              </w:rPr>
            </w:pPr>
            <w:r>
              <w:rPr>
                <w:sz w:val="22"/>
                <w:szCs w:val="22"/>
              </w:rPr>
              <w:t>Y</w:t>
            </w:r>
            <w:r w:rsidRPr="00B45531">
              <w:rPr>
                <w:sz w:val="22"/>
                <w:szCs w:val="22"/>
              </w:rPr>
              <w:t>ellow fever</w:t>
            </w:r>
          </w:p>
        </w:tc>
        <w:tc>
          <w:tcPr>
            <w:tcW w:w="1317" w:type="dxa"/>
          </w:tcPr>
          <w:p w14:paraId="74A88D85"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014A268C" w14:textId="040E419A"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4F631CD2" w14:textId="77777777" w:rsidTr="00501163">
        <w:tc>
          <w:tcPr>
            <w:tcW w:w="1064" w:type="dxa"/>
            <w:vMerge/>
          </w:tcPr>
          <w:p w14:paraId="13E82477" w14:textId="77777777" w:rsidR="00C37194" w:rsidRPr="00B45531" w:rsidRDefault="00C37194">
            <w:pPr>
              <w:rPr>
                <w:sz w:val="22"/>
                <w:szCs w:val="22"/>
              </w:rPr>
            </w:pPr>
          </w:p>
        </w:tc>
        <w:tc>
          <w:tcPr>
            <w:tcW w:w="1992" w:type="dxa"/>
            <w:vAlign w:val="center"/>
          </w:tcPr>
          <w:p w14:paraId="4BCBB5D8" w14:textId="77777777" w:rsidR="00C37194" w:rsidRPr="00B45531" w:rsidRDefault="00C37194" w:rsidP="007D7B67">
            <w:pPr>
              <w:contextualSpacing/>
              <w:rPr>
                <w:i/>
                <w:iCs/>
                <w:sz w:val="22"/>
                <w:szCs w:val="22"/>
              </w:rPr>
            </w:pPr>
            <w:proofErr w:type="spellStart"/>
            <w:r w:rsidRPr="00B45531">
              <w:rPr>
                <w:i/>
                <w:iCs/>
                <w:sz w:val="22"/>
                <w:szCs w:val="22"/>
              </w:rPr>
              <w:t>Mansonia</w:t>
            </w:r>
            <w:proofErr w:type="spellEnd"/>
            <w:r w:rsidRPr="00B45531">
              <w:rPr>
                <w:i/>
                <w:iCs/>
                <w:sz w:val="22"/>
                <w:szCs w:val="22"/>
              </w:rPr>
              <w:t xml:space="preserve"> </w:t>
            </w:r>
            <w:proofErr w:type="spellStart"/>
            <w:r w:rsidRPr="00B45531">
              <w:rPr>
                <w:i/>
                <w:iCs/>
                <w:sz w:val="22"/>
                <w:szCs w:val="22"/>
              </w:rPr>
              <w:t>annulifera</w:t>
            </w:r>
            <w:proofErr w:type="spellEnd"/>
          </w:p>
        </w:tc>
        <w:tc>
          <w:tcPr>
            <w:tcW w:w="2127" w:type="dxa"/>
          </w:tcPr>
          <w:p w14:paraId="610C0209" w14:textId="77777777" w:rsidR="00C37194" w:rsidRPr="00B45531" w:rsidRDefault="00C37194" w:rsidP="00501163">
            <w:pPr>
              <w:contextualSpacing/>
              <w:rPr>
                <w:sz w:val="22"/>
                <w:szCs w:val="22"/>
              </w:rPr>
            </w:pPr>
            <w:r w:rsidRPr="00B45531">
              <w:rPr>
                <w:sz w:val="22"/>
                <w:szCs w:val="22"/>
              </w:rPr>
              <w:t xml:space="preserve">Lymphatic filariasis </w:t>
            </w:r>
          </w:p>
        </w:tc>
        <w:tc>
          <w:tcPr>
            <w:tcW w:w="1317" w:type="dxa"/>
          </w:tcPr>
          <w:p w14:paraId="24B6FE45" w14:textId="77777777" w:rsidR="00C37194" w:rsidRPr="00B45531" w:rsidRDefault="00C37194" w:rsidP="00501163">
            <w:pPr>
              <w:contextualSpacing/>
              <w:rPr>
                <w:sz w:val="22"/>
                <w:szCs w:val="22"/>
              </w:rPr>
            </w:pPr>
            <w:r w:rsidRPr="00B45531">
              <w:rPr>
                <w:sz w:val="22"/>
                <w:szCs w:val="22"/>
              </w:rPr>
              <w:t xml:space="preserve">Nematode </w:t>
            </w:r>
          </w:p>
        </w:tc>
        <w:tc>
          <w:tcPr>
            <w:tcW w:w="2516" w:type="dxa"/>
          </w:tcPr>
          <w:p w14:paraId="1B455F3B" w14:textId="79646575"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69417CC6" w14:textId="77777777" w:rsidTr="00501163">
        <w:tc>
          <w:tcPr>
            <w:tcW w:w="1064" w:type="dxa"/>
            <w:vMerge/>
          </w:tcPr>
          <w:p w14:paraId="28557B95" w14:textId="77777777" w:rsidR="00C37194" w:rsidRPr="00B45531" w:rsidRDefault="00C37194">
            <w:pPr>
              <w:rPr>
                <w:sz w:val="22"/>
                <w:szCs w:val="22"/>
              </w:rPr>
            </w:pPr>
          </w:p>
        </w:tc>
        <w:tc>
          <w:tcPr>
            <w:tcW w:w="1992" w:type="dxa"/>
            <w:vAlign w:val="center"/>
          </w:tcPr>
          <w:p w14:paraId="7272CE0E" w14:textId="212BE5A9" w:rsidR="00C37194" w:rsidRPr="00B45531" w:rsidRDefault="00C37194" w:rsidP="007D7B67">
            <w:pPr>
              <w:contextualSpacing/>
              <w:rPr>
                <w:i/>
                <w:iCs/>
                <w:sz w:val="22"/>
                <w:szCs w:val="22"/>
              </w:rPr>
            </w:pPr>
            <w:r w:rsidRPr="00B45531">
              <w:rPr>
                <w:i/>
                <w:iCs/>
                <w:sz w:val="22"/>
                <w:szCs w:val="22"/>
              </w:rPr>
              <w:t xml:space="preserve">Ma. </w:t>
            </w:r>
            <w:proofErr w:type="spellStart"/>
            <w:r w:rsidR="002A21C9">
              <w:rPr>
                <w:i/>
                <w:iCs/>
                <w:sz w:val="22"/>
                <w:szCs w:val="22"/>
              </w:rPr>
              <w:t>u</w:t>
            </w:r>
            <w:r w:rsidRPr="00B45531">
              <w:rPr>
                <w:i/>
                <w:iCs/>
                <w:sz w:val="22"/>
                <w:szCs w:val="22"/>
              </w:rPr>
              <w:t>niformis</w:t>
            </w:r>
            <w:proofErr w:type="spellEnd"/>
          </w:p>
        </w:tc>
        <w:tc>
          <w:tcPr>
            <w:tcW w:w="2127" w:type="dxa"/>
          </w:tcPr>
          <w:p w14:paraId="3957E181" w14:textId="77777777" w:rsidR="00C37194" w:rsidRPr="00B45531" w:rsidRDefault="00C37194" w:rsidP="00501163">
            <w:pPr>
              <w:contextualSpacing/>
              <w:rPr>
                <w:sz w:val="22"/>
                <w:szCs w:val="22"/>
              </w:rPr>
            </w:pPr>
            <w:r w:rsidRPr="00B45531">
              <w:rPr>
                <w:sz w:val="22"/>
                <w:szCs w:val="22"/>
              </w:rPr>
              <w:t xml:space="preserve">Lymphatic filariasis </w:t>
            </w:r>
          </w:p>
        </w:tc>
        <w:tc>
          <w:tcPr>
            <w:tcW w:w="1317" w:type="dxa"/>
          </w:tcPr>
          <w:p w14:paraId="7B72D36C" w14:textId="77777777" w:rsidR="00C37194" w:rsidRPr="00B45531" w:rsidRDefault="00C37194" w:rsidP="00501163">
            <w:pPr>
              <w:contextualSpacing/>
              <w:rPr>
                <w:sz w:val="22"/>
                <w:szCs w:val="22"/>
              </w:rPr>
            </w:pPr>
            <w:r w:rsidRPr="00B45531">
              <w:rPr>
                <w:sz w:val="22"/>
                <w:szCs w:val="22"/>
              </w:rPr>
              <w:t xml:space="preserve">Nematode </w:t>
            </w:r>
          </w:p>
        </w:tc>
        <w:tc>
          <w:tcPr>
            <w:tcW w:w="2516" w:type="dxa"/>
          </w:tcPr>
          <w:p w14:paraId="7F25D3F6" w14:textId="455277D5"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2EC1CD59" w14:textId="77777777" w:rsidTr="00501163">
        <w:tc>
          <w:tcPr>
            <w:tcW w:w="1064" w:type="dxa"/>
            <w:vMerge w:val="restart"/>
          </w:tcPr>
          <w:p w14:paraId="105CB43D" w14:textId="77777777" w:rsidR="00C37194" w:rsidRPr="00B45531" w:rsidRDefault="00C37194">
            <w:pPr>
              <w:rPr>
                <w:sz w:val="22"/>
                <w:szCs w:val="22"/>
              </w:rPr>
            </w:pPr>
            <w:r w:rsidRPr="00B45531">
              <w:rPr>
                <w:sz w:val="22"/>
                <w:szCs w:val="22"/>
              </w:rPr>
              <w:t>Other Animals</w:t>
            </w:r>
          </w:p>
        </w:tc>
        <w:tc>
          <w:tcPr>
            <w:tcW w:w="1992" w:type="dxa"/>
            <w:vMerge w:val="restart"/>
            <w:vAlign w:val="center"/>
          </w:tcPr>
          <w:p w14:paraId="4F7B48BF" w14:textId="15256237" w:rsidR="00C37194" w:rsidRPr="00B45531" w:rsidRDefault="00C37194" w:rsidP="007D7B67">
            <w:pPr>
              <w:contextualSpacing/>
              <w:rPr>
                <w:i/>
                <w:iCs/>
                <w:sz w:val="22"/>
                <w:szCs w:val="22"/>
              </w:rPr>
            </w:pPr>
            <w:r w:rsidRPr="00B45531">
              <w:rPr>
                <w:i/>
                <w:iCs/>
                <w:sz w:val="22"/>
                <w:szCs w:val="22"/>
              </w:rPr>
              <w:t xml:space="preserve">Ae. </w:t>
            </w:r>
            <w:r w:rsidR="00030FF2">
              <w:rPr>
                <w:i/>
                <w:iCs/>
                <w:sz w:val="22"/>
                <w:szCs w:val="22"/>
              </w:rPr>
              <w:t>a</w:t>
            </w:r>
            <w:r w:rsidRPr="00B45531">
              <w:rPr>
                <w:i/>
                <w:iCs/>
                <w:sz w:val="22"/>
                <w:szCs w:val="22"/>
              </w:rPr>
              <w:t>lbopictus</w:t>
            </w:r>
          </w:p>
        </w:tc>
        <w:tc>
          <w:tcPr>
            <w:tcW w:w="2127" w:type="dxa"/>
          </w:tcPr>
          <w:p w14:paraId="47A2B741" w14:textId="77777777" w:rsidR="00C37194" w:rsidRPr="00B45531" w:rsidRDefault="00C37194" w:rsidP="00501163">
            <w:pPr>
              <w:contextualSpacing/>
              <w:rPr>
                <w:sz w:val="22"/>
                <w:szCs w:val="22"/>
              </w:rPr>
            </w:pPr>
            <w:r w:rsidRPr="00B45531">
              <w:rPr>
                <w:sz w:val="22"/>
                <w:szCs w:val="22"/>
              </w:rPr>
              <w:t>Eastern equine encephalitis virus</w:t>
            </w:r>
          </w:p>
        </w:tc>
        <w:tc>
          <w:tcPr>
            <w:tcW w:w="1317" w:type="dxa"/>
          </w:tcPr>
          <w:p w14:paraId="485D19B8" w14:textId="77777777" w:rsidR="00C37194" w:rsidRPr="00B45531" w:rsidRDefault="00C37194" w:rsidP="00501163">
            <w:pPr>
              <w:contextualSpacing/>
              <w:rPr>
                <w:sz w:val="22"/>
                <w:szCs w:val="22"/>
              </w:rPr>
            </w:pPr>
            <w:r w:rsidRPr="00B45531">
              <w:rPr>
                <w:sz w:val="22"/>
                <w:szCs w:val="22"/>
              </w:rPr>
              <w:t>Virus</w:t>
            </w:r>
          </w:p>
        </w:tc>
        <w:tc>
          <w:tcPr>
            <w:tcW w:w="2516" w:type="dxa"/>
          </w:tcPr>
          <w:p w14:paraId="36B09145" w14:textId="54CD30A6" w:rsidR="00C37194" w:rsidRPr="00B45531" w:rsidRDefault="00C37194" w:rsidP="00501163">
            <w:pPr>
              <w:contextualSpacing/>
              <w:rPr>
                <w:sz w:val="22"/>
                <w:szCs w:val="22"/>
              </w:rPr>
            </w:pPr>
            <w:r w:rsidRPr="009E6578">
              <w:rPr>
                <w:sz w:val="22"/>
                <w:szCs w:val="22"/>
              </w:rPr>
              <w:t xml:space="preserve">Little </w:t>
            </w:r>
            <w:r w:rsidR="003105CD" w:rsidRPr="009E6578">
              <w:rPr>
                <w:sz w:val="22"/>
                <w:szCs w:val="22"/>
              </w:rPr>
              <w:t>and others,</w:t>
            </w:r>
            <w:r w:rsidRPr="009E6578">
              <w:rPr>
                <w:sz w:val="22"/>
                <w:szCs w:val="22"/>
              </w:rPr>
              <w:t xml:space="preserve"> 2021</w:t>
            </w:r>
          </w:p>
        </w:tc>
      </w:tr>
      <w:tr w:rsidR="00C37194" w:rsidRPr="004B6EB5" w14:paraId="29AC51C5" w14:textId="77777777" w:rsidTr="00501163">
        <w:tc>
          <w:tcPr>
            <w:tcW w:w="1064" w:type="dxa"/>
            <w:vMerge/>
          </w:tcPr>
          <w:p w14:paraId="5BEF9B88" w14:textId="77777777" w:rsidR="00C37194" w:rsidRPr="00B45531" w:rsidRDefault="00C37194">
            <w:pPr>
              <w:rPr>
                <w:sz w:val="22"/>
                <w:szCs w:val="22"/>
              </w:rPr>
            </w:pPr>
          </w:p>
        </w:tc>
        <w:tc>
          <w:tcPr>
            <w:tcW w:w="1992" w:type="dxa"/>
            <w:vMerge/>
            <w:vAlign w:val="center"/>
          </w:tcPr>
          <w:p w14:paraId="122EA632" w14:textId="77777777" w:rsidR="00C37194" w:rsidRPr="00B45531" w:rsidRDefault="00C37194" w:rsidP="007D7B67">
            <w:pPr>
              <w:rPr>
                <w:i/>
                <w:iCs/>
                <w:sz w:val="22"/>
                <w:szCs w:val="22"/>
              </w:rPr>
            </w:pPr>
          </w:p>
        </w:tc>
        <w:tc>
          <w:tcPr>
            <w:tcW w:w="2127" w:type="dxa"/>
          </w:tcPr>
          <w:p w14:paraId="22AA9452" w14:textId="77777777" w:rsidR="00C37194" w:rsidRPr="00B45531" w:rsidRDefault="00C37194" w:rsidP="00501163">
            <w:pPr>
              <w:contextualSpacing/>
              <w:rPr>
                <w:sz w:val="22"/>
                <w:szCs w:val="22"/>
              </w:rPr>
            </w:pPr>
            <w:r w:rsidRPr="00B45531">
              <w:rPr>
                <w:sz w:val="22"/>
                <w:szCs w:val="22"/>
              </w:rPr>
              <w:t>Canine heartworm</w:t>
            </w:r>
          </w:p>
        </w:tc>
        <w:tc>
          <w:tcPr>
            <w:tcW w:w="1317" w:type="dxa"/>
          </w:tcPr>
          <w:p w14:paraId="0508E48F" w14:textId="77777777" w:rsidR="00C37194" w:rsidRPr="00B45531" w:rsidRDefault="00C37194" w:rsidP="00501163">
            <w:pPr>
              <w:contextualSpacing/>
              <w:rPr>
                <w:sz w:val="22"/>
                <w:szCs w:val="22"/>
              </w:rPr>
            </w:pPr>
            <w:r w:rsidRPr="00B45531">
              <w:rPr>
                <w:sz w:val="22"/>
                <w:szCs w:val="22"/>
              </w:rPr>
              <w:t>Nematode</w:t>
            </w:r>
          </w:p>
        </w:tc>
        <w:tc>
          <w:tcPr>
            <w:tcW w:w="2516" w:type="dxa"/>
          </w:tcPr>
          <w:p w14:paraId="41350276" w14:textId="5ED02C17" w:rsidR="00C37194" w:rsidRPr="00B45531" w:rsidRDefault="00C37194" w:rsidP="00501163">
            <w:pPr>
              <w:contextualSpacing/>
              <w:rPr>
                <w:sz w:val="22"/>
                <w:szCs w:val="22"/>
              </w:rPr>
            </w:pPr>
            <w:proofErr w:type="spellStart"/>
            <w:r w:rsidRPr="009E6578">
              <w:rPr>
                <w:sz w:val="22"/>
                <w:szCs w:val="22"/>
              </w:rPr>
              <w:t>Morchon</w:t>
            </w:r>
            <w:proofErr w:type="spellEnd"/>
            <w:r w:rsidRPr="009E6578">
              <w:rPr>
                <w:sz w:val="22"/>
                <w:szCs w:val="22"/>
              </w:rPr>
              <w:t xml:space="preserve"> </w:t>
            </w:r>
            <w:r w:rsidR="000A63A5" w:rsidRPr="009E6578">
              <w:rPr>
                <w:sz w:val="22"/>
                <w:szCs w:val="22"/>
              </w:rPr>
              <w:t>and others,</w:t>
            </w:r>
            <w:r w:rsidRPr="009E6578">
              <w:rPr>
                <w:sz w:val="22"/>
                <w:szCs w:val="22"/>
              </w:rPr>
              <w:t xml:space="preserve"> 2012</w:t>
            </w:r>
          </w:p>
        </w:tc>
      </w:tr>
      <w:tr w:rsidR="00C37194" w:rsidRPr="004B6EB5" w14:paraId="3B2C7AF8" w14:textId="77777777" w:rsidTr="00501163">
        <w:tc>
          <w:tcPr>
            <w:tcW w:w="1064" w:type="dxa"/>
            <w:vMerge/>
          </w:tcPr>
          <w:p w14:paraId="52C9B16E" w14:textId="77777777" w:rsidR="00C37194" w:rsidRPr="00B45531" w:rsidRDefault="00C37194">
            <w:pPr>
              <w:rPr>
                <w:sz w:val="22"/>
                <w:szCs w:val="22"/>
              </w:rPr>
            </w:pPr>
          </w:p>
        </w:tc>
        <w:tc>
          <w:tcPr>
            <w:tcW w:w="1992" w:type="dxa"/>
            <w:vAlign w:val="center"/>
          </w:tcPr>
          <w:p w14:paraId="1EA8B203" w14:textId="77777777" w:rsidR="00C37194" w:rsidRPr="00B45531" w:rsidRDefault="00C37194" w:rsidP="007D7B67">
            <w:pPr>
              <w:contextualSpacing/>
              <w:rPr>
                <w:i/>
                <w:iCs/>
                <w:sz w:val="22"/>
                <w:szCs w:val="22"/>
              </w:rPr>
            </w:pPr>
            <w:proofErr w:type="spellStart"/>
            <w:proofErr w:type="gramStart"/>
            <w:r w:rsidRPr="00B45531">
              <w:rPr>
                <w:i/>
                <w:iCs/>
                <w:sz w:val="22"/>
                <w:szCs w:val="22"/>
              </w:rPr>
              <w:t>Ae.circumluteolus</w:t>
            </w:r>
            <w:proofErr w:type="spellEnd"/>
            <w:proofErr w:type="gramEnd"/>
          </w:p>
        </w:tc>
        <w:tc>
          <w:tcPr>
            <w:tcW w:w="2127" w:type="dxa"/>
          </w:tcPr>
          <w:p w14:paraId="48C1E9E4" w14:textId="77777777" w:rsidR="00C37194" w:rsidRPr="00B45531" w:rsidRDefault="00C37194" w:rsidP="00501163">
            <w:pPr>
              <w:contextualSpacing/>
              <w:rPr>
                <w:sz w:val="22"/>
                <w:szCs w:val="22"/>
              </w:rPr>
            </w:pPr>
            <w:proofErr w:type="spellStart"/>
            <w:r w:rsidRPr="00B45531">
              <w:rPr>
                <w:sz w:val="22"/>
                <w:szCs w:val="22"/>
              </w:rPr>
              <w:t>Wesselsbron</w:t>
            </w:r>
            <w:proofErr w:type="spellEnd"/>
            <w:r w:rsidRPr="00B45531">
              <w:rPr>
                <w:sz w:val="22"/>
                <w:szCs w:val="22"/>
              </w:rPr>
              <w:t xml:space="preserve"> virus </w:t>
            </w:r>
          </w:p>
        </w:tc>
        <w:tc>
          <w:tcPr>
            <w:tcW w:w="1317" w:type="dxa"/>
          </w:tcPr>
          <w:p w14:paraId="5236B0A2"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17232AC5" w14:textId="3F1FAD4F"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4CC63C2A" w14:textId="77777777" w:rsidTr="00501163">
        <w:tc>
          <w:tcPr>
            <w:tcW w:w="1064" w:type="dxa"/>
            <w:vMerge/>
          </w:tcPr>
          <w:p w14:paraId="347646CC" w14:textId="77777777" w:rsidR="00C37194" w:rsidRPr="00B45531" w:rsidRDefault="00C37194">
            <w:pPr>
              <w:rPr>
                <w:sz w:val="22"/>
                <w:szCs w:val="22"/>
              </w:rPr>
            </w:pPr>
          </w:p>
        </w:tc>
        <w:tc>
          <w:tcPr>
            <w:tcW w:w="1992" w:type="dxa"/>
            <w:vAlign w:val="center"/>
          </w:tcPr>
          <w:p w14:paraId="3886DD9F" w14:textId="1CE3BFFA" w:rsidR="00C37194" w:rsidRPr="00B45531" w:rsidRDefault="00C37194" w:rsidP="007D7B67">
            <w:pPr>
              <w:contextualSpacing/>
              <w:rPr>
                <w:i/>
                <w:iCs/>
                <w:sz w:val="22"/>
                <w:szCs w:val="22"/>
              </w:rPr>
            </w:pPr>
            <w:r w:rsidRPr="00B45531">
              <w:rPr>
                <w:i/>
                <w:iCs/>
                <w:sz w:val="22"/>
                <w:szCs w:val="22"/>
              </w:rPr>
              <w:t xml:space="preserve">Ae. </w:t>
            </w:r>
            <w:proofErr w:type="spellStart"/>
            <w:r w:rsidR="002A21C9">
              <w:rPr>
                <w:i/>
                <w:iCs/>
                <w:sz w:val="22"/>
                <w:szCs w:val="22"/>
              </w:rPr>
              <w:t>m</w:t>
            </w:r>
            <w:r w:rsidRPr="00B45531">
              <w:rPr>
                <w:i/>
                <w:iCs/>
                <w:sz w:val="22"/>
                <w:szCs w:val="22"/>
              </w:rPr>
              <w:t>cintoshi</w:t>
            </w:r>
            <w:proofErr w:type="spellEnd"/>
          </w:p>
        </w:tc>
        <w:tc>
          <w:tcPr>
            <w:tcW w:w="2127" w:type="dxa"/>
          </w:tcPr>
          <w:p w14:paraId="28F0EA9D" w14:textId="77777777" w:rsidR="00C37194" w:rsidRPr="00B45531" w:rsidRDefault="00C37194" w:rsidP="00501163">
            <w:pPr>
              <w:contextualSpacing/>
              <w:rPr>
                <w:sz w:val="22"/>
                <w:szCs w:val="22"/>
              </w:rPr>
            </w:pPr>
            <w:proofErr w:type="spellStart"/>
            <w:r w:rsidRPr="00B45531">
              <w:rPr>
                <w:sz w:val="22"/>
                <w:szCs w:val="22"/>
              </w:rPr>
              <w:t>Wesselsbron</w:t>
            </w:r>
            <w:proofErr w:type="spellEnd"/>
            <w:r w:rsidRPr="00B45531">
              <w:rPr>
                <w:sz w:val="22"/>
                <w:szCs w:val="22"/>
              </w:rPr>
              <w:t xml:space="preserve"> virus </w:t>
            </w:r>
          </w:p>
        </w:tc>
        <w:tc>
          <w:tcPr>
            <w:tcW w:w="1317" w:type="dxa"/>
          </w:tcPr>
          <w:p w14:paraId="3D65584F"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73F9AF47" w14:textId="23D9B8E9"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31890236" w14:textId="77777777" w:rsidTr="00501163">
        <w:tc>
          <w:tcPr>
            <w:tcW w:w="1064" w:type="dxa"/>
            <w:vMerge/>
          </w:tcPr>
          <w:p w14:paraId="6BFEFD62" w14:textId="77777777" w:rsidR="00C37194" w:rsidRPr="00B45531" w:rsidRDefault="00C37194">
            <w:pPr>
              <w:rPr>
                <w:sz w:val="22"/>
                <w:szCs w:val="22"/>
              </w:rPr>
            </w:pPr>
          </w:p>
        </w:tc>
        <w:tc>
          <w:tcPr>
            <w:tcW w:w="1992" w:type="dxa"/>
            <w:vAlign w:val="center"/>
          </w:tcPr>
          <w:p w14:paraId="304B888C" w14:textId="4F8C1951" w:rsidR="00C37194" w:rsidRPr="00B45531" w:rsidRDefault="00C37194" w:rsidP="007D7B67">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002A21C9">
              <w:rPr>
                <w:i/>
                <w:iCs/>
                <w:sz w:val="22"/>
                <w:szCs w:val="22"/>
              </w:rPr>
              <w:t>t</w:t>
            </w:r>
            <w:r w:rsidRPr="00B45531">
              <w:rPr>
                <w:i/>
                <w:iCs/>
                <w:sz w:val="22"/>
                <w:szCs w:val="22"/>
              </w:rPr>
              <w:t>arsalis</w:t>
            </w:r>
            <w:proofErr w:type="spellEnd"/>
          </w:p>
        </w:tc>
        <w:tc>
          <w:tcPr>
            <w:tcW w:w="2127" w:type="dxa"/>
          </w:tcPr>
          <w:p w14:paraId="5CC224B8" w14:textId="77777777" w:rsidR="00C37194" w:rsidRPr="00B45531" w:rsidRDefault="00C37194" w:rsidP="00501163">
            <w:pPr>
              <w:contextualSpacing/>
              <w:rPr>
                <w:sz w:val="22"/>
                <w:szCs w:val="22"/>
              </w:rPr>
            </w:pPr>
            <w:r w:rsidRPr="00B45531">
              <w:rPr>
                <w:sz w:val="22"/>
                <w:szCs w:val="22"/>
              </w:rPr>
              <w:t>Western equine encephalitis virus</w:t>
            </w:r>
          </w:p>
        </w:tc>
        <w:tc>
          <w:tcPr>
            <w:tcW w:w="1317" w:type="dxa"/>
          </w:tcPr>
          <w:p w14:paraId="1F079A16" w14:textId="77777777" w:rsidR="00C37194" w:rsidRPr="00B45531" w:rsidRDefault="00C37194" w:rsidP="00501163">
            <w:pPr>
              <w:contextualSpacing/>
              <w:rPr>
                <w:sz w:val="22"/>
                <w:szCs w:val="22"/>
              </w:rPr>
            </w:pPr>
            <w:r w:rsidRPr="00B45531">
              <w:rPr>
                <w:sz w:val="22"/>
                <w:szCs w:val="22"/>
              </w:rPr>
              <w:t>Virus</w:t>
            </w:r>
          </w:p>
        </w:tc>
        <w:tc>
          <w:tcPr>
            <w:tcW w:w="2516" w:type="dxa"/>
          </w:tcPr>
          <w:p w14:paraId="01AEFF69" w14:textId="73385BBF" w:rsidR="00C37194" w:rsidRPr="00B45531" w:rsidRDefault="00C37194" w:rsidP="00501163">
            <w:pPr>
              <w:contextualSpacing/>
              <w:rPr>
                <w:sz w:val="22"/>
                <w:szCs w:val="22"/>
              </w:rPr>
            </w:pPr>
            <w:r w:rsidRPr="00B45531">
              <w:rPr>
                <w:sz w:val="22"/>
                <w:szCs w:val="22"/>
              </w:rPr>
              <w:t xml:space="preserve">Eldridge </w:t>
            </w:r>
            <w:r w:rsidR="000A63A5">
              <w:rPr>
                <w:sz w:val="22"/>
                <w:szCs w:val="22"/>
              </w:rPr>
              <w:t>and others,</w:t>
            </w:r>
            <w:r w:rsidRPr="00B45531">
              <w:rPr>
                <w:sz w:val="22"/>
                <w:szCs w:val="22"/>
              </w:rPr>
              <w:t xml:space="preserve"> 2004</w:t>
            </w:r>
          </w:p>
        </w:tc>
      </w:tr>
      <w:tr w:rsidR="00C37194" w:rsidRPr="004B6EB5" w14:paraId="6D603E6E" w14:textId="77777777" w:rsidTr="00501163">
        <w:tc>
          <w:tcPr>
            <w:tcW w:w="1064" w:type="dxa"/>
            <w:vMerge/>
          </w:tcPr>
          <w:p w14:paraId="7026ABC1" w14:textId="77777777" w:rsidR="00C37194" w:rsidRPr="00B45531" w:rsidRDefault="00C37194">
            <w:pPr>
              <w:rPr>
                <w:sz w:val="22"/>
                <w:szCs w:val="22"/>
              </w:rPr>
            </w:pPr>
          </w:p>
        </w:tc>
        <w:tc>
          <w:tcPr>
            <w:tcW w:w="1992" w:type="dxa"/>
            <w:vAlign w:val="center"/>
          </w:tcPr>
          <w:p w14:paraId="16980FAA" w14:textId="60226E71" w:rsidR="00C37194" w:rsidRPr="00B45531" w:rsidRDefault="00C37194" w:rsidP="007D7B67">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00030FF2">
              <w:rPr>
                <w:i/>
                <w:iCs/>
                <w:sz w:val="22"/>
                <w:szCs w:val="22"/>
              </w:rPr>
              <w:t>t</w:t>
            </w:r>
            <w:r w:rsidRPr="00B45531">
              <w:rPr>
                <w:i/>
                <w:iCs/>
                <w:sz w:val="22"/>
                <w:szCs w:val="22"/>
              </w:rPr>
              <w:t>ritaeniorhynchus</w:t>
            </w:r>
            <w:proofErr w:type="spellEnd"/>
          </w:p>
        </w:tc>
        <w:tc>
          <w:tcPr>
            <w:tcW w:w="2127" w:type="dxa"/>
          </w:tcPr>
          <w:p w14:paraId="629DACAB" w14:textId="77777777" w:rsidR="00C37194" w:rsidRPr="00B45531" w:rsidRDefault="00C37194" w:rsidP="00501163">
            <w:pPr>
              <w:contextualSpacing/>
              <w:rPr>
                <w:sz w:val="22"/>
                <w:szCs w:val="22"/>
              </w:rPr>
            </w:pPr>
            <w:proofErr w:type="spellStart"/>
            <w:r w:rsidRPr="00B45531">
              <w:rPr>
                <w:sz w:val="22"/>
                <w:szCs w:val="22"/>
              </w:rPr>
              <w:t>Tembusu</w:t>
            </w:r>
            <w:proofErr w:type="spellEnd"/>
            <w:r w:rsidRPr="00B45531">
              <w:rPr>
                <w:sz w:val="22"/>
                <w:szCs w:val="22"/>
              </w:rPr>
              <w:t xml:space="preserve"> Virus </w:t>
            </w:r>
          </w:p>
        </w:tc>
        <w:tc>
          <w:tcPr>
            <w:tcW w:w="1317" w:type="dxa"/>
          </w:tcPr>
          <w:p w14:paraId="55F61A00"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5D5051D5" w14:textId="5424B615" w:rsidR="00C37194" w:rsidRPr="00B45531" w:rsidRDefault="00C37194" w:rsidP="00501163">
            <w:pPr>
              <w:contextualSpacing/>
              <w:rPr>
                <w:sz w:val="22"/>
                <w:szCs w:val="22"/>
              </w:rPr>
            </w:pPr>
            <w:r w:rsidRPr="009E6578">
              <w:rPr>
                <w:sz w:val="22"/>
                <w:szCs w:val="22"/>
              </w:rPr>
              <w:t xml:space="preserve">Hamel </w:t>
            </w:r>
            <w:r w:rsidR="000A63A5" w:rsidRPr="009E6578">
              <w:rPr>
                <w:sz w:val="22"/>
                <w:szCs w:val="22"/>
              </w:rPr>
              <w:t>and others,</w:t>
            </w:r>
            <w:r w:rsidRPr="009E6578">
              <w:rPr>
                <w:sz w:val="22"/>
                <w:szCs w:val="22"/>
              </w:rPr>
              <w:t xml:space="preserve"> 2023</w:t>
            </w:r>
          </w:p>
        </w:tc>
      </w:tr>
      <w:tr w:rsidR="00C37194" w:rsidRPr="004B6EB5" w14:paraId="2267188F" w14:textId="77777777" w:rsidTr="00501163">
        <w:tc>
          <w:tcPr>
            <w:tcW w:w="1064" w:type="dxa"/>
            <w:vMerge/>
          </w:tcPr>
          <w:p w14:paraId="2047EAF0" w14:textId="77777777" w:rsidR="00C37194" w:rsidRPr="00B45531" w:rsidRDefault="00C37194">
            <w:pPr>
              <w:rPr>
                <w:sz w:val="22"/>
                <w:szCs w:val="22"/>
              </w:rPr>
            </w:pPr>
          </w:p>
        </w:tc>
        <w:tc>
          <w:tcPr>
            <w:tcW w:w="1992" w:type="dxa"/>
            <w:vAlign w:val="center"/>
          </w:tcPr>
          <w:p w14:paraId="020CBF1A" w14:textId="66C09E3A" w:rsidR="00C37194" w:rsidRPr="00B45531" w:rsidRDefault="00C37194" w:rsidP="007D7B67">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sidR="002A21C9">
              <w:rPr>
                <w:i/>
                <w:iCs/>
                <w:sz w:val="22"/>
                <w:szCs w:val="22"/>
              </w:rPr>
              <w:t>t</w:t>
            </w:r>
            <w:r w:rsidRPr="00B45531">
              <w:rPr>
                <w:i/>
                <w:iCs/>
                <w:sz w:val="22"/>
                <w:szCs w:val="22"/>
              </w:rPr>
              <w:t>aeniopus</w:t>
            </w:r>
            <w:proofErr w:type="spellEnd"/>
          </w:p>
        </w:tc>
        <w:tc>
          <w:tcPr>
            <w:tcW w:w="2127" w:type="dxa"/>
          </w:tcPr>
          <w:p w14:paraId="3E0BE79E" w14:textId="6D921D06" w:rsidR="00C37194" w:rsidRPr="00B45531" w:rsidRDefault="00C37194" w:rsidP="00501163">
            <w:pPr>
              <w:contextualSpacing/>
              <w:rPr>
                <w:sz w:val="22"/>
                <w:szCs w:val="22"/>
              </w:rPr>
            </w:pPr>
            <w:r w:rsidRPr="00B45531">
              <w:rPr>
                <w:sz w:val="22"/>
                <w:szCs w:val="22"/>
              </w:rPr>
              <w:t>Venezuelan equi</w:t>
            </w:r>
            <w:r w:rsidR="00542F48">
              <w:rPr>
                <w:sz w:val="22"/>
                <w:szCs w:val="22"/>
              </w:rPr>
              <w:t>n</w:t>
            </w:r>
            <w:r w:rsidRPr="00B45531">
              <w:rPr>
                <w:sz w:val="22"/>
                <w:szCs w:val="22"/>
              </w:rPr>
              <w:t xml:space="preserve">e encephalitis virus </w:t>
            </w:r>
          </w:p>
        </w:tc>
        <w:tc>
          <w:tcPr>
            <w:tcW w:w="1317" w:type="dxa"/>
          </w:tcPr>
          <w:p w14:paraId="69C16174" w14:textId="77777777" w:rsidR="00C37194" w:rsidRPr="00B45531" w:rsidRDefault="00C37194" w:rsidP="00501163">
            <w:pPr>
              <w:contextualSpacing/>
              <w:rPr>
                <w:sz w:val="22"/>
                <w:szCs w:val="22"/>
              </w:rPr>
            </w:pPr>
            <w:r w:rsidRPr="00B45531">
              <w:rPr>
                <w:sz w:val="22"/>
                <w:szCs w:val="22"/>
              </w:rPr>
              <w:t xml:space="preserve">Virus </w:t>
            </w:r>
          </w:p>
        </w:tc>
        <w:tc>
          <w:tcPr>
            <w:tcW w:w="2516" w:type="dxa"/>
          </w:tcPr>
          <w:p w14:paraId="3AC493CE" w14:textId="1F6A1BAC" w:rsidR="00C37194" w:rsidRPr="009E6578" w:rsidRDefault="00C37194" w:rsidP="00501163">
            <w:pPr>
              <w:contextualSpacing/>
              <w:rPr>
                <w:sz w:val="22"/>
                <w:szCs w:val="22"/>
              </w:rPr>
            </w:pPr>
            <w:r w:rsidRPr="009E6578">
              <w:rPr>
                <w:sz w:val="22"/>
                <w:szCs w:val="22"/>
              </w:rPr>
              <w:t xml:space="preserve">Torres </w:t>
            </w:r>
            <w:r w:rsidR="000A63A5" w:rsidRPr="009E6578">
              <w:rPr>
                <w:sz w:val="22"/>
                <w:szCs w:val="22"/>
              </w:rPr>
              <w:t>and others,</w:t>
            </w:r>
            <w:r w:rsidRPr="009E6578">
              <w:rPr>
                <w:sz w:val="22"/>
                <w:szCs w:val="22"/>
              </w:rPr>
              <w:t xml:space="preserve"> 2017</w:t>
            </w:r>
          </w:p>
        </w:tc>
      </w:tr>
      <w:tr w:rsidR="00C37194" w:rsidRPr="004B6EB5" w14:paraId="75CF6177" w14:textId="77777777" w:rsidTr="00501163">
        <w:tc>
          <w:tcPr>
            <w:tcW w:w="1064" w:type="dxa"/>
            <w:vMerge/>
          </w:tcPr>
          <w:p w14:paraId="6825EDCE" w14:textId="77777777" w:rsidR="00C37194" w:rsidRPr="00B45531" w:rsidRDefault="00C37194">
            <w:pPr>
              <w:rPr>
                <w:sz w:val="22"/>
                <w:szCs w:val="22"/>
              </w:rPr>
            </w:pPr>
          </w:p>
        </w:tc>
        <w:tc>
          <w:tcPr>
            <w:tcW w:w="1992" w:type="dxa"/>
            <w:vAlign w:val="center"/>
          </w:tcPr>
          <w:p w14:paraId="1220D919" w14:textId="77777777" w:rsidR="00C37194" w:rsidRPr="00B45531" w:rsidRDefault="00C37194" w:rsidP="007D7B67">
            <w:pPr>
              <w:contextualSpacing/>
              <w:rPr>
                <w:i/>
                <w:iCs/>
                <w:sz w:val="22"/>
                <w:szCs w:val="22"/>
              </w:rPr>
            </w:pPr>
            <w:proofErr w:type="spellStart"/>
            <w:r w:rsidRPr="00B45531">
              <w:rPr>
                <w:i/>
                <w:iCs/>
                <w:sz w:val="22"/>
                <w:szCs w:val="22"/>
              </w:rPr>
              <w:t>Culiseta</w:t>
            </w:r>
            <w:proofErr w:type="spellEnd"/>
            <w:r w:rsidRPr="00B45531">
              <w:rPr>
                <w:i/>
                <w:iCs/>
                <w:sz w:val="22"/>
                <w:szCs w:val="22"/>
              </w:rPr>
              <w:t xml:space="preserve"> </w:t>
            </w:r>
            <w:proofErr w:type="spellStart"/>
            <w:r w:rsidRPr="00B45531">
              <w:rPr>
                <w:i/>
                <w:iCs/>
                <w:sz w:val="22"/>
                <w:szCs w:val="22"/>
              </w:rPr>
              <w:t>melanura</w:t>
            </w:r>
            <w:proofErr w:type="spellEnd"/>
          </w:p>
        </w:tc>
        <w:tc>
          <w:tcPr>
            <w:tcW w:w="2127" w:type="dxa"/>
          </w:tcPr>
          <w:p w14:paraId="11353EB8" w14:textId="77777777" w:rsidR="00C37194" w:rsidRPr="00B45531" w:rsidRDefault="00C37194" w:rsidP="00501163">
            <w:pPr>
              <w:contextualSpacing/>
              <w:rPr>
                <w:sz w:val="22"/>
                <w:szCs w:val="22"/>
              </w:rPr>
            </w:pPr>
            <w:r w:rsidRPr="00B45531">
              <w:rPr>
                <w:sz w:val="22"/>
                <w:szCs w:val="22"/>
              </w:rPr>
              <w:t>Eastern equine encephalitis virus</w:t>
            </w:r>
          </w:p>
        </w:tc>
        <w:tc>
          <w:tcPr>
            <w:tcW w:w="1317" w:type="dxa"/>
          </w:tcPr>
          <w:p w14:paraId="42B3D9E2" w14:textId="77777777" w:rsidR="00C37194" w:rsidRPr="00B45531" w:rsidRDefault="00C37194" w:rsidP="00501163">
            <w:pPr>
              <w:contextualSpacing/>
              <w:rPr>
                <w:sz w:val="22"/>
                <w:szCs w:val="22"/>
              </w:rPr>
            </w:pPr>
            <w:r w:rsidRPr="00B45531">
              <w:rPr>
                <w:sz w:val="22"/>
                <w:szCs w:val="22"/>
              </w:rPr>
              <w:t>Virus</w:t>
            </w:r>
          </w:p>
        </w:tc>
        <w:tc>
          <w:tcPr>
            <w:tcW w:w="2516" w:type="dxa"/>
          </w:tcPr>
          <w:p w14:paraId="08BA800E" w14:textId="44C22418" w:rsidR="00C37194" w:rsidRPr="00B45531" w:rsidRDefault="00C37194" w:rsidP="00501163">
            <w:pPr>
              <w:contextualSpacing/>
              <w:rPr>
                <w:sz w:val="22"/>
                <w:szCs w:val="22"/>
              </w:rPr>
            </w:pPr>
            <w:r w:rsidRPr="009E6578">
              <w:rPr>
                <w:sz w:val="22"/>
                <w:szCs w:val="22"/>
              </w:rPr>
              <w:t xml:space="preserve">Armstrong </w:t>
            </w:r>
            <w:r w:rsidR="00061743" w:rsidRPr="009E6578">
              <w:rPr>
                <w:sz w:val="22"/>
                <w:szCs w:val="22"/>
              </w:rPr>
              <w:t>and</w:t>
            </w:r>
            <w:r w:rsidRPr="009E6578">
              <w:rPr>
                <w:sz w:val="22"/>
                <w:szCs w:val="22"/>
              </w:rPr>
              <w:t xml:space="preserve"> Andreadis, 2010</w:t>
            </w:r>
          </w:p>
        </w:tc>
      </w:tr>
      <w:tr w:rsidR="00C37194" w:rsidRPr="004B6EB5" w14:paraId="4C54C4C5" w14:textId="77777777" w:rsidTr="00501163">
        <w:tc>
          <w:tcPr>
            <w:tcW w:w="1064" w:type="dxa"/>
            <w:vMerge/>
          </w:tcPr>
          <w:p w14:paraId="2FDAFDE7" w14:textId="77777777" w:rsidR="00C37194" w:rsidRPr="00B45531" w:rsidRDefault="00C37194">
            <w:pPr>
              <w:rPr>
                <w:sz w:val="22"/>
                <w:szCs w:val="22"/>
              </w:rPr>
            </w:pPr>
          </w:p>
        </w:tc>
        <w:tc>
          <w:tcPr>
            <w:tcW w:w="1992" w:type="dxa"/>
            <w:vAlign w:val="center"/>
          </w:tcPr>
          <w:p w14:paraId="7F4B6181" w14:textId="77777777" w:rsidR="00C37194" w:rsidRPr="00B45531" w:rsidRDefault="00C37194" w:rsidP="007D7B67">
            <w:pPr>
              <w:contextualSpacing/>
              <w:rPr>
                <w:i/>
                <w:iCs/>
                <w:sz w:val="22"/>
                <w:szCs w:val="22"/>
              </w:rPr>
            </w:pPr>
            <w:proofErr w:type="spellStart"/>
            <w:r w:rsidRPr="00B45531">
              <w:rPr>
                <w:i/>
                <w:iCs/>
                <w:sz w:val="22"/>
                <w:szCs w:val="22"/>
              </w:rPr>
              <w:t>Psorophora</w:t>
            </w:r>
            <w:proofErr w:type="spellEnd"/>
            <w:r w:rsidRPr="00B45531">
              <w:rPr>
                <w:i/>
                <w:iCs/>
                <w:sz w:val="22"/>
                <w:szCs w:val="22"/>
              </w:rPr>
              <w:t xml:space="preserve"> </w:t>
            </w:r>
            <w:proofErr w:type="spellStart"/>
            <w:r w:rsidRPr="00B45531">
              <w:rPr>
                <w:i/>
                <w:iCs/>
                <w:sz w:val="22"/>
                <w:szCs w:val="22"/>
              </w:rPr>
              <w:t>confinnis</w:t>
            </w:r>
            <w:proofErr w:type="spellEnd"/>
          </w:p>
        </w:tc>
        <w:tc>
          <w:tcPr>
            <w:tcW w:w="2127" w:type="dxa"/>
          </w:tcPr>
          <w:p w14:paraId="09E882DC" w14:textId="77777777" w:rsidR="00C37194" w:rsidRPr="00B45531" w:rsidRDefault="00C37194" w:rsidP="00501163">
            <w:pPr>
              <w:contextualSpacing/>
              <w:rPr>
                <w:sz w:val="22"/>
                <w:szCs w:val="22"/>
              </w:rPr>
            </w:pPr>
            <w:r w:rsidRPr="00B45531">
              <w:rPr>
                <w:sz w:val="22"/>
                <w:szCs w:val="22"/>
              </w:rPr>
              <w:t xml:space="preserve">Venezuelan equine encephalitis virus </w:t>
            </w:r>
          </w:p>
        </w:tc>
        <w:tc>
          <w:tcPr>
            <w:tcW w:w="1317" w:type="dxa"/>
          </w:tcPr>
          <w:p w14:paraId="37F0E21A" w14:textId="77777777" w:rsidR="00C37194" w:rsidRPr="00B45531" w:rsidRDefault="00C37194" w:rsidP="00501163">
            <w:pPr>
              <w:contextualSpacing/>
              <w:rPr>
                <w:sz w:val="22"/>
                <w:szCs w:val="22"/>
              </w:rPr>
            </w:pPr>
            <w:r w:rsidRPr="00B45531">
              <w:rPr>
                <w:sz w:val="22"/>
                <w:szCs w:val="22"/>
              </w:rPr>
              <w:t>Virus</w:t>
            </w:r>
          </w:p>
        </w:tc>
        <w:tc>
          <w:tcPr>
            <w:tcW w:w="2516" w:type="dxa"/>
          </w:tcPr>
          <w:p w14:paraId="2F1ED16B" w14:textId="44B4595F" w:rsidR="00C37194" w:rsidRPr="009E6578" w:rsidRDefault="00C37194" w:rsidP="00501163">
            <w:pPr>
              <w:contextualSpacing/>
              <w:rPr>
                <w:sz w:val="22"/>
                <w:szCs w:val="22"/>
              </w:rPr>
            </w:pPr>
            <w:r w:rsidRPr="009E6578">
              <w:rPr>
                <w:sz w:val="22"/>
                <w:szCs w:val="22"/>
              </w:rPr>
              <w:t xml:space="preserve">Torres </w:t>
            </w:r>
            <w:r w:rsidR="000A63A5" w:rsidRPr="009E6578">
              <w:rPr>
                <w:sz w:val="22"/>
                <w:szCs w:val="22"/>
              </w:rPr>
              <w:t>and others,</w:t>
            </w:r>
            <w:r w:rsidRPr="009E6578">
              <w:rPr>
                <w:sz w:val="22"/>
                <w:szCs w:val="22"/>
              </w:rPr>
              <w:t xml:space="preserve"> 2017 </w:t>
            </w:r>
          </w:p>
        </w:tc>
      </w:tr>
    </w:tbl>
    <w:p w14:paraId="6B0D9DAB" w14:textId="77777777" w:rsidR="00C37194" w:rsidRPr="00257450" w:rsidRDefault="00C37194" w:rsidP="00257450">
      <w:pPr>
        <w:spacing w:line="276" w:lineRule="auto"/>
        <w:jc w:val="both"/>
        <w:rPr>
          <w:rFonts w:ascii="Times New Roman" w:hAnsi="Times New Roman" w:cs="Times New Roman"/>
        </w:rPr>
      </w:pPr>
      <w:bookmarkStart w:id="161" w:name="_Toc160721453"/>
      <w:r w:rsidRPr="00257450">
        <w:rPr>
          <w:rFonts w:ascii="Times New Roman" w:hAnsi="Times New Roman" w:cs="Times New Roman"/>
        </w:rPr>
        <w:t>Note: *Known/competent vector; **Wild infection</w:t>
      </w:r>
      <w:bookmarkEnd w:id="161"/>
      <w:r w:rsidRPr="00257450">
        <w:rPr>
          <w:rFonts w:ascii="Times New Roman" w:hAnsi="Times New Roman" w:cs="Times New Roman"/>
        </w:rPr>
        <w:t xml:space="preserve"> </w:t>
      </w:r>
    </w:p>
    <w:p w14:paraId="6F97BCA0" w14:textId="77777777" w:rsidR="00C37194" w:rsidRPr="004E13A3" w:rsidRDefault="00C37194" w:rsidP="00C37194">
      <w:pPr>
        <w:pStyle w:val="paragraph"/>
        <w:spacing w:before="0" w:beforeAutospacing="0" w:after="0" w:afterAutospacing="0"/>
        <w:textAlignment w:val="baseline"/>
        <w:rPr>
          <w:sz w:val="18"/>
          <w:szCs w:val="18"/>
        </w:rPr>
      </w:pPr>
    </w:p>
    <w:p w14:paraId="2B2C2848" w14:textId="77777777" w:rsidR="00C37194" w:rsidRPr="004E13A3" w:rsidRDefault="00C37194" w:rsidP="00C37194">
      <w:pPr>
        <w:pStyle w:val="paragraph"/>
        <w:spacing w:before="0" w:beforeAutospacing="0" w:after="0" w:afterAutospacing="0"/>
        <w:textAlignment w:val="baseline"/>
        <w:rPr>
          <w:sz w:val="18"/>
          <w:szCs w:val="18"/>
        </w:rPr>
      </w:pPr>
    </w:p>
    <w:p w14:paraId="58122A32" w14:textId="77777777" w:rsidR="00C37194" w:rsidRPr="004E13A3" w:rsidRDefault="00C37194" w:rsidP="00C37194">
      <w:pPr>
        <w:pStyle w:val="paragraph"/>
        <w:spacing w:before="0" w:beforeAutospacing="0" w:after="0" w:afterAutospacing="0"/>
        <w:textAlignment w:val="baseline"/>
        <w:rPr>
          <w:sz w:val="18"/>
          <w:szCs w:val="18"/>
        </w:rPr>
      </w:pPr>
    </w:p>
    <w:p w14:paraId="4BE9AA69" w14:textId="77777777" w:rsidR="00C37194" w:rsidRPr="004E13A3" w:rsidRDefault="00C37194" w:rsidP="00C37194">
      <w:pPr>
        <w:pStyle w:val="paragraph"/>
        <w:spacing w:before="0" w:beforeAutospacing="0" w:after="0" w:afterAutospacing="0"/>
        <w:textAlignment w:val="baseline"/>
        <w:rPr>
          <w:sz w:val="18"/>
          <w:szCs w:val="18"/>
        </w:rPr>
      </w:pPr>
    </w:p>
    <w:p w14:paraId="5E3B6DB6" w14:textId="77777777" w:rsidR="00C37194" w:rsidRPr="004E13A3" w:rsidRDefault="00C37194" w:rsidP="00C37194">
      <w:pPr>
        <w:pStyle w:val="paragraph"/>
        <w:spacing w:before="0" w:beforeAutospacing="0" w:after="0" w:afterAutospacing="0"/>
        <w:textAlignment w:val="baseline"/>
        <w:rPr>
          <w:sz w:val="18"/>
          <w:szCs w:val="18"/>
        </w:rPr>
      </w:pPr>
    </w:p>
    <w:p w14:paraId="28ECCAB7" w14:textId="77777777" w:rsidR="00C37194" w:rsidRPr="004E13A3" w:rsidRDefault="00C37194" w:rsidP="00C37194">
      <w:pPr>
        <w:pStyle w:val="paragraph"/>
        <w:spacing w:before="0" w:beforeAutospacing="0" w:after="0" w:afterAutospacing="0"/>
        <w:textAlignment w:val="baseline"/>
        <w:rPr>
          <w:sz w:val="18"/>
          <w:szCs w:val="18"/>
        </w:rPr>
      </w:pPr>
    </w:p>
    <w:p w14:paraId="1F29A207" w14:textId="77777777" w:rsidR="00C37194" w:rsidRPr="004E13A3" w:rsidRDefault="00C37194" w:rsidP="00C37194">
      <w:pPr>
        <w:pStyle w:val="paragraph"/>
        <w:spacing w:before="0" w:beforeAutospacing="0" w:after="0" w:afterAutospacing="0"/>
        <w:textAlignment w:val="baseline"/>
        <w:rPr>
          <w:sz w:val="18"/>
          <w:szCs w:val="18"/>
        </w:rPr>
      </w:pPr>
    </w:p>
    <w:p w14:paraId="1B39AE54" w14:textId="77777777" w:rsidR="00C37194" w:rsidRPr="004E13A3" w:rsidRDefault="00C37194" w:rsidP="00C37194">
      <w:pPr>
        <w:pStyle w:val="paragraph"/>
        <w:spacing w:before="0" w:beforeAutospacing="0" w:after="0" w:afterAutospacing="0"/>
        <w:textAlignment w:val="baseline"/>
        <w:rPr>
          <w:sz w:val="18"/>
          <w:szCs w:val="18"/>
        </w:rPr>
      </w:pPr>
    </w:p>
    <w:p w14:paraId="0EE18072" w14:textId="77777777" w:rsidR="00C37194" w:rsidRPr="004E13A3" w:rsidRDefault="00C37194" w:rsidP="00C37194">
      <w:pPr>
        <w:pStyle w:val="paragraph"/>
        <w:spacing w:before="0" w:beforeAutospacing="0" w:after="0" w:afterAutospacing="0"/>
        <w:textAlignment w:val="baseline"/>
        <w:rPr>
          <w:sz w:val="18"/>
          <w:szCs w:val="18"/>
        </w:rPr>
      </w:pPr>
    </w:p>
    <w:p w14:paraId="7C09442A" w14:textId="77777777" w:rsidR="00C37194" w:rsidRPr="004E13A3" w:rsidRDefault="00C37194" w:rsidP="00C37194">
      <w:pPr>
        <w:pStyle w:val="paragraph"/>
        <w:spacing w:before="0" w:beforeAutospacing="0" w:after="0" w:afterAutospacing="0"/>
        <w:textAlignment w:val="baseline"/>
        <w:rPr>
          <w:sz w:val="18"/>
          <w:szCs w:val="18"/>
        </w:rPr>
      </w:pPr>
    </w:p>
    <w:p w14:paraId="0A890CA7" w14:textId="77777777" w:rsidR="00C37194" w:rsidRPr="004E13A3" w:rsidRDefault="00C37194" w:rsidP="00C37194">
      <w:pPr>
        <w:pStyle w:val="paragraph"/>
        <w:spacing w:before="0" w:beforeAutospacing="0" w:after="0" w:afterAutospacing="0"/>
        <w:textAlignment w:val="baseline"/>
        <w:rPr>
          <w:sz w:val="18"/>
          <w:szCs w:val="18"/>
        </w:rPr>
      </w:pPr>
    </w:p>
    <w:p w14:paraId="46B70CDA" w14:textId="77777777" w:rsidR="00C37194" w:rsidRPr="004E13A3" w:rsidRDefault="00C37194" w:rsidP="00C37194">
      <w:pPr>
        <w:pStyle w:val="paragraph"/>
        <w:spacing w:before="0" w:beforeAutospacing="0" w:after="0" w:afterAutospacing="0"/>
        <w:textAlignment w:val="baseline"/>
        <w:rPr>
          <w:sz w:val="18"/>
          <w:szCs w:val="18"/>
        </w:rPr>
      </w:pPr>
    </w:p>
    <w:p w14:paraId="78587F5C" w14:textId="77777777" w:rsidR="00C37194" w:rsidRPr="004E13A3" w:rsidRDefault="00C37194" w:rsidP="00C37194">
      <w:pPr>
        <w:pStyle w:val="paragraph"/>
        <w:spacing w:before="0" w:beforeAutospacing="0" w:after="0" w:afterAutospacing="0"/>
        <w:textAlignment w:val="baseline"/>
        <w:rPr>
          <w:sz w:val="18"/>
          <w:szCs w:val="18"/>
        </w:rPr>
      </w:pPr>
    </w:p>
    <w:p w14:paraId="761AE9A0" w14:textId="77777777" w:rsidR="00C37194" w:rsidRPr="004E13A3" w:rsidRDefault="00C37194" w:rsidP="00C37194">
      <w:pPr>
        <w:pStyle w:val="paragraph"/>
        <w:spacing w:before="0" w:beforeAutospacing="0" w:after="0" w:afterAutospacing="0"/>
        <w:textAlignment w:val="baseline"/>
        <w:rPr>
          <w:sz w:val="18"/>
          <w:szCs w:val="18"/>
        </w:rPr>
      </w:pPr>
    </w:p>
    <w:p w14:paraId="01818D0D" w14:textId="77777777" w:rsidR="00C37194" w:rsidRPr="00B45531" w:rsidRDefault="00C37194" w:rsidP="00C37194">
      <w:pPr>
        <w:spacing w:after="0"/>
        <w:rPr>
          <w:rFonts w:ascii="Times New Roman" w:hAnsi="Times New Roman"/>
          <w:b/>
          <w:bCs/>
          <w:sz w:val="20"/>
          <w:szCs w:val="20"/>
        </w:rPr>
        <w:sectPr w:rsidR="00C37194" w:rsidRPr="00B45531" w:rsidSect="003724BD">
          <w:headerReference w:type="even" r:id="rId55"/>
          <w:headerReference w:type="default" r:id="rId56"/>
          <w:type w:val="continuous"/>
          <w:pgSz w:w="11906" w:h="16838"/>
          <w:pgMar w:top="1440" w:right="1440" w:bottom="1440" w:left="1440" w:header="709" w:footer="709" w:gutter="0"/>
          <w:cols w:space="708"/>
          <w:docGrid w:linePitch="360"/>
        </w:sectPr>
      </w:pPr>
    </w:p>
    <w:p w14:paraId="35887DB9" w14:textId="418982C3" w:rsidR="00710BB4" w:rsidRPr="00BB16F9" w:rsidRDefault="00C37194" w:rsidP="00510EBB">
      <w:pPr>
        <w:pStyle w:val="Heading2"/>
        <w:spacing w:line="276" w:lineRule="auto"/>
        <w:rPr>
          <w:rFonts w:ascii="Times New Roman" w:hAnsi="Times New Roman" w:cs="Times New Roman"/>
          <w:b/>
          <w:bCs/>
          <w:color w:val="auto"/>
          <w:sz w:val="28"/>
          <w:szCs w:val="28"/>
          <w:lang w:val="en-GB"/>
        </w:rPr>
      </w:pPr>
      <w:bookmarkStart w:id="162" w:name="_Toc161220537"/>
      <w:r w:rsidRPr="00BB16F9">
        <w:rPr>
          <w:rFonts w:ascii="Times New Roman" w:hAnsi="Times New Roman" w:cs="Times New Roman"/>
          <w:b/>
          <w:bCs/>
          <w:color w:val="auto"/>
          <w:sz w:val="28"/>
          <w:szCs w:val="28"/>
          <w:lang w:val="en-GB"/>
        </w:rPr>
        <w:lastRenderedPageBreak/>
        <w:t xml:space="preserve">Annex </w:t>
      </w:r>
      <w:r w:rsidR="00710BB4" w:rsidRPr="00BB16F9">
        <w:rPr>
          <w:rFonts w:ascii="Times New Roman" w:hAnsi="Times New Roman" w:cs="Times New Roman"/>
          <w:b/>
          <w:bCs/>
          <w:color w:val="auto"/>
          <w:sz w:val="28"/>
          <w:szCs w:val="28"/>
          <w:lang w:val="en-GB"/>
        </w:rPr>
        <w:t>VI</w:t>
      </w:r>
      <w:bookmarkEnd w:id="162"/>
      <w:r w:rsidRPr="00BB16F9">
        <w:rPr>
          <w:rFonts w:ascii="Times New Roman" w:hAnsi="Times New Roman" w:cs="Times New Roman"/>
          <w:b/>
          <w:bCs/>
          <w:color w:val="auto"/>
          <w:sz w:val="28"/>
          <w:szCs w:val="28"/>
          <w:lang w:val="en-GB"/>
        </w:rPr>
        <w:t xml:space="preserve"> </w:t>
      </w:r>
    </w:p>
    <w:p w14:paraId="620CCAD1" w14:textId="4556FF2F" w:rsidR="00C37194" w:rsidRPr="00510EBB" w:rsidRDefault="00C37194" w:rsidP="00C37194">
      <w:pPr>
        <w:spacing w:after="0"/>
        <w:rPr>
          <w:rFonts w:ascii="Times New Roman" w:hAnsi="Times New Roman"/>
          <w:b/>
          <w:sz w:val="28"/>
          <w:szCs w:val="28"/>
        </w:rPr>
      </w:pPr>
      <w:r w:rsidRPr="00510EBB">
        <w:rPr>
          <w:rFonts w:ascii="Times New Roman" w:hAnsi="Times New Roman"/>
          <w:b/>
          <w:sz w:val="28"/>
          <w:szCs w:val="28"/>
        </w:rPr>
        <w:t xml:space="preserve">Current landscape for development of living modified mosquitoes containing engineered gene drives for disease vector </w:t>
      </w:r>
      <w:proofErr w:type="gramStart"/>
      <w:r w:rsidRPr="00510EBB">
        <w:rPr>
          <w:rFonts w:ascii="Times New Roman" w:hAnsi="Times New Roman"/>
          <w:b/>
          <w:sz w:val="28"/>
          <w:szCs w:val="28"/>
        </w:rPr>
        <w:t>control</w:t>
      </w:r>
      <w:proofErr w:type="gramEnd"/>
      <w:r w:rsidRPr="00510EBB">
        <w:rPr>
          <w:rFonts w:ascii="Times New Roman" w:hAnsi="Times New Roman"/>
          <w:b/>
          <w:sz w:val="28"/>
          <w:szCs w:val="28"/>
        </w:rPr>
        <w:t xml:space="preserve"> </w:t>
      </w:r>
    </w:p>
    <w:p w14:paraId="2DF4FC1F" w14:textId="77777777" w:rsidR="00C37194" w:rsidRPr="00B45531" w:rsidRDefault="00C37194" w:rsidP="00C37194">
      <w:pPr>
        <w:spacing w:after="0"/>
        <w:rPr>
          <w:rFonts w:ascii="Times New Roman" w:hAnsi="Times New Roman"/>
          <w:b/>
          <w:bCs/>
          <w:sz w:val="10"/>
          <w:szCs w:val="10"/>
        </w:rPr>
      </w:pPr>
    </w:p>
    <w:tbl>
      <w:tblPr>
        <w:tblStyle w:val="TableGrid"/>
        <w:tblW w:w="1460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700"/>
        <w:gridCol w:w="1702"/>
        <w:gridCol w:w="1844"/>
        <w:gridCol w:w="1418"/>
        <w:gridCol w:w="1701"/>
        <w:gridCol w:w="1842"/>
        <w:gridCol w:w="1559"/>
        <w:gridCol w:w="1417"/>
      </w:tblGrid>
      <w:tr w:rsidR="00F721BF" w:rsidRPr="004B6EB5" w14:paraId="3E11435A" w14:textId="77777777">
        <w:trPr>
          <w:trHeight w:val="573"/>
        </w:trPr>
        <w:tc>
          <w:tcPr>
            <w:tcW w:w="1418" w:type="dxa"/>
            <w:tcBorders>
              <w:top w:val="single" w:sz="18" w:space="0" w:color="auto"/>
              <w:bottom w:val="single" w:sz="18" w:space="0" w:color="auto"/>
            </w:tcBorders>
            <w:shd w:val="clear" w:color="auto" w:fill="D9D9D9" w:themeFill="background1" w:themeFillShade="D9"/>
          </w:tcPr>
          <w:p w14:paraId="2A7904A9" w14:textId="77777777" w:rsidR="00C37194" w:rsidRPr="00B45531" w:rsidRDefault="00C37194">
            <w:pPr>
              <w:spacing w:line="180" w:lineRule="exact"/>
              <w:jc w:val="center"/>
              <w:rPr>
                <w:b/>
                <w:bCs/>
              </w:rPr>
            </w:pPr>
          </w:p>
          <w:p w14:paraId="7FB4813C" w14:textId="77777777" w:rsidR="00C37194" w:rsidRPr="00B45531" w:rsidRDefault="00C37194">
            <w:pPr>
              <w:spacing w:line="180" w:lineRule="exact"/>
              <w:jc w:val="center"/>
              <w:rPr>
                <w:b/>
                <w:bCs/>
              </w:rPr>
            </w:pPr>
            <w:r w:rsidRPr="00B45531">
              <w:rPr>
                <w:b/>
                <w:bCs/>
              </w:rPr>
              <w:t>Target</w:t>
            </w:r>
          </w:p>
          <w:p w14:paraId="4ACEE3B1" w14:textId="77777777" w:rsidR="00C37194" w:rsidRPr="00B45531" w:rsidRDefault="00C37194">
            <w:pPr>
              <w:spacing w:line="180" w:lineRule="exact"/>
              <w:jc w:val="center"/>
              <w:rPr>
                <w:b/>
                <w:bCs/>
              </w:rPr>
            </w:pPr>
            <w:r w:rsidRPr="00B45531">
              <w:rPr>
                <w:b/>
                <w:bCs/>
              </w:rPr>
              <w:t>vector-</w:t>
            </w:r>
            <w:proofErr w:type="gramStart"/>
            <w:r w:rsidRPr="00B45531">
              <w:rPr>
                <w:b/>
                <w:bCs/>
              </w:rPr>
              <w:t>borne</w:t>
            </w:r>
            <w:proofErr w:type="gramEnd"/>
            <w:r w:rsidRPr="00B45531">
              <w:rPr>
                <w:b/>
                <w:bCs/>
              </w:rPr>
              <w:t xml:space="preserve"> </w:t>
            </w:r>
          </w:p>
          <w:p w14:paraId="7E01D1BE" w14:textId="77777777" w:rsidR="00C37194" w:rsidRPr="00B45531" w:rsidRDefault="00C37194">
            <w:pPr>
              <w:spacing w:line="180" w:lineRule="exact"/>
              <w:jc w:val="center"/>
              <w:rPr>
                <w:b/>
                <w:bCs/>
              </w:rPr>
            </w:pPr>
            <w:r w:rsidRPr="00B45531">
              <w:rPr>
                <w:b/>
                <w:bCs/>
              </w:rPr>
              <w:t xml:space="preserve">disease </w:t>
            </w:r>
          </w:p>
        </w:tc>
        <w:tc>
          <w:tcPr>
            <w:tcW w:w="1700" w:type="dxa"/>
            <w:tcBorders>
              <w:top w:val="single" w:sz="18" w:space="0" w:color="auto"/>
              <w:bottom w:val="single" w:sz="18" w:space="0" w:color="auto"/>
            </w:tcBorders>
            <w:shd w:val="clear" w:color="auto" w:fill="D9D9D9" w:themeFill="background1" w:themeFillShade="D9"/>
          </w:tcPr>
          <w:p w14:paraId="26D85B10" w14:textId="77777777" w:rsidR="00C37194" w:rsidRPr="00B45531" w:rsidRDefault="00C37194">
            <w:pPr>
              <w:spacing w:line="180" w:lineRule="exact"/>
              <w:jc w:val="center"/>
              <w:rPr>
                <w:b/>
                <w:bCs/>
              </w:rPr>
            </w:pPr>
          </w:p>
          <w:p w14:paraId="552A4429" w14:textId="77777777" w:rsidR="00C37194" w:rsidRPr="00B45531" w:rsidRDefault="00C37194">
            <w:pPr>
              <w:spacing w:line="180" w:lineRule="exact"/>
              <w:jc w:val="center"/>
              <w:rPr>
                <w:b/>
                <w:bCs/>
              </w:rPr>
            </w:pPr>
            <w:r w:rsidRPr="00B45531">
              <w:rPr>
                <w:b/>
                <w:bCs/>
              </w:rPr>
              <w:t xml:space="preserve">Target </w:t>
            </w:r>
          </w:p>
          <w:p w14:paraId="5185C072" w14:textId="77777777" w:rsidR="00C37194" w:rsidRPr="00B45531" w:rsidRDefault="00C37194">
            <w:pPr>
              <w:spacing w:line="180" w:lineRule="exact"/>
              <w:jc w:val="center"/>
              <w:rPr>
                <w:b/>
                <w:bCs/>
              </w:rPr>
            </w:pPr>
            <w:r w:rsidRPr="00B45531">
              <w:rPr>
                <w:b/>
                <w:bCs/>
              </w:rPr>
              <w:t xml:space="preserve">mosquito vector species </w:t>
            </w:r>
          </w:p>
        </w:tc>
        <w:tc>
          <w:tcPr>
            <w:tcW w:w="1702" w:type="dxa"/>
            <w:tcBorders>
              <w:top w:val="single" w:sz="18" w:space="0" w:color="auto"/>
              <w:bottom w:val="single" w:sz="18" w:space="0" w:color="auto"/>
            </w:tcBorders>
            <w:shd w:val="clear" w:color="auto" w:fill="D9D9D9" w:themeFill="background1" w:themeFillShade="D9"/>
          </w:tcPr>
          <w:p w14:paraId="1334B04E" w14:textId="77777777" w:rsidR="00C37194" w:rsidRPr="00B45531" w:rsidRDefault="00C37194">
            <w:pPr>
              <w:spacing w:line="180" w:lineRule="exact"/>
              <w:jc w:val="center"/>
              <w:rPr>
                <w:b/>
                <w:bCs/>
              </w:rPr>
            </w:pPr>
          </w:p>
          <w:p w14:paraId="675C6079" w14:textId="50A246C9" w:rsidR="00C37194" w:rsidRPr="00B45531" w:rsidRDefault="00C37194">
            <w:pPr>
              <w:spacing w:line="180" w:lineRule="exact"/>
              <w:jc w:val="center"/>
              <w:rPr>
                <w:b/>
                <w:bCs/>
              </w:rPr>
            </w:pPr>
            <w:r w:rsidRPr="00B45531">
              <w:rPr>
                <w:b/>
                <w:bCs/>
              </w:rPr>
              <w:t xml:space="preserve"> EG</w:t>
            </w:r>
            <w:r w:rsidR="00F85ABF">
              <w:rPr>
                <w:b/>
                <w:bCs/>
              </w:rPr>
              <w:t>D</w:t>
            </w:r>
            <w:r w:rsidRPr="00B45531">
              <w:rPr>
                <w:b/>
                <w:bCs/>
              </w:rPr>
              <w:t xml:space="preserve"> threshold </w:t>
            </w:r>
          </w:p>
          <w:p w14:paraId="5DEDEE60" w14:textId="77777777" w:rsidR="00C37194" w:rsidRPr="00B45531" w:rsidRDefault="00C37194">
            <w:pPr>
              <w:spacing w:line="180" w:lineRule="exact"/>
              <w:jc w:val="center"/>
              <w:rPr>
                <w:b/>
                <w:bCs/>
              </w:rPr>
            </w:pPr>
            <w:r w:rsidRPr="00B45531">
              <w:rPr>
                <w:b/>
                <w:bCs/>
              </w:rPr>
              <w:t>for field releases</w:t>
            </w:r>
          </w:p>
          <w:p w14:paraId="0BDED2B6" w14:textId="77777777" w:rsidR="00C37194" w:rsidRPr="00B45531" w:rsidRDefault="00C37194">
            <w:pPr>
              <w:spacing w:line="180" w:lineRule="exact"/>
              <w:jc w:val="center"/>
              <w:rPr>
                <w:b/>
                <w:bCs/>
              </w:rPr>
            </w:pPr>
          </w:p>
        </w:tc>
        <w:tc>
          <w:tcPr>
            <w:tcW w:w="1844" w:type="dxa"/>
            <w:tcBorders>
              <w:top w:val="single" w:sz="18" w:space="0" w:color="auto"/>
              <w:bottom w:val="single" w:sz="18" w:space="0" w:color="auto"/>
            </w:tcBorders>
            <w:shd w:val="clear" w:color="auto" w:fill="D9D9D9" w:themeFill="background1" w:themeFillShade="D9"/>
          </w:tcPr>
          <w:p w14:paraId="7E4650ED" w14:textId="77777777" w:rsidR="00C37194" w:rsidRPr="00B45531" w:rsidRDefault="00C37194">
            <w:pPr>
              <w:spacing w:line="180" w:lineRule="exact"/>
              <w:jc w:val="center"/>
              <w:rPr>
                <w:b/>
                <w:bCs/>
              </w:rPr>
            </w:pPr>
          </w:p>
          <w:p w14:paraId="6A9B98DE" w14:textId="325A6FF7" w:rsidR="00C37194" w:rsidRPr="00B45531" w:rsidRDefault="00C37194">
            <w:pPr>
              <w:spacing w:line="180" w:lineRule="exact"/>
              <w:jc w:val="center"/>
              <w:rPr>
                <w:b/>
                <w:bCs/>
              </w:rPr>
            </w:pPr>
            <w:r w:rsidRPr="00B45531">
              <w:rPr>
                <w:b/>
                <w:bCs/>
              </w:rPr>
              <w:t xml:space="preserve"> EG</w:t>
            </w:r>
            <w:r w:rsidR="00F85ABF">
              <w:rPr>
                <w:b/>
                <w:bCs/>
              </w:rPr>
              <w:t>D</w:t>
            </w:r>
            <w:r w:rsidRPr="00B45531">
              <w:rPr>
                <w:b/>
                <w:bCs/>
              </w:rPr>
              <w:t xml:space="preserve"> persistence </w:t>
            </w:r>
          </w:p>
          <w:p w14:paraId="6E4477C1" w14:textId="77777777" w:rsidR="00C37194" w:rsidRPr="00B45531" w:rsidRDefault="00C37194">
            <w:pPr>
              <w:spacing w:line="180" w:lineRule="exact"/>
              <w:jc w:val="center"/>
              <w:rPr>
                <w:b/>
                <w:bCs/>
              </w:rPr>
            </w:pPr>
            <w:r w:rsidRPr="00B45531">
              <w:rPr>
                <w:b/>
                <w:bCs/>
              </w:rPr>
              <w:t xml:space="preserve">in target populations </w:t>
            </w:r>
          </w:p>
          <w:p w14:paraId="53B311A9" w14:textId="77777777" w:rsidR="00C37194" w:rsidRPr="00B45531" w:rsidRDefault="00C37194">
            <w:pPr>
              <w:spacing w:line="180" w:lineRule="exact"/>
              <w:jc w:val="center"/>
              <w:rPr>
                <w:b/>
                <w:bCs/>
              </w:rPr>
            </w:pPr>
          </w:p>
        </w:tc>
        <w:tc>
          <w:tcPr>
            <w:tcW w:w="1418" w:type="dxa"/>
            <w:tcBorders>
              <w:top w:val="single" w:sz="18" w:space="0" w:color="auto"/>
              <w:bottom w:val="single" w:sz="18" w:space="0" w:color="auto"/>
            </w:tcBorders>
            <w:shd w:val="clear" w:color="auto" w:fill="D9D9D9" w:themeFill="background1" w:themeFillShade="D9"/>
          </w:tcPr>
          <w:p w14:paraId="17B965A0" w14:textId="77777777" w:rsidR="00C37194" w:rsidRPr="00B45531" w:rsidRDefault="00C37194">
            <w:pPr>
              <w:spacing w:line="180" w:lineRule="exact"/>
              <w:jc w:val="center"/>
              <w:rPr>
                <w:b/>
                <w:bCs/>
              </w:rPr>
            </w:pPr>
          </w:p>
          <w:p w14:paraId="3E7C6DD0" w14:textId="77777777" w:rsidR="00C37194" w:rsidRPr="00B45531" w:rsidRDefault="00C37194">
            <w:pPr>
              <w:spacing w:line="180" w:lineRule="exact"/>
              <w:jc w:val="center"/>
              <w:rPr>
                <w:b/>
                <w:bCs/>
              </w:rPr>
            </w:pPr>
            <w:r w:rsidRPr="00B45531">
              <w:rPr>
                <w:b/>
                <w:bCs/>
              </w:rPr>
              <w:t xml:space="preserve">EGD </w:t>
            </w:r>
            <w:proofErr w:type="gramStart"/>
            <w:r w:rsidRPr="00B45531">
              <w:rPr>
                <w:b/>
                <w:bCs/>
              </w:rPr>
              <w:t>spread</w:t>
            </w:r>
            <w:proofErr w:type="gramEnd"/>
            <w:r w:rsidRPr="00B45531">
              <w:rPr>
                <w:b/>
                <w:bCs/>
              </w:rPr>
              <w:t xml:space="preserve"> </w:t>
            </w:r>
          </w:p>
          <w:p w14:paraId="468D915D" w14:textId="77777777" w:rsidR="00C37194" w:rsidRPr="00B45531" w:rsidRDefault="00C37194">
            <w:pPr>
              <w:spacing w:line="180" w:lineRule="exact"/>
              <w:jc w:val="center"/>
              <w:rPr>
                <w:b/>
                <w:bCs/>
              </w:rPr>
            </w:pPr>
            <w:r w:rsidRPr="00B45531">
              <w:rPr>
                <w:b/>
                <w:bCs/>
              </w:rPr>
              <w:t xml:space="preserve">in target populations </w:t>
            </w:r>
          </w:p>
          <w:p w14:paraId="400E7D98" w14:textId="77777777" w:rsidR="00C37194" w:rsidRPr="00B45531" w:rsidRDefault="00C37194">
            <w:pPr>
              <w:spacing w:line="180" w:lineRule="exact"/>
              <w:jc w:val="center"/>
              <w:rPr>
                <w:b/>
                <w:bCs/>
              </w:rPr>
            </w:pPr>
          </w:p>
        </w:tc>
        <w:tc>
          <w:tcPr>
            <w:tcW w:w="1701" w:type="dxa"/>
            <w:tcBorders>
              <w:top w:val="single" w:sz="18" w:space="0" w:color="auto"/>
              <w:bottom w:val="single" w:sz="18" w:space="0" w:color="auto"/>
            </w:tcBorders>
            <w:shd w:val="clear" w:color="auto" w:fill="D9D9D9" w:themeFill="background1" w:themeFillShade="D9"/>
          </w:tcPr>
          <w:p w14:paraId="06F4FDC6" w14:textId="77777777" w:rsidR="00C37194" w:rsidRPr="00B45531" w:rsidRDefault="00C37194">
            <w:pPr>
              <w:spacing w:line="180" w:lineRule="exact"/>
              <w:jc w:val="center"/>
              <w:rPr>
                <w:b/>
                <w:bCs/>
              </w:rPr>
            </w:pPr>
          </w:p>
          <w:p w14:paraId="7FB84854" w14:textId="77777777" w:rsidR="00C37194" w:rsidRPr="00B45531" w:rsidRDefault="00C37194">
            <w:pPr>
              <w:spacing w:line="180" w:lineRule="exact"/>
              <w:jc w:val="center"/>
              <w:rPr>
                <w:b/>
                <w:bCs/>
              </w:rPr>
            </w:pPr>
            <w:r w:rsidRPr="00B45531">
              <w:rPr>
                <w:b/>
                <w:bCs/>
              </w:rPr>
              <w:t xml:space="preserve">Mechanism </w:t>
            </w:r>
          </w:p>
          <w:p w14:paraId="5BBBAF95" w14:textId="77777777" w:rsidR="00C37194" w:rsidRPr="00B45531" w:rsidRDefault="00C37194">
            <w:pPr>
              <w:spacing w:line="180" w:lineRule="exact"/>
              <w:jc w:val="center"/>
              <w:rPr>
                <w:b/>
                <w:bCs/>
              </w:rPr>
            </w:pPr>
            <w:r w:rsidRPr="00B45531">
              <w:rPr>
                <w:b/>
                <w:bCs/>
              </w:rPr>
              <w:t>underpinning EGD</w:t>
            </w:r>
          </w:p>
          <w:p w14:paraId="4A4BC4B7" w14:textId="77777777" w:rsidR="00C37194" w:rsidRPr="00B45531" w:rsidRDefault="00C37194">
            <w:pPr>
              <w:spacing w:line="180" w:lineRule="exact"/>
              <w:jc w:val="center"/>
              <w:rPr>
                <w:b/>
                <w:bCs/>
              </w:rPr>
            </w:pPr>
          </w:p>
        </w:tc>
        <w:tc>
          <w:tcPr>
            <w:tcW w:w="1842" w:type="dxa"/>
            <w:tcBorders>
              <w:top w:val="single" w:sz="18" w:space="0" w:color="auto"/>
              <w:bottom w:val="single" w:sz="18" w:space="0" w:color="auto"/>
            </w:tcBorders>
            <w:shd w:val="clear" w:color="auto" w:fill="D9D9D9" w:themeFill="background1" w:themeFillShade="D9"/>
          </w:tcPr>
          <w:p w14:paraId="57C6754C" w14:textId="77777777" w:rsidR="00C37194" w:rsidRPr="00B45531" w:rsidRDefault="00C37194">
            <w:pPr>
              <w:spacing w:line="180" w:lineRule="exact"/>
              <w:jc w:val="center"/>
              <w:rPr>
                <w:b/>
                <w:bCs/>
              </w:rPr>
            </w:pPr>
          </w:p>
          <w:p w14:paraId="738ED61F" w14:textId="77777777" w:rsidR="00C37194" w:rsidRPr="00B45531" w:rsidRDefault="00C37194">
            <w:pPr>
              <w:spacing w:line="180" w:lineRule="exact"/>
              <w:jc w:val="center"/>
              <w:rPr>
                <w:b/>
                <w:bCs/>
              </w:rPr>
            </w:pPr>
            <w:r w:rsidRPr="00B45531">
              <w:rPr>
                <w:b/>
                <w:bCs/>
              </w:rPr>
              <w:t>Intended impact on target populations</w:t>
            </w:r>
          </w:p>
        </w:tc>
        <w:tc>
          <w:tcPr>
            <w:tcW w:w="1559" w:type="dxa"/>
            <w:tcBorders>
              <w:top w:val="single" w:sz="18" w:space="0" w:color="auto"/>
              <w:bottom w:val="single" w:sz="18" w:space="0" w:color="auto"/>
            </w:tcBorders>
            <w:shd w:val="clear" w:color="auto" w:fill="D9D9D9" w:themeFill="background1" w:themeFillShade="D9"/>
          </w:tcPr>
          <w:p w14:paraId="49B96A95" w14:textId="77777777" w:rsidR="00C37194" w:rsidRPr="00B45531" w:rsidRDefault="00C37194">
            <w:pPr>
              <w:spacing w:line="180" w:lineRule="exact"/>
              <w:jc w:val="center"/>
              <w:rPr>
                <w:b/>
                <w:bCs/>
              </w:rPr>
            </w:pPr>
          </w:p>
          <w:p w14:paraId="693AB1C4" w14:textId="77777777" w:rsidR="00C37194" w:rsidRPr="00B45531" w:rsidRDefault="00C37194">
            <w:pPr>
              <w:spacing w:line="180" w:lineRule="exact"/>
              <w:jc w:val="center"/>
              <w:rPr>
                <w:b/>
                <w:bCs/>
              </w:rPr>
            </w:pPr>
            <w:r w:rsidRPr="00B45531">
              <w:rPr>
                <w:b/>
                <w:bCs/>
              </w:rPr>
              <w:t xml:space="preserve">Stage </w:t>
            </w:r>
          </w:p>
          <w:p w14:paraId="0BC28BAA" w14:textId="77777777" w:rsidR="00C37194" w:rsidRPr="00B45531" w:rsidRDefault="00C37194">
            <w:pPr>
              <w:spacing w:line="180" w:lineRule="exact"/>
              <w:jc w:val="center"/>
              <w:rPr>
                <w:b/>
                <w:bCs/>
              </w:rPr>
            </w:pPr>
            <w:r w:rsidRPr="00B45531">
              <w:rPr>
                <w:b/>
                <w:bCs/>
              </w:rPr>
              <w:t xml:space="preserve">of EGD development </w:t>
            </w:r>
          </w:p>
        </w:tc>
        <w:tc>
          <w:tcPr>
            <w:tcW w:w="1417" w:type="dxa"/>
            <w:tcBorders>
              <w:top w:val="single" w:sz="18" w:space="0" w:color="auto"/>
              <w:bottom w:val="single" w:sz="18" w:space="0" w:color="auto"/>
            </w:tcBorders>
            <w:shd w:val="clear" w:color="auto" w:fill="D9D9D9" w:themeFill="background1" w:themeFillShade="D9"/>
          </w:tcPr>
          <w:p w14:paraId="4174BBF8" w14:textId="77777777" w:rsidR="00C37194" w:rsidRPr="00B45531" w:rsidRDefault="00C37194">
            <w:pPr>
              <w:spacing w:line="180" w:lineRule="exact"/>
              <w:jc w:val="center"/>
              <w:rPr>
                <w:b/>
                <w:bCs/>
              </w:rPr>
            </w:pPr>
          </w:p>
          <w:p w14:paraId="365BF050" w14:textId="77777777" w:rsidR="00C37194" w:rsidRPr="00B45531" w:rsidRDefault="00C37194">
            <w:pPr>
              <w:spacing w:line="180" w:lineRule="exact"/>
              <w:jc w:val="center"/>
              <w:rPr>
                <w:b/>
                <w:bCs/>
              </w:rPr>
            </w:pPr>
          </w:p>
          <w:p w14:paraId="001EF107" w14:textId="77777777" w:rsidR="00C37194" w:rsidRPr="00B45531" w:rsidRDefault="00C37194">
            <w:pPr>
              <w:spacing w:line="180" w:lineRule="exact"/>
              <w:jc w:val="center"/>
              <w:rPr>
                <w:b/>
                <w:bCs/>
              </w:rPr>
            </w:pPr>
            <w:r w:rsidRPr="00B45531">
              <w:rPr>
                <w:b/>
                <w:bCs/>
              </w:rPr>
              <w:t>References</w:t>
            </w:r>
          </w:p>
        </w:tc>
      </w:tr>
      <w:tr w:rsidR="00F721BF" w:rsidRPr="002F2651" w14:paraId="70CFC805" w14:textId="77777777">
        <w:trPr>
          <w:trHeight w:val="265"/>
        </w:trPr>
        <w:tc>
          <w:tcPr>
            <w:tcW w:w="1418" w:type="dxa"/>
            <w:vMerge w:val="restart"/>
            <w:tcBorders>
              <w:top w:val="single" w:sz="18" w:space="0" w:color="auto"/>
            </w:tcBorders>
            <w:shd w:val="clear" w:color="auto" w:fill="F2F2F2" w:themeFill="background1" w:themeFillShade="F2"/>
          </w:tcPr>
          <w:p w14:paraId="3751BB2C" w14:textId="77777777" w:rsidR="00C37194" w:rsidRPr="00B45531" w:rsidRDefault="00C37194">
            <w:pPr>
              <w:spacing w:line="180" w:lineRule="exact"/>
              <w:jc w:val="center"/>
              <w:rPr>
                <w:sz w:val="18"/>
                <w:szCs w:val="18"/>
              </w:rPr>
            </w:pPr>
          </w:p>
          <w:p w14:paraId="5586694A" w14:textId="77777777" w:rsidR="00C37194" w:rsidRPr="00B45531" w:rsidRDefault="00C37194">
            <w:pPr>
              <w:spacing w:line="180" w:lineRule="exact"/>
              <w:jc w:val="center"/>
              <w:rPr>
                <w:sz w:val="18"/>
                <w:szCs w:val="18"/>
              </w:rPr>
            </w:pPr>
            <w:r w:rsidRPr="00B45531">
              <w:rPr>
                <w:sz w:val="18"/>
                <w:szCs w:val="18"/>
              </w:rPr>
              <w:t>Malaria</w:t>
            </w:r>
          </w:p>
          <w:p w14:paraId="208221B6" w14:textId="77777777" w:rsidR="00C37194" w:rsidRPr="00B45531" w:rsidRDefault="00C37194">
            <w:pPr>
              <w:spacing w:line="180" w:lineRule="exact"/>
              <w:jc w:val="center"/>
              <w:rPr>
                <w:sz w:val="18"/>
                <w:szCs w:val="18"/>
              </w:rPr>
            </w:pPr>
          </w:p>
          <w:p w14:paraId="3B541730" w14:textId="77777777" w:rsidR="00C37194" w:rsidRPr="00B45531" w:rsidRDefault="00C37194">
            <w:pPr>
              <w:spacing w:line="180" w:lineRule="exact"/>
              <w:jc w:val="center"/>
              <w:rPr>
                <w:sz w:val="18"/>
                <w:szCs w:val="18"/>
              </w:rPr>
            </w:pPr>
          </w:p>
        </w:tc>
        <w:tc>
          <w:tcPr>
            <w:tcW w:w="1700" w:type="dxa"/>
            <w:vMerge w:val="restart"/>
            <w:tcBorders>
              <w:top w:val="single" w:sz="18" w:space="0" w:color="auto"/>
            </w:tcBorders>
            <w:shd w:val="clear" w:color="auto" w:fill="F2F2F2" w:themeFill="background1" w:themeFillShade="F2"/>
          </w:tcPr>
          <w:p w14:paraId="240A5EA3" w14:textId="77777777" w:rsidR="00C37194" w:rsidRPr="00B45531" w:rsidRDefault="00C37194">
            <w:pPr>
              <w:spacing w:line="180" w:lineRule="exact"/>
              <w:jc w:val="center"/>
              <w:rPr>
                <w:sz w:val="18"/>
                <w:szCs w:val="18"/>
              </w:rPr>
            </w:pPr>
          </w:p>
          <w:p w14:paraId="3CDD50A8" w14:textId="5DCFBF7D" w:rsidR="00C37194" w:rsidRPr="00B45531" w:rsidRDefault="00C37194">
            <w:pPr>
              <w:spacing w:line="180" w:lineRule="exact"/>
              <w:jc w:val="center"/>
              <w:rPr>
                <w:sz w:val="18"/>
                <w:szCs w:val="18"/>
              </w:rPr>
            </w:pPr>
            <w:r w:rsidRPr="00B45531">
              <w:rPr>
                <w:i/>
                <w:iCs/>
                <w:sz w:val="18"/>
                <w:szCs w:val="18"/>
              </w:rPr>
              <w:t xml:space="preserve">An. </w:t>
            </w:r>
            <w:r w:rsidR="00582D2A">
              <w:rPr>
                <w:i/>
                <w:iCs/>
                <w:sz w:val="18"/>
                <w:szCs w:val="18"/>
              </w:rPr>
              <w:t>g</w:t>
            </w:r>
            <w:r w:rsidRPr="00B45531">
              <w:rPr>
                <w:i/>
                <w:iCs/>
                <w:sz w:val="18"/>
                <w:szCs w:val="18"/>
              </w:rPr>
              <w:t>ambiae</w:t>
            </w:r>
            <w:r w:rsidRPr="00B45531">
              <w:rPr>
                <w:sz w:val="18"/>
                <w:szCs w:val="18"/>
              </w:rPr>
              <w:t xml:space="preserve"> </w:t>
            </w:r>
            <w:proofErr w:type="spellStart"/>
            <w:r w:rsidRPr="00B45531">
              <w:rPr>
                <w:sz w:val="18"/>
                <w:szCs w:val="18"/>
              </w:rPr>
              <w:t>s.l.</w:t>
            </w:r>
            <w:proofErr w:type="spellEnd"/>
          </w:p>
        </w:tc>
        <w:tc>
          <w:tcPr>
            <w:tcW w:w="1702" w:type="dxa"/>
            <w:vMerge w:val="restart"/>
            <w:tcBorders>
              <w:top w:val="single" w:sz="18" w:space="0" w:color="auto"/>
            </w:tcBorders>
            <w:shd w:val="clear" w:color="auto" w:fill="F2F2F2" w:themeFill="background1" w:themeFillShade="F2"/>
          </w:tcPr>
          <w:p w14:paraId="116C14C7" w14:textId="77777777" w:rsidR="00C37194" w:rsidRPr="00B45531" w:rsidRDefault="00C37194">
            <w:pPr>
              <w:spacing w:line="180" w:lineRule="exact"/>
              <w:jc w:val="center"/>
              <w:rPr>
                <w:sz w:val="18"/>
                <w:szCs w:val="18"/>
              </w:rPr>
            </w:pPr>
          </w:p>
          <w:p w14:paraId="7A65BE4D" w14:textId="77777777" w:rsidR="00C37194" w:rsidRPr="00B45531" w:rsidRDefault="00C37194">
            <w:pPr>
              <w:spacing w:line="180" w:lineRule="exact"/>
              <w:jc w:val="center"/>
              <w:rPr>
                <w:sz w:val="18"/>
                <w:szCs w:val="18"/>
              </w:rPr>
            </w:pPr>
            <w:r w:rsidRPr="00B45531">
              <w:rPr>
                <w:sz w:val="18"/>
                <w:szCs w:val="18"/>
              </w:rPr>
              <w:t xml:space="preserve">Low </w:t>
            </w:r>
          </w:p>
          <w:p w14:paraId="2C429007" w14:textId="77777777" w:rsidR="00C37194" w:rsidRPr="00B45531" w:rsidRDefault="00C37194">
            <w:pPr>
              <w:spacing w:line="180" w:lineRule="exact"/>
              <w:jc w:val="center"/>
              <w:rPr>
                <w:sz w:val="18"/>
                <w:szCs w:val="18"/>
              </w:rPr>
            </w:pPr>
          </w:p>
          <w:p w14:paraId="109C205B" w14:textId="77777777" w:rsidR="00C37194" w:rsidRPr="00B45531" w:rsidRDefault="00C37194">
            <w:pPr>
              <w:spacing w:line="180" w:lineRule="exact"/>
              <w:jc w:val="center"/>
              <w:rPr>
                <w:sz w:val="18"/>
                <w:szCs w:val="18"/>
              </w:rPr>
            </w:pPr>
          </w:p>
        </w:tc>
        <w:tc>
          <w:tcPr>
            <w:tcW w:w="1844" w:type="dxa"/>
            <w:vMerge w:val="restart"/>
            <w:tcBorders>
              <w:top w:val="single" w:sz="18" w:space="0" w:color="auto"/>
            </w:tcBorders>
            <w:shd w:val="clear" w:color="auto" w:fill="F2F2F2" w:themeFill="background1" w:themeFillShade="F2"/>
          </w:tcPr>
          <w:p w14:paraId="5092054B" w14:textId="77777777" w:rsidR="00C37194" w:rsidRPr="00B45531" w:rsidRDefault="00C37194">
            <w:pPr>
              <w:spacing w:line="180" w:lineRule="exact"/>
              <w:jc w:val="center"/>
              <w:rPr>
                <w:sz w:val="18"/>
                <w:szCs w:val="18"/>
              </w:rPr>
            </w:pPr>
          </w:p>
          <w:p w14:paraId="0CE1FDF8" w14:textId="77777777" w:rsidR="00C37194" w:rsidRPr="00B45531" w:rsidRDefault="00C37194">
            <w:pPr>
              <w:spacing w:line="180" w:lineRule="exact"/>
              <w:jc w:val="center"/>
              <w:rPr>
                <w:sz w:val="18"/>
                <w:szCs w:val="18"/>
              </w:rPr>
            </w:pPr>
            <w:r w:rsidRPr="00B45531">
              <w:rPr>
                <w:sz w:val="18"/>
                <w:szCs w:val="18"/>
              </w:rPr>
              <w:t>Self-sustaining</w:t>
            </w:r>
          </w:p>
          <w:p w14:paraId="54D8BFE6" w14:textId="77777777" w:rsidR="00C37194" w:rsidRPr="00B45531" w:rsidRDefault="00C37194">
            <w:pPr>
              <w:spacing w:line="180" w:lineRule="exact"/>
              <w:jc w:val="center"/>
              <w:rPr>
                <w:sz w:val="18"/>
                <w:szCs w:val="18"/>
              </w:rPr>
            </w:pPr>
          </w:p>
        </w:tc>
        <w:tc>
          <w:tcPr>
            <w:tcW w:w="1418" w:type="dxa"/>
            <w:tcBorders>
              <w:top w:val="single" w:sz="18" w:space="0" w:color="auto"/>
            </w:tcBorders>
            <w:shd w:val="clear" w:color="auto" w:fill="F2F2F2" w:themeFill="background1" w:themeFillShade="F2"/>
          </w:tcPr>
          <w:p w14:paraId="1A46CC39" w14:textId="77777777" w:rsidR="00C37194" w:rsidRPr="00B45531" w:rsidRDefault="00C37194">
            <w:pPr>
              <w:spacing w:line="180" w:lineRule="exact"/>
              <w:jc w:val="center"/>
              <w:rPr>
                <w:sz w:val="18"/>
                <w:szCs w:val="18"/>
              </w:rPr>
            </w:pPr>
          </w:p>
          <w:p w14:paraId="29156F3D" w14:textId="77777777" w:rsidR="00C37194" w:rsidRPr="00B45531" w:rsidRDefault="00C37194">
            <w:pPr>
              <w:spacing w:line="180" w:lineRule="exact"/>
              <w:jc w:val="center"/>
              <w:rPr>
                <w:sz w:val="18"/>
                <w:szCs w:val="18"/>
              </w:rPr>
            </w:pPr>
            <w:r w:rsidRPr="00B45531">
              <w:rPr>
                <w:sz w:val="18"/>
                <w:szCs w:val="18"/>
              </w:rPr>
              <w:t>Non-localised</w:t>
            </w:r>
          </w:p>
          <w:p w14:paraId="36594A68" w14:textId="77777777" w:rsidR="00C37194" w:rsidRPr="00B45531" w:rsidRDefault="00C37194">
            <w:pPr>
              <w:spacing w:line="180" w:lineRule="exact"/>
              <w:jc w:val="center"/>
              <w:rPr>
                <w:sz w:val="18"/>
                <w:szCs w:val="18"/>
              </w:rPr>
            </w:pPr>
          </w:p>
        </w:tc>
        <w:tc>
          <w:tcPr>
            <w:tcW w:w="1701" w:type="dxa"/>
            <w:tcBorders>
              <w:top w:val="single" w:sz="18" w:space="0" w:color="auto"/>
              <w:bottom w:val="single" w:sz="2" w:space="0" w:color="auto"/>
            </w:tcBorders>
            <w:shd w:val="clear" w:color="auto" w:fill="F2F2F2" w:themeFill="background1" w:themeFillShade="F2"/>
          </w:tcPr>
          <w:p w14:paraId="1A884A0E" w14:textId="77777777" w:rsidR="00C37194" w:rsidRPr="00B45531" w:rsidRDefault="00C37194">
            <w:pPr>
              <w:spacing w:line="180" w:lineRule="exact"/>
              <w:jc w:val="center"/>
              <w:rPr>
                <w:sz w:val="18"/>
                <w:szCs w:val="18"/>
              </w:rPr>
            </w:pPr>
          </w:p>
          <w:p w14:paraId="798DBF7E" w14:textId="77777777" w:rsidR="00C37194" w:rsidRPr="00B45531" w:rsidRDefault="00C37194">
            <w:pPr>
              <w:spacing w:line="180" w:lineRule="exact"/>
              <w:jc w:val="center"/>
              <w:rPr>
                <w:sz w:val="18"/>
                <w:szCs w:val="18"/>
              </w:rPr>
            </w:pPr>
            <w:r w:rsidRPr="00B45531">
              <w:rPr>
                <w:sz w:val="18"/>
                <w:szCs w:val="18"/>
              </w:rPr>
              <w:t>Homing</w:t>
            </w:r>
          </w:p>
        </w:tc>
        <w:tc>
          <w:tcPr>
            <w:tcW w:w="1842" w:type="dxa"/>
            <w:tcBorders>
              <w:top w:val="single" w:sz="18" w:space="0" w:color="auto"/>
              <w:bottom w:val="single" w:sz="2" w:space="0" w:color="auto"/>
            </w:tcBorders>
            <w:shd w:val="clear" w:color="auto" w:fill="F2F2F2" w:themeFill="background1" w:themeFillShade="F2"/>
          </w:tcPr>
          <w:p w14:paraId="4DF83EC2" w14:textId="77777777" w:rsidR="00C37194" w:rsidRPr="00B45531" w:rsidRDefault="00C37194">
            <w:pPr>
              <w:spacing w:line="180" w:lineRule="exact"/>
              <w:jc w:val="center"/>
              <w:rPr>
                <w:sz w:val="18"/>
                <w:szCs w:val="18"/>
              </w:rPr>
            </w:pPr>
          </w:p>
          <w:p w14:paraId="478C673A" w14:textId="77777777" w:rsidR="00C37194" w:rsidRPr="00B45531" w:rsidRDefault="00C37194">
            <w:pPr>
              <w:spacing w:line="180" w:lineRule="exact"/>
              <w:jc w:val="center"/>
              <w:rPr>
                <w:sz w:val="18"/>
                <w:szCs w:val="18"/>
              </w:rPr>
            </w:pPr>
            <w:r w:rsidRPr="00B45531">
              <w:rPr>
                <w:sz w:val="18"/>
                <w:szCs w:val="18"/>
              </w:rPr>
              <w:t>Suppression</w:t>
            </w:r>
          </w:p>
          <w:p w14:paraId="7060F23C" w14:textId="77777777" w:rsidR="00C37194" w:rsidRPr="00B45531" w:rsidRDefault="00C37194">
            <w:pPr>
              <w:spacing w:line="180" w:lineRule="exact"/>
              <w:jc w:val="center"/>
              <w:rPr>
                <w:sz w:val="18"/>
                <w:szCs w:val="18"/>
              </w:rPr>
            </w:pPr>
          </w:p>
        </w:tc>
        <w:tc>
          <w:tcPr>
            <w:tcW w:w="1559" w:type="dxa"/>
            <w:tcBorders>
              <w:top w:val="single" w:sz="18" w:space="0" w:color="auto"/>
              <w:bottom w:val="single" w:sz="2" w:space="0" w:color="auto"/>
            </w:tcBorders>
            <w:shd w:val="clear" w:color="auto" w:fill="F2F2F2" w:themeFill="background1" w:themeFillShade="F2"/>
          </w:tcPr>
          <w:p w14:paraId="5239E3A7" w14:textId="77777777" w:rsidR="00C37194" w:rsidRPr="00B45531" w:rsidRDefault="00C37194">
            <w:pPr>
              <w:spacing w:line="180" w:lineRule="exact"/>
              <w:jc w:val="center"/>
              <w:rPr>
                <w:sz w:val="18"/>
                <w:szCs w:val="18"/>
              </w:rPr>
            </w:pPr>
          </w:p>
          <w:p w14:paraId="11DF6140" w14:textId="77777777" w:rsidR="00C37194" w:rsidRPr="00B45531" w:rsidRDefault="00C37194">
            <w:pPr>
              <w:spacing w:line="180" w:lineRule="exact"/>
              <w:jc w:val="center"/>
              <w:rPr>
                <w:sz w:val="18"/>
                <w:szCs w:val="18"/>
              </w:rPr>
            </w:pPr>
            <w:r w:rsidRPr="00B45531">
              <w:rPr>
                <w:sz w:val="18"/>
                <w:szCs w:val="18"/>
              </w:rPr>
              <w:t>Modelling,</w:t>
            </w:r>
          </w:p>
          <w:p w14:paraId="41A29716" w14:textId="77777777" w:rsidR="00C37194" w:rsidRPr="00B45531" w:rsidRDefault="00C37194">
            <w:pPr>
              <w:spacing w:line="180" w:lineRule="exact"/>
              <w:jc w:val="center"/>
              <w:rPr>
                <w:sz w:val="18"/>
                <w:szCs w:val="18"/>
              </w:rPr>
            </w:pPr>
            <w:r w:rsidRPr="00B45531">
              <w:rPr>
                <w:sz w:val="18"/>
                <w:szCs w:val="18"/>
              </w:rPr>
              <w:t xml:space="preserve">Strains generated and tested in insectary in target </w:t>
            </w:r>
            <w:proofErr w:type="gramStart"/>
            <w:r w:rsidRPr="00B45531">
              <w:rPr>
                <w:sz w:val="18"/>
                <w:szCs w:val="18"/>
              </w:rPr>
              <w:t>species</w:t>
            </w:r>
            <w:proofErr w:type="gramEnd"/>
          </w:p>
          <w:p w14:paraId="158B01BC" w14:textId="77777777" w:rsidR="00C37194" w:rsidRPr="00B45531" w:rsidRDefault="00C37194">
            <w:pPr>
              <w:spacing w:line="180" w:lineRule="exact"/>
              <w:jc w:val="center"/>
              <w:rPr>
                <w:sz w:val="18"/>
                <w:szCs w:val="18"/>
              </w:rPr>
            </w:pPr>
          </w:p>
        </w:tc>
        <w:tc>
          <w:tcPr>
            <w:tcW w:w="1417" w:type="dxa"/>
            <w:tcBorders>
              <w:top w:val="single" w:sz="18" w:space="0" w:color="auto"/>
              <w:bottom w:val="single" w:sz="2" w:space="0" w:color="auto"/>
            </w:tcBorders>
            <w:shd w:val="clear" w:color="auto" w:fill="F2F2F2" w:themeFill="background1" w:themeFillShade="F2"/>
          </w:tcPr>
          <w:p w14:paraId="10CE3B81" w14:textId="77777777" w:rsidR="00C37194" w:rsidRPr="00B45531" w:rsidRDefault="00C37194">
            <w:pPr>
              <w:spacing w:line="180" w:lineRule="exact"/>
              <w:jc w:val="center"/>
              <w:rPr>
                <w:sz w:val="18"/>
                <w:szCs w:val="18"/>
              </w:rPr>
            </w:pPr>
          </w:p>
          <w:p w14:paraId="52CD6BCD" w14:textId="2142207D" w:rsidR="00C37194" w:rsidRPr="00E64AF4" w:rsidRDefault="00C37194">
            <w:pPr>
              <w:spacing w:line="180" w:lineRule="exact"/>
              <w:jc w:val="center"/>
              <w:rPr>
                <w:sz w:val="18"/>
                <w:lang w:val="en-US"/>
              </w:rPr>
            </w:pPr>
            <w:r w:rsidRPr="00B45531">
              <w:rPr>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E64AF4">
              <w:rPr>
                <w:sz w:val="18"/>
                <w:lang w:val="en-US"/>
              </w:rPr>
              <w:instrText xml:space="preserve"> ADDIN EN.CITE </w:instrText>
            </w:r>
            <w:r w:rsidRPr="00B45531">
              <w:rPr>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6A349B">
              <w:rPr>
                <w:sz w:val="18"/>
                <w:lang w:val="en-US"/>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9E6578">
              <w:rPr>
                <w:sz w:val="18"/>
                <w:lang w:val="en-US"/>
              </w:rPr>
              <w:t xml:space="preserve">Hammond </w:t>
            </w:r>
            <w:r w:rsidR="002F2651" w:rsidRPr="009E6578">
              <w:t>and others</w:t>
            </w:r>
            <w:r w:rsidRPr="009E6578">
              <w:rPr>
                <w:sz w:val="18"/>
                <w:lang w:val="en-US"/>
              </w:rPr>
              <w:t xml:space="preserve">  </w:t>
            </w:r>
            <w:r w:rsidR="002F2651" w:rsidRPr="009E6578">
              <w:rPr>
                <w:sz w:val="18"/>
                <w:lang w:val="en-US"/>
              </w:rPr>
              <w:t xml:space="preserve"> </w:t>
            </w:r>
            <w:r w:rsidRPr="009E6578">
              <w:rPr>
                <w:sz w:val="18"/>
                <w:lang w:val="en-US"/>
              </w:rPr>
              <w:t>2021;</w:t>
            </w:r>
            <w:r w:rsidRPr="00E64AF4">
              <w:rPr>
                <w:sz w:val="18"/>
                <w:lang w:val="en-US"/>
              </w:rPr>
              <w:t xml:space="preserve"> </w:t>
            </w:r>
            <w:r w:rsidRPr="009E6578">
              <w:rPr>
                <w:sz w:val="18"/>
                <w:lang w:val="en-US"/>
              </w:rPr>
              <w:t xml:space="preserve">Kyrou </w:t>
            </w:r>
            <w:r w:rsidR="002F2651" w:rsidRPr="009E6578">
              <w:t xml:space="preserve">and </w:t>
            </w:r>
            <w:proofErr w:type="gramStart"/>
            <w:r w:rsidR="002F2651" w:rsidRPr="009E6578">
              <w:t>others</w:t>
            </w:r>
            <w:r w:rsidRPr="009E6578">
              <w:rPr>
                <w:sz w:val="18"/>
                <w:lang w:val="en-US"/>
              </w:rPr>
              <w:t xml:space="preserve">  2018</w:t>
            </w:r>
            <w:proofErr w:type="gramEnd"/>
            <w:r w:rsidRPr="00E64AF4">
              <w:rPr>
                <w:sz w:val="18"/>
                <w:lang w:val="en-US"/>
              </w:rPr>
              <w:t xml:space="preserve">; North  </w:t>
            </w:r>
            <w:r w:rsidRPr="00B45531">
              <w:rPr>
                <w:sz w:val="18"/>
                <w:szCs w:val="18"/>
              </w:rPr>
              <w:fldChar w:fldCharType="end"/>
            </w:r>
            <w:r w:rsidR="00E310F4">
              <w:rPr>
                <w:sz w:val="18"/>
                <w:szCs w:val="18"/>
              </w:rPr>
              <w:t>and others</w:t>
            </w:r>
            <w:r w:rsidR="00A54801">
              <w:rPr>
                <w:sz w:val="18"/>
                <w:szCs w:val="18"/>
              </w:rPr>
              <w:t>, 2019</w:t>
            </w:r>
          </w:p>
          <w:p w14:paraId="2DAD6A32" w14:textId="77777777" w:rsidR="00C37194" w:rsidRPr="00E64AF4" w:rsidRDefault="00C37194">
            <w:pPr>
              <w:spacing w:line="180" w:lineRule="exact"/>
              <w:jc w:val="center"/>
              <w:rPr>
                <w:sz w:val="18"/>
                <w:lang w:val="en-US"/>
              </w:rPr>
            </w:pPr>
          </w:p>
        </w:tc>
      </w:tr>
      <w:tr w:rsidR="00F721BF" w:rsidRPr="002A1A51" w14:paraId="0E894574" w14:textId="77777777">
        <w:trPr>
          <w:trHeight w:val="265"/>
        </w:trPr>
        <w:tc>
          <w:tcPr>
            <w:tcW w:w="1418" w:type="dxa"/>
            <w:vMerge/>
            <w:shd w:val="clear" w:color="auto" w:fill="F2F2F2" w:themeFill="background1" w:themeFillShade="F2"/>
          </w:tcPr>
          <w:p w14:paraId="6E394912" w14:textId="77777777" w:rsidR="00C37194" w:rsidRPr="00E64AF4" w:rsidRDefault="00C37194">
            <w:pPr>
              <w:spacing w:line="180" w:lineRule="exact"/>
              <w:jc w:val="center"/>
              <w:rPr>
                <w:sz w:val="18"/>
                <w:lang w:val="en-US"/>
              </w:rPr>
            </w:pPr>
          </w:p>
        </w:tc>
        <w:tc>
          <w:tcPr>
            <w:tcW w:w="1700" w:type="dxa"/>
            <w:vMerge/>
            <w:shd w:val="clear" w:color="auto" w:fill="F2F2F2" w:themeFill="background1" w:themeFillShade="F2"/>
          </w:tcPr>
          <w:p w14:paraId="26B52F0D" w14:textId="77777777" w:rsidR="00C37194" w:rsidRPr="00E64AF4" w:rsidRDefault="00C37194">
            <w:pPr>
              <w:spacing w:line="180" w:lineRule="exact"/>
              <w:jc w:val="center"/>
              <w:rPr>
                <w:sz w:val="18"/>
                <w:lang w:val="en-US"/>
              </w:rPr>
            </w:pPr>
          </w:p>
        </w:tc>
        <w:tc>
          <w:tcPr>
            <w:tcW w:w="1702" w:type="dxa"/>
            <w:vMerge/>
            <w:shd w:val="clear" w:color="auto" w:fill="F2F2F2" w:themeFill="background1" w:themeFillShade="F2"/>
          </w:tcPr>
          <w:p w14:paraId="0FDAD4C6" w14:textId="77777777" w:rsidR="00C37194" w:rsidRPr="00E64AF4" w:rsidRDefault="00C37194">
            <w:pPr>
              <w:spacing w:line="180" w:lineRule="exact"/>
              <w:jc w:val="center"/>
              <w:rPr>
                <w:sz w:val="18"/>
                <w:lang w:val="en-US"/>
              </w:rPr>
            </w:pPr>
          </w:p>
        </w:tc>
        <w:tc>
          <w:tcPr>
            <w:tcW w:w="1844" w:type="dxa"/>
            <w:vMerge/>
            <w:shd w:val="clear" w:color="auto" w:fill="F2F2F2" w:themeFill="background1" w:themeFillShade="F2"/>
          </w:tcPr>
          <w:p w14:paraId="59217B9B" w14:textId="77777777" w:rsidR="00C37194" w:rsidRPr="00E64AF4" w:rsidRDefault="00C37194">
            <w:pPr>
              <w:spacing w:line="180" w:lineRule="exact"/>
              <w:jc w:val="center"/>
              <w:rPr>
                <w:sz w:val="18"/>
                <w:lang w:val="en-US"/>
              </w:rPr>
            </w:pPr>
          </w:p>
        </w:tc>
        <w:tc>
          <w:tcPr>
            <w:tcW w:w="1418" w:type="dxa"/>
            <w:shd w:val="clear" w:color="auto" w:fill="F2F2F2" w:themeFill="background1" w:themeFillShade="F2"/>
          </w:tcPr>
          <w:p w14:paraId="748FD4AE" w14:textId="77777777" w:rsidR="00C37194" w:rsidRPr="00E64AF4" w:rsidRDefault="00C37194">
            <w:pPr>
              <w:spacing w:line="180" w:lineRule="exact"/>
              <w:jc w:val="center"/>
              <w:rPr>
                <w:sz w:val="18"/>
                <w:lang w:val="en-US"/>
              </w:rPr>
            </w:pPr>
          </w:p>
        </w:tc>
        <w:tc>
          <w:tcPr>
            <w:tcW w:w="1701" w:type="dxa"/>
            <w:tcBorders>
              <w:top w:val="single" w:sz="2" w:space="0" w:color="auto"/>
              <w:bottom w:val="single" w:sz="2" w:space="0" w:color="auto"/>
            </w:tcBorders>
            <w:shd w:val="clear" w:color="auto" w:fill="F2F2F2" w:themeFill="background1" w:themeFillShade="F2"/>
          </w:tcPr>
          <w:p w14:paraId="4CDEFC37" w14:textId="77777777" w:rsidR="00C37194" w:rsidRPr="00E64AF4" w:rsidRDefault="00C37194">
            <w:pPr>
              <w:spacing w:line="180" w:lineRule="exact"/>
              <w:jc w:val="center"/>
              <w:rPr>
                <w:sz w:val="18"/>
                <w:lang w:val="en-US"/>
              </w:rPr>
            </w:pPr>
          </w:p>
          <w:p w14:paraId="217E9E21" w14:textId="77777777" w:rsidR="00C37194" w:rsidRPr="00B45531" w:rsidRDefault="00C37194">
            <w:pPr>
              <w:spacing w:line="180" w:lineRule="exact"/>
              <w:jc w:val="center"/>
              <w:rPr>
                <w:sz w:val="18"/>
                <w:szCs w:val="18"/>
              </w:rPr>
            </w:pPr>
            <w:r w:rsidRPr="00B45531">
              <w:rPr>
                <w:sz w:val="18"/>
                <w:szCs w:val="18"/>
              </w:rPr>
              <w:t>Homing</w:t>
            </w:r>
          </w:p>
        </w:tc>
        <w:tc>
          <w:tcPr>
            <w:tcW w:w="1842" w:type="dxa"/>
            <w:tcBorders>
              <w:top w:val="single" w:sz="2" w:space="0" w:color="auto"/>
              <w:bottom w:val="single" w:sz="2" w:space="0" w:color="auto"/>
            </w:tcBorders>
            <w:shd w:val="clear" w:color="auto" w:fill="F2F2F2" w:themeFill="background1" w:themeFillShade="F2"/>
          </w:tcPr>
          <w:p w14:paraId="11850ACB" w14:textId="77777777" w:rsidR="00C37194" w:rsidRPr="00B45531" w:rsidRDefault="00C37194">
            <w:pPr>
              <w:spacing w:line="180" w:lineRule="exact"/>
              <w:jc w:val="center"/>
              <w:rPr>
                <w:sz w:val="18"/>
                <w:szCs w:val="18"/>
              </w:rPr>
            </w:pPr>
          </w:p>
          <w:p w14:paraId="37FBC711" w14:textId="77777777" w:rsidR="00C37194" w:rsidRPr="00B45531" w:rsidRDefault="00C37194">
            <w:pPr>
              <w:spacing w:line="180" w:lineRule="exact"/>
              <w:jc w:val="center"/>
              <w:rPr>
                <w:sz w:val="18"/>
                <w:szCs w:val="18"/>
              </w:rPr>
            </w:pPr>
            <w:r w:rsidRPr="00B45531">
              <w:rPr>
                <w:sz w:val="18"/>
                <w:szCs w:val="18"/>
              </w:rPr>
              <w:t>Modification</w:t>
            </w:r>
          </w:p>
          <w:p w14:paraId="5110AF4A"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08219B1A" w14:textId="77777777" w:rsidR="00C37194" w:rsidRPr="00B45531" w:rsidRDefault="00C37194">
            <w:pPr>
              <w:spacing w:line="180" w:lineRule="exact"/>
              <w:jc w:val="center"/>
              <w:rPr>
                <w:sz w:val="18"/>
                <w:szCs w:val="18"/>
              </w:rPr>
            </w:pPr>
          </w:p>
          <w:p w14:paraId="0C47F988" w14:textId="77777777" w:rsidR="00C37194" w:rsidRPr="00B45531" w:rsidRDefault="00C37194">
            <w:pPr>
              <w:spacing w:line="180" w:lineRule="exact"/>
              <w:jc w:val="center"/>
              <w:rPr>
                <w:sz w:val="18"/>
                <w:szCs w:val="18"/>
              </w:rPr>
            </w:pPr>
            <w:r w:rsidRPr="00B45531">
              <w:rPr>
                <w:sz w:val="18"/>
                <w:szCs w:val="18"/>
              </w:rPr>
              <w:t>Modelling,</w:t>
            </w:r>
          </w:p>
          <w:p w14:paraId="403C9C04" w14:textId="77777777" w:rsidR="00C37194" w:rsidRPr="00B45531" w:rsidRDefault="00C37194">
            <w:pPr>
              <w:spacing w:line="180" w:lineRule="exact"/>
              <w:jc w:val="center"/>
              <w:rPr>
                <w:sz w:val="18"/>
                <w:szCs w:val="18"/>
              </w:rPr>
            </w:pPr>
            <w:r w:rsidRPr="00B45531">
              <w:rPr>
                <w:sz w:val="18"/>
                <w:szCs w:val="18"/>
              </w:rPr>
              <w:t xml:space="preserve">Strains generated and tested in insectary in target </w:t>
            </w:r>
            <w:proofErr w:type="gramStart"/>
            <w:r w:rsidRPr="00B45531">
              <w:rPr>
                <w:sz w:val="18"/>
                <w:szCs w:val="18"/>
              </w:rPr>
              <w:t>species</w:t>
            </w:r>
            <w:proofErr w:type="gramEnd"/>
          </w:p>
          <w:p w14:paraId="703A1579"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7F56C2DB" w14:textId="77777777" w:rsidR="00C37194" w:rsidRPr="00B45531" w:rsidRDefault="00C37194">
            <w:pPr>
              <w:spacing w:line="180" w:lineRule="exact"/>
              <w:jc w:val="center"/>
              <w:rPr>
                <w:sz w:val="18"/>
                <w:szCs w:val="18"/>
              </w:rPr>
            </w:pPr>
          </w:p>
          <w:p w14:paraId="3E7E4E29" w14:textId="4FF1E1FF" w:rsidR="00C37194" w:rsidRPr="00B01B25" w:rsidRDefault="00C37194">
            <w:pPr>
              <w:spacing w:line="180" w:lineRule="exact"/>
              <w:jc w:val="center"/>
              <w:rPr>
                <w:sz w:val="18"/>
                <w:lang w:val="es-ES"/>
              </w:rPr>
            </w:pPr>
            <w:r w:rsidRPr="00B45531">
              <w:rPr>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B01B25">
              <w:rPr>
                <w:sz w:val="18"/>
                <w:lang w:val="es-ES"/>
              </w:rPr>
              <w:instrText xml:space="preserve"> ADDIN EN.CITE </w:instrText>
            </w:r>
            <w:r w:rsidRPr="00B45531">
              <w:rPr>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B01B25">
              <w:rPr>
                <w:sz w:val="18"/>
                <w:lang w:val="es-ES"/>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B01B25">
              <w:rPr>
                <w:sz w:val="18"/>
                <w:lang w:val="es-ES"/>
              </w:rPr>
              <w:t>Carballar-</w:t>
            </w:r>
            <w:r w:rsidRPr="009E6578">
              <w:rPr>
                <w:sz w:val="18"/>
                <w:lang w:val="es-ES"/>
              </w:rPr>
              <w:t xml:space="preserve">Lejarazu </w:t>
            </w:r>
            <w:r w:rsidR="002F2651" w:rsidRPr="009E6578">
              <w:t>and others,</w:t>
            </w:r>
            <w:r w:rsidRPr="009E6578">
              <w:rPr>
                <w:sz w:val="18"/>
                <w:lang w:val="es-ES"/>
              </w:rPr>
              <w:t xml:space="preserve"> 2023</w:t>
            </w:r>
            <w:r w:rsidRPr="00B01B25">
              <w:rPr>
                <w:sz w:val="18"/>
                <w:lang w:val="es-ES"/>
              </w:rPr>
              <w:t xml:space="preserve"> </w:t>
            </w:r>
            <w:r w:rsidRPr="00B45531">
              <w:rPr>
                <w:sz w:val="18"/>
                <w:szCs w:val="18"/>
              </w:rPr>
              <w:fldChar w:fldCharType="end"/>
            </w:r>
          </w:p>
        </w:tc>
      </w:tr>
      <w:tr w:rsidR="00F721BF" w:rsidRPr="004B6EB5" w14:paraId="02AF3B48" w14:textId="77777777">
        <w:trPr>
          <w:trHeight w:val="265"/>
        </w:trPr>
        <w:tc>
          <w:tcPr>
            <w:tcW w:w="1418" w:type="dxa"/>
            <w:vMerge/>
            <w:shd w:val="clear" w:color="auto" w:fill="F2F2F2" w:themeFill="background1" w:themeFillShade="F2"/>
          </w:tcPr>
          <w:p w14:paraId="433A1C5A" w14:textId="77777777" w:rsidR="00C37194" w:rsidRPr="00B01B25" w:rsidRDefault="00C37194">
            <w:pPr>
              <w:spacing w:line="180" w:lineRule="exact"/>
              <w:jc w:val="center"/>
              <w:rPr>
                <w:sz w:val="18"/>
                <w:lang w:val="es-ES"/>
              </w:rPr>
            </w:pPr>
          </w:p>
        </w:tc>
        <w:tc>
          <w:tcPr>
            <w:tcW w:w="1700" w:type="dxa"/>
            <w:vMerge/>
            <w:shd w:val="clear" w:color="auto" w:fill="F2F2F2" w:themeFill="background1" w:themeFillShade="F2"/>
          </w:tcPr>
          <w:p w14:paraId="275E7ECA" w14:textId="77777777" w:rsidR="00C37194" w:rsidRPr="00B01B25" w:rsidRDefault="00C37194">
            <w:pPr>
              <w:spacing w:line="180" w:lineRule="exact"/>
              <w:jc w:val="center"/>
              <w:rPr>
                <w:sz w:val="18"/>
                <w:lang w:val="es-ES"/>
              </w:rPr>
            </w:pPr>
          </w:p>
        </w:tc>
        <w:tc>
          <w:tcPr>
            <w:tcW w:w="1702" w:type="dxa"/>
            <w:vMerge/>
            <w:shd w:val="clear" w:color="auto" w:fill="F2F2F2" w:themeFill="background1" w:themeFillShade="F2"/>
          </w:tcPr>
          <w:p w14:paraId="6F32D9E8" w14:textId="77777777" w:rsidR="00C37194" w:rsidRPr="00B01B25" w:rsidRDefault="00C37194">
            <w:pPr>
              <w:spacing w:line="180" w:lineRule="exact"/>
              <w:jc w:val="center"/>
              <w:rPr>
                <w:sz w:val="18"/>
                <w:lang w:val="es-ES"/>
              </w:rPr>
            </w:pPr>
          </w:p>
        </w:tc>
        <w:tc>
          <w:tcPr>
            <w:tcW w:w="1844" w:type="dxa"/>
            <w:vMerge/>
            <w:shd w:val="clear" w:color="auto" w:fill="F2F2F2" w:themeFill="background1" w:themeFillShade="F2"/>
          </w:tcPr>
          <w:p w14:paraId="0CDE80E9" w14:textId="77777777" w:rsidR="00C37194" w:rsidRPr="00B01B25" w:rsidRDefault="00C37194">
            <w:pPr>
              <w:spacing w:line="180" w:lineRule="exact"/>
              <w:jc w:val="center"/>
              <w:rPr>
                <w:sz w:val="18"/>
                <w:lang w:val="es-ES"/>
              </w:rPr>
            </w:pPr>
          </w:p>
        </w:tc>
        <w:tc>
          <w:tcPr>
            <w:tcW w:w="1418" w:type="dxa"/>
            <w:shd w:val="clear" w:color="auto" w:fill="F2F2F2" w:themeFill="background1" w:themeFillShade="F2"/>
          </w:tcPr>
          <w:p w14:paraId="4F042636" w14:textId="77777777" w:rsidR="00C37194" w:rsidRPr="00B01B25" w:rsidRDefault="00C37194">
            <w:pPr>
              <w:spacing w:line="180" w:lineRule="exact"/>
              <w:jc w:val="center"/>
              <w:rPr>
                <w:sz w:val="18"/>
                <w:lang w:val="es-ES"/>
              </w:rPr>
            </w:pPr>
          </w:p>
        </w:tc>
        <w:tc>
          <w:tcPr>
            <w:tcW w:w="1701" w:type="dxa"/>
            <w:tcBorders>
              <w:top w:val="single" w:sz="2" w:space="0" w:color="auto"/>
              <w:bottom w:val="single" w:sz="2" w:space="0" w:color="auto"/>
            </w:tcBorders>
            <w:shd w:val="clear" w:color="auto" w:fill="F2F2F2" w:themeFill="background1" w:themeFillShade="F2"/>
          </w:tcPr>
          <w:p w14:paraId="6D3ACEF7" w14:textId="77777777" w:rsidR="00C37194" w:rsidRPr="00B01B25" w:rsidRDefault="00C37194">
            <w:pPr>
              <w:spacing w:line="180" w:lineRule="exact"/>
              <w:jc w:val="center"/>
              <w:rPr>
                <w:sz w:val="18"/>
                <w:lang w:val="es-ES"/>
              </w:rPr>
            </w:pPr>
          </w:p>
          <w:p w14:paraId="0422C269" w14:textId="77777777" w:rsidR="00C37194" w:rsidRPr="00B45531" w:rsidRDefault="00C37194">
            <w:pPr>
              <w:spacing w:line="180" w:lineRule="exact"/>
              <w:jc w:val="center"/>
              <w:rPr>
                <w:sz w:val="18"/>
                <w:szCs w:val="18"/>
              </w:rPr>
            </w:pPr>
            <w:r w:rsidRPr="00B45531">
              <w:rPr>
                <w:sz w:val="18"/>
                <w:szCs w:val="18"/>
              </w:rPr>
              <w:t>Homing with sex ratio distorter</w:t>
            </w:r>
          </w:p>
          <w:p w14:paraId="4488E02E" w14:textId="77777777" w:rsidR="00C37194" w:rsidRPr="00B45531" w:rsidRDefault="00C37194">
            <w:pPr>
              <w:spacing w:line="180" w:lineRule="exact"/>
              <w:jc w:val="center"/>
              <w:rPr>
                <w:sz w:val="18"/>
                <w:szCs w:val="18"/>
              </w:rPr>
            </w:pPr>
          </w:p>
        </w:tc>
        <w:tc>
          <w:tcPr>
            <w:tcW w:w="1842" w:type="dxa"/>
            <w:tcBorders>
              <w:top w:val="single" w:sz="2" w:space="0" w:color="auto"/>
              <w:bottom w:val="single" w:sz="2" w:space="0" w:color="auto"/>
            </w:tcBorders>
            <w:shd w:val="clear" w:color="auto" w:fill="F2F2F2" w:themeFill="background1" w:themeFillShade="F2"/>
          </w:tcPr>
          <w:p w14:paraId="520D1ABA" w14:textId="77777777" w:rsidR="00C37194" w:rsidRPr="00B45531" w:rsidRDefault="00C37194">
            <w:pPr>
              <w:spacing w:line="180" w:lineRule="exact"/>
              <w:jc w:val="center"/>
              <w:rPr>
                <w:sz w:val="18"/>
                <w:szCs w:val="18"/>
              </w:rPr>
            </w:pPr>
          </w:p>
          <w:p w14:paraId="5BC73F7D" w14:textId="77777777" w:rsidR="00C37194" w:rsidRPr="00B45531" w:rsidRDefault="00C37194">
            <w:pPr>
              <w:spacing w:line="180" w:lineRule="exact"/>
              <w:jc w:val="center"/>
              <w:rPr>
                <w:sz w:val="18"/>
                <w:szCs w:val="18"/>
              </w:rPr>
            </w:pPr>
            <w:r w:rsidRPr="00B45531">
              <w:rPr>
                <w:sz w:val="18"/>
                <w:szCs w:val="18"/>
              </w:rPr>
              <w:t>Suppression</w:t>
            </w:r>
          </w:p>
          <w:p w14:paraId="05DB8A29"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52500203" w14:textId="77777777" w:rsidR="00C37194" w:rsidRPr="00B45531" w:rsidRDefault="00C37194">
            <w:pPr>
              <w:spacing w:line="180" w:lineRule="exact"/>
              <w:jc w:val="center"/>
              <w:rPr>
                <w:sz w:val="18"/>
                <w:szCs w:val="18"/>
              </w:rPr>
            </w:pPr>
          </w:p>
          <w:p w14:paraId="626A12FE" w14:textId="77777777" w:rsidR="00C37194" w:rsidRPr="00B45531" w:rsidRDefault="00C37194">
            <w:pPr>
              <w:spacing w:line="180" w:lineRule="exact"/>
              <w:jc w:val="center"/>
              <w:rPr>
                <w:sz w:val="18"/>
                <w:szCs w:val="18"/>
              </w:rPr>
            </w:pPr>
            <w:r w:rsidRPr="00B45531">
              <w:rPr>
                <w:sz w:val="18"/>
                <w:szCs w:val="18"/>
              </w:rPr>
              <w:t>Modelling,</w:t>
            </w:r>
          </w:p>
          <w:p w14:paraId="1A677550" w14:textId="77777777" w:rsidR="00C37194" w:rsidRPr="00B45531" w:rsidRDefault="00C37194">
            <w:pPr>
              <w:spacing w:line="180" w:lineRule="exact"/>
              <w:jc w:val="center"/>
              <w:rPr>
                <w:sz w:val="18"/>
                <w:szCs w:val="18"/>
              </w:rPr>
            </w:pPr>
            <w:r w:rsidRPr="00B45531">
              <w:rPr>
                <w:sz w:val="18"/>
                <w:szCs w:val="18"/>
              </w:rPr>
              <w:t xml:space="preserve">Strains generated and tested in insectary in target </w:t>
            </w:r>
            <w:proofErr w:type="gramStart"/>
            <w:r w:rsidRPr="00B45531">
              <w:rPr>
                <w:sz w:val="18"/>
                <w:szCs w:val="18"/>
              </w:rPr>
              <w:t>species</w:t>
            </w:r>
            <w:proofErr w:type="gramEnd"/>
          </w:p>
          <w:p w14:paraId="0E0C4C24"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08D1BEE6" w14:textId="77777777" w:rsidR="00C37194" w:rsidRPr="00B45531" w:rsidRDefault="00C37194">
            <w:pPr>
              <w:spacing w:line="180" w:lineRule="exact"/>
              <w:jc w:val="center"/>
              <w:rPr>
                <w:sz w:val="18"/>
                <w:szCs w:val="18"/>
              </w:rPr>
            </w:pPr>
          </w:p>
          <w:p w14:paraId="71952B68" w14:textId="4CA8A759" w:rsidR="00C37194" w:rsidRPr="00B45531" w:rsidRDefault="00C37194">
            <w:pPr>
              <w:spacing w:line="180" w:lineRule="exact"/>
              <w:jc w:val="center"/>
              <w:rPr>
                <w:sz w:val="18"/>
                <w:szCs w:val="18"/>
              </w:rPr>
            </w:pPr>
            <w:r w:rsidRPr="009E6578">
              <w:rPr>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9E6578">
              <w:rPr>
                <w:sz w:val="18"/>
                <w:szCs w:val="18"/>
              </w:rPr>
              <w:instrText xml:space="preserve"> ADDIN EN.CITE </w:instrText>
            </w:r>
            <w:r w:rsidRPr="009E6578">
              <w:rPr>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3131ED">
              <w:rPr>
                <w:sz w:val="18"/>
                <w:szCs w:val="18"/>
                <w:highlight w:val="yellow"/>
              </w:rPr>
              <w:instrText xml:space="preserve"> ADDIN EN.CITE.DATA </w:instrText>
            </w:r>
            <w:r w:rsidRPr="009E6578">
              <w:rPr>
                <w:sz w:val="18"/>
                <w:szCs w:val="18"/>
              </w:rPr>
            </w:r>
            <w:r w:rsidRPr="009E6578">
              <w:rPr>
                <w:sz w:val="18"/>
                <w:szCs w:val="18"/>
              </w:rPr>
              <w:fldChar w:fldCharType="end"/>
            </w:r>
            <w:r w:rsidRPr="009E6578">
              <w:rPr>
                <w:sz w:val="18"/>
                <w:szCs w:val="18"/>
              </w:rPr>
            </w:r>
            <w:r w:rsidRPr="009E6578">
              <w:rPr>
                <w:sz w:val="18"/>
                <w:szCs w:val="18"/>
              </w:rPr>
              <w:fldChar w:fldCharType="separate"/>
            </w:r>
            <w:r w:rsidRPr="009E6578">
              <w:rPr>
                <w:sz w:val="18"/>
                <w:szCs w:val="18"/>
              </w:rPr>
              <w:t xml:space="preserve">Simoni </w:t>
            </w:r>
            <w:r w:rsidR="00B308F9" w:rsidRPr="009E6578">
              <w:t>and others,</w:t>
            </w:r>
            <w:r w:rsidRPr="009E6578">
              <w:rPr>
                <w:sz w:val="18"/>
                <w:szCs w:val="18"/>
              </w:rPr>
              <w:t xml:space="preserve">  2020</w:t>
            </w:r>
            <w:r w:rsidRPr="009E6578">
              <w:rPr>
                <w:sz w:val="18"/>
                <w:szCs w:val="18"/>
              </w:rPr>
              <w:fldChar w:fldCharType="end"/>
            </w:r>
          </w:p>
        </w:tc>
      </w:tr>
      <w:tr w:rsidR="00F721BF" w:rsidRPr="002A1A51" w14:paraId="310FDE04" w14:textId="77777777">
        <w:trPr>
          <w:trHeight w:val="1179"/>
        </w:trPr>
        <w:tc>
          <w:tcPr>
            <w:tcW w:w="1418" w:type="dxa"/>
            <w:vMerge/>
            <w:shd w:val="clear" w:color="auto" w:fill="F2F2F2" w:themeFill="background1" w:themeFillShade="F2"/>
          </w:tcPr>
          <w:p w14:paraId="1781EE6F" w14:textId="77777777" w:rsidR="00C37194" w:rsidRPr="00B45531" w:rsidRDefault="00C37194">
            <w:pPr>
              <w:spacing w:line="180" w:lineRule="exact"/>
              <w:jc w:val="center"/>
              <w:rPr>
                <w:sz w:val="18"/>
                <w:szCs w:val="18"/>
              </w:rPr>
            </w:pPr>
          </w:p>
        </w:tc>
        <w:tc>
          <w:tcPr>
            <w:tcW w:w="1700" w:type="dxa"/>
            <w:vMerge/>
            <w:shd w:val="clear" w:color="auto" w:fill="F2F2F2" w:themeFill="background1" w:themeFillShade="F2"/>
          </w:tcPr>
          <w:p w14:paraId="6EA4D16B" w14:textId="77777777" w:rsidR="00C37194" w:rsidRPr="00B45531" w:rsidRDefault="00C37194">
            <w:pPr>
              <w:spacing w:line="180" w:lineRule="exact"/>
              <w:jc w:val="center"/>
              <w:rPr>
                <w:sz w:val="18"/>
                <w:szCs w:val="18"/>
              </w:rPr>
            </w:pPr>
          </w:p>
        </w:tc>
        <w:tc>
          <w:tcPr>
            <w:tcW w:w="1702" w:type="dxa"/>
            <w:vMerge/>
            <w:shd w:val="clear" w:color="auto" w:fill="F2F2F2" w:themeFill="background1" w:themeFillShade="F2"/>
          </w:tcPr>
          <w:p w14:paraId="4402F673" w14:textId="77777777" w:rsidR="00C37194" w:rsidRPr="00B45531" w:rsidRDefault="00C37194">
            <w:pPr>
              <w:spacing w:line="180" w:lineRule="exact"/>
              <w:jc w:val="center"/>
              <w:rPr>
                <w:sz w:val="18"/>
                <w:szCs w:val="18"/>
              </w:rPr>
            </w:pPr>
          </w:p>
        </w:tc>
        <w:tc>
          <w:tcPr>
            <w:tcW w:w="1844" w:type="dxa"/>
            <w:vMerge/>
            <w:shd w:val="clear" w:color="auto" w:fill="F2F2F2" w:themeFill="background1" w:themeFillShade="F2"/>
          </w:tcPr>
          <w:p w14:paraId="40B567EE" w14:textId="77777777" w:rsidR="00C37194" w:rsidRPr="00B45531" w:rsidRDefault="00C37194">
            <w:pPr>
              <w:spacing w:line="180" w:lineRule="exact"/>
              <w:jc w:val="center"/>
              <w:rPr>
                <w:sz w:val="18"/>
                <w:szCs w:val="18"/>
              </w:rPr>
            </w:pPr>
          </w:p>
        </w:tc>
        <w:tc>
          <w:tcPr>
            <w:tcW w:w="1418" w:type="dxa"/>
            <w:shd w:val="clear" w:color="auto" w:fill="F2F2F2" w:themeFill="background1" w:themeFillShade="F2"/>
          </w:tcPr>
          <w:p w14:paraId="0A60DA40" w14:textId="77777777" w:rsidR="00C37194" w:rsidRPr="00B45531" w:rsidRDefault="00C37194">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40A172FC" w14:textId="77777777" w:rsidR="00C37194" w:rsidRPr="00B45531" w:rsidRDefault="00C37194">
            <w:pPr>
              <w:spacing w:line="180" w:lineRule="exact"/>
              <w:jc w:val="center"/>
              <w:rPr>
                <w:sz w:val="18"/>
                <w:szCs w:val="18"/>
              </w:rPr>
            </w:pPr>
          </w:p>
          <w:p w14:paraId="0CC50E0F" w14:textId="77777777" w:rsidR="00C37194" w:rsidRPr="00B45531" w:rsidRDefault="00C37194">
            <w:pPr>
              <w:spacing w:line="180" w:lineRule="exact"/>
              <w:jc w:val="center"/>
              <w:rPr>
                <w:sz w:val="18"/>
                <w:szCs w:val="18"/>
              </w:rPr>
            </w:pPr>
            <w:r w:rsidRPr="00B45531">
              <w:rPr>
                <w:sz w:val="18"/>
                <w:szCs w:val="18"/>
              </w:rPr>
              <w:t xml:space="preserve">Homing based on integral and modular </w:t>
            </w:r>
            <w:proofErr w:type="gramStart"/>
            <w:r w:rsidRPr="00B45531">
              <w:rPr>
                <w:sz w:val="18"/>
                <w:szCs w:val="18"/>
              </w:rPr>
              <w:t>mechanism</w:t>
            </w:r>
            <w:proofErr w:type="gramEnd"/>
          </w:p>
          <w:p w14:paraId="7EB90720" w14:textId="77777777" w:rsidR="00C37194" w:rsidRPr="00B45531" w:rsidRDefault="00C37194">
            <w:pPr>
              <w:spacing w:line="180" w:lineRule="exact"/>
              <w:jc w:val="center"/>
              <w:rPr>
                <w:sz w:val="18"/>
                <w:szCs w:val="18"/>
              </w:rPr>
            </w:pPr>
          </w:p>
        </w:tc>
        <w:tc>
          <w:tcPr>
            <w:tcW w:w="1842" w:type="dxa"/>
            <w:tcBorders>
              <w:top w:val="single" w:sz="2" w:space="0" w:color="auto"/>
              <w:bottom w:val="single" w:sz="2" w:space="0" w:color="auto"/>
            </w:tcBorders>
            <w:shd w:val="clear" w:color="auto" w:fill="F2F2F2" w:themeFill="background1" w:themeFillShade="F2"/>
          </w:tcPr>
          <w:p w14:paraId="1B5340E0" w14:textId="77777777" w:rsidR="00C37194" w:rsidRPr="00B45531" w:rsidRDefault="00C37194">
            <w:pPr>
              <w:spacing w:line="180" w:lineRule="exact"/>
              <w:jc w:val="center"/>
              <w:rPr>
                <w:sz w:val="18"/>
                <w:szCs w:val="18"/>
              </w:rPr>
            </w:pPr>
          </w:p>
          <w:p w14:paraId="63EC9ABA" w14:textId="77777777" w:rsidR="00C37194" w:rsidRPr="00B45531" w:rsidRDefault="00C37194">
            <w:pPr>
              <w:spacing w:line="180" w:lineRule="exact"/>
              <w:jc w:val="center"/>
              <w:rPr>
                <w:sz w:val="18"/>
                <w:szCs w:val="18"/>
              </w:rPr>
            </w:pPr>
            <w:r w:rsidRPr="00B45531">
              <w:rPr>
                <w:sz w:val="18"/>
                <w:szCs w:val="18"/>
              </w:rPr>
              <w:t>Modification, potentially in conjunction with population suppression</w:t>
            </w:r>
          </w:p>
          <w:p w14:paraId="06F8CB1C"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1194961D" w14:textId="77777777" w:rsidR="00C37194" w:rsidRPr="00B45531" w:rsidRDefault="00C37194">
            <w:pPr>
              <w:spacing w:line="180" w:lineRule="exact"/>
              <w:jc w:val="center"/>
              <w:rPr>
                <w:sz w:val="18"/>
                <w:szCs w:val="18"/>
              </w:rPr>
            </w:pPr>
          </w:p>
          <w:p w14:paraId="0C4F9F12" w14:textId="77777777" w:rsidR="00C37194" w:rsidRPr="00B45531" w:rsidRDefault="00C37194">
            <w:pPr>
              <w:spacing w:line="180" w:lineRule="exact"/>
              <w:jc w:val="center"/>
              <w:rPr>
                <w:sz w:val="18"/>
                <w:szCs w:val="18"/>
              </w:rPr>
            </w:pPr>
            <w:r w:rsidRPr="00B45531">
              <w:rPr>
                <w:sz w:val="18"/>
                <w:szCs w:val="18"/>
              </w:rPr>
              <w:t>Modelling,</w:t>
            </w:r>
          </w:p>
          <w:p w14:paraId="6596226B" w14:textId="77777777" w:rsidR="00C37194" w:rsidRPr="00B45531" w:rsidRDefault="00C37194">
            <w:pPr>
              <w:spacing w:line="180" w:lineRule="exact"/>
              <w:jc w:val="center"/>
              <w:rPr>
                <w:sz w:val="18"/>
                <w:szCs w:val="18"/>
              </w:rPr>
            </w:pPr>
            <w:r w:rsidRPr="00B45531">
              <w:rPr>
                <w:sz w:val="18"/>
                <w:szCs w:val="18"/>
              </w:rPr>
              <w:t xml:space="preserve">Strains generated and tested in insectary in target </w:t>
            </w:r>
            <w:proofErr w:type="gramStart"/>
            <w:r w:rsidRPr="00B45531">
              <w:rPr>
                <w:sz w:val="18"/>
                <w:szCs w:val="18"/>
              </w:rPr>
              <w:t>species</w:t>
            </w:r>
            <w:proofErr w:type="gramEnd"/>
          </w:p>
          <w:p w14:paraId="4BB35B81"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3ACA4EA3" w14:textId="77777777" w:rsidR="00C37194" w:rsidRPr="00B45531" w:rsidRDefault="00C37194">
            <w:pPr>
              <w:spacing w:line="180" w:lineRule="exact"/>
              <w:jc w:val="center"/>
              <w:rPr>
                <w:sz w:val="18"/>
                <w:szCs w:val="18"/>
              </w:rPr>
            </w:pPr>
          </w:p>
          <w:p w14:paraId="7E3796D5" w14:textId="3B0E6023" w:rsidR="00C37194" w:rsidRPr="00E64AF4" w:rsidRDefault="00886E1F">
            <w:pPr>
              <w:spacing w:line="180" w:lineRule="exact"/>
              <w:jc w:val="center"/>
              <w:rPr>
                <w:sz w:val="18"/>
                <w:lang w:val="en-US"/>
              </w:rPr>
            </w:pPr>
            <w:r w:rsidRPr="009E6578">
              <w:rPr>
                <w:sz w:val="18"/>
                <w:lang w:val="en-US"/>
              </w:rPr>
              <w:t xml:space="preserve">Nash </w:t>
            </w:r>
            <w:r w:rsidRPr="009E6578">
              <w:t>and others, 201</w:t>
            </w:r>
            <w:r>
              <w:t xml:space="preserve">9; </w:t>
            </w:r>
            <w:r w:rsidR="00190BEF" w:rsidRPr="009E6578">
              <w:rPr>
                <w:sz w:val="18"/>
                <w:lang w:val="en-US"/>
              </w:rPr>
              <w:t xml:space="preserve">Hoermann </w:t>
            </w:r>
            <w:r w:rsidR="00190BEF" w:rsidRPr="009E6578">
              <w:t xml:space="preserve">and </w:t>
            </w:r>
            <w:proofErr w:type="gramStart"/>
            <w:r w:rsidR="00190BEF" w:rsidRPr="009E6578">
              <w:t xml:space="preserve">others, </w:t>
            </w:r>
            <w:r w:rsidR="00190BEF" w:rsidRPr="009E6578">
              <w:rPr>
                <w:sz w:val="18"/>
                <w:lang w:val="en-US"/>
              </w:rPr>
              <w:t xml:space="preserve"> 2021</w:t>
            </w:r>
            <w:proofErr w:type="gramEnd"/>
            <w:r w:rsidR="00190BEF" w:rsidRPr="009E6578">
              <w:rPr>
                <w:sz w:val="18"/>
                <w:lang w:val="en-US"/>
              </w:rPr>
              <w:t>;</w:t>
            </w:r>
            <w:r w:rsidR="00190BEF" w:rsidRPr="00E64AF4">
              <w:rPr>
                <w:sz w:val="18"/>
                <w:lang w:val="en-US"/>
              </w:rPr>
              <w:t xml:space="preserve"> </w:t>
            </w:r>
            <w:r w:rsidR="00C37194" w:rsidRPr="00B45531">
              <w:rPr>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00C37194" w:rsidRPr="00E64AF4">
              <w:rPr>
                <w:sz w:val="18"/>
                <w:lang w:val="en-US"/>
              </w:rPr>
              <w:instrText xml:space="preserve"> ADDIN EN.CITE </w:instrText>
            </w:r>
            <w:r w:rsidR="00C37194" w:rsidRPr="00B45531">
              <w:rPr>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00C37194" w:rsidRPr="006A349B">
              <w:rPr>
                <w:sz w:val="18"/>
                <w:lang w:val="en-US"/>
              </w:rPr>
              <w:instrText xml:space="preserve"> ADDIN EN.CITE.DATA </w:instrText>
            </w:r>
            <w:r w:rsidR="00C37194" w:rsidRPr="00B45531">
              <w:rPr>
                <w:sz w:val="18"/>
                <w:szCs w:val="18"/>
              </w:rPr>
            </w:r>
            <w:r w:rsidR="00C37194" w:rsidRPr="00B45531">
              <w:rPr>
                <w:sz w:val="18"/>
                <w:szCs w:val="18"/>
              </w:rPr>
              <w:fldChar w:fldCharType="end"/>
            </w:r>
            <w:r w:rsidR="00C37194" w:rsidRPr="00B45531">
              <w:rPr>
                <w:sz w:val="18"/>
                <w:szCs w:val="18"/>
              </w:rPr>
            </w:r>
            <w:r w:rsidR="00C37194" w:rsidRPr="00B45531">
              <w:rPr>
                <w:sz w:val="18"/>
                <w:szCs w:val="18"/>
              </w:rPr>
              <w:fldChar w:fldCharType="separate"/>
            </w:r>
            <w:r w:rsidR="00C37194" w:rsidRPr="009E6578">
              <w:rPr>
                <w:sz w:val="18"/>
                <w:lang w:val="en-US"/>
              </w:rPr>
              <w:t xml:space="preserve">Ellis </w:t>
            </w:r>
            <w:r w:rsidR="00B308F9" w:rsidRPr="009E6578">
              <w:t>and others,</w:t>
            </w:r>
            <w:r w:rsidR="00C37194" w:rsidRPr="009E6578">
              <w:rPr>
                <w:sz w:val="18"/>
                <w:lang w:val="en-US"/>
              </w:rPr>
              <w:t xml:space="preserve">  2022;</w:t>
            </w:r>
            <w:r w:rsidR="00C37194" w:rsidRPr="00E64AF4">
              <w:rPr>
                <w:sz w:val="18"/>
                <w:lang w:val="en-US"/>
              </w:rPr>
              <w:t xml:space="preserve"> </w:t>
            </w:r>
            <w:r w:rsidR="00C37194" w:rsidRPr="009E6578">
              <w:rPr>
                <w:sz w:val="18"/>
                <w:lang w:val="en-US"/>
              </w:rPr>
              <w:t xml:space="preserve">Hoermann </w:t>
            </w:r>
            <w:r w:rsidR="00B308F9" w:rsidRPr="009E6578">
              <w:t>and others,</w:t>
            </w:r>
            <w:r w:rsidR="00C37194" w:rsidRPr="009E6578">
              <w:rPr>
                <w:sz w:val="18"/>
                <w:lang w:val="en-US"/>
              </w:rPr>
              <w:t xml:space="preserve"> 2022</w:t>
            </w:r>
            <w:r w:rsidR="00B308F9">
              <w:t xml:space="preserve"> </w:t>
            </w:r>
            <w:r w:rsidR="00C37194" w:rsidRPr="00E64AF4">
              <w:rPr>
                <w:sz w:val="18"/>
                <w:lang w:val="en-US"/>
              </w:rPr>
              <w:t xml:space="preserve"> </w:t>
            </w:r>
            <w:r w:rsidR="00C37194" w:rsidRPr="00B45531">
              <w:rPr>
                <w:sz w:val="18"/>
                <w:szCs w:val="18"/>
              </w:rPr>
              <w:fldChar w:fldCharType="end"/>
            </w:r>
          </w:p>
          <w:p w14:paraId="35A25E7E" w14:textId="77777777" w:rsidR="00C37194" w:rsidRPr="00E64AF4" w:rsidRDefault="00C37194">
            <w:pPr>
              <w:spacing w:line="180" w:lineRule="exact"/>
              <w:rPr>
                <w:sz w:val="18"/>
                <w:lang w:val="en-US"/>
              </w:rPr>
            </w:pPr>
          </w:p>
        </w:tc>
      </w:tr>
      <w:tr w:rsidR="00F721BF" w:rsidRPr="004B6EB5" w14:paraId="47DAF084" w14:textId="77777777">
        <w:trPr>
          <w:trHeight w:val="265"/>
        </w:trPr>
        <w:tc>
          <w:tcPr>
            <w:tcW w:w="1418" w:type="dxa"/>
            <w:vMerge/>
            <w:shd w:val="clear" w:color="auto" w:fill="F2F2F2" w:themeFill="background1" w:themeFillShade="F2"/>
          </w:tcPr>
          <w:p w14:paraId="48C51BEA" w14:textId="77777777" w:rsidR="00C37194" w:rsidRPr="00E64AF4" w:rsidRDefault="00C37194">
            <w:pPr>
              <w:spacing w:line="180" w:lineRule="exact"/>
              <w:jc w:val="center"/>
              <w:rPr>
                <w:sz w:val="18"/>
                <w:lang w:val="en-US"/>
              </w:rPr>
            </w:pPr>
          </w:p>
        </w:tc>
        <w:tc>
          <w:tcPr>
            <w:tcW w:w="1700" w:type="dxa"/>
            <w:vMerge/>
            <w:shd w:val="clear" w:color="auto" w:fill="F2F2F2" w:themeFill="background1" w:themeFillShade="F2"/>
          </w:tcPr>
          <w:p w14:paraId="4CCCBF64" w14:textId="77777777" w:rsidR="00C37194" w:rsidRPr="00E64AF4" w:rsidRDefault="00C37194">
            <w:pPr>
              <w:spacing w:line="180" w:lineRule="exact"/>
              <w:jc w:val="center"/>
              <w:rPr>
                <w:sz w:val="18"/>
                <w:lang w:val="en-US"/>
              </w:rPr>
            </w:pPr>
          </w:p>
        </w:tc>
        <w:tc>
          <w:tcPr>
            <w:tcW w:w="1702" w:type="dxa"/>
            <w:vMerge/>
            <w:shd w:val="clear" w:color="auto" w:fill="F2F2F2" w:themeFill="background1" w:themeFillShade="F2"/>
          </w:tcPr>
          <w:p w14:paraId="65D741EF" w14:textId="77777777" w:rsidR="00C37194" w:rsidRPr="00E64AF4" w:rsidRDefault="00C37194">
            <w:pPr>
              <w:spacing w:line="180" w:lineRule="exact"/>
              <w:jc w:val="center"/>
              <w:rPr>
                <w:sz w:val="18"/>
                <w:lang w:val="en-US"/>
              </w:rPr>
            </w:pPr>
          </w:p>
        </w:tc>
        <w:tc>
          <w:tcPr>
            <w:tcW w:w="1844" w:type="dxa"/>
            <w:vMerge/>
            <w:shd w:val="clear" w:color="auto" w:fill="F2F2F2" w:themeFill="background1" w:themeFillShade="F2"/>
          </w:tcPr>
          <w:p w14:paraId="0E09492A" w14:textId="77777777" w:rsidR="00C37194" w:rsidRPr="00E64AF4" w:rsidRDefault="00C37194">
            <w:pPr>
              <w:spacing w:line="180" w:lineRule="exact"/>
              <w:jc w:val="center"/>
              <w:rPr>
                <w:sz w:val="18"/>
                <w:lang w:val="en-US"/>
              </w:rPr>
            </w:pPr>
          </w:p>
        </w:tc>
        <w:tc>
          <w:tcPr>
            <w:tcW w:w="1418" w:type="dxa"/>
            <w:tcBorders>
              <w:bottom w:val="single" w:sz="2" w:space="0" w:color="auto"/>
            </w:tcBorders>
            <w:shd w:val="clear" w:color="auto" w:fill="F2F2F2" w:themeFill="background1" w:themeFillShade="F2"/>
          </w:tcPr>
          <w:p w14:paraId="154893D9" w14:textId="77777777" w:rsidR="00C37194" w:rsidRPr="00E64AF4" w:rsidRDefault="00C37194">
            <w:pPr>
              <w:spacing w:line="180" w:lineRule="exact"/>
              <w:jc w:val="center"/>
              <w:rPr>
                <w:sz w:val="18"/>
                <w:lang w:val="en-US"/>
              </w:rPr>
            </w:pPr>
          </w:p>
        </w:tc>
        <w:tc>
          <w:tcPr>
            <w:tcW w:w="1701" w:type="dxa"/>
            <w:tcBorders>
              <w:top w:val="single" w:sz="2" w:space="0" w:color="auto"/>
              <w:bottom w:val="single" w:sz="2" w:space="0" w:color="auto"/>
            </w:tcBorders>
            <w:shd w:val="clear" w:color="auto" w:fill="F2F2F2" w:themeFill="background1" w:themeFillShade="F2"/>
          </w:tcPr>
          <w:p w14:paraId="1C5C992B" w14:textId="77777777" w:rsidR="00C37194" w:rsidRPr="00E64AF4" w:rsidRDefault="00C37194">
            <w:pPr>
              <w:spacing w:line="180" w:lineRule="exact"/>
              <w:jc w:val="center"/>
              <w:rPr>
                <w:sz w:val="18"/>
                <w:lang w:val="en-US"/>
              </w:rPr>
            </w:pPr>
          </w:p>
          <w:p w14:paraId="276CB5FA" w14:textId="77777777" w:rsidR="00C37194" w:rsidRPr="00B45531" w:rsidRDefault="00C37194">
            <w:pPr>
              <w:spacing w:line="180" w:lineRule="exact"/>
              <w:jc w:val="center"/>
              <w:rPr>
                <w:sz w:val="18"/>
                <w:szCs w:val="18"/>
              </w:rPr>
            </w:pPr>
            <w:r w:rsidRPr="00B45531">
              <w:rPr>
                <w:sz w:val="18"/>
                <w:szCs w:val="18"/>
              </w:rPr>
              <w:t>Y drive</w:t>
            </w:r>
          </w:p>
        </w:tc>
        <w:tc>
          <w:tcPr>
            <w:tcW w:w="1842" w:type="dxa"/>
            <w:tcBorders>
              <w:top w:val="single" w:sz="2" w:space="0" w:color="auto"/>
              <w:bottom w:val="single" w:sz="2" w:space="0" w:color="auto"/>
            </w:tcBorders>
            <w:shd w:val="clear" w:color="auto" w:fill="F2F2F2" w:themeFill="background1" w:themeFillShade="F2"/>
          </w:tcPr>
          <w:p w14:paraId="108E09DF" w14:textId="77777777" w:rsidR="00C37194" w:rsidRPr="00B45531" w:rsidRDefault="00C37194">
            <w:pPr>
              <w:spacing w:line="180" w:lineRule="exact"/>
              <w:jc w:val="center"/>
              <w:rPr>
                <w:sz w:val="18"/>
                <w:szCs w:val="18"/>
              </w:rPr>
            </w:pPr>
          </w:p>
          <w:p w14:paraId="341D5F84" w14:textId="77777777" w:rsidR="00C37194" w:rsidRPr="00B45531" w:rsidRDefault="00C37194">
            <w:pPr>
              <w:spacing w:line="180" w:lineRule="exact"/>
              <w:jc w:val="center"/>
              <w:rPr>
                <w:sz w:val="18"/>
                <w:szCs w:val="18"/>
              </w:rPr>
            </w:pPr>
            <w:r w:rsidRPr="00B45531">
              <w:rPr>
                <w:sz w:val="18"/>
                <w:szCs w:val="18"/>
              </w:rPr>
              <w:t>Suppression</w:t>
            </w:r>
          </w:p>
          <w:p w14:paraId="65E62AEF"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4A0A06D0" w14:textId="77777777" w:rsidR="00C37194" w:rsidRPr="00B45531" w:rsidRDefault="00C37194">
            <w:pPr>
              <w:spacing w:line="180" w:lineRule="exact"/>
              <w:jc w:val="center"/>
              <w:rPr>
                <w:sz w:val="18"/>
                <w:szCs w:val="18"/>
              </w:rPr>
            </w:pPr>
          </w:p>
          <w:p w14:paraId="7DB43A4B" w14:textId="77777777" w:rsidR="00C37194" w:rsidRPr="00B45531" w:rsidRDefault="00C37194">
            <w:pPr>
              <w:spacing w:line="180" w:lineRule="exact"/>
              <w:jc w:val="center"/>
              <w:rPr>
                <w:sz w:val="18"/>
                <w:szCs w:val="18"/>
              </w:rPr>
            </w:pPr>
            <w:r w:rsidRPr="00B45531">
              <w:rPr>
                <w:sz w:val="18"/>
                <w:szCs w:val="18"/>
              </w:rPr>
              <w:t>Modelling only</w:t>
            </w:r>
          </w:p>
        </w:tc>
        <w:tc>
          <w:tcPr>
            <w:tcW w:w="1417" w:type="dxa"/>
            <w:tcBorders>
              <w:top w:val="single" w:sz="2" w:space="0" w:color="auto"/>
              <w:bottom w:val="single" w:sz="2" w:space="0" w:color="auto"/>
            </w:tcBorders>
            <w:shd w:val="clear" w:color="auto" w:fill="F2F2F2" w:themeFill="background1" w:themeFillShade="F2"/>
          </w:tcPr>
          <w:p w14:paraId="062D3C32" w14:textId="77777777" w:rsidR="00C37194" w:rsidRPr="00B45531" w:rsidRDefault="00C37194">
            <w:pPr>
              <w:spacing w:line="180" w:lineRule="exact"/>
              <w:jc w:val="center"/>
              <w:rPr>
                <w:sz w:val="18"/>
                <w:szCs w:val="18"/>
              </w:rPr>
            </w:pPr>
          </w:p>
          <w:p w14:paraId="106B01D7" w14:textId="2899B671" w:rsidR="00C37194" w:rsidRPr="00B45531" w:rsidRDefault="00C37194">
            <w:pPr>
              <w:spacing w:line="180" w:lineRule="exact"/>
              <w:jc w:val="center"/>
              <w:rPr>
                <w:sz w:val="18"/>
                <w:szCs w:val="18"/>
              </w:rPr>
            </w:pPr>
            <w:r w:rsidRPr="009E6578">
              <w:rPr>
                <w:sz w:val="18"/>
                <w:szCs w:val="18"/>
              </w:rPr>
              <w:fldChar w:fldCharType="begin"/>
            </w:r>
            <w:r w:rsidRPr="009E6578">
              <w:rPr>
                <w:sz w:val="18"/>
                <w:szCs w:val="18"/>
              </w:rPr>
              <w:instrText xml:space="preserve"> ADDIN EN.CITE &lt;EndNote&gt;&lt;Cite&gt;&lt;Author&gt;Deredec&lt;/Author&gt;&lt;Year&gt;2011&lt;/Year&gt;&lt;RecNum&gt;1098&lt;/RecNum&gt;&lt;DisplayText&gt;(Deredec et al., 2011)&lt;/DisplayText&gt;&lt;record&gt;&lt;rec-number&gt;1098&lt;/rec-number&gt;&lt;foreign-keys&gt;&lt;key app="EN" db-id="sxd2rda5xvs0soe2z0459vtoft2tr205a0p0" timestamp="1629206104" guid="f8e0fef4-06ef-408e-9e0a-7fe36aca7a04"&gt;1098&lt;/key&gt;&lt;/foreign-keys&gt;&lt;ref-type name="Journal Article"&gt;17&lt;/ref-type&gt;&lt;contributors&gt;&lt;authors&gt;&lt;author&gt;Deredec, A.&lt;/author&gt;&lt;author&gt;Godfray, H. C.&lt;/author&gt;&lt;author&gt;Burt, A.&lt;/author&gt;&lt;/authors&gt;&lt;/contributors&gt;&lt;auth-address&gt;Department of Life Sciences, Imperial College London, Silwood Park, Ascot, Berks SL5 7PY, United Kingdom.&lt;/auth-address&gt;&lt;titles&gt;&lt;title&gt;Requirements for effective malaria control with homing endonuclease genes&lt;/title&gt;&lt;secondary-title&gt;Proc Natl Acad Sci U S A&lt;/secondary-title&gt;&lt;/titles&gt;&lt;periodical&gt;&lt;full-title&gt;Proc Natl Acad Sci U S A&lt;/full-title&gt;&lt;/periodical&gt;&lt;pages&gt;E874-80&lt;/pages&gt;&lt;volume&gt;108&lt;/volume&gt;&lt;number&gt;43&lt;/number&gt;&lt;edition&gt;2011/10/07&lt;/edition&gt;&lt;keywords&gt;&lt;keyword&gt;Animals&lt;/keyword&gt;&lt;keyword&gt;Anopheles/*genetics&lt;/keyword&gt;&lt;keyword&gt;Endonucleases/*genetics&lt;/keyword&gt;&lt;keyword&gt;*Genetics, Population&lt;/keyword&gt;&lt;keyword&gt;Humans&lt;/keyword&gt;&lt;keyword&gt;Insect Vectors/*genetics&lt;/keyword&gt;&lt;keyword&gt;Malaria/epidemiology/*prevention &amp;amp; control&lt;/keyword&gt;&lt;keyword&gt;*Models, Biological&lt;/keyword&gt;&lt;keyword&gt;Mosquito Control/*methods&lt;/keyword&gt;&lt;keyword&gt;Population Dynamics&lt;/keyword&gt;&lt;/keywords&gt;&lt;dates&gt;&lt;year&gt;2011&lt;/year&gt;&lt;pub-dates&gt;&lt;date&gt;Oct 25&lt;/date&gt;&lt;/pub-dates&gt;&lt;/dates&gt;&lt;isbn&gt;1091-6490 (Electronic)&amp;#xD;0027-8424 (Linking)&lt;/isbn&gt;&lt;accession-num&gt;21976487&lt;/accession-num&gt;&lt;urls&gt;&lt;related-urls&gt;&lt;url&gt;https://www.ncbi.nlm.nih.gov/pubmed/21976487&lt;/url&gt;&lt;/related-urls&gt;&lt;/urls&gt;&lt;custom2&gt;PMC3203790&lt;/custom2&gt;&lt;electronic-resource-num&gt;10.1073/pnas.1110717108&lt;/electronic-resource-num&gt;&lt;/record&gt;&lt;/Cite&gt;&lt;/EndNote&gt;</w:instrText>
            </w:r>
            <w:r w:rsidRPr="009E6578">
              <w:rPr>
                <w:sz w:val="18"/>
                <w:szCs w:val="18"/>
              </w:rPr>
              <w:fldChar w:fldCharType="separate"/>
            </w:r>
            <w:r w:rsidRPr="009E6578">
              <w:rPr>
                <w:sz w:val="18"/>
                <w:szCs w:val="18"/>
              </w:rPr>
              <w:t xml:space="preserve">Deredec </w:t>
            </w:r>
            <w:r w:rsidR="00B52809" w:rsidRPr="009E6578">
              <w:rPr>
                <w:sz w:val="18"/>
                <w:szCs w:val="18"/>
              </w:rPr>
              <w:t xml:space="preserve">and others, </w:t>
            </w:r>
            <w:r w:rsidRPr="009E6578">
              <w:rPr>
                <w:sz w:val="18"/>
                <w:szCs w:val="18"/>
              </w:rPr>
              <w:t xml:space="preserve"> 2011</w:t>
            </w:r>
            <w:r w:rsidRPr="009E6578">
              <w:rPr>
                <w:sz w:val="18"/>
                <w:szCs w:val="18"/>
              </w:rPr>
              <w:fldChar w:fldCharType="end"/>
            </w:r>
          </w:p>
          <w:p w14:paraId="74324701" w14:textId="77777777" w:rsidR="00C37194" w:rsidRPr="00B45531" w:rsidRDefault="00C37194">
            <w:pPr>
              <w:spacing w:line="180" w:lineRule="exact"/>
              <w:jc w:val="center"/>
              <w:rPr>
                <w:sz w:val="18"/>
                <w:szCs w:val="18"/>
              </w:rPr>
            </w:pPr>
          </w:p>
        </w:tc>
      </w:tr>
      <w:tr w:rsidR="00F721BF" w:rsidRPr="004B6EB5" w14:paraId="52884509" w14:textId="77777777">
        <w:trPr>
          <w:trHeight w:val="265"/>
        </w:trPr>
        <w:tc>
          <w:tcPr>
            <w:tcW w:w="1418" w:type="dxa"/>
            <w:vMerge/>
            <w:shd w:val="clear" w:color="auto" w:fill="F2F2F2" w:themeFill="background1" w:themeFillShade="F2"/>
          </w:tcPr>
          <w:p w14:paraId="3549DB3C" w14:textId="77777777" w:rsidR="00C37194" w:rsidRPr="00B45531" w:rsidRDefault="00C37194">
            <w:pPr>
              <w:spacing w:line="180" w:lineRule="exact"/>
              <w:jc w:val="center"/>
              <w:rPr>
                <w:sz w:val="18"/>
                <w:szCs w:val="18"/>
              </w:rPr>
            </w:pPr>
          </w:p>
        </w:tc>
        <w:tc>
          <w:tcPr>
            <w:tcW w:w="1700" w:type="dxa"/>
            <w:vMerge/>
            <w:tcBorders>
              <w:bottom w:val="single" w:sz="2" w:space="0" w:color="auto"/>
            </w:tcBorders>
            <w:shd w:val="clear" w:color="auto" w:fill="F2F2F2" w:themeFill="background1" w:themeFillShade="F2"/>
          </w:tcPr>
          <w:p w14:paraId="6D6C5A1F" w14:textId="77777777" w:rsidR="00C37194" w:rsidRPr="00B45531" w:rsidRDefault="00C37194">
            <w:pPr>
              <w:spacing w:line="180" w:lineRule="exact"/>
              <w:jc w:val="center"/>
              <w:rPr>
                <w:sz w:val="18"/>
                <w:szCs w:val="18"/>
              </w:rPr>
            </w:pPr>
          </w:p>
        </w:tc>
        <w:tc>
          <w:tcPr>
            <w:tcW w:w="1702" w:type="dxa"/>
            <w:vMerge/>
            <w:tcBorders>
              <w:bottom w:val="single" w:sz="2" w:space="0" w:color="auto"/>
            </w:tcBorders>
            <w:shd w:val="clear" w:color="auto" w:fill="F2F2F2" w:themeFill="background1" w:themeFillShade="F2"/>
          </w:tcPr>
          <w:p w14:paraId="70CA427B" w14:textId="77777777" w:rsidR="00C37194" w:rsidRPr="00B45531" w:rsidRDefault="00C37194">
            <w:pPr>
              <w:spacing w:line="180" w:lineRule="exact"/>
              <w:jc w:val="center"/>
              <w:rPr>
                <w:sz w:val="18"/>
                <w:szCs w:val="18"/>
              </w:rPr>
            </w:pPr>
          </w:p>
        </w:tc>
        <w:tc>
          <w:tcPr>
            <w:tcW w:w="1844" w:type="dxa"/>
            <w:tcBorders>
              <w:bottom w:val="single" w:sz="2" w:space="0" w:color="auto"/>
            </w:tcBorders>
            <w:shd w:val="clear" w:color="auto" w:fill="F2F2F2" w:themeFill="background1" w:themeFillShade="F2"/>
          </w:tcPr>
          <w:p w14:paraId="1A656631" w14:textId="77777777" w:rsidR="00C37194" w:rsidRPr="00B45531" w:rsidRDefault="00C37194">
            <w:pPr>
              <w:spacing w:line="180" w:lineRule="exact"/>
              <w:jc w:val="center"/>
              <w:rPr>
                <w:sz w:val="18"/>
                <w:szCs w:val="18"/>
              </w:rPr>
            </w:pPr>
          </w:p>
          <w:p w14:paraId="3F0E22DE" w14:textId="77777777" w:rsidR="00C37194" w:rsidRPr="00B45531" w:rsidRDefault="00C37194">
            <w:pPr>
              <w:spacing w:line="180" w:lineRule="exact"/>
              <w:jc w:val="center"/>
              <w:rPr>
                <w:sz w:val="18"/>
                <w:szCs w:val="18"/>
              </w:rPr>
            </w:pPr>
          </w:p>
        </w:tc>
        <w:tc>
          <w:tcPr>
            <w:tcW w:w="1418" w:type="dxa"/>
            <w:tcBorders>
              <w:top w:val="single" w:sz="2" w:space="0" w:color="auto"/>
              <w:bottom w:val="single" w:sz="2" w:space="0" w:color="auto"/>
            </w:tcBorders>
            <w:shd w:val="clear" w:color="auto" w:fill="F2F2F2" w:themeFill="background1" w:themeFillShade="F2"/>
          </w:tcPr>
          <w:p w14:paraId="1C5C79EA" w14:textId="77777777" w:rsidR="00C37194" w:rsidRPr="00B45531" w:rsidRDefault="00C37194">
            <w:pPr>
              <w:spacing w:line="180" w:lineRule="exact"/>
              <w:jc w:val="center"/>
              <w:rPr>
                <w:sz w:val="18"/>
                <w:szCs w:val="18"/>
              </w:rPr>
            </w:pPr>
          </w:p>
          <w:p w14:paraId="22BDC2A0" w14:textId="77777777" w:rsidR="00C37194" w:rsidRPr="00B45531" w:rsidRDefault="00C37194">
            <w:pPr>
              <w:spacing w:line="180" w:lineRule="exact"/>
              <w:jc w:val="center"/>
              <w:rPr>
                <w:sz w:val="18"/>
                <w:szCs w:val="18"/>
              </w:rPr>
            </w:pPr>
            <w:r w:rsidRPr="00B45531">
              <w:rPr>
                <w:sz w:val="18"/>
                <w:szCs w:val="18"/>
              </w:rPr>
              <w:t>Localised</w:t>
            </w:r>
          </w:p>
          <w:p w14:paraId="64E04BF0" w14:textId="77777777" w:rsidR="00C37194" w:rsidRPr="00B45531" w:rsidRDefault="00C37194">
            <w:pPr>
              <w:spacing w:line="180" w:lineRule="exact"/>
              <w:jc w:val="center"/>
              <w:rPr>
                <w:sz w:val="18"/>
                <w:szCs w:val="18"/>
              </w:rPr>
            </w:pPr>
          </w:p>
          <w:p w14:paraId="0BCE31E6" w14:textId="77777777" w:rsidR="00C37194" w:rsidRPr="00B45531" w:rsidRDefault="00C37194">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005CF3C4" w14:textId="77777777" w:rsidR="00C37194" w:rsidRPr="00B45531" w:rsidRDefault="00C37194">
            <w:pPr>
              <w:spacing w:line="180" w:lineRule="exact"/>
              <w:jc w:val="center"/>
              <w:rPr>
                <w:sz w:val="18"/>
                <w:szCs w:val="18"/>
              </w:rPr>
            </w:pPr>
          </w:p>
          <w:p w14:paraId="090043F4" w14:textId="77777777" w:rsidR="00C37194" w:rsidRPr="00B45531" w:rsidRDefault="00C37194">
            <w:pPr>
              <w:spacing w:line="180" w:lineRule="exact"/>
              <w:jc w:val="center"/>
              <w:rPr>
                <w:sz w:val="18"/>
                <w:szCs w:val="18"/>
              </w:rPr>
            </w:pPr>
            <w:r w:rsidRPr="00B45531">
              <w:rPr>
                <w:sz w:val="18"/>
                <w:szCs w:val="18"/>
              </w:rPr>
              <w:t>Double drive,</w:t>
            </w:r>
          </w:p>
          <w:p w14:paraId="6A3B9F63" w14:textId="77777777" w:rsidR="00C37194" w:rsidRPr="00B45531" w:rsidRDefault="00C37194">
            <w:pPr>
              <w:spacing w:line="180" w:lineRule="exact"/>
              <w:jc w:val="center"/>
              <w:rPr>
                <w:sz w:val="18"/>
                <w:szCs w:val="18"/>
              </w:rPr>
            </w:pPr>
            <w:r w:rsidRPr="00B45531">
              <w:rPr>
                <w:sz w:val="18"/>
                <w:szCs w:val="18"/>
              </w:rPr>
              <w:t>Homing</w:t>
            </w:r>
          </w:p>
          <w:p w14:paraId="0C5E8694" w14:textId="77777777" w:rsidR="00C37194" w:rsidRPr="00B45531" w:rsidRDefault="00C37194">
            <w:pPr>
              <w:spacing w:line="180" w:lineRule="exact"/>
              <w:jc w:val="center"/>
              <w:rPr>
                <w:sz w:val="18"/>
                <w:szCs w:val="18"/>
              </w:rPr>
            </w:pPr>
          </w:p>
        </w:tc>
        <w:tc>
          <w:tcPr>
            <w:tcW w:w="1842" w:type="dxa"/>
            <w:tcBorders>
              <w:top w:val="single" w:sz="2" w:space="0" w:color="auto"/>
              <w:bottom w:val="single" w:sz="2" w:space="0" w:color="auto"/>
            </w:tcBorders>
            <w:shd w:val="clear" w:color="auto" w:fill="F2F2F2" w:themeFill="background1" w:themeFillShade="F2"/>
          </w:tcPr>
          <w:p w14:paraId="215D9C5B" w14:textId="77777777" w:rsidR="00C37194" w:rsidRPr="00B45531" w:rsidRDefault="00C37194">
            <w:pPr>
              <w:spacing w:line="180" w:lineRule="exact"/>
              <w:jc w:val="center"/>
              <w:rPr>
                <w:sz w:val="18"/>
                <w:szCs w:val="18"/>
              </w:rPr>
            </w:pPr>
          </w:p>
          <w:p w14:paraId="1F441891" w14:textId="77777777" w:rsidR="00C37194" w:rsidRPr="00B45531" w:rsidRDefault="00C37194">
            <w:pPr>
              <w:spacing w:line="180" w:lineRule="exact"/>
              <w:jc w:val="center"/>
              <w:rPr>
                <w:sz w:val="18"/>
                <w:szCs w:val="18"/>
              </w:rPr>
            </w:pPr>
            <w:r w:rsidRPr="00B45531">
              <w:rPr>
                <w:sz w:val="18"/>
                <w:szCs w:val="18"/>
              </w:rPr>
              <w:t>Suppression or modification</w:t>
            </w:r>
          </w:p>
          <w:p w14:paraId="126F2D6C"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4E2E4B4B" w14:textId="77777777" w:rsidR="00C37194" w:rsidRPr="00B45531" w:rsidRDefault="00C37194">
            <w:pPr>
              <w:spacing w:line="180" w:lineRule="exact"/>
              <w:jc w:val="center"/>
              <w:rPr>
                <w:sz w:val="18"/>
                <w:szCs w:val="18"/>
              </w:rPr>
            </w:pPr>
          </w:p>
          <w:p w14:paraId="610B6BE3" w14:textId="77777777" w:rsidR="00C37194" w:rsidRPr="00B45531" w:rsidRDefault="00C37194">
            <w:pPr>
              <w:spacing w:line="180" w:lineRule="exact"/>
              <w:jc w:val="center"/>
              <w:rPr>
                <w:sz w:val="18"/>
                <w:szCs w:val="18"/>
              </w:rPr>
            </w:pPr>
            <w:r w:rsidRPr="00B45531">
              <w:rPr>
                <w:sz w:val="18"/>
                <w:szCs w:val="18"/>
              </w:rPr>
              <w:t>Modelling only</w:t>
            </w:r>
          </w:p>
        </w:tc>
        <w:tc>
          <w:tcPr>
            <w:tcW w:w="1417" w:type="dxa"/>
            <w:tcBorders>
              <w:top w:val="single" w:sz="2" w:space="0" w:color="auto"/>
              <w:bottom w:val="single" w:sz="2" w:space="0" w:color="auto"/>
            </w:tcBorders>
            <w:shd w:val="clear" w:color="auto" w:fill="F2F2F2" w:themeFill="background1" w:themeFillShade="F2"/>
          </w:tcPr>
          <w:p w14:paraId="0E36D609" w14:textId="77777777" w:rsidR="00C37194" w:rsidRPr="00B45531" w:rsidRDefault="00C37194">
            <w:pPr>
              <w:spacing w:line="180" w:lineRule="exact"/>
              <w:jc w:val="center"/>
              <w:rPr>
                <w:sz w:val="18"/>
                <w:szCs w:val="18"/>
              </w:rPr>
            </w:pPr>
          </w:p>
          <w:p w14:paraId="68BDC054" w14:textId="6370F22D" w:rsidR="00C37194" w:rsidRPr="00B45531" w:rsidRDefault="00886E1F">
            <w:pPr>
              <w:spacing w:line="180" w:lineRule="exact"/>
              <w:jc w:val="center"/>
              <w:rPr>
                <w:sz w:val="18"/>
                <w:szCs w:val="18"/>
              </w:rPr>
            </w:pPr>
            <w:r w:rsidRPr="009E6578">
              <w:rPr>
                <w:sz w:val="18"/>
                <w:szCs w:val="18"/>
              </w:rPr>
              <w:t xml:space="preserve">Sudweeks and </w:t>
            </w:r>
            <w:proofErr w:type="gramStart"/>
            <w:r w:rsidRPr="009E6578">
              <w:rPr>
                <w:sz w:val="18"/>
                <w:szCs w:val="18"/>
              </w:rPr>
              <w:t>others,  2019</w:t>
            </w:r>
            <w:proofErr w:type="gramEnd"/>
            <w:r w:rsidRPr="00B45531">
              <w:rPr>
                <w:noProof/>
                <w:sz w:val="18"/>
                <w:szCs w:val="18"/>
              </w:rPr>
              <w:t xml:space="preserve">; </w:t>
            </w:r>
            <w:r w:rsidRPr="009E6578">
              <w:rPr>
                <w:sz w:val="18"/>
                <w:szCs w:val="18"/>
              </w:rPr>
              <w:t>Willis and Burt, 2021</w:t>
            </w:r>
            <w:r w:rsidR="00C37194" w:rsidRPr="00B45531">
              <w:rPr>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00C37194" w:rsidRPr="00B45531">
              <w:rPr>
                <w:sz w:val="18"/>
                <w:szCs w:val="18"/>
              </w:rPr>
              <w:instrText xml:space="preserve"> ADDIN EN.CITE </w:instrText>
            </w:r>
            <w:r w:rsidR="00C37194" w:rsidRPr="00B45531">
              <w:rPr>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00C37194" w:rsidRPr="00B45531">
              <w:rPr>
                <w:sz w:val="18"/>
                <w:szCs w:val="18"/>
              </w:rPr>
              <w:instrText xml:space="preserve"> ADDIN EN.CITE.DATA </w:instrText>
            </w:r>
            <w:r w:rsidR="00C37194" w:rsidRPr="00B45531">
              <w:rPr>
                <w:sz w:val="18"/>
                <w:szCs w:val="18"/>
              </w:rPr>
            </w:r>
            <w:r w:rsidR="00C37194" w:rsidRPr="00B45531">
              <w:rPr>
                <w:sz w:val="18"/>
                <w:szCs w:val="18"/>
              </w:rPr>
              <w:fldChar w:fldCharType="end"/>
            </w:r>
            <w:r w:rsidR="00FA4183">
              <w:rPr>
                <w:sz w:val="18"/>
                <w:szCs w:val="18"/>
              </w:rPr>
            </w:r>
            <w:r w:rsidR="00FA4183">
              <w:rPr>
                <w:sz w:val="18"/>
                <w:szCs w:val="18"/>
              </w:rPr>
              <w:fldChar w:fldCharType="separate"/>
            </w:r>
            <w:r w:rsidR="00C37194" w:rsidRPr="00B45531">
              <w:rPr>
                <w:sz w:val="18"/>
                <w:szCs w:val="18"/>
              </w:rPr>
              <w:fldChar w:fldCharType="end"/>
            </w:r>
          </w:p>
        </w:tc>
      </w:tr>
      <w:tr w:rsidR="00F721BF" w:rsidRPr="002A1A51" w14:paraId="13FC97DC" w14:textId="77777777">
        <w:trPr>
          <w:trHeight w:val="265"/>
        </w:trPr>
        <w:tc>
          <w:tcPr>
            <w:tcW w:w="1418" w:type="dxa"/>
            <w:vMerge/>
            <w:shd w:val="clear" w:color="auto" w:fill="F2F2F2" w:themeFill="background1" w:themeFillShade="F2"/>
          </w:tcPr>
          <w:p w14:paraId="50CD4109" w14:textId="77777777" w:rsidR="00C37194" w:rsidRPr="00B45531" w:rsidRDefault="00C37194">
            <w:pPr>
              <w:spacing w:line="180" w:lineRule="exact"/>
              <w:jc w:val="center"/>
              <w:rPr>
                <w:sz w:val="18"/>
                <w:szCs w:val="18"/>
              </w:rPr>
            </w:pPr>
          </w:p>
        </w:tc>
        <w:tc>
          <w:tcPr>
            <w:tcW w:w="1700" w:type="dxa"/>
            <w:tcBorders>
              <w:top w:val="single" w:sz="2" w:space="0" w:color="auto"/>
              <w:bottom w:val="single" w:sz="2" w:space="0" w:color="auto"/>
            </w:tcBorders>
            <w:shd w:val="clear" w:color="auto" w:fill="F2F2F2" w:themeFill="background1" w:themeFillShade="F2"/>
          </w:tcPr>
          <w:p w14:paraId="6D44DD25" w14:textId="77777777" w:rsidR="00C37194" w:rsidRPr="00B45531" w:rsidRDefault="00C37194">
            <w:pPr>
              <w:spacing w:line="180" w:lineRule="exact"/>
              <w:jc w:val="center"/>
              <w:rPr>
                <w:sz w:val="18"/>
                <w:szCs w:val="18"/>
              </w:rPr>
            </w:pPr>
          </w:p>
          <w:p w14:paraId="05E4BD58" w14:textId="77777777" w:rsidR="00C37194" w:rsidRPr="00B45531" w:rsidRDefault="00C37194">
            <w:pPr>
              <w:spacing w:line="180" w:lineRule="exact"/>
              <w:jc w:val="center"/>
              <w:rPr>
                <w:i/>
                <w:iCs/>
                <w:sz w:val="18"/>
                <w:szCs w:val="18"/>
              </w:rPr>
            </w:pPr>
            <w:r w:rsidRPr="00B45531">
              <w:rPr>
                <w:i/>
                <w:iCs/>
                <w:sz w:val="18"/>
                <w:szCs w:val="18"/>
              </w:rPr>
              <w:t xml:space="preserve">An. </w:t>
            </w:r>
            <w:proofErr w:type="spellStart"/>
            <w:r w:rsidRPr="00B45531">
              <w:rPr>
                <w:i/>
                <w:iCs/>
                <w:sz w:val="18"/>
                <w:szCs w:val="18"/>
              </w:rPr>
              <w:t>funestus</w:t>
            </w:r>
            <w:proofErr w:type="spellEnd"/>
          </w:p>
          <w:p w14:paraId="334097D6" w14:textId="77777777" w:rsidR="00C37194" w:rsidRPr="00B45531" w:rsidRDefault="00C37194">
            <w:pPr>
              <w:spacing w:line="180" w:lineRule="exact"/>
              <w:jc w:val="center"/>
              <w:rPr>
                <w:sz w:val="18"/>
                <w:szCs w:val="18"/>
              </w:rPr>
            </w:pPr>
          </w:p>
        </w:tc>
        <w:tc>
          <w:tcPr>
            <w:tcW w:w="1702" w:type="dxa"/>
            <w:tcBorders>
              <w:top w:val="single" w:sz="2" w:space="0" w:color="auto"/>
              <w:bottom w:val="single" w:sz="2" w:space="0" w:color="auto"/>
            </w:tcBorders>
            <w:shd w:val="clear" w:color="auto" w:fill="F2F2F2" w:themeFill="background1" w:themeFillShade="F2"/>
          </w:tcPr>
          <w:p w14:paraId="500DAF6D" w14:textId="77777777" w:rsidR="00C37194" w:rsidRPr="00B45531" w:rsidRDefault="00C37194">
            <w:pPr>
              <w:spacing w:line="180" w:lineRule="exact"/>
              <w:jc w:val="center"/>
              <w:rPr>
                <w:sz w:val="18"/>
                <w:szCs w:val="18"/>
              </w:rPr>
            </w:pPr>
          </w:p>
          <w:p w14:paraId="380FDBC3" w14:textId="77777777" w:rsidR="00C37194" w:rsidRPr="00B45531" w:rsidRDefault="00C37194">
            <w:pPr>
              <w:spacing w:line="180" w:lineRule="exact"/>
              <w:jc w:val="center"/>
              <w:rPr>
                <w:sz w:val="18"/>
                <w:szCs w:val="18"/>
              </w:rPr>
            </w:pPr>
            <w:r w:rsidRPr="00B45531">
              <w:rPr>
                <w:sz w:val="18"/>
                <w:szCs w:val="18"/>
              </w:rPr>
              <w:t>Low</w:t>
            </w:r>
          </w:p>
        </w:tc>
        <w:tc>
          <w:tcPr>
            <w:tcW w:w="1844" w:type="dxa"/>
            <w:tcBorders>
              <w:top w:val="single" w:sz="2" w:space="0" w:color="auto"/>
              <w:bottom w:val="single" w:sz="2" w:space="0" w:color="auto"/>
            </w:tcBorders>
            <w:shd w:val="clear" w:color="auto" w:fill="F2F2F2" w:themeFill="background1" w:themeFillShade="F2"/>
          </w:tcPr>
          <w:p w14:paraId="536EA8A5" w14:textId="77777777" w:rsidR="00C37194" w:rsidRPr="00B45531" w:rsidRDefault="00C37194">
            <w:pPr>
              <w:spacing w:line="180" w:lineRule="exact"/>
              <w:jc w:val="center"/>
              <w:rPr>
                <w:sz w:val="18"/>
                <w:szCs w:val="18"/>
              </w:rPr>
            </w:pPr>
          </w:p>
          <w:p w14:paraId="5748B5DB" w14:textId="77777777" w:rsidR="00C37194" w:rsidRPr="00B45531" w:rsidRDefault="00C37194">
            <w:pPr>
              <w:spacing w:line="180" w:lineRule="exact"/>
              <w:jc w:val="center"/>
              <w:rPr>
                <w:sz w:val="18"/>
                <w:szCs w:val="18"/>
              </w:rPr>
            </w:pPr>
            <w:r w:rsidRPr="00B45531">
              <w:rPr>
                <w:sz w:val="18"/>
                <w:szCs w:val="18"/>
              </w:rPr>
              <w:t>Self-sustaining</w:t>
            </w:r>
          </w:p>
          <w:p w14:paraId="1B756C53" w14:textId="77777777" w:rsidR="00C37194" w:rsidRPr="00B45531" w:rsidRDefault="00C37194">
            <w:pPr>
              <w:spacing w:line="180" w:lineRule="exact"/>
              <w:jc w:val="center"/>
              <w:rPr>
                <w:sz w:val="18"/>
                <w:szCs w:val="18"/>
              </w:rPr>
            </w:pPr>
          </w:p>
        </w:tc>
        <w:tc>
          <w:tcPr>
            <w:tcW w:w="1418" w:type="dxa"/>
            <w:tcBorders>
              <w:top w:val="single" w:sz="2" w:space="0" w:color="auto"/>
              <w:bottom w:val="single" w:sz="2" w:space="0" w:color="auto"/>
            </w:tcBorders>
            <w:shd w:val="clear" w:color="auto" w:fill="F2F2F2" w:themeFill="background1" w:themeFillShade="F2"/>
          </w:tcPr>
          <w:p w14:paraId="02C976DC" w14:textId="77777777" w:rsidR="00C37194" w:rsidRPr="00B45531" w:rsidRDefault="00C37194">
            <w:pPr>
              <w:spacing w:line="180" w:lineRule="exact"/>
              <w:jc w:val="center"/>
              <w:rPr>
                <w:sz w:val="18"/>
                <w:szCs w:val="18"/>
              </w:rPr>
            </w:pPr>
          </w:p>
          <w:p w14:paraId="05E18D13" w14:textId="77777777" w:rsidR="00C37194" w:rsidRPr="00B45531" w:rsidRDefault="00C37194">
            <w:pPr>
              <w:spacing w:line="180" w:lineRule="exact"/>
              <w:jc w:val="center"/>
              <w:rPr>
                <w:sz w:val="18"/>
                <w:szCs w:val="18"/>
              </w:rPr>
            </w:pPr>
            <w:r w:rsidRPr="00B45531">
              <w:rPr>
                <w:sz w:val="18"/>
                <w:szCs w:val="18"/>
              </w:rPr>
              <w:t>Non-localised</w:t>
            </w:r>
          </w:p>
          <w:p w14:paraId="38EDB965" w14:textId="77777777" w:rsidR="00C37194" w:rsidRPr="00B45531" w:rsidRDefault="00C37194">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12EE1799" w14:textId="77777777" w:rsidR="00C37194" w:rsidRPr="00B45531" w:rsidRDefault="00C37194">
            <w:pPr>
              <w:spacing w:line="180" w:lineRule="exact"/>
              <w:jc w:val="center"/>
              <w:rPr>
                <w:sz w:val="18"/>
                <w:szCs w:val="18"/>
              </w:rPr>
            </w:pPr>
          </w:p>
          <w:p w14:paraId="530C10D0" w14:textId="77777777" w:rsidR="00C37194" w:rsidRPr="00B45531" w:rsidRDefault="00C37194">
            <w:pPr>
              <w:spacing w:line="180" w:lineRule="exact"/>
              <w:jc w:val="center"/>
              <w:rPr>
                <w:sz w:val="18"/>
                <w:szCs w:val="18"/>
              </w:rPr>
            </w:pPr>
            <w:r w:rsidRPr="00B45531">
              <w:rPr>
                <w:sz w:val="18"/>
                <w:szCs w:val="18"/>
              </w:rPr>
              <w:t>Homing</w:t>
            </w:r>
          </w:p>
        </w:tc>
        <w:tc>
          <w:tcPr>
            <w:tcW w:w="1842" w:type="dxa"/>
            <w:tcBorders>
              <w:top w:val="single" w:sz="2" w:space="0" w:color="auto"/>
              <w:bottom w:val="single" w:sz="2" w:space="0" w:color="auto"/>
            </w:tcBorders>
            <w:shd w:val="clear" w:color="auto" w:fill="F2F2F2" w:themeFill="background1" w:themeFillShade="F2"/>
          </w:tcPr>
          <w:p w14:paraId="10EDD94D" w14:textId="77777777" w:rsidR="00C37194" w:rsidRPr="00B45531" w:rsidRDefault="00C37194">
            <w:pPr>
              <w:spacing w:line="180" w:lineRule="exact"/>
              <w:jc w:val="center"/>
              <w:rPr>
                <w:sz w:val="18"/>
                <w:szCs w:val="18"/>
              </w:rPr>
            </w:pPr>
          </w:p>
          <w:p w14:paraId="0FB61B5E" w14:textId="77777777" w:rsidR="00C37194" w:rsidRPr="00B45531" w:rsidRDefault="00C37194">
            <w:pPr>
              <w:spacing w:line="180" w:lineRule="exact"/>
              <w:jc w:val="center"/>
              <w:rPr>
                <w:sz w:val="18"/>
                <w:szCs w:val="18"/>
              </w:rPr>
            </w:pPr>
            <w:r w:rsidRPr="00B45531">
              <w:rPr>
                <w:sz w:val="18"/>
                <w:szCs w:val="18"/>
              </w:rPr>
              <w:t>Suppression</w:t>
            </w:r>
          </w:p>
        </w:tc>
        <w:tc>
          <w:tcPr>
            <w:tcW w:w="1559" w:type="dxa"/>
            <w:tcBorders>
              <w:top w:val="single" w:sz="2" w:space="0" w:color="auto"/>
              <w:bottom w:val="single" w:sz="2" w:space="0" w:color="auto"/>
            </w:tcBorders>
            <w:shd w:val="clear" w:color="auto" w:fill="F2F2F2" w:themeFill="background1" w:themeFillShade="F2"/>
          </w:tcPr>
          <w:p w14:paraId="5844A80F" w14:textId="77777777" w:rsidR="00C37194" w:rsidRPr="00B45531" w:rsidRDefault="00C37194">
            <w:pPr>
              <w:spacing w:line="180" w:lineRule="exact"/>
              <w:jc w:val="center"/>
              <w:rPr>
                <w:sz w:val="18"/>
                <w:szCs w:val="18"/>
              </w:rPr>
            </w:pPr>
          </w:p>
          <w:p w14:paraId="5CF02927" w14:textId="77777777" w:rsidR="00C37194" w:rsidRPr="00B45531" w:rsidRDefault="00C37194">
            <w:pPr>
              <w:spacing w:line="180" w:lineRule="exact"/>
              <w:jc w:val="center"/>
              <w:rPr>
                <w:sz w:val="18"/>
                <w:szCs w:val="18"/>
              </w:rPr>
            </w:pPr>
            <w:r w:rsidRPr="00B45531">
              <w:rPr>
                <w:sz w:val="18"/>
                <w:szCs w:val="18"/>
              </w:rPr>
              <w:t xml:space="preserve">CRISPR-Cas9-mediated genomic insertion of transgenes via homology directed repair in target </w:t>
            </w:r>
            <w:proofErr w:type="gramStart"/>
            <w:r w:rsidRPr="00B45531">
              <w:rPr>
                <w:sz w:val="18"/>
                <w:szCs w:val="18"/>
              </w:rPr>
              <w:t>species</w:t>
            </w:r>
            <w:proofErr w:type="gramEnd"/>
          </w:p>
          <w:p w14:paraId="0467B7FB"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1A09C07F" w14:textId="77777777" w:rsidR="00C37194" w:rsidRPr="00B45531" w:rsidRDefault="00C37194">
            <w:pPr>
              <w:spacing w:line="180" w:lineRule="exact"/>
              <w:jc w:val="center"/>
              <w:rPr>
                <w:sz w:val="18"/>
                <w:szCs w:val="18"/>
              </w:rPr>
            </w:pPr>
          </w:p>
          <w:p w14:paraId="032A9757" w14:textId="7FD5E0BD" w:rsidR="00C37194" w:rsidRPr="00E64AF4" w:rsidRDefault="00C37194">
            <w:pPr>
              <w:spacing w:line="180" w:lineRule="exact"/>
              <w:jc w:val="center"/>
              <w:rPr>
                <w:sz w:val="18"/>
                <w:lang w:val="en-US"/>
              </w:rPr>
            </w:pPr>
            <w:r w:rsidRPr="00B45531">
              <w:rPr>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E64AF4">
              <w:rPr>
                <w:sz w:val="18"/>
                <w:lang w:val="en-US"/>
              </w:rPr>
              <w:instrText xml:space="preserve"> ADDIN EN.CITE </w:instrText>
            </w:r>
            <w:r w:rsidRPr="00B45531">
              <w:rPr>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6A349B">
              <w:rPr>
                <w:sz w:val="18"/>
                <w:lang w:val="en-US"/>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9E6578">
              <w:rPr>
                <w:sz w:val="18"/>
                <w:lang w:val="en-US"/>
              </w:rPr>
              <w:t xml:space="preserve">Li </w:t>
            </w:r>
            <w:r w:rsidR="00B52809" w:rsidRPr="009E6578">
              <w:t>and others,</w:t>
            </w:r>
            <w:r w:rsidRPr="009E6578">
              <w:rPr>
                <w:sz w:val="18"/>
                <w:lang w:val="en-US"/>
              </w:rPr>
              <w:t xml:space="preserve">  2018</w:t>
            </w:r>
            <w:r w:rsidRPr="00E64AF4">
              <w:rPr>
                <w:sz w:val="18"/>
                <w:lang w:val="en-US"/>
              </w:rPr>
              <w:t xml:space="preserve">; </w:t>
            </w:r>
            <w:r w:rsidRPr="009E6578">
              <w:rPr>
                <w:sz w:val="18"/>
                <w:lang w:val="en-US"/>
              </w:rPr>
              <w:t xml:space="preserve">Quinn </w:t>
            </w:r>
            <w:r w:rsidR="00B52809" w:rsidRPr="009E6578">
              <w:t xml:space="preserve">and others, </w:t>
            </w:r>
            <w:r w:rsidR="00C56067" w:rsidRPr="009E6578">
              <w:t>2021</w:t>
            </w:r>
            <w:r w:rsidRPr="00E64AF4">
              <w:rPr>
                <w:sz w:val="18"/>
                <w:lang w:val="en-US"/>
              </w:rPr>
              <w:t xml:space="preserve"> </w:t>
            </w:r>
            <w:r w:rsidRPr="00B45531">
              <w:rPr>
                <w:sz w:val="18"/>
                <w:szCs w:val="18"/>
              </w:rPr>
              <w:fldChar w:fldCharType="end"/>
            </w:r>
          </w:p>
        </w:tc>
      </w:tr>
      <w:tr w:rsidR="00F721BF" w:rsidRPr="002A1A51" w14:paraId="52E27B21" w14:textId="77777777">
        <w:trPr>
          <w:trHeight w:val="265"/>
        </w:trPr>
        <w:tc>
          <w:tcPr>
            <w:tcW w:w="1418" w:type="dxa"/>
            <w:vMerge/>
            <w:shd w:val="clear" w:color="auto" w:fill="F2F2F2" w:themeFill="background1" w:themeFillShade="F2"/>
          </w:tcPr>
          <w:p w14:paraId="5C5A8FB1" w14:textId="77777777" w:rsidR="00C37194" w:rsidRPr="00E64AF4" w:rsidRDefault="00C37194">
            <w:pPr>
              <w:spacing w:line="180" w:lineRule="exact"/>
              <w:jc w:val="center"/>
              <w:rPr>
                <w:sz w:val="18"/>
                <w:lang w:val="en-US"/>
              </w:rPr>
            </w:pPr>
          </w:p>
        </w:tc>
        <w:tc>
          <w:tcPr>
            <w:tcW w:w="1700" w:type="dxa"/>
            <w:vMerge w:val="restart"/>
            <w:tcBorders>
              <w:top w:val="single" w:sz="2" w:space="0" w:color="auto"/>
            </w:tcBorders>
            <w:shd w:val="clear" w:color="auto" w:fill="F2F2F2" w:themeFill="background1" w:themeFillShade="F2"/>
          </w:tcPr>
          <w:p w14:paraId="19474FB2" w14:textId="77777777" w:rsidR="00C37194" w:rsidRPr="00E64AF4" w:rsidRDefault="00C37194">
            <w:pPr>
              <w:spacing w:line="180" w:lineRule="exact"/>
              <w:jc w:val="center"/>
              <w:rPr>
                <w:i/>
                <w:sz w:val="18"/>
                <w:lang w:val="en-US"/>
              </w:rPr>
            </w:pPr>
          </w:p>
          <w:p w14:paraId="5FC923B3" w14:textId="2ED90068" w:rsidR="00C37194" w:rsidRPr="00B45531" w:rsidRDefault="00C37194">
            <w:pPr>
              <w:spacing w:line="180" w:lineRule="exact"/>
              <w:jc w:val="center"/>
              <w:rPr>
                <w:sz w:val="18"/>
                <w:szCs w:val="18"/>
              </w:rPr>
            </w:pPr>
            <w:r w:rsidRPr="00B45531">
              <w:rPr>
                <w:i/>
                <w:iCs/>
                <w:sz w:val="18"/>
                <w:szCs w:val="18"/>
              </w:rPr>
              <w:t xml:space="preserve">An. </w:t>
            </w:r>
            <w:proofErr w:type="spellStart"/>
            <w:r w:rsidR="00582D2A">
              <w:rPr>
                <w:i/>
                <w:iCs/>
                <w:sz w:val="18"/>
                <w:szCs w:val="18"/>
              </w:rPr>
              <w:t>s</w:t>
            </w:r>
            <w:r w:rsidRPr="00B45531">
              <w:rPr>
                <w:i/>
                <w:iCs/>
                <w:sz w:val="18"/>
                <w:szCs w:val="18"/>
              </w:rPr>
              <w:t>tephensi</w:t>
            </w:r>
            <w:proofErr w:type="spellEnd"/>
          </w:p>
        </w:tc>
        <w:tc>
          <w:tcPr>
            <w:tcW w:w="1702" w:type="dxa"/>
            <w:vMerge w:val="restart"/>
            <w:tcBorders>
              <w:top w:val="single" w:sz="2" w:space="0" w:color="auto"/>
            </w:tcBorders>
            <w:shd w:val="clear" w:color="auto" w:fill="F2F2F2" w:themeFill="background1" w:themeFillShade="F2"/>
          </w:tcPr>
          <w:p w14:paraId="426B612B" w14:textId="77777777" w:rsidR="00C37194" w:rsidRPr="00B45531" w:rsidRDefault="00C37194">
            <w:pPr>
              <w:spacing w:line="180" w:lineRule="exact"/>
              <w:jc w:val="center"/>
              <w:rPr>
                <w:sz w:val="18"/>
                <w:szCs w:val="18"/>
              </w:rPr>
            </w:pPr>
          </w:p>
          <w:p w14:paraId="2C7B91FA" w14:textId="77777777" w:rsidR="00C37194" w:rsidRPr="00B45531" w:rsidRDefault="00C37194">
            <w:pPr>
              <w:spacing w:line="180" w:lineRule="exact"/>
              <w:jc w:val="center"/>
              <w:rPr>
                <w:sz w:val="18"/>
                <w:szCs w:val="18"/>
              </w:rPr>
            </w:pPr>
            <w:r w:rsidRPr="00B45531">
              <w:rPr>
                <w:sz w:val="18"/>
                <w:szCs w:val="18"/>
              </w:rPr>
              <w:t>Low</w:t>
            </w:r>
          </w:p>
          <w:p w14:paraId="1B9BF81E" w14:textId="77777777" w:rsidR="00C37194" w:rsidRPr="00B45531" w:rsidRDefault="00C37194">
            <w:pPr>
              <w:spacing w:line="180" w:lineRule="exact"/>
              <w:jc w:val="center"/>
              <w:rPr>
                <w:sz w:val="18"/>
                <w:szCs w:val="18"/>
              </w:rPr>
            </w:pPr>
          </w:p>
          <w:p w14:paraId="498A57A3" w14:textId="77777777" w:rsidR="00C37194" w:rsidRPr="00B45531" w:rsidRDefault="00C37194">
            <w:pPr>
              <w:spacing w:line="180" w:lineRule="exact"/>
              <w:jc w:val="center"/>
              <w:rPr>
                <w:sz w:val="18"/>
                <w:szCs w:val="18"/>
              </w:rPr>
            </w:pPr>
          </w:p>
          <w:p w14:paraId="5B50DFA8" w14:textId="77777777" w:rsidR="00C37194" w:rsidRPr="00B45531" w:rsidRDefault="00C37194">
            <w:pPr>
              <w:spacing w:line="180" w:lineRule="exact"/>
              <w:jc w:val="center"/>
              <w:rPr>
                <w:sz w:val="18"/>
                <w:szCs w:val="18"/>
              </w:rPr>
            </w:pPr>
          </w:p>
          <w:p w14:paraId="48A108E5" w14:textId="77777777" w:rsidR="00C37194" w:rsidRPr="00B45531" w:rsidRDefault="00C37194">
            <w:pPr>
              <w:spacing w:line="180" w:lineRule="exact"/>
              <w:jc w:val="center"/>
              <w:rPr>
                <w:sz w:val="18"/>
                <w:szCs w:val="18"/>
              </w:rPr>
            </w:pPr>
          </w:p>
        </w:tc>
        <w:tc>
          <w:tcPr>
            <w:tcW w:w="1844" w:type="dxa"/>
            <w:vMerge w:val="restart"/>
            <w:tcBorders>
              <w:top w:val="single" w:sz="2" w:space="0" w:color="auto"/>
            </w:tcBorders>
            <w:shd w:val="clear" w:color="auto" w:fill="F2F2F2" w:themeFill="background1" w:themeFillShade="F2"/>
          </w:tcPr>
          <w:p w14:paraId="64DF235D" w14:textId="77777777" w:rsidR="00C37194" w:rsidRPr="00B45531" w:rsidRDefault="00C37194">
            <w:pPr>
              <w:spacing w:line="180" w:lineRule="exact"/>
              <w:jc w:val="center"/>
              <w:rPr>
                <w:sz w:val="18"/>
                <w:szCs w:val="18"/>
              </w:rPr>
            </w:pPr>
          </w:p>
          <w:p w14:paraId="5F5C8F62" w14:textId="77777777" w:rsidR="00C37194" w:rsidRPr="00B45531" w:rsidRDefault="00C37194">
            <w:pPr>
              <w:spacing w:line="180" w:lineRule="exact"/>
              <w:jc w:val="center"/>
              <w:rPr>
                <w:sz w:val="18"/>
                <w:szCs w:val="18"/>
              </w:rPr>
            </w:pPr>
            <w:r w:rsidRPr="00B45531">
              <w:rPr>
                <w:sz w:val="18"/>
                <w:szCs w:val="18"/>
              </w:rPr>
              <w:t>Self-sustaining</w:t>
            </w:r>
          </w:p>
          <w:p w14:paraId="7CF59251" w14:textId="77777777" w:rsidR="00C37194" w:rsidRPr="00B45531" w:rsidRDefault="00C37194">
            <w:pPr>
              <w:spacing w:line="180" w:lineRule="exact"/>
              <w:jc w:val="center"/>
              <w:rPr>
                <w:sz w:val="18"/>
                <w:szCs w:val="18"/>
              </w:rPr>
            </w:pPr>
          </w:p>
        </w:tc>
        <w:tc>
          <w:tcPr>
            <w:tcW w:w="1418" w:type="dxa"/>
            <w:tcBorders>
              <w:top w:val="single" w:sz="2" w:space="0" w:color="auto"/>
            </w:tcBorders>
            <w:shd w:val="clear" w:color="auto" w:fill="F2F2F2" w:themeFill="background1" w:themeFillShade="F2"/>
          </w:tcPr>
          <w:p w14:paraId="73FB26F5" w14:textId="77777777" w:rsidR="00C37194" w:rsidRPr="00B45531" w:rsidRDefault="00C37194">
            <w:pPr>
              <w:spacing w:line="180" w:lineRule="exact"/>
              <w:jc w:val="center"/>
              <w:rPr>
                <w:sz w:val="18"/>
                <w:szCs w:val="18"/>
              </w:rPr>
            </w:pPr>
          </w:p>
          <w:p w14:paraId="051276D3" w14:textId="77777777" w:rsidR="00C37194" w:rsidRPr="00B45531" w:rsidRDefault="00C37194">
            <w:pPr>
              <w:spacing w:line="180" w:lineRule="exact"/>
              <w:jc w:val="center"/>
              <w:rPr>
                <w:sz w:val="18"/>
                <w:szCs w:val="18"/>
              </w:rPr>
            </w:pPr>
            <w:r w:rsidRPr="00B45531">
              <w:rPr>
                <w:sz w:val="18"/>
                <w:szCs w:val="18"/>
              </w:rPr>
              <w:t>Non-localised</w:t>
            </w:r>
          </w:p>
          <w:p w14:paraId="30652CD5" w14:textId="77777777" w:rsidR="00C37194" w:rsidRPr="00B45531" w:rsidRDefault="00C37194">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3475B95A" w14:textId="77777777" w:rsidR="00C37194" w:rsidRPr="00B45531" w:rsidRDefault="00C37194">
            <w:pPr>
              <w:spacing w:line="180" w:lineRule="exact"/>
              <w:jc w:val="center"/>
              <w:rPr>
                <w:sz w:val="18"/>
                <w:szCs w:val="18"/>
              </w:rPr>
            </w:pPr>
          </w:p>
          <w:p w14:paraId="23548099" w14:textId="77777777" w:rsidR="00C37194" w:rsidRPr="00B45531" w:rsidRDefault="00C37194">
            <w:pPr>
              <w:spacing w:line="180" w:lineRule="exact"/>
              <w:jc w:val="center"/>
              <w:rPr>
                <w:sz w:val="18"/>
                <w:szCs w:val="18"/>
              </w:rPr>
            </w:pPr>
            <w:r w:rsidRPr="00B45531">
              <w:rPr>
                <w:sz w:val="18"/>
                <w:szCs w:val="18"/>
              </w:rPr>
              <w:t>Homing</w:t>
            </w:r>
          </w:p>
        </w:tc>
        <w:tc>
          <w:tcPr>
            <w:tcW w:w="1842" w:type="dxa"/>
            <w:tcBorders>
              <w:top w:val="single" w:sz="2" w:space="0" w:color="auto"/>
              <w:bottom w:val="single" w:sz="2" w:space="0" w:color="auto"/>
            </w:tcBorders>
            <w:shd w:val="clear" w:color="auto" w:fill="F2F2F2" w:themeFill="background1" w:themeFillShade="F2"/>
          </w:tcPr>
          <w:p w14:paraId="7BD62B52" w14:textId="77777777" w:rsidR="00C37194" w:rsidRPr="00B45531" w:rsidRDefault="00C37194">
            <w:pPr>
              <w:spacing w:line="180" w:lineRule="exact"/>
              <w:jc w:val="center"/>
              <w:rPr>
                <w:sz w:val="18"/>
                <w:szCs w:val="18"/>
              </w:rPr>
            </w:pPr>
          </w:p>
          <w:p w14:paraId="6248DC67" w14:textId="77777777" w:rsidR="00C37194" w:rsidRPr="00B45531" w:rsidRDefault="00C37194">
            <w:pPr>
              <w:spacing w:line="180" w:lineRule="exact"/>
              <w:jc w:val="center"/>
              <w:rPr>
                <w:sz w:val="18"/>
                <w:szCs w:val="18"/>
              </w:rPr>
            </w:pPr>
            <w:r w:rsidRPr="00B45531">
              <w:rPr>
                <w:sz w:val="18"/>
                <w:szCs w:val="18"/>
              </w:rPr>
              <w:t>Modification</w:t>
            </w:r>
          </w:p>
          <w:p w14:paraId="203C3FC0"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4266648B" w14:textId="77777777" w:rsidR="00C37194" w:rsidRPr="00B45531" w:rsidRDefault="00C37194">
            <w:pPr>
              <w:spacing w:line="180" w:lineRule="exact"/>
              <w:jc w:val="center"/>
              <w:rPr>
                <w:sz w:val="18"/>
                <w:szCs w:val="18"/>
              </w:rPr>
            </w:pPr>
          </w:p>
          <w:p w14:paraId="6D2C0062" w14:textId="77777777" w:rsidR="00C37194" w:rsidRPr="00B45531" w:rsidRDefault="00C37194">
            <w:pPr>
              <w:spacing w:line="180" w:lineRule="exact"/>
              <w:jc w:val="center"/>
              <w:rPr>
                <w:sz w:val="18"/>
                <w:szCs w:val="18"/>
              </w:rPr>
            </w:pPr>
            <w:r w:rsidRPr="00B45531">
              <w:rPr>
                <w:sz w:val="18"/>
                <w:szCs w:val="18"/>
              </w:rPr>
              <w:t xml:space="preserve">Strains generated and tested in insectary in target </w:t>
            </w:r>
            <w:proofErr w:type="gramStart"/>
            <w:r w:rsidRPr="00B45531">
              <w:rPr>
                <w:sz w:val="18"/>
                <w:szCs w:val="18"/>
              </w:rPr>
              <w:t>species</w:t>
            </w:r>
            <w:proofErr w:type="gramEnd"/>
          </w:p>
          <w:p w14:paraId="4C17B247"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441F1F3D" w14:textId="77777777" w:rsidR="00C37194" w:rsidRPr="00B45531" w:rsidRDefault="00C37194">
            <w:pPr>
              <w:spacing w:line="180" w:lineRule="exact"/>
              <w:jc w:val="center"/>
              <w:rPr>
                <w:sz w:val="18"/>
                <w:szCs w:val="18"/>
              </w:rPr>
            </w:pPr>
          </w:p>
          <w:p w14:paraId="78FE5201" w14:textId="3EC72B92" w:rsidR="00C37194" w:rsidRPr="00E64AF4" w:rsidRDefault="00C37194">
            <w:pPr>
              <w:spacing w:line="180" w:lineRule="exact"/>
              <w:jc w:val="center"/>
              <w:rPr>
                <w:sz w:val="18"/>
                <w:lang w:val="en-US"/>
              </w:rPr>
            </w:pPr>
            <w:r w:rsidRPr="00B45531">
              <w:rPr>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E64AF4">
              <w:rPr>
                <w:sz w:val="18"/>
                <w:lang w:val="en-US"/>
              </w:rPr>
              <w:instrText xml:space="preserve"> ADDIN EN.CITE </w:instrText>
            </w:r>
            <w:r w:rsidRPr="00B45531">
              <w:rPr>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6A349B">
              <w:rPr>
                <w:sz w:val="18"/>
                <w:lang w:val="en-US"/>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9E6578">
              <w:rPr>
                <w:sz w:val="18"/>
                <w:lang w:val="en-US"/>
              </w:rPr>
              <w:t xml:space="preserve">Gantz </w:t>
            </w:r>
            <w:r w:rsidR="00183313" w:rsidRPr="009E6578">
              <w:t xml:space="preserve">and others, </w:t>
            </w:r>
            <w:r w:rsidRPr="009E6578">
              <w:rPr>
                <w:sz w:val="18"/>
                <w:lang w:val="en-US"/>
              </w:rPr>
              <w:t xml:space="preserve"> 2015;</w:t>
            </w:r>
            <w:r w:rsidRPr="00E64AF4">
              <w:rPr>
                <w:sz w:val="18"/>
                <w:lang w:val="en-US"/>
              </w:rPr>
              <w:t xml:space="preserve"> </w:t>
            </w:r>
            <w:r w:rsidRPr="009E6578">
              <w:rPr>
                <w:sz w:val="18"/>
                <w:lang w:val="en-US"/>
              </w:rPr>
              <w:t xml:space="preserve">Pham </w:t>
            </w:r>
            <w:r w:rsidR="00183313" w:rsidRPr="009E6578">
              <w:t xml:space="preserve">and others, </w:t>
            </w:r>
            <w:r w:rsidRPr="009E6578">
              <w:rPr>
                <w:sz w:val="18"/>
                <w:lang w:val="en-US"/>
              </w:rPr>
              <w:t xml:space="preserve"> 2019</w:t>
            </w:r>
            <w:r w:rsidRPr="00B45531">
              <w:rPr>
                <w:sz w:val="18"/>
                <w:szCs w:val="18"/>
              </w:rPr>
              <w:fldChar w:fldCharType="end"/>
            </w:r>
          </w:p>
          <w:p w14:paraId="4F9CF150" w14:textId="77777777" w:rsidR="00C37194" w:rsidRPr="00E64AF4" w:rsidRDefault="00C37194">
            <w:pPr>
              <w:spacing w:line="180" w:lineRule="exact"/>
              <w:jc w:val="center"/>
              <w:rPr>
                <w:sz w:val="18"/>
                <w:lang w:val="en-US"/>
              </w:rPr>
            </w:pPr>
          </w:p>
        </w:tc>
      </w:tr>
      <w:tr w:rsidR="00F721BF" w:rsidRPr="00701301" w14:paraId="112B72F5" w14:textId="77777777">
        <w:trPr>
          <w:trHeight w:val="265"/>
        </w:trPr>
        <w:tc>
          <w:tcPr>
            <w:tcW w:w="1418" w:type="dxa"/>
            <w:vMerge/>
            <w:tcBorders>
              <w:bottom w:val="single" w:sz="18" w:space="0" w:color="auto"/>
            </w:tcBorders>
            <w:shd w:val="clear" w:color="auto" w:fill="F2F2F2" w:themeFill="background1" w:themeFillShade="F2"/>
          </w:tcPr>
          <w:p w14:paraId="559A7E7F" w14:textId="77777777" w:rsidR="00C37194" w:rsidRPr="00E64AF4" w:rsidRDefault="00C37194">
            <w:pPr>
              <w:spacing w:line="180" w:lineRule="exact"/>
              <w:jc w:val="center"/>
              <w:rPr>
                <w:sz w:val="18"/>
                <w:lang w:val="en-US"/>
              </w:rPr>
            </w:pPr>
          </w:p>
        </w:tc>
        <w:tc>
          <w:tcPr>
            <w:tcW w:w="1700" w:type="dxa"/>
            <w:vMerge/>
            <w:tcBorders>
              <w:bottom w:val="single" w:sz="18" w:space="0" w:color="auto"/>
            </w:tcBorders>
            <w:shd w:val="clear" w:color="auto" w:fill="F2F2F2" w:themeFill="background1" w:themeFillShade="F2"/>
          </w:tcPr>
          <w:p w14:paraId="22F3C25A" w14:textId="77777777" w:rsidR="00C37194" w:rsidRPr="00E64AF4" w:rsidRDefault="00C37194">
            <w:pPr>
              <w:spacing w:line="180" w:lineRule="exact"/>
              <w:jc w:val="center"/>
              <w:rPr>
                <w:sz w:val="18"/>
                <w:lang w:val="en-US"/>
              </w:rPr>
            </w:pPr>
          </w:p>
        </w:tc>
        <w:tc>
          <w:tcPr>
            <w:tcW w:w="1702" w:type="dxa"/>
            <w:vMerge/>
            <w:tcBorders>
              <w:bottom w:val="single" w:sz="18" w:space="0" w:color="auto"/>
            </w:tcBorders>
            <w:shd w:val="clear" w:color="auto" w:fill="F2F2F2" w:themeFill="background1" w:themeFillShade="F2"/>
          </w:tcPr>
          <w:p w14:paraId="7C73C5F7" w14:textId="77777777" w:rsidR="00C37194" w:rsidRPr="00E64AF4" w:rsidRDefault="00C37194">
            <w:pPr>
              <w:spacing w:line="180" w:lineRule="exact"/>
              <w:jc w:val="center"/>
              <w:rPr>
                <w:sz w:val="18"/>
                <w:lang w:val="en-US"/>
              </w:rPr>
            </w:pPr>
          </w:p>
        </w:tc>
        <w:tc>
          <w:tcPr>
            <w:tcW w:w="1844" w:type="dxa"/>
            <w:vMerge/>
            <w:tcBorders>
              <w:bottom w:val="single" w:sz="18" w:space="0" w:color="auto"/>
            </w:tcBorders>
            <w:shd w:val="clear" w:color="auto" w:fill="F2F2F2" w:themeFill="background1" w:themeFillShade="F2"/>
          </w:tcPr>
          <w:p w14:paraId="007E9BAE" w14:textId="77777777" w:rsidR="00C37194" w:rsidRPr="00E64AF4" w:rsidRDefault="00C37194">
            <w:pPr>
              <w:spacing w:line="180" w:lineRule="exact"/>
              <w:jc w:val="center"/>
              <w:rPr>
                <w:sz w:val="18"/>
                <w:lang w:val="en-US"/>
              </w:rPr>
            </w:pPr>
          </w:p>
        </w:tc>
        <w:tc>
          <w:tcPr>
            <w:tcW w:w="1418" w:type="dxa"/>
            <w:tcBorders>
              <w:bottom w:val="single" w:sz="18" w:space="0" w:color="auto"/>
            </w:tcBorders>
            <w:shd w:val="clear" w:color="auto" w:fill="F2F2F2" w:themeFill="background1" w:themeFillShade="F2"/>
          </w:tcPr>
          <w:p w14:paraId="14271AEF" w14:textId="77777777" w:rsidR="00C37194" w:rsidRPr="00E64AF4" w:rsidRDefault="00C37194">
            <w:pPr>
              <w:spacing w:line="180" w:lineRule="exact"/>
              <w:jc w:val="center"/>
              <w:rPr>
                <w:sz w:val="18"/>
                <w:lang w:val="en-US"/>
              </w:rPr>
            </w:pPr>
          </w:p>
        </w:tc>
        <w:tc>
          <w:tcPr>
            <w:tcW w:w="1701" w:type="dxa"/>
            <w:tcBorders>
              <w:top w:val="single" w:sz="2" w:space="0" w:color="auto"/>
              <w:bottom w:val="single" w:sz="18" w:space="0" w:color="auto"/>
            </w:tcBorders>
            <w:shd w:val="clear" w:color="auto" w:fill="F2F2F2" w:themeFill="background1" w:themeFillShade="F2"/>
          </w:tcPr>
          <w:p w14:paraId="3B41098F" w14:textId="77777777" w:rsidR="00C37194" w:rsidRPr="00E64AF4" w:rsidRDefault="00C37194">
            <w:pPr>
              <w:spacing w:line="180" w:lineRule="exact"/>
              <w:jc w:val="center"/>
              <w:rPr>
                <w:sz w:val="18"/>
                <w:lang w:val="en-US"/>
              </w:rPr>
            </w:pPr>
          </w:p>
          <w:p w14:paraId="491883E9" w14:textId="77777777" w:rsidR="00C37194" w:rsidRPr="00B45531" w:rsidRDefault="00C37194">
            <w:pPr>
              <w:spacing w:line="180" w:lineRule="exact"/>
              <w:jc w:val="center"/>
              <w:rPr>
                <w:sz w:val="18"/>
                <w:szCs w:val="18"/>
              </w:rPr>
            </w:pPr>
            <w:r w:rsidRPr="00B45531">
              <w:rPr>
                <w:sz w:val="18"/>
                <w:szCs w:val="18"/>
              </w:rPr>
              <w:t>Toxin antidote rescue system,</w:t>
            </w:r>
          </w:p>
          <w:p w14:paraId="4C89526B" w14:textId="77777777" w:rsidR="00C37194" w:rsidRPr="00B45531" w:rsidRDefault="00C37194">
            <w:pPr>
              <w:spacing w:line="180" w:lineRule="exact"/>
              <w:jc w:val="center"/>
              <w:rPr>
                <w:sz w:val="18"/>
                <w:szCs w:val="18"/>
              </w:rPr>
            </w:pPr>
            <w:r w:rsidRPr="00B45531">
              <w:rPr>
                <w:sz w:val="18"/>
                <w:szCs w:val="18"/>
              </w:rPr>
              <w:t>Homing</w:t>
            </w:r>
          </w:p>
          <w:p w14:paraId="4B2BA55E" w14:textId="77777777" w:rsidR="00C37194" w:rsidRPr="00B45531" w:rsidRDefault="00C37194">
            <w:pPr>
              <w:spacing w:line="180" w:lineRule="exact"/>
              <w:jc w:val="center"/>
              <w:rPr>
                <w:sz w:val="18"/>
                <w:szCs w:val="18"/>
              </w:rPr>
            </w:pPr>
          </w:p>
        </w:tc>
        <w:tc>
          <w:tcPr>
            <w:tcW w:w="1842" w:type="dxa"/>
            <w:tcBorders>
              <w:top w:val="single" w:sz="2" w:space="0" w:color="auto"/>
              <w:bottom w:val="single" w:sz="18" w:space="0" w:color="auto"/>
            </w:tcBorders>
            <w:shd w:val="clear" w:color="auto" w:fill="F2F2F2" w:themeFill="background1" w:themeFillShade="F2"/>
          </w:tcPr>
          <w:p w14:paraId="6473E076" w14:textId="77777777" w:rsidR="00C37194" w:rsidRPr="00B45531" w:rsidRDefault="00C37194">
            <w:pPr>
              <w:spacing w:line="180" w:lineRule="exact"/>
              <w:jc w:val="center"/>
              <w:rPr>
                <w:sz w:val="18"/>
                <w:szCs w:val="18"/>
              </w:rPr>
            </w:pPr>
          </w:p>
          <w:p w14:paraId="4C76FC7D" w14:textId="77777777" w:rsidR="00C37194" w:rsidRPr="00B45531" w:rsidRDefault="00C37194">
            <w:pPr>
              <w:spacing w:line="180" w:lineRule="exact"/>
              <w:jc w:val="center"/>
              <w:rPr>
                <w:sz w:val="18"/>
                <w:szCs w:val="18"/>
              </w:rPr>
            </w:pPr>
            <w:r w:rsidRPr="00B45531">
              <w:rPr>
                <w:sz w:val="18"/>
                <w:szCs w:val="18"/>
              </w:rPr>
              <w:t>Modification</w:t>
            </w:r>
          </w:p>
          <w:p w14:paraId="0BC1174A" w14:textId="77777777" w:rsidR="00C37194" w:rsidRPr="00B45531" w:rsidRDefault="00C37194">
            <w:pPr>
              <w:spacing w:line="180" w:lineRule="exact"/>
              <w:jc w:val="center"/>
              <w:rPr>
                <w:sz w:val="18"/>
                <w:szCs w:val="18"/>
              </w:rPr>
            </w:pPr>
          </w:p>
        </w:tc>
        <w:tc>
          <w:tcPr>
            <w:tcW w:w="1559" w:type="dxa"/>
            <w:tcBorders>
              <w:top w:val="single" w:sz="2" w:space="0" w:color="auto"/>
              <w:bottom w:val="single" w:sz="18" w:space="0" w:color="auto"/>
            </w:tcBorders>
            <w:shd w:val="clear" w:color="auto" w:fill="F2F2F2" w:themeFill="background1" w:themeFillShade="F2"/>
          </w:tcPr>
          <w:p w14:paraId="09A71720" w14:textId="77777777" w:rsidR="00C37194" w:rsidRPr="00B45531" w:rsidRDefault="00C37194">
            <w:pPr>
              <w:spacing w:line="180" w:lineRule="exact"/>
              <w:jc w:val="center"/>
              <w:rPr>
                <w:sz w:val="18"/>
                <w:szCs w:val="18"/>
              </w:rPr>
            </w:pPr>
          </w:p>
          <w:p w14:paraId="6A2EE4AA" w14:textId="77777777" w:rsidR="00C37194" w:rsidRPr="00B45531" w:rsidRDefault="00C37194">
            <w:pPr>
              <w:spacing w:line="180" w:lineRule="exact"/>
              <w:jc w:val="center"/>
              <w:rPr>
                <w:sz w:val="18"/>
                <w:szCs w:val="18"/>
              </w:rPr>
            </w:pPr>
            <w:r w:rsidRPr="00B45531">
              <w:rPr>
                <w:sz w:val="18"/>
                <w:szCs w:val="18"/>
              </w:rPr>
              <w:t xml:space="preserve">Strains generated and tested in insectary in target </w:t>
            </w:r>
            <w:proofErr w:type="gramStart"/>
            <w:r w:rsidRPr="00B45531">
              <w:rPr>
                <w:sz w:val="18"/>
                <w:szCs w:val="18"/>
              </w:rPr>
              <w:t>species</w:t>
            </w:r>
            <w:proofErr w:type="gramEnd"/>
          </w:p>
          <w:p w14:paraId="240736E2" w14:textId="77777777" w:rsidR="00C37194" w:rsidRPr="00B45531" w:rsidRDefault="00C37194">
            <w:pPr>
              <w:spacing w:line="180" w:lineRule="exact"/>
              <w:jc w:val="center"/>
              <w:rPr>
                <w:sz w:val="18"/>
                <w:szCs w:val="18"/>
              </w:rPr>
            </w:pPr>
          </w:p>
        </w:tc>
        <w:tc>
          <w:tcPr>
            <w:tcW w:w="1417" w:type="dxa"/>
            <w:tcBorders>
              <w:top w:val="single" w:sz="2" w:space="0" w:color="auto"/>
              <w:bottom w:val="single" w:sz="18" w:space="0" w:color="auto"/>
            </w:tcBorders>
            <w:shd w:val="clear" w:color="auto" w:fill="F2F2F2" w:themeFill="background1" w:themeFillShade="F2"/>
          </w:tcPr>
          <w:p w14:paraId="43D14FDF" w14:textId="77777777" w:rsidR="00C37194" w:rsidRPr="00B45531" w:rsidRDefault="00C37194">
            <w:pPr>
              <w:spacing w:line="180" w:lineRule="exact"/>
              <w:jc w:val="center"/>
              <w:rPr>
                <w:sz w:val="18"/>
                <w:szCs w:val="18"/>
              </w:rPr>
            </w:pPr>
          </w:p>
          <w:p w14:paraId="4FF1FAB3" w14:textId="17D31632" w:rsidR="00C37194" w:rsidRPr="00B45531" w:rsidRDefault="00C37194">
            <w:pPr>
              <w:spacing w:line="180" w:lineRule="exact"/>
              <w:jc w:val="center"/>
              <w:rPr>
                <w:sz w:val="18"/>
                <w:szCs w:val="18"/>
              </w:rPr>
            </w:pPr>
            <w:r w:rsidRPr="00B45531">
              <w:rPr>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B45531">
              <w:rPr>
                <w:sz w:val="18"/>
                <w:szCs w:val="18"/>
              </w:rPr>
              <w:instrText xml:space="preserve"> ADDIN EN.CITE </w:instrText>
            </w:r>
            <w:r w:rsidRPr="00B45531">
              <w:rPr>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B45531">
              <w:rPr>
                <w:sz w:val="18"/>
                <w:szCs w:val="18"/>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B45531">
              <w:rPr>
                <w:noProof/>
                <w:sz w:val="18"/>
                <w:szCs w:val="18"/>
              </w:rPr>
              <w:t xml:space="preserve">Adolfi </w:t>
            </w:r>
            <w:r w:rsidR="00183313">
              <w:t>and other</w:t>
            </w:r>
            <w:r w:rsidR="00C921E4">
              <w:t>, 2020</w:t>
            </w:r>
            <w:r w:rsidR="00183313">
              <w:t xml:space="preserve">, </w:t>
            </w:r>
            <w:r w:rsidRPr="00B45531">
              <w:rPr>
                <w:noProof/>
                <w:sz w:val="18"/>
                <w:szCs w:val="18"/>
              </w:rPr>
              <w:t xml:space="preserve">  </w:t>
            </w:r>
            <w:r w:rsidRPr="00B45531">
              <w:rPr>
                <w:sz w:val="18"/>
                <w:szCs w:val="18"/>
              </w:rPr>
              <w:fldChar w:fldCharType="end"/>
            </w:r>
          </w:p>
        </w:tc>
      </w:tr>
      <w:tr w:rsidR="00F721BF" w:rsidRPr="004B6EB5" w14:paraId="0E1A6FB8" w14:textId="77777777">
        <w:trPr>
          <w:trHeight w:val="265"/>
        </w:trPr>
        <w:tc>
          <w:tcPr>
            <w:tcW w:w="1418" w:type="dxa"/>
            <w:tcBorders>
              <w:top w:val="single" w:sz="18" w:space="0" w:color="auto"/>
            </w:tcBorders>
            <w:shd w:val="clear" w:color="auto" w:fill="F2F2F2" w:themeFill="background1" w:themeFillShade="F2"/>
          </w:tcPr>
          <w:p w14:paraId="4AE5D0E2" w14:textId="77777777" w:rsidR="00C37194" w:rsidRPr="00B45531" w:rsidRDefault="00C37194">
            <w:pPr>
              <w:spacing w:line="180" w:lineRule="exact"/>
              <w:jc w:val="center"/>
              <w:rPr>
                <w:sz w:val="18"/>
                <w:szCs w:val="18"/>
              </w:rPr>
            </w:pPr>
          </w:p>
          <w:p w14:paraId="6D8B4A90" w14:textId="77777777" w:rsidR="00C37194" w:rsidRPr="00B45531" w:rsidRDefault="00C37194">
            <w:pPr>
              <w:spacing w:line="180" w:lineRule="exact"/>
              <w:jc w:val="center"/>
              <w:rPr>
                <w:sz w:val="18"/>
                <w:szCs w:val="18"/>
              </w:rPr>
            </w:pPr>
            <w:r w:rsidRPr="00B45531">
              <w:rPr>
                <w:sz w:val="18"/>
                <w:szCs w:val="18"/>
              </w:rPr>
              <w:t>Dengue,</w:t>
            </w:r>
          </w:p>
          <w:p w14:paraId="13B855B3" w14:textId="77777777" w:rsidR="00C37194" w:rsidRPr="00B45531" w:rsidRDefault="00C37194">
            <w:pPr>
              <w:spacing w:line="180" w:lineRule="exact"/>
              <w:jc w:val="center"/>
              <w:rPr>
                <w:sz w:val="18"/>
                <w:szCs w:val="18"/>
              </w:rPr>
            </w:pPr>
            <w:r w:rsidRPr="00B45531">
              <w:rPr>
                <w:sz w:val="18"/>
                <w:szCs w:val="18"/>
              </w:rPr>
              <w:t>Yellow fever,</w:t>
            </w:r>
          </w:p>
          <w:p w14:paraId="21BC7059" w14:textId="77777777" w:rsidR="00C37194" w:rsidRPr="00B45531" w:rsidRDefault="00C37194">
            <w:pPr>
              <w:spacing w:line="180" w:lineRule="exact"/>
              <w:jc w:val="center"/>
              <w:rPr>
                <w:sz w:val="18"/>
                <w:szCs w:val="18"/>
              </w:rPr>
            </w:pPr>
            <w:r w:rsidRPr="00B45531">
              <w:rPr>
                <w:sz w:val="18"/>
                <w:szCs w:val="18"/>
              </w:rPr>
              <w:t>Chikungunya,</w:t>
            </w:r>
          </w:p>
          <w:p w14:paraId="552EC246" w14:textId="77777777" w:rsidR="00C37194" w:rsidRPr="00B45531" w:rsidRDefault="00C37194">
            <w:pPr>
              <w:spacing w:line="180" w:lineRule="exact"/>
              <w:jc w:val="center"/>
              <w:rPr>
                <w:sz w:val="18"/>
                <w:szCs w:val="18"/>
              </w:rPr>
            </w:pPr>
            <w:r w:rsidRPr="00B45531">
              <w:rPr>
                <w:sz w:val="18"/>
                <w:szCs w:val="18"/>
              </w:rPr>
              <w:t>Zika viruses</w:t>
            </w:r>
          </w:p>
          <w:p w14:paraId="7DDFDD41" w14:textId="77777777" w:rsidR="00C37194" w:rsidRPr="00B45531" w:rsidRDefault="00C37194">
            <w:pPr>
              <w:spacing w:line="180" w:lineRule="exact"/>
              <w:jc w:val="center"/>
              <w:rPr>
                <w:sz w:val="18"/>
                <w:szCs w:val="18"/>
              </w:rPr>
            </w:pPr>
          </w:p>
        </w:tc>
        <w:tc>
          <w:tcPr>
            <w:tcW w:w="1700" w:type="dxa"/>
            <w:tcBorders>
              <w:top w:val="single" w:sz="18" w:space="0" w:color="auto"/>
            </w:tcBorders>
            <w:shd w:val="clear" w:color="auto" w:fill="F2F2F2" w:themeFill="background1" w:themeFillShade="F2"/>
          </w:tcPr>
          <w:p w14:paraId="1038010D" w14:textId="77777777" w:rsidR="00C37194" w:rsidRPr="00B45531" w:rsidRDefault="00C37194">
            <w:pPr>
              <w:spacing w:line="180" w:lineRule="exact"/>
              <w:jc w:val="center"/>
              <w:rPr>
                <w:i/>
                <w:iCs/>
                <w:sz w:val="18"/>
                <w:szCs w:val="18"/>
              </w:rPr>
            </w:pPr>
          </w:p>
          <w:p w14:paraId="4F8CFBB4" w14:textId="27CA55AA" w:rsidR="00C37194" w:rsidRPr="00B45531" w:rsidRDefault="00C37194">
            <w:pPr>
              <w:spacing w:line="180" w:lineRule="exact"/>
              <w:jc w:val="center"/>
              <w:rPr>
                <w:i/>
                <w:iCs/>
                <w:sz w:val="18"/>
                <w:szCs w:val="18"/>
              </w:rPr>
            </w:pPr>
            <w:r w:rsidRPr="00B45531">
              <w:rPr>
                <w:i/>
                <w:iCs/>
                <w:sz w:val="18"/>
                <w:szCs w:val="18"/>
              </w:rPr>
              <w:t xml:space="preserve">Ae. </w:t>
            </w:r>
            <w:r w:rsidR="00582D2A">
              <w:rPr>
                <w:i/>
                <w:iCs/>
                <w:sz w:val="18"/>
                <w:szCs w:val="18"/>
              </w:rPr>
              <w:t>a</w:t>
            </w:r>
            <w:r w:rsidRPr="00B45531">
              <w:rPr>
                <w:i/>
                <w:iCs/>
                <w:sz w:val="18"/>
                <w:szCs w:val="18"/>
              </w:rPr>
              <w:t>egypti</w:t>
            </w:r>
          </w:p>
          <w:p w14:paraId="6EA11A21" w14:textId="77777777" w:rsidR="00C37194" w:rsidRPr="00B45531" w:rsidRDefault="00C37194">
            <w:pPr>
              <w:spacing w:line="180" w:lineRule="exact"/>
              <w:jc w:val="center"/>
              <w:rPr>
                <w:i/>
                <w:iCs/>
                <w:sz w:val="18"/>
                <w:szCs w:val="18"/>
              </w:rPr>
            </w:pPr>
          </w:p>
        </w:tc>
        <w:tc>
          <w:tcPr>
            <w:tcW w:w="1702" w:type="dxa"/>
            <w:tcBorders>
              <w:top w:val="single" w:sz="18" w:space="0" w:color="auto"/>
              <w:bottom w:val="single" w:sz="2" w:space="0" w:color="auto"/>
            </w:tcBorders>
            <w:shd w:val="clear" w:color="auto" w:fill="F2F2F2" w:themeFill="background1" w:themeFillShade="F2"/>
          </w:tcPr>
          <w:p w14:paraId="357459DA" w14:textId="77777777" w:rsidR="00C37194" w:rsidRPr="00B45531" w:rsidRDefault="00C37194">
            <w:pPr>
              <w:spacing w:line="180" w:lineRule="exact"/>
              <w:jc w:val="center"/>
              <w:rPr>
                <w:sz w:val="18"/>
                <w:szCs w:val="18"/>
              </w:rPr>
            </w:pPr>
          </w:p>
          <w:p w14:paraId="4BA7CF65" w14:textId="77777777" w:rsidR="00C37194" w:rsidRPr="00B45531" w:rsidRDefault="00C37194">
            <w:pPr>
              <w:spacing w:line="180" w:lineRule="exact"/>
              <w:jc w:val="center"/>
              <w:rPr>
                <w:sz w:val="18"/>
                <w:szCs w:val="18"/>
              </w:rPr>
            </w:pPr>
            <w:r w:rsidRPr="00B45531">
              <w:rPr>
                <w:sz w:val="18"/>
                <w:szCs w:val="18"/>
              </w:rPr>
              <w:t>Low</w:t>
            </w:r>
          </w:p>
        </w:tc>
        <w:tc>
          <w:tcPr>
            <w:tcW w:w="1844" w:type="dxa"/>
            <w:tcBorders>
              <w:top w:val="single" w:sz="18" w:space="0" w:color="auto"/>
              <w:bottom w:val="single" w:sz="2" w:space="0" w:color="auto"/>
            </w:tcBorders>
            <w:shd w:val="clear" w:color="auto" w:fill="F2F2F2" w:themeFill="background1" w:themeFillShade="F2"/>
          </w:tcPr>
          <w:p w14:paraId="7FCC2F4D" w14:textId="77777777" w:rsidR="00C37194" w:rsidRPr="00B45531" w:rsidRDefault="00C37194">
            <w:pPr>
              <w:spacing w:line="180" w:lineRule="exact"/>
              <w:jc w:val="center"/>
              <w:rPr>
                <w:sz w:val="18"/>
                <w:szCs w:val="18"/>
              </w:rPr>
            </w:pPr>
          </w:p>
          <w:p w14:paraId="573FA677" w14:textId="77777777" w:rsidR="00C37194" w:rsidRPr="00B45531" w:rsidRDefault="00C37194">
            <w:pPr>
              <w:spacing w:line="180" w:lineRule="exact"/>
              <w:jc w:val="center"/>
              <w:rPr>
                <w:sz w:val="18"/>
                <w:szCs w:val="18"/>
              </w:rPr>
            </w:pPr>
            <w:r w:rsidRPr="00B45531">
              <w:rPr>
                <w:sz w:val="18"/>
                <w:szCs w:val="18"/>
              </w:rPr>
              <w:t xml:space="preserve">Self-sustaining </w:t>
            </w:r>
          </w:p>
        </w:tc>
        <w:tc>
          <w:tcPr>
            <w:tcW w:w="1418" w:type="dxa"/>
            <w:tcBorders>
              <w:top w:val="single" w:sz="18" w:space="0" w:color="auto"/>
              <w:bottom w:val="single" w:sz="2" w:space="0" w:color="auto"/>
            </w:tcBorders>
            <w:shd w:val="clear" w:color="auto" w:fill="F2F2F2" w:themeFill="background1" w:themeFillShade="F2"/>
          </w:tcPr>
          <w:p w14:paraId="3FE2090F" w14:textId="77777777" w:rsidR="00C37194" w:rsidRPr="00B45531" w:rsidRDefault="00C37194">
            <w:pPr>
              <w:spacing w:line="180" w:lineRule="exact"/>
              <w:jc w:val="center"/>
              <w:rPr>
                <w:sz w:val="18"/>
                <w:szCs w:val="18"/>
              </w:rPr>
            </w:pPr>
          </w:p>
          <w:p w14:paraId="5D825884" w14:textId="77777777" w:rsidR="00C37194" w:rsidRPr="00B45531" w:rsidRDefault="00C37194">
            <w:pPr>
              <w:spacing w:line="180" w:lineRule="exact"/>
              <w:jc w:val="center"/>
              <w:rPr>
                <w:sz w:val="18"/>
                <w:szCs w:val="18"/>
              </w:rPr>
            </w:pPr>
            <w:r w:rsidRPr="00B45531">
              <w:rPr>
                <w:sz w:val="18"/>
                <w:szCs w:val="18"/>
              </w:rPr>
              <w:t>Non-localised</w:t>
            </w:r>
          </w:p>
        </w:tc>
        <w:tc>
          <w:tcPr>
            <w:tcW w:w="1701" w:type="dxa"/>
            <w:tcBorders>
              <w:top w:val="single" w:sz="18" w:space="0" w:color="auto"/>
              <w:bottom w:val="single" w:sz="2" w:space="0" w:color="auto"/>
            </w:tcBorders>
            <w:shd w:val="clear" w:color="auto" w:fill="F2F2F2" w:themeFill="background1" w:themeFillShade="F2"/>
          </w:tcPr>
          <w:p w14:paraId="6C8AB883" w14:textId="77777777" w:rsidR="00C37194" w:rsidRPr="00B45531" w:rsidRDefault="00C37194">
            <w:pPr>
              <w:spacing w:line="180" w:lineRule="exact"/>
              <w:jc w:val="center"/>
              <w:rPr>
                <w:sz w:val="18"/>
                <w:szCs w:val="18"/>
              </w:rPr>
            </w:pPr>
          </w:p>
          <w:p w14:paraId="20D55D66" w14:textId="77777777" w:rsidR="00C37194" w:rsidRPr="00B45531" w:rsidRDefault="00C37194">
            <w:pPr>
              <w:spacing w:line="180" w:lineRule="exact"/>
              <w:jc w:val="center"/>
              <w:rPr>
                <w:sz w:val="18"/>
                <w:szCs w:val="18"/>
              </w:rPr>
            </w:pPr>
            <w:r w:rsidRPr="00B45531">
              <w:rPr>
                <w:sz w:val="18"/>
                <w:szCs w:val="18"/>
              </w:rPr>
              <w:t>Medea (Maternal effect dominant embryonic arrest</w:t>
            </w:r>
          </w:p>
          <w:p w14:paraId="346CC36F" w14:textId="77777777" w:rsidR="00C37194" w:rsidRPr="00B45531" w:rsidRDefault="00C37194">
            <w:pPr>
              <w:spacing w:line="180" w:lineRule="exact"/>
              <w:jc w:val="center"/>
              <w:rPr>
                <w:sz w:val="18"/>
                <w:szCs w:val="18"/>
              </w:rPr>
            </w:pPr>
          </w:p>
        </w:tc>
        <w:tc>
          <w:tcPr>
            <w:tcW w:w="1842" w:type="dxa"/>
            <w:tcBorders>
              <w:top w:val="single" w:sz="18" w:space="0" w:color="auto"/>
              <w:bottom w:val="single" w:sz="2" w:space="0" w:color="auto"/>
            </w:tcBorders>
            <w:shd w:val="clear" w:color="auto" w:fill="F2F2F2" w:themeFill="background1" w:themeFillShade="F2"/>
          </w:tcPr>
          <w:p w14:paraId="4B9247B3" w14:textId="77777777" w:rsidR="00C37194" w:rsidRPr="00B45531" w:rsidRDefault="00C37194">
            <w:pPr>
              <w:spacing w:line="180" w:lineRule="exact"/>
              <w:jc w:val="center"/>
              <w:rPr>
                <w:sz w:val="18"/>
                <w:szCs w:val="18"/>
              </w:rPr>
            </w:pPr>
          </w:p>
          <w:p w14:paraId="45D577B7" w14:textId="77777777" w:rsidR="00C37194" w:rsidRPr="00B45531" w:rsidRDefault="00C37194">
            <w:pPr>
              <w:spacing w:line="180" w:lineRule="exact"/>
              <w:jc w:val="center"/>
              <w:rPr>
                <w:sz w:val="18"/>
                <w:szCs w:val="18"/>
              </w:rPr>
            </w:pPr>
            <w:r w:rsidRPr="00B45531">
              <w:rPr>
                <w:sz w:val="18"/>
                <w:szCs w:val="18"/>
              </w:rPr>
              <w:t>Modification</w:t>
            </w:r>
          </w:p>
        </w:tc>
        <w:tc>
          <w:tcPr>
            <w:tcW w:w="1559" w:type="dxa"/>
            <w:tcBorders>
              <w:top w:val="single" w:sz="18" w:space="0" w:color="auto"/>
              <w:bottom w:val="single" w:sz="2" w:space="0" w:color="auto"/>
            </w:tcBorders>
            <w:shd w:val="clear" w:color="auto" w:fill="F2F2F2" w:themeFill="background1" w:themeFillShade="F2"/>
          </w:tcPr>
          <w:p w14:paraId="295E9195" w14:textId="77777777" w:rsidR="00C37194" w:rsidRPr="00B45531" w:rsidRDefault="00C37194">
            <w:pPr>
              <w:spacing w:line="180" w:lineRule="exact"/>
              <w:jc w:val="center"/>
              <w:rPr>
                <w:sz w:val="18"/>
                <w:szCs w:val="18"/>
              </w:rPr>
            </w:pPr>
          </w:p>
          <w:p w14:paraId="2C03BC66" w14:textId="77777777" w:rsidR="00C37194" w:rsidRPr="00B45531" w:rsidRDefault="00C37194">
            <w:pPr>
              <w:spacing w:line="180" w:lineRule="exact"/>
              <w:jc w:val="center"/>
              <w:rPr>
                <w:sz w:val="18"/>
                <w:szCs w:val="18"/>
              </w:rPr>
            </w:pPr>
            <w:r w:rsidRPr="00B45531">
              <w:rPr>
                <w:sz w:val="18"/>
                <w:szCs w:val="18"/>
              </w:rPr>
              <w:t xml:space="preserve">Modelling </w:t>
            </w:r>
          </w:p>
        </w:tc>
        <w:tc>
          <w:tcPr>
            <w:tcW w:w="1417" w:type="dxa"/>
            <w:tcBorders>
              <w:top w:val="single" w:sz="18" w:space="0" w:color="auto"/>
              <w:bottom w:val="single" w:sz="2" w:space="0" w:color="auto"/>
            </w:tcBorders>
            <w:shd w:val="clear" w:color="auto" w:fill="F2F2F2" w:themeFill="background1" w:themeFillShade="F2"/>
          </w:tcPr>
          <w:p w14:paraId="265F6288" w14:textId="77777777" w:rsidR="00C37194" w:rsidRPr="00B45531" w:rsidRDefault="00C37194">
            <w:pPr>
              <w:spacing w:line="180" w:lineRule="exact"/>
              <w:jc w:val="center"/>
              <w:rPr>
                <w:sz w:val="18"/>
                <w:szCs w:val="18"/>
              </w:rPr>
            </w:pPr>
          </w:p>
          <w:p w14:paraId="3453CE34" w14:textId="09F611D7" w:rsidR="00C37194" w:rsidRPr="00B45531" w:rsidRDefault="00C37194">
            <w:pPr>
              <w:spacing w:line="180" w:lineRule="exact"/>
              <w:jc w:val="center"/>
              <w:rPr>
                <w:sz w:val="18"/>
                <w:szCs w:val="18"/>
              </w:rPr>
            </w:pPr>
            <w:r w:rsidRPr="009E6578">
              <w:rPr>
                <w:sz w:val="18"/>
                <w:szCs w:val="18"/>
              </w:rPr>
              <w:fldChar w:fldCharType="begin"/>
            </w:r>
            <w:r w:rsidRPr="009E6578">
              <w:rPr>
                <w:sz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9E6578">
              <w:rPr>
                <w:sz w:val="18"/>
                <w:szCs w:val="18"/>
              </w:rPr>
              <w:fldChar w:fldCharType="separate"/>
            </w:r>
            <w:r w:rsidRPr="009E6578">
              <w:rPr>
                <w:sz w:val="18"/>
                <w:szCs w:val="18"/>
              </w:rPr>
              <w:t xml:space="preserve">Legros </w:t>
            </w:r>
            <w:r w:rsidR="00183313" w:rsidRPr="009E6578">
              <w:rPr>
                <w:sz w:val="18"/>
                <w:szCs w:val="18"/>
              </w:rPr>
              <w:t>and others,</w:t>
            </w:r>
            <w:r w:rsidRPr="009E6578">
              <w:rPr>
                <w:sz w:val="18"/>
                <w:szCs w:val="18"/>
              </w:rPr>
              <w:t xml:space="preserve"> 2013</w:t>
            </w:r>
            <w:r w:rsidRPr="009E6578">
              <w:rPr>
                <w:sz w:val="18"/>
                <w:szCs w:val="18"/>
              </w:rPr>
              <w:fldChar w:fldCharType="end"/>
            </w:r>
          </w:p>
        </w:tc>
      </w:tr>
      <w:tr w:rsidR="00F721BF" w:rsidRPr="004B6EB5" w14:paraId="44D403D6" w14:textId="77777777">
        <w:trPr>
          <w:trHeight w:val="265"/>
        </w:trPr>
        <w:tc>
          <w:tcPr>
            <w:tcW w:w="1418" w:type="dxa"/>
            <w:shd w:val="clear" w:color="auto" w:fill="F2F2F2" w:themeFill="background1" w:themeFillShade="F2"/>
          </w:tcPr>
          <w:p w14:paraId="273C9C9E" w14:textId="77777777" w:rsidR="00C37194" w:rsidRPr="00B45531" w:rsidRDefault="00C37194">
            <w:pPr>
              <w:spacing w:line="180" w:lineRule="exact"/>
              <w:jc w:val="center"/>
              <w:rPr>
                <w:sz w:val="18"/>
                <w:szCs w:val="18"/>
              </w:rPr>
            </w:pPr>
          </w:p>
        </w:tc>
        <w:tc>
          <w:tcPr>
            <w:tcW w:w="1700" w:type="dxa"/>
            <w:shd w:val="clear" w:color="auto" w:fill="F2F2F2" w:themeFill="background1" w:themeFillShade="F2"/>
          </w:tcPr>
          <w:p w14:paraId="5B512AC5" w14:textId="77777777" w:rsidR="00C37194" w:rsidRPr="00B45531" w:rsidRDefault="00C37194">
            <w:pPr>
              <w:spacing w:line="180" w:lineRule="exact"/>
              <w:jc w:val="center"/>
              <w:rPr>
                <w:sz w:val="18"/>
                <w:szCs w:val="18"/>
              </w:rPr>
            </w:pPr>
          </w:p>
        </w:tc>
        <w:tc>
          <w:tcPr>
            <w:tcW w:w="1702" w:type="dxa"/>
            <w:tcBorders>
              <w:top w:val="single" w:sz="2" w:space="0" w:color="auto"/>
            </w:tcBorders>
            <w:shd w:val="clear" w:color="auto" w:fill="F2F2F2" w:themeFill="background1" w:themeFillShade="F2"/>
          </w:tcPr>
          <w:p w14:paraId="53E2AB72" w14:textId="77777777" w:rsidR="00C37194" w:rsidRPr="00B45531" w:rsidRDefault="00C37194">
            <w:pPr>
              <w:spacing w:line="180" w:lineRule="exact"/>
              <w:jc w:val="center"/>
              <w:rPr>
                <w:sz w:val="18"/>
                <w:szCs w:val="18"/>
              </w:rPr>
            </w:pPr>
          </w:p>
          <w:p w14:paraId="39D81320" w14:textId="77777777" w:rsidR="00C37194" w:rsidRPr="00B45531" w:rsidRDefault="00C37194">
            <w:pPr>
              <w:spacing w:line="180" w:lineRule="exact"/>
              <w:jc w:val="center"/>
              <w:rPr>
                <w:sz w:val="18"/>
                <w:szCs w:val="18"/>
              </w:rPr>
            </w:pPr>
            <w:r w:rsidRPr="00B45531">
              <w:rPr>
                <w:sz w:val="18"/>
                <w:szCs w:val="18"/>
              </w:rPr>
              <w:t>High</w:t>
            </w:r>
          </w:p>
        </w:tc>
        <w:tc>
          <w:tcPr>
            <w:tcW w:w="1844" w:type="dxa"/>
            <w:tcBorders>
              <w:top w:val="single" w:sz="2" w:space="0" w:color="auto"/>
              <w:bottom w:val="single" w:sz="2" w:space="0" w:color="auto"/>
            </w:tcBorders>
            <w:shd w:val="clear" w:color="auto" w:fill="F2F2F2" w:themeFill="background1" w:themeFillShade="F2"/>
          </w:tcPr>
          <w:p w14:paraId="31627CE1" w14:textId="77777777" w:rsidR="00C37194" w:rsidRPr="00B45531" w:rsidRDefault="00C37194">
            <w:pPr>
              <w:spacing w:line="180" w:lineRule="exact"/>
              <w:jc w:val="center"/>
              <w:rPr>
                <w:sz w:val="18"/>
                <w:szCs w:val="18"/>
              </w:rPr>
            </w:pPr>
          </w:p>
          <w:p w14:paraId="2A5D9DCE" w14:textId="77777777" w:rsidR="00C37194" w:rsidRPr="00B45531" w:rsidRDefault="00C37194">
            <w:pPr>
              <w:spacing w:line="180" w:lineRule="exact"/>
              <w:jc w:val="center"/>
              <w:rPr>
                <w:sz w:val="18"/>
                <w:szCs w:val="18"/>
              </w:rPr>
            </w:pPr>
            <w:r w:rsidRPr="00B45531">
              <w:rPr>
                <w:sz w:val="18"/>
                <w:szCs w:val="18"/>
              </w:rPr>
              <w:t>Self-sustaining</w:t>
            </w:r>
          </w:p>
        </w:tc>
        <w:tc>
          <w:tcPr>
            <w:tcW w:w="1418" w:type="dxa"/>
            <w:tcBorders>
              <w:top w:val="single" w:sz="2" w:space="0" w:color="auto"/>
              <w:bottom w:val="single" w:sz="2" w:space="0" w:color="auto"/>
            </w:tcBorders>
            <w:shd w:val="clear" w:color="auto" w:fill="F2F2F2" w:themeFill="background1" w:themeFillShade="F2"/>
          </w:tcPr>
          <w:p w14:paraId="647BA80C" w14:textId="77777777" w:rsidR="00C37194" w:rsidRPr="00B45531" w:rsidRDefault="00C37194">
            <w:pPr>
              <w:spacing w:line="180" w:lineRule="exact"/>
              <w:jc w:val="center"/>
              <w:rPr>
                <w:sz w:val="18"/>
                <w:szCs w:val="18"/>
              </w:rPr>
            </w:pPr>
          </w:p>
          <w:p w14:paraId="76EAC7BF" w14:textId="77777777" w:rsidR="00C37194" w:rsidRPr="00B45531" w:rsidRDefault="00C37194">
            <w:pPr>
              <w:spacing w:line="180" w:lineRule="exact"/>
              <w:jc w:val="center"/>
              <w:rPr>
                <w:sz w:val="18"/>
                <w:szCs w:val="18"/>
              </w:rPr>
            </w:pPr>
            <w:r w:rsidRPr="00B45531">
              <w:rPr>
                <w:sz w:val="18"/>
                <w:szCs w:val="18"/>
              </w:rPr>
              <w:t>Localised</w:t>
            </w:r>
          </w:p>
        </w:tc>
        <w:tc>
          <w:tcPr>
            <w:tcW w:w="1701" w:type="dxa"/>
            <w:tcBorders>
              <w:top w:val="single" w:sz="2" w:space="0" w:color="auto"/>
              <w:bottom w:val="single" w:sz="2" w:space="0" w:color="auto"/>
            </w:tcBorders>
            <w:shd w:val="clear" w:color="auto" w:fill="F2F2F2" w:themeFill="background1" w:themeFillShade="F2"/>
          </w:tcPr>
          <w:p w14:paraId="27FDE01A" w14:textId="77777777" w:rsidR="00C37194" w:rsidRPr="00B45531" w:rsidRDefault="00C37194">
            <w:pPr>
              <w:spacing w:line="180" w:lineRule="exact"/>
              <w:jc w:val="center"/>
              <w:rPr>
                <w:sz w:val="18"/>
                <w:szCs w:val="18"/>
              </w:rPr>
            </w:pPr>
          </w:p>
          <w:p w14:paraId="518B06B5" w14:textId="77777777" w:rsidR="00C37194" w:rsidRPr="00B45531" w:rsidRDefault="00C37194">
            <w:pPr>
              <w:spacing w:line="180" w:lineRule="exact"/>
              <w:jc w:val="center"/>
              <w:rPr>
                <w:sz w:val="18"/>
                <w:szCs w:val="18"/>
              </w:rPr>
            </w:pPr>
            <w:r w:rsidRPr="00B45531">
              <w:rPr>
                <w:sz w:val="18"/>
                <w:szCs w:val="18"/>
              </w:rPr>
              <w:t>Two-locus</w:t>
            </w:r>
          </w:p>
          <w:p w14:paraId="5D8D2F9C" w14:textId="77777777" w:rsidR="00C37194" w:rsidRPr="00B45531" w:rsidRDefault="00C37194">
            <w:pPr>
              <w:spacing w:line="180" w:lineRule="exact"/>
              <w:jc w:val="center"/>
              <w:rPr>
                <w:sz w:val="18"/>
                <w:szCs w:val="18"/>
              </w:rPr>
            </w:pPr>
            <w:r w:rsidRPr="00B45531">
              <w:rPr>
                <w:sz w:val="18"/>
                <w:szCs w:val="18"/>
              </w:rPr>
              <w:t>underdominance</w:t>
            </w:r>
          </w:p>
        </w:tc>
        <w:tc>
          <w:tcPr>
            <w:tcW w:w="1842" w:type="dxa"/>
            <w:tcBorders>
              <w:top w:val="single" w:sz="2" w:space="0" w:color="auto"/>
              <w:bottom w:val="single" w:sz="2" w:space="0" w:color="auto"/>
            </w:tcBorders>
            <w:shd w:val="clear" w:color="auto" w:fill="F2F2F2" w:themeFill="background1" w:themeFillShade="F2"/>
          </w:tcPr>
          <w:p w14:paraId="0C68560E" w14:textId="77777777" w:rsidR="00C37194" w:rsidRPr="00B45531" w:rsidRDefault="00C37194">
            <w:pPr>
              <w:spacing w:line="180" w:lineRule="exact"/>
              <w:jc w:val="center"/>
              <w:rPr>
                <w:sz w:val="18"/>
                <w:szCs w:val="18"/>
              </w:rPr>
            </w:pPr>
          </w:p>
          <w:p w14:paraId="19BA1D85" w14:textId="77777777" w:rsidR="00C37194" w:rsidRPr="00B45531" w:rsidRDefault="00C37194">
            <w:pPr>
              <w:spacing w:line="180" w:lineRule="exact"/>
              <w:jc w:val="center"/>
              <w:rPr>
                <w:sz w:val="18"/>
                <w:szCs w:val="18"/>
              </w:rPr>
            </w:pPr>
            <w:r w:rsidRPr="00B45531">
              <w:rPr>
                <w:sz w:val="18"/>
                <w:szCs w:val="18"/>
              </w:rPr>
              <w:t>Modification</w:t>
            </w:r>
          </w:p>
          <w:p w14:paraId="140B4745"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0FB9CE47" w14:textId="77777777" w:rsidR="00C37194" w:rsidRPr="00B45531" w:rsidRDefault="00C37194">
            <w:pPr>
              <w:spacing w:line="180" w:lineRule="exact"/>
              <w:jc w:val="center"/>
              <w:rPr>
                <w:sz w:val="18"/>
                <w:szCs w:val="18"/>
              </w:rPr>
            </w:pPr>
          </w:p>
          <w:p w14:paraId="662B33B6" w14:textId="77777777" w:rsidR="00C37194" w:rsidRPr="00B45531" w:rsidRDefault="00C37194">
            <w:pPr>
              <w:spacing w:line="180" w:lineRule="exact"/>
              <w:jc w:val="center"/>
              <w:rPr>
                <w:sz w:val="18"/>
                <w:szCs w:val="18"/>
              </w:rPr>
            </w:pPr>
            <w:r w:rsidRPr="00B45531">
              <w:rPr>
                <w:sz w:val="18"/>
                <w:szCs w:val="18"/>
              </w:rPr>
              <w:t>Modelling</w:t>
            </w:r>
          </w:p>
          <w:p w14:paraId="226BB69E"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19499BA6" w14:textId="77777777" w:rsidR="00C37194" w:rsidRPr="00B45531" w:rsidRDefault="00C37194">
            <w:pPr>
              <w:spacing w:line="180" w:lineRule="exact"/>
              <w:jc w:val="center"/>
              <w:rPr>
                <w:sz w:val="18"/>
                <w:szCs w:val="18"/>
              </w:rPr>
            </w:pPr>
          </w:p>
          <w:p w14:paraId="37E4F763" w14:textId="2A8C6BD2" w:rsidR="00C37194" w:rsidRPr="00B45531" w:rsidRDefault="00C37194">
            <w:pPr>
              <w:spacing w:line="180" w:lineRule="exact"/>
              <w:jc w:val="center"/>
              <w:rPr>
                <w:iCs/>
                <w:sz w:val="18"/>
                <w:szCs w:val="18"/>
              </w:rPr>
            </w:pPr>
            <w:r w:rsidRPr="00B45531">
              <w:rPr>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B45531">
              <w:rPr>
                <w:sz w:val="18"/>
              </w:rPr>
              <w:instrText xml:space="preserve"> ADDIN EN.CITE </w:instrText>
            </w:r>
            <w:r w:rsidRPr="00B45531">
              <w:rPr>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B45531">
              <w:rPr>
                <w:sz w:val="18"/>
              </w:rPr>
              <w:instrText xml:space="preserve"> ADDIN EN.CITE.DATA </w:instrText>
            </w:r>
            <w:r w:rsidRPr="00B45531">
              <w:rPr>
                <w:iCs/>
                <w:sz w:val="18"/>
                <w:szCs w:val="18"/>
              </w:rPr>
            </w:r>
            <w:r w:rsidRPr="00B45531">
              <w:rPr>
                <w:iCs/>
                <w:sz w:val="18"/>
                <w:szCs w:val="18"/>
              </w:rPr>
              <w:fldChar w:fldCharType="end"/>
            </w:r>
            <w:r w:rsidRPr="00B45531">
              <w:rPr>
                <w:iCs/>
                <w:sz w:val="18"/>
                <w:szCs w:val="18"/>
              </w:rPr>
            </w:r>
            <w:r w:rsidRPr="00B45531">
              <w:rPr>
                <w:iCs/>
                <w:sz w:val="18"/>
                <w:szCs w:val="18"/>
              </w:rPr>
              <w:fldChar w:fldCharType="separate"/>
            </w:r>
            <w:r w:rsidRPr="00B45531">
              <w:rPr>
                <w:iCs/>
                <w:noProof/>
                <w:sz w:val="18"/>
                <w:szCs w:val="18"/>
              </w:rPr>
              <w:t xml:space="preserve">Edgington and Alphey, 2017, 2018; Sánchez </w:t>
            </w:r>
            <w:r w:rsidR="00245D13">
              <w:rPr>
                <w:iCs/>
                <w:noProof/>
                <w:sz w:val="18"/>
                <w:szCs w:val="18"/>
              </w:rPr>
              <w:t xml:space="preserve">and others, </w:t>
            </w:r>
            <w:r w:rsidRPr="00B45531">
              <w:rPr>
                <w:iCs/>
                <w:noProof/>
                <w:sz w:val="18"/>
                <w:szCs w:val="18"/>
              </w:rPr>
              <w:t>2020</w:t>
            </w:r>
            <w:r w:rsidRPr="00B45531">
              <w:rPr>
                <w:iCs/>
                <w:sz w:val="18"/>
                <w:szCs w:val="18"/>
              </w:rPr>
              <w:fldChar w:fldCharType="end"/>
            </w:r>
          </w:p>
          <w:p w14:paraId="65F360C3" w14:textId="77777777" w:rsidR="00C37194" w:rsidRPr="00B45531" w:rsidRDefault="00C37194">
            <w:pPr>
              <w:spacing w:line="180" w:lineRule="exact"/>
              <w:jc w:val="center"/>
              <w:rPr>
                <w:sz w:val="18"/>
                <w:szCs w:val="18"/>
              </w:rPr>
            </w:pPr>
          </w:p>
        </w:tc>
      </w:tr>
      <w:tr w:rsidR="00F721BF" w:rsidRPr="00D610A4" w14:paraId="4444439D" w14:textId="77777777">
        <w:trPr>
          <w:trHeight w:val="265"/>
        </w:trPr>
        <w:tc>
          <w:tcPr>
            <w:tcW w:w="1418" w:type="dxa"/>
            <w:vMerge w:val="restart"/>
            <w:shd w:val="clear" w:color="auto" w:fill="F2F2F2" w:themeFill="background1" w:themeFillShade="F2"/>
          </w:tcPr>
          <w:p w14:paraId="14A41145" w14:textId="77777777" w:rsidR="00C37194" w:rsidRPr="00B45531" w:rsidRDefault="00C37194">
            <w:pPr>
              <w:spacing w:line="180" w:lineRule="exact"/>
              <w:jc w:val="center"/>
              <w:rPr>
                <w:sz w:val="18"/>
                <w:szCs w:val="18"/>
              </w:rPr>
            </w:pPr>
          </w:p>
        </w:tc>
        <w:tc>
          <w:tcPr>
            <w:tcW w:w="1700" w:type="dxa"/>
            <w:vMerge w:val="restart"/>
            <w:shd w:val="clear" w:color="auto" w:fill="F2F2F2" w:themeFill="background1" w:themeFillShade="F2"/>
          </w:tcPr>
          <w:p w14:paraId="75374673" w14:textId="77777777" w:rsidR="00C37194" w:rsidRPr="00B45531" w:rsidRDefault="00C37194">
            <w:pPr>
              <w:spacing w:line="180" w:lineRule="exact"/>
              <w:jc w:val="center"/>
              <w:rPr>
                <w:sz w:val="18"/>
                <w:szCs w:val="18"/>
              </w:rPr>
            </w:pPr>
          </w:p>
        </w:tc>
        <w:tc>
          <w:tcPr>
            <w:tcW w:w="1702" w:type="dxa"/>
            <w:vMerge w:val="restart"/>
            <w:shd w:val="clear" w:color="auto" w:fill="F2F2F2" w:themeFill="background1" w:themeFillShade="F2"/>
          </w:tcPr>
          <w:p w14:paraId="6496A76E" w14:textId="77777777" w:rsidR="00C37194" w:rsidRPr="00B45531" w:rsidRDefault="00C37194">
            <w:pPr>
              <w:spacing w:line="180" w:lineRule="exact"/>
              <w:jc w:val="center"/>
              <w:rPr>
                <w:sz w:val="18"/>
                <w:szCs w:val="18"/>
              </w:rPr>
            </w:pPr>
          </w:p>
          <w:p w14:paraId="02A21855" w14:textId="77777777" w:rsidR="00C37194" w:rsidRPr="00B45531" w:rsidRDefault="00C37194">
            <w:pPr>
              <w:spacing w:line="180" w:lineRule="exact"/>
              <w:jc w:val="center"/>
              <w:rPr>
                <w:sz w:val="18"/>
                <w:szCs w:val="18"/>
              </w:rPr>
            </w:pPr>
          </w:p>
        </w:tc>
        <w:tc>
          <w:tcPr>
            <w:tcW w:w="1844" w:type="dxa"/>
            <w:tcBorders>
              <w:top w:val="single" w:sz="2" w:space="0" w:color="auto"/>
            </w:tcBorders>
            <w:shd w:val="clear" w:color="auto" w:fill="F2F2F2" w:themeFill="background1" w:themeFillShade="F2"/>
          </w:tcPr>
          <w:p w14:paraId="1F8C218A" w14:textId="77777777" w:rsidR="00C37194" w:rsidRPr="00B45531" w:rsidRDefault="00C37194">
            <w:pPr>
              <w:spacing w:line="180" w:lineRule="exact"/>
              <w:jc w:val="center"/>
              <w:rPr>
                <w:sz w:val="18"/>
                <w:szCs w:val="18"/>
              </w:rPr>
            </w:pPr>
          </w:p>
          <w:p w14:paraId="5DEF6880" w14:textId="77777777" w:rsidR="00C37194" w:rsidRPr="00B45531" w:rsidRDefault="00C37194">
            <w:pPr>
              <w:spacing w:line="180" w:lineRule="exact"/>
              <w:jc w:val="center"/>
              <w:rPr>
                <w:sz w:val="18"/>
                <w:szCs w:val="18"/>
              </w:rPr>
            </w:pPr>
            <w:r w:rsidRPr="00B45531">
              <w:rPr>
                <w:sz w:val="18"/>
                <w:szCs w:val="18"/>
              </w:rPr>
              <w:t>Self-limiting</w:t>
            </w:r>
          </w:p>
          <w:p w14:paraId="4488DE47" w14:textId="77777777" w:rsidR="00C37194" w:rsidRPr="00B45531" w:rsidRDefault="00C37194">
            <w:pPr>
              <w:spacing w:line="180" w:lineRule="exact"/>
              <w:jc w:val="center"/>
              <w:rPr>
                <w:sz w:val="18"/>
                <w:szCs w:val="18"/>
              </w:rPr>
            </w:pPr>
          </w:p>
        </w:tc>
        <w:tc>
          <w:tcPr>
            <w:tcW w:w="1418" w:type="dxa"/>
            <w:tcBorders>
              <w:top w:val="single" w:sz="2" w:space="0" w:color="auto"/>
            </w:tcBorders>
            <w:shd w:val="clear" w:color="auto" w:fill="F2F2F2" w:themeFill="background1" w:themeFillShade="F2"/>
          </w:tcPr>
          <w:p w14:paraId="51C41339" w14:textId="77777777" w:rsidR="00C37194" w:rsidRPr="00B45531" w:rsidRDefault="00C37194">
            <w:pPr>
              <w:spacing w:line="180" w:lineRule="exact"/>
              <w:jc w:val="center"/>
              <w:rPr>
                <w:sz w:val="18"/>
                <w:szCs w:val="18"/>
              </w:rPr>
            </w:pPr>
          </w:p>
          <w:p w14:paraId="6A224BD8" w14:textId="77777777" w:rsidR="00C37194" w:rsidRPr="00B45531" w:rsidRDefault="00C37194">
            <w:pPr>
              <w:spacing w:line="180" w:lineRule="exact"/>
              <w:jc w:val="center"/>
              <w:rPr>
                <w:sz w:val="18"/>
                <w:szCs w:val="18"/>
              </w:rPr>
            </w:pPr>
            <w:r w:rsidRPr="00B45531">
              <w:rPr>
                <w:sz w:val="18"/>
                <w:szCs w:val="18"/>
              </w:rPr>
              <w:t>Localised</w:t>
            </w:r>
          </w:p>
          <w:p w14:paraId="40C48B04" w14:textId="77777777" w:rsidR="00C37194" w:rsidRPr="00B45531" w:rsidRDefault="00C37194">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4F15E15C" w14:textId="77777777" w:rsidR="00C37194" w:rsidRPr="00B45531" w:rsidRDefault="00C37194">
            <w:pPr>
              <w:spacing w:line="180" w:lineRule="exact"/>
              <w:jc w:val="center"/>
              <w:rPr>
                <w:sz w:val="18"/>
                <w:szCs w:val="18"/>
              </w:rPr>
            </w:pPr>
          </w:p>
          <w:p w14:paraId="15735626" w14:textId="77777777" w:rsidR="00C37194" w:rsidRPr="00B45531" w:rsidRDefault="00C37194">
            <w:pPr>
              <w:spacing w:line="180" w:lineRule="exact"/>
              <w:jc w:val="center"/>
              <w:rPr>
                <w:sz w:val="18"/>
                <w:szCs w:val="18"/>
              </w:rPr>
            </w:pPr>
            <w:r w:rsidRPr="00B45531">
              <w:rPr>
                <w:sz w:val="18"/>
                <w:szCs w:val="18"/>
              </w:rPr>
              <w:t>Homing</w:t>
            </w:r>
          </w:p>
          <w:p w14:paraId="04BCAD7A" w14:textId="77777777" w:rsidR="00C37194" w:rsidRPr="00B45531" w:rsidRDefault="00C37194">
            <w:pPr>
              <w:spacing w:line="180" w:lineRule="exact"/>
              <w:jc w:val="center"/>
              <w:rPr>
                <w:sz w:val="18"/>
                <w:szCs w:val="18"/>
              </w:rPr>
            </w:pPr>
            <w:r w:rsidRPr="00B45531">
              <w:rPr>
                <w:sz w:val="18"/>
                <w:szCs w:val="18"/>
              </w:rPr>
              <w:t>Split drive</w:t>
            </w:r>
          </w:p>
        </w:tc>
        <w:tc>
          <w:tcPr>
            <w:tcW w:w="1842" w:type="dxa"/>
            <w:tcBorders>
              <w:top w:val="single" w:sz="2" w:space="0" w:color="auto"/>
              <w:bottom w:val="single" w:sz="2" w:space="0" w:color="auto"/>
            </w:tcBorders>
            <w:shd w:val="clear" w:color="auto" w:fill="F2F2F2" w:themeFill="background1" w:themeFillShade="F2"/>
          </w:tcPr>
          <w:p w14:paraId="5557C13D" w14:textId="77777777" w:rsidR="00C37194" w:rsidRPr="00B45531" w:rsidRDefault="00C37194">
            <w:pPr>
              <w:spacing w:line="180" w:lineRule="exact"/>
              <w:jc w:val="center"/>
              <w:rPr>
                <w:sz w:val="18"/>
                <w:szCs w:val="18"/>
              </w:rPr>
            </w:pPr>
          </w:p>
          <w:p w14:paraId="229D298A" w14:textId="77777777" w:rsidR="00C37194" w:rsidRPr="00B45531" w:rsidRDefault="00C37194">
            <w:pPr>
              <w:spacing w:line="180" w:lineRule="exact"/>
              <w:jc w:val="center"/>
              <w:rPr>
                <w:sz w:val="18"/>
                <w:szCs w:val="18"/>
              </w:rPr>
            </w:pPr>
            <w:r w:rsidRPr="00B45531">
              <w:rPr>
                <w:sz w:val="18"/>
                <w:szCs w:val="18"/>
              </w:rPr>
              <w:t>Modification</w:t>
            </w:r>
          </w:p>
        </w:tc>
        <w:tc>
          <w:tcPr>
            <w:tcW w:w="1559" w:type="dxa"/>
            <w:tcBorders>
              <w:top w:val="single" w:sz="2" w:space="0" w:color="auto"/>
              <w:bottom w:val="single" w:sz="2" w:space="0" w:color="auto"/>
            </w:tcBorders>
            <w:shd w:val="clear" w:color="auto" w:fill="F2F2F2" w:themeFill="background1" w:themeFillShade="F2"/>
          </w:tcPr>
          <w:p w14:paraId="024F4796" w14:textId="77777777" w:rsidR="00C37194" w:rsidRPr="00B45531" w:rsidRDefault="00C37194">
            <w:pPr>
              <w:spacing w:line="180" w:lineRule="exact"/>
              <w:jc w:val="center"/>
              <w:rPr>
                <w:sz w:val="18"/>
                <w:szCs w:val="18"/>
              </w:rPr>
            </w:pPr>
          </w:p>
          <w:p w14:paraId="3679FEAA" w14:textId="77777777" w:rsidR="00C37194" w:rsidRPr="00B45531" w:rsidRDefault="00C37194">
            <w:pPr>
              <w:spacing w:line="180" w:lineRule="exact"/>
              <w:jc w:val="center"/>
              <w:rPr>
                <w:sz w:val="18"/>
                <w:szCs w:val="18"/>
              </w:rPr>
            </w:pPr>
            <w:r w:rsidRPr="00B45531">
              <w:rPr>
                <w:sz w:val="18"/>
                <w:szCs w:val="18"/>
              </w:rPr>
              <w:t>Modelling,</w:t>
            </w:r>
          </w:p>
          <w:p w14:paraId="012B89F1" w14:textId="4376E485" w:rsidR="00C37194" w:rsidRPr="00B45531" w:rsidRDefault="00C37194">
            <w:pPr>
              <w:spacing w:line="180" w:lineRule="exact"/>
              <w:jc w:val="center"/>
              <w:rPr>
                <w:i/>
                <w:iCs/>
                <w:sz w:val="18"/>
                <w:szCs w:val="18"/>
              </w:rPr>
            </w:pPr>
            <w:r w:rsidRPr="00B45531">
              <w:rPr>
                <w:sz w:val="18"/>
                <w:szCs w:val="18"/>
              </w:rPr>
              <w:t xml:space="preserve">Strains generated and tested in </w:t>
            </w:r>
            <w:r w:rsidRPr="00B45531">
              <w:rPr>
                <w:i/>
                <w:iCs/>
                <w:sz w:val="18"/>
                <w:szCs w:val="18"/>
              </w:rPr>
              <w:t>Drosophila</w:t>
            </w:r>
            <w:r w:rsidRPr="00B45531">
              <w:rPr>
                <w:sz w:val="18"/>
                <w:szCs w:val="18"/>
              </w:rPr>
              <w:t xml:space="preserve"> model system</w:t>
            </w:r>
            <w:r w:rsidRPr="00B45531">
              <w:rPr>
                <w:i/>
                <w:iCs/>
                <w:sz w:val="18"/>
                <w:szCs w:val="18"/>
              </w:rPr>
              <w:t>,</w:t>
            </w:r>
          </w:p>
          <w:p w14:paraId="7E57A648" w14:textId="77777777" w:rsidR="00C37194" w:rsidRPr="00B45531" w:rsidRDefault="00C37194">
            <w:pPr>
              <w:spacing w:line="180" w:lineRule="exact"/>
              <w:jc w:val="center"/>
              <w:rPr>
                <w:sz w:val="18"/>
                <w:szCs w:val="18"/>
              </w:rPr>
            </w:pPr>
            <w:r w:rsidRPr="00B45531">
              <w:rPr>
                <w:sz w:val="18"/>
                <w:szCs w:val="18"/>
              </w:rPr>
              <w:t xml:space="preserve">Mosquito strains generated and </w:t>
            </w:r>
            <w:proofErr w:type="gramStart"/>
            <w:r w:rsidRPr="00B45531">
              <w:rPr>
                <w:sz w:val="18"/>
                <w:szCs w:val="18"/>
              </w:rPr>
              <w:t>tested</w:t>
            </w:r>
            <w:proofErr w:type="gramEnd"/>
          </w:p>
          <w:p w14:paraId="03932028"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3E455142" w14:textId="77777777" w:rsidR="00C37194" w:rsidRPr="00E64AF4" w:rsidRDefault="00C37194">
            <w:pPr>
              <w:spacing w:line="180" w:lineRule="exact"/>
              <w:jc w:val="center"/>
              <w:rPr>
                <w:sz w:val="18"/>
                <w:lang w:val="en-US"/>
              </w:rPr>
            </w:pPr>
          </w:p>
          <w:p w14:paraId="528B4789" w14:textId="7F0798CD" w:rsidR="00C37194" w:rsidRPr="00E64AF4" w:rsidRDefault="0047597A">
            <w:pPr>
              <w:spacing w:line="180" w:lineRule="exact"/>
              <w:jc w:val="center"/>
              <w:rPr>
                <w:sz w:val="18"/>
                <w:lang w:val="en-US"/>
              </w:rPr>
            </w:pPr>
            <w:r w:rsidRPr="009E6578">
              <w:rPr>
                <w:sz w:val="18"/>
                <w:lang w:val="en-US"/>
              </w:rPr>
              <w:t>Li and others, 2020; López Del Amo and others, 2020;</w:t>
            </w:r>
            <w:r w:rsidRPr="00E64AF4">
              <w:rPr>
                <w:sz w:val="18"/>
                <w:lang w:val="en-US"/>
              </w:rPr>
              <w:t xml:space="preserve"> </w:t>
            </w:r>
            <w:proofErr w:type="spellStart"/>
            <w:r w:rsidRPr="009E6578">
              <w:rPr>
                <w:sz w:val="18"/>
                <w:lang w:val="en-US"/>
              </w:rPr>
              <w:t>Terradas</w:t>
            </w:r>
            <w:proofErr w:type="spellEnd"/>
            <w:r w:rsidRPr="009E6578">
              <w:rPr>
                <w:sz w:val="18"/>
                <w:lang w:val="en-US"/>
              </w:rPr>
              <w:t xml:space="preserve"> </w:t>
            </w:r>
            <w:proofErr w:type="gramStart"/>
            <w:r w:rsidRPr="009E6578">
              <w:rPr>
                <w:sz w:val="18"/>
                <w:lang w:val="en-US"/>
              </w:rPr>
              <w:t>and  2021</w:t>
            </w:r>
            <w:proofErr w:type="gramEnd"/>
            <w:r w:rsidR="00C8213E" w:rsidRPr="009E6578">
              <w:rPr>
                <w:sz w:val="18"/>
                <w:lang w:val="en-US"/>
              </w:rPr>
              <w:t>; Anderson 2023</w:t>
            </w:r>
          </w:p>
        </w:tc>
      </w:tr>
      <w:tr w:rsidR="00F721BF" w:rsidRPr="004B6EB5" w14:paraId="52A8FFE6" w14:textId="77777777">
        <w:trPr>
          <w:trHeight w:val="265"/>
        </w:trPr>
        <w:tc>
          <w:tcPr>
            <w:tcW w:w="1418" w:type="dxa"/>
            <w:vMerge/>
            <w:tcBorders>
              <w:top w:val="single" w:sz="18" w:space="0" w:color="auto"/>
            </w:tcBorders>
            <w:shd w:val="clear" w:color="auto" w:fill="F2F2F2" w:themeFill="background1" w:themeFillShade="F2"/>
          </w:tcPr>
          <w:p w14:paraId="09E2A6A5" w14:textId="77777777" w:rsidR="00C37194" w:rsidRPr="00E64AF4" w:rsidRDefault="00C37194">
            <w:pPr>
              <w:spacing w:line="180" w:lineRule="exact"/>
              <w:jc w:val="center"/>
              <w:rPr>
                <w:sz w:val="18"/>
                <w:lang w:val="en-US"/>
              </w:rPr>
            </w:pPr>
          </w:p>
        </w:tc>
        <w:tc>
          <w:tcPr>
            <w:tcW w:w="1700" w:type="dxa"/>
            <w:vMerge/>
            <w:tcBorders>
              <w:top w:val="single" w:sz="18" w:space="0" w:color="auto"/>
            </w:tcBorders>
            <w:shd w:val="clear" w:color="auto" w:fill="F2F2F2" w:themeFill="background1" w:themeFillShade="F2"/>
          </w:tcPr>
          <w:p w14:paraId="571FBBCA" w14:textId="77777777" w:rsidR="00C37194" w:rsidRPr="00E64AF4" w:rsidRDefault="00C37194">
            <w:pPr>
              <w:spacing w:line="180" w:lineRule="exact"/>
              <w:jc w:val="center"/>
              <w:rPr>
                <w:i/>
                <w:sz w:val="18"/>
                <w:lang w:val="en-US"/>
              </w:rPr>
            </w:pPr>
          </w:p>
        </w:tc>
        <w:tc>
          <w:tcPr>
            <w:tcW w:w="1702" w:type="dxa"/>
            <w:vMerge/>
            <w:tcBorders>
              <w:top w:val="single" w:sz="18" w:space="0" w:color="auto"/>
            </w:tcBorders>
            <w:shd w:val="clear" w:color="auto" w:fill="F2F2F2" w:themeFill="background1" w:themeFillShade="F2"/>
          </w:tcPr>
          <w:p w14:paraId="777428E5" w14:textId="77777777" w:rsidR="00C37194" w:rsidRPr="00E64AF4" w:rsidRDefault="00C37194">
            <w:pPr>
              <w:spacing w:line="180" w:lineRule="exact"/>
              <w:jc w:val="center"/>
              <w:rPr>
                <w:sz w:val="18"/>
                <w:lang w:val="en-US"/>
              </w:rPr>
            </w:pPr>
          </w:p>
        </w:tc>
        <w:tc>
          <w:tcPr>
            <w:tcW w:w="1844" w:type="dxa"/>
            <w:shd w:val="clear" w:color="auto" w:fill="F2F2F2" w:themeFill="background1" w:themeFillShade="F2"/>
          </w:tcPr>
          <w:p w14:paraId="3E51C457" w14:textId="77777777" w:rsidR="00C37194" w:rsidRPr="00E64AF4" w:rsidRDefault="00C37194">
            <w:pPr>
              <w:spacing w:line="180" w:lineRule="exact"/>
              <w:jc w:val="center"/>
              <w:rPr>
                <w:sz w:val="18"/>
                <w:lang w:val="en-US"/>
              </w:rPr>
            </w:pPr>
          </w:p>
          <w:p w14:paraId="61E60DDA" w14:textId="77777777" w:rsidR="00C37194" w:rsidRPr="00E64AF4" w:rsidRDefault="00C37194">
            <w:pPr>
              <w:spacing w:line="180" w:lineRule="exact"/>
              <w:jc w:val="center"/>
              <w:rPr>
                <w:sz w:val="18"/>
                <w:lang w:val="en-US"/>
              </w:rPr>
            </w:pPr>
          </w:p>
        </w:tc>
        <w:tc>
          <w:tcPr>
            <w:tcW w:w="1418" w:type="dxa"/>
            <w:shd w:val="clear" w:color="auto" w:fill="F2F2F2" w:themeFill="background1" w:themeFillShade="F2"/>
          </w:tcPr>
          <w:p w14:paraId="51AE52A4" w14:textId="77777777" w:rsidR="00C37194" w:rsidRPr="00E64AF4" w:rsidRDefault="00C37194">
            <w:pPr>
              <w:spacing w:line="180" w:lineRule="exact"/>
              <w:jc w:val="center"/>
              <w:rPr>
                <w:sz w:val="18"/>
                <w:lang w:val="en-US"/>
              </w:rPr>
            </w:pPr>
          </w:p>
          <w:p w14:paraId="27A52D61" w14:textId="77777777" w:rsidR="00C37194" w:rsidRPr="00E64AF4" w:rsidRDefault="00C37194">
            <w:pPr>
              <w:spacing w:line="180" w:lineRule="exact"/>
              <w:rPr>
                <w:sz w:val="18"/>
                <w:lang w:val="en-US"/>
              </w:rPr>
            </w:pPr>
          </w:p>
        </w:tc>
        <w:tc>
          <w:tcPr>
            <w:tcW w:w="1701" w:type="dxa"/>
            <w:tcBorders>
              <w:top w:val="single" w:sz="2" w:space="0" w:color="auto"/>
              <w:bottom w:val="single" w:sz="18" w:space="0" w:color="auto"/>
            </w:tcBorders>
            <w:shd w:val="clear" w:color="auto" w:fill="F2F2F2" w:themeFill="background1" w:themeFillShade="F2"/>
          </w:tcPr>
          <w:p w14:paraId="06CAA6E0" w14:textId="77777777" w:rsidR="00C37194" w:rsidRPr="00E64AF4" w:rsidRDefault="00C37194">
            <w:pPr>
              <w:spacing w:line="180" w:lineRule="exact"/>
              <w:jc w:val="center"/>
              <w:rPr>
                <w:sz w:val="18"/>
                <w:lang w:val="en-US"/>
              </w:rPr>
            </w:pPr>
          </w:p>
          <w:p w14:paraId="2770A18A" w14:textId="77777777" w:rsidR="00C37194" w:rsidRPr="00B45531" w:rsidRDefault="00C37194">
            <w:pPr>
              <w:spacing w:line="180" w:lineRule="exact"/>
              <w:jc w:val="center"/>
              <w:rPr>
                <w:sz w:val="18"/>
                <w:szCs w:val="18"/>
              </w:rPr>
            </w:pPr>
            <w:r w:rsidRPr="00B45531">
              <w:rPr>
                <w:sz w:val="18"/>
                <w:szCs w:val="18"/>
              </w:rPr>
              <w:t>Toxin antidote rescue system</w:t>
            </w:r>
          </w:p>
          <w:p w14:paraId="26F1ED85" w14:textId="77777777" w:rsidR="00C37194" w:rsidRPr="00B45531" w:rsidRDefault="00C37194">
            <w:pPr>
              <w:spacing w:line="180" w:lineRule="exact"/>
              <w:jc w:val="center"/>
              <w:rPr>
                <w:sz w:val="18"/>
                <w:szCs w:val="18"/>
              </w:rPr>
            </w:pPr>
          </w:p>
        </w:tc>
        <w:tc>
          <w:tcPr>
            <w:tcW w:w="1842" w:type="dxa"/>
            <w:tcBorders>
              <w:top w:val="single" w:sz="2" w:space="0" w:color="auto"/>
              <w:bottom w:val="single" w:sz="18" w:space="0" w:color="auto"/>
            </w:tcBorders>
            <w:shd w:val="clear" w:color="auto" w:fill="F2F2F2" w:themeFill="background1" w:themeFillShade="F2"/>
          </w:tcPr>
          <w:p w14:paraId="2A31DE9C" w14:textId="77777777" w:rsidR="00C37194" w:rsidRPr="00B45531" w:rsidRDefault="00C37194">
            <w:pPr>
              <w:spacing w:line="180" w:lineRule="exact"/>
              <w:jc w:val="center"/>
              <w:rPr>
                <w:sz w:val="18"/>
                <w:szCs w:val="18"/>
              </w:rPr>
            </w:pPr>
          </w:p>
          <w:p w14:paraId="5635D199" w14:textId="77777777" w:rsidR="00C37194" w:rsidRPr="00B45531" w:rsidRDefault="00C37194">
            <w:pPr>
              <w:spacing w:line="180" w:lineRule="exact"/>
              <w:jc w:val="center"/>
              <w:rPr>
                <w:sz w:val="18"/>
                <w:szCs w:val="18"/>
              </w:rPr>
            </w:pPr>
            <w:r w:rsidRPr="00B45531">
              <w:rPr>
                <w:sz w:val="18"/>
                <w:szCs w:val="18"/>
              </w:rPr>
              <w:t>Modification</w:t>
            </w:r>
          </w:p>
        </w:tc>
        <w:tc>
          <w:tcPr>
            <w:tcW w:w="1559" w:type="dxa"/>
            <w:tcBorders>
              <w:top w:val="single" w:sz="2" w:space="0" w:color="auto"/>
              <w:bottom w:val="single" w:sz="18" w:space="0" w:color="auto"/>
            </w:tcBorders>
            <w:shd w:val="clear" w:color="auto" w:fill="F2F2F2" w:themeFill="background1" w:themeFillShade="F2"/>
          </w:tcPr>
          <w:p w14:paraId="69B6CCFF" w14:textId="77777777" w:rsidR="00C37194" w:rsidRPr="00B45531" w:rsidRDefault="00C37194">
            <w:pPr>
              <w:spacing w:line="180" w:lineRule="exact"/>
              <w:jc w:val="center"/>
              <w:rPr>
                <w:sz w:val="18"/>
                <w:szCs w:val="18"/>
              </w:rPr>
            </w:pPr>
          </w:p>
          <w:p w14:paraId="24E33A7D" w14:textId="77777777" w:rsidR="00C37194" w:rsidRPr="00B45531" w:rsidRDefault="00C37194">
            <w:pPr>
              <w:spacing w:line="180" w:lineRule="exact"/>
              <w:jc w:val="center"/>
              <w:rPr>
                <w:sz w:val="18"/>
                <w:szCs w:val="18"/>
              </w:rPr>
            </w:pPr>
            <w:r w:rsidRPr="00B45531">
              <w:rPr>
                <w:sz w:val="18"/>
                <w:szCs w:val="18"/>
              </w:rPr>
              <w:t>Modelling</w:t>
            </w:r>
          </w:p>
        </w:tc>
        <w:tc>
          <w:tcPr>
            <w:tcW w:w="1417" w:type="dxa"/>
            <w:tcBorders>
              <w:top w:val="single" w:sz="2" w:space="0" w:color="auto"/>
              <w:bottom w:val="single" w:sz="18" w:space="0" w:color="auto"/>
            </w:tcBorders>
            <w:shd w:val="clear" w:color="auto" w:fill="F2F2F2" w:themeFill="background1" w:themeFillShade="F2"/>
          </w:tcPr>
          <w:p w14:paraId="3C479DCF" w14:textId="77777777" w:rsidR="00C37194" w:rsidRPr="00B45531" w:rsidRDefault="00C37194">
            <w:pPr>
              <w:spacing w:line="180" w:lineRule="exact"/>
              <w:jc w:val="center"/>
              <w:rPr>
                <w:sz w:val="18"/>
                <w:szCs w:val="18"/>
              </w:rPr>
            </w:pPr>
          </w:p>
          <w:p w14:paraId="227DE438" w14:textId="6C80722B" w:rsidR="00C37194" w:rsidRPr="00B45531" w:rsidRDefault="00C37194">
            <w:pPr>
              <w:spacing w:line="180" w:lineRule="exact"/>
              <w:jc w:val="center"/>
              <w:rPr>
                <w:sz w:val="18"/>
                <w:szCs w:val="18"/>
              </w:rPr>
            </w:pPr>
            <w:r w:rsidRPr="009E6578">
              <w:rPr>
                <w:sz w:val="18"/>
                <w:szCs w:val="18"/>
              </w:rPr>
              <w:fldChar w:fldCharType="begin"/>
            </w:r>
            <w:r w:rsidRPr="009E6578">
              <w:rPr>
                <w:sz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9E6578">
              <w:rPr>
                <w:sz w:val="18"/>
                <w:szCs w:val="18"/>
              </w:rPr>
              <w:fldChar w:fldCharType="separate"/>
            </w:r>
            <w:r w:rsidRPr="009E6578">
              <w:rPr>
                <w:sz w:val="18"/>
                <w:szCs w:val="18"/>
              </w:rPr>
              <w:t xml:space="preserve">Legros </w:t>
            </w:r>
            <w:r w:rsidR="00F80CEB" w:rsidRPr="009E6578">
              <w:rPr>
                <w:sz w:val="18"/>
                <w:szCs w:val="18"/>
              </w:rPr>
              <w:t>and others,</w:t>
            </w:r>
            <w:r w:rsidRPr="009E6578">
              <w:rPr>
                <w:sz w:val="18"/>
                <w:szCs w:val="18"/>
              </w:rPr>
              <w:t xml:space="preserve"> 2013</w:t>
            </w:r>
            <w:r w:rsidRPr="009E6578">
              <w:rPr>
                <w:sz w:val="18"/>
                <w:szCs w:val="18"/>
              </w:rPr>
              <w:fldChar w:fldCharType="end"/>
            </w:r>
          </w:p>
        </w:tc>
      </w:tr>
      <w:tr w:rsidR="00F721BF" w:rsidRPr="004B6EB5" w14:paraId="6DC817DE" w14:textId="77777777">
        <w:trPr>
          <w:trHeight w:val="265"/>
        </w:trPr>
        <w:tc>
          <w:tcPr>
            <w:tcW w:w="1418" w:type="dxa"/>
            <w:tcBorders>
              <w:top w:val="single" w:sz="18" w:space="0" w:color="auto"/>
              <w:bottom w:val="single" w:sz="18" w:space="0" w:color="auto"/>
            </w:tcBorders>
            <w:shd w:val="clear" w:color="auto" w:fill="F2F2F2" w:themeFill="background1" w:themeFillShade="F2"/>
          </w:tcPr>
          <w:p w14:paraId="386E064D" w14:textId="77777777" w:rsidR="00C37194" w:rsidRPr="00B45531" w:rsidRDefault="00C37194">
            <w:pPr>
              <w:spacing w:line="180" w:lineRule="exact"/>
              <w:rPr>
                <w:i/>
                <w:iCs/>
                <w:sz w:val="18"/>
                <w:szCs w:val="18"/>
              </w:rPr>
            </w:pPr>
          </w:p>
          <w:p w14:paraId="6FF49974" w14:textId="77777777" w:rsidR="00C37194" w:rsidRPr="00B45531" w:rsidRDefault="00C37194">
            <w:pPr>
              <w:spacing w:line="180" w:lineRule="exact"/>
              <w:jc w:val="center"/>
              <w:rPr>
                <w:sz w:val="18"/>
                <w:szCs w:val="18"/>
              </w:rPr>
            </w:pPr>
            <w:proofErr w:type="spellStart"/>
            <w:r w:rsidRPr="00B45531">
              <w:rPr>
                <w:i/>
                <w:iCs/>
                <w:sz w:val="18"/>
                <w:szCs w:val="18"/>
              </w:rPr>
              <w:t>Wuchereria</w:t>
            </w:r>
            <w:proofErr w:type="spellEnd"/>
            <w:r w:rsidRPr="00B45531">
              <w:rPr>
                <w:i/>
                <w:iCs/>
                <w:sz w:val="18"/>
                <w:szCs w:val="18"/>
              </w:rPr>
              <w:t xml:space="preserve"> </w:t>
            </w:r>
            <w:proofErr w:type="spellStart"/>
            <w:r w:rsidRPr="00B45531">
              <w:rPr>
                <w:i/>
                <w:iCs/>
                <w:sz w:val="18"/>
                <w:szCs w:val="18"/>
              </w:rPr>
              <w:t>bancrofti</w:t>
            </w:r>
            <w:proofErr w:type="spellEnd"/>
            <w:r w:rsidRPr="00B45531">
              <w:rPr>
                <w:i/>
                <w:iCs/>
                <w:sz w:val="18"/>
                <w:szCs w:val="18"/>
              </w:rPr>
              <w:t xml:space="preserve"> </w:t>
            </w:r>
            <w:r w:rsidRPr="00B45531">
              <w:rPr>
                <w:sz w:val="18"/>
                <w:szCs w:val="18"/>
              </w:rPr>
              <w:t>lymphatic filariasis,</w:t>
            </w:r>
          </w:p>
          <w:p w14:paraId="15AFDD0C" w14:textId="77777777" w:rsidR="00C37194" w:rsidRPr="00B45531" w:rsidRDefault="00C37194">
            <w:pPr>
              <w:spacing w:line="180" w:lineRule="exact"/>
              <w:jc w:val="center"/>
              <w:rPr>
                <w:sz w:val="18"/>
                <w:szCs w:val="18"/>
              </w:rPr>
            </w:pPr>
            <w:r w:rsidRPr="00B45531">
              <w:rPr>
                <w:sz w:val="18"/>
                <w:szCs w:val="18"/>
              </w:rPr>
              <w:t>West Nile virus,</w:t>
            </w:r>
          </w:p>
          <w:p w14:paraId="16BFCA09" w14:textId="77777777" w:rsidR="00C37194" w:rsidRPr="00B45531" w:rsidRDefault="00C37194">
            <w:pPr>
              <w:spacing w:line="180" w:lineRule="exact"/>
              <w:jc w:val="center"/>
              <w:rPr>
                <w:sz w:val="18"/>
                <w:szCs w:val="18"/>
              </w:rPr>
            </w:pPr>
            <w:r w:rsidRPr="00B45531">
              <w:rPr>
                <w:sz w:val="18"/>
                <w:szCs w:val="18"/>
              </w:rPr>
              <w:t>St. Louis encephalitis</w:t>
            </w:r>
          </w:p>
          <w:p w14:paraId="56B68958" w14:textId="77777777" w:rsidR="00C37194" w:rsidRPr="00B45531" w:rsidRDefault="00C37194">
            <w:pPr>
              <w:spacing w:line="180" w:lineRule="exact"/>
              <w:jc w:val="center"/>
              <w:rPr>
                <w:sz w:val="18"/>
                <w:szCs w:val="18"/>
              </w:rPr>
            </w:pPr>
          </w:p>
        </w:tc>
        <w:tc>
          <w:tcPr>
            <w:tcW w:w="1700" w:type="dxa"/>
            <w:tcBorders>
              <w:top w:val="single" w:sz="18" w:space="0" w:color="auto"/>
              <w:bottom w:val="single" w:sz="18" w:space="0" w:color="auto"/>
            </w:tcBorders>
            <w:shd w:val="clear" w:color="auto" w:fill="F2F2F2" w:themeFill="background1" w:themeFillShade="F2"/>
          </w:tcPr>
          <w:p w14:paraId="33BFD926" w14:textId="77777777" w:rsidR="00C37194" w:rsidRPr="00B45531" w:rsidRDefault="00C37194">
            <w:pPr>
              <w:spacing w:line="180" w:lineRule="exact"/>
              <w:rPr>
                <w:i/>
                <w:iCs/>
                <w:sz w:val="18"/>
                <w:szCs w:val="18"/>
              </w:rPr>
            </w:pPr>
          </w:p>
          <w:p w14:paraId="61FA5B06" w14:textId="2DC6D3E2" w:rsidR="00C37194" w:rsidRPr="00B45531" w:rsidRDefault="00C37194">
            <w:pPr>
              <w:spacing w:line="180" w:lineRule="exact"/>
              <w:jc w:val="center"/>
              <w:rPr>
                <w:sz w:val="18"/>
                <w:szCs w:val="18"/>
              </w:rPr>
            </w:pPr>
            <w:proofErr w:type="spellStart"/>
            <w:r w:rsidRPr="00B45531">
              <w:rPr>
                <w:i/>
                <w:iCs/>
                <w:sz w:val="18"/>
                <w:szCs w:val="18"/>
              </w:rPr>
              <w:t>Cx</w:t>
            </w:r>
            <w:proofErr w:type="spellEnd"/>
            <w:r w:rsidRPr="00B45531">
              <w:rPr>
                <w:i/>
                <w:iCs/>
                <w:sz w:val="18"/>
                <w:szCs w:val="18"/>
              </w:rPr>
              <w:t xml:space="preserve">. </w:t>
            </w:r>
            <w:proofErr w:type="spellStart"/>
            <w:r w:rsidR="00582D2A">
              <w:rPr>
                <w:i/>
                <w:iCs/>
                <w:sz w:val="18"/>
                <w:szCs w:val="18"/>
              </w:rPr>
              <w:t>q</w:t>
            </w:r>
            <w:r w:rsidRPr="00B45531">
              <w:rPr>
                <w:i/>
                <w:iCs/>
                <w:sz w:val="18"/>
                <w:szCs w:val="18"/>
              </w:rPr>
              <w:t>uinquefasciatus</w:t>
            </w:r>
            <w:proofErr w:type="spellEnd"/>
          </w:p>
        </w:tc>
        <w:tc>
          <w:tcPr>
            <w:tcW w:w="1702" w:type="dxa"/>
            <w:tcBorders>
              <w:top w:val="single" w:sz="18" w:space="0" w:color="auto"/>
              <w:bottom w:val="single" w:sz="18" w:space="0" w:color="auto"/>
            </w:tcBorders>
            <w:shd w:val="clear" w:color="auto" w:fill="F2F2F2" w:themeFill="background1" w:themeFillShade="F2"/>
          </w:tcPr>
          <w:p w14:paraId="5C82D550" w14:textId="77777777" w:rsidR="00C37194" w:rsidRPr="00B45531" w:rsidRDefault="00C37194">
            <w:pPr>
              <w:spacing w:line="180" w:lineRule="exact"/>
              <w:rPr>
                <w:sz w:val="18"/>
                <w:szCs w:val="18"/>
              </w:rPr>
            </w:pPr>
          </w:p>
          <w:p w14:paraId="223E39A1" w14:textId="77777777" w:rsidR="00C37194" w:rsidRPr="00B45531" w:rsidRDefault="00C37194">
            <w:pPr>
              <w:spacing w:line="180" w:lineRule="exact"/>
              <w:jc w:val="center"/>
              <w:rPr>
                <w:sz w:val="18"/>
                <w:szCs w:val="18"/>
              </w:rPr>
            </w:pPr>
            <w:r w:rsidRPr="00B45531">
              <w:rPr>
                <w:sz w:val="18"/>
                <w:szCs w:val="18"/>
              </w:rPr>
              <w:t>High</w:t>
            </w:r>
          </w:p>
        </w:tc>
        <w:tc>
          <w:tcPr>
            <w:tcW w:w="1844" w:type="dxa"/>
            <w:tcBorders>
              <w:top w:val="single" w:sz="18" w:space="0" w:color="auto"/>
              <w:bottom w:val="single" w:sz="18" w:space="0" w:color="auto"/>
            </w:tcBorders>
            <w:shd w:val="clear" w:color="auto" w:fill="F2F2F2" w:themeFill="background1" w:themeFillShade="F2"/>
          </w:tcPr>
          <w:p w14:paraId="4835879D" w14:textId="77777777" w:rsidR="00C37194" w:rsidRPr="00B45531" w:rsidRDefault="00C37194">
            <w:pPr>
              <w:spacing w:line="180" w:lineRule="exact"/>
              <w:rPr>
                <w:sz w:val="18"/>
                <w:szCs w:val="18"/>
              </w:rPr>
            </w:pPr>
          </w:p>
          <w:p w14:paraId="48A07FBB" w14:textId="77777777" w:rsidR="00C37194" w:rsidRPr="00B45531" w:rsidRDefault="00C37194">
            <w:pPr>
              <w:spacing w:line="180" w:lineRule="exact"/>
              <w:jc w:val="center"/>
              <w:rPr>
                <w:sz w:val="18"/>
                <w:szCs w:val="18"/>
              </w:rPr>
            </w:pPr>
            <w:r w:rsidRPr="00B45531">
              <w:rPr>
                <w:sz w:val="18"/>
                <w:szCs w:val="18"/>
              </w:rPr>
              <w:t>Self-limiting</w:t>
            </w:r>
          </w:p>
          <w:p w14:paraId="5050FFC6" w14:textId="77777777" w:rsidR="00C37194" w:rsidRPr="00B45531" w:rsidRDefault="00C37194">
            <w:pPr>
              <w:spacing w:line="180" w:lineRule="exact"/>
              <w:jc w:val="center"/>
              <w:rPr>
                <w:sz w:val="18"/>
                <w:szCs w:val="18"/>
              </w:rPr>
            </w:pPr>
          </w:p>
          <w:p w14:paraId="4E713CC6" w14:textId="77777777" w:rsidR="00C37194" w:rsidRPr="00B45531" w:rsidRDefault="00C37194">
            <w:pPr>
              <w:spacing w:line="180" w:lineRule="exact"/>
              <w:jc w:val="center"/>
              <w:rPr>
                <w:sz w:val="18"/>
                <w:szCs w:val="18"/>
              </w:rPr>
            </w:pPr>
          </w:p>
        </w:tc>
        <w:tc>
          <w:tcPr>
            <w:tcW w:w="1418" w:type="dxa"/>
            <w:tcBorders>
              <w:top w:val="single" w:sz="18" w:space="0" w:color="auto"/>
              <w:bottom w:val="single" w:sz="18" w:space="0" w:color="auto"/>
            </w:tcBorders>
            <w:shd w:val="clear" w:color="auto" w:fill="F2F2F2" w:themeFill="background1" w:themeFillShade="F2"/>
          </w:tcPr>
          <w:p w14:paraId="69355CB5" w14:textId="77777777" w:rsidR="00C37194" w:rsidRPr="00B45531" w:rsidRDefault="00C37194">
            <w:pPr>
              <w:spacing w:line="180" w:lineRule="exact"/>
              <w:rPr>
                <w:sz w:val="18"/>
                <w:szCs w:val="18"/>
              </w:rPr>
            </w:pPr>
          </w:p>
          <w:p w14:paraId="3F32715B" w14:textId="77777777" w:rsidR="00C37194" w:rsidRPr="00B45531" w:rsidRDefault="00C37194">
            <w:pPr>
              <w:spacing w:line="180" w:lineRule="exact"/>
              <w:jc w:val="center"/>
              <w:rPr>
                <w:sz w:val="18"/>
                <w:szCs w:val="18"/>
              </w:rPr>
            </w:pPr>
            <w:r w:rsidRPr="00B45531">
              <w:rPr>
                <w:sz w:val="18"/>
                <w:szCs w:val="18"/>
              </w:rPr>
              <w:t>Localised</w:t>
            </w:r>
          </w:p>
        </w:tc>
        <w:tc>
          <w:tcPr>
            <w:tcW w:w="1701" w:type="dxa"/>
            <w:tcBorders>
              <w:top w:val="single" w:sz="18" w:space="0" w:color="auto"/>
              <w:bottom w:val="single" w:sz="18" w:space="0" w:color="auto"/>
            </w:tcBorders>
            <w:shd w:val="clear" w:color="auto" w:fill="F2F2F2" w:themeFill="background1" w:themeFillShade="F2"/>
          </w:tcPr>
          <w:p w14:paraId="0D339597" w14:textId="77777777" w:rsidR="00C37194" w:rsidRPr="00B45531" w:rsidRDefault="00C37194">
            <w:pPr>
              <w:spacing w:line="180" w:lineRule="exact"/>
              <w:rPr>
                <w:sz w:val="18"/>
                <w:szCs w:val="18"/>
              </w:rPr>
            </w:pPr>
          </w:p>
          <w:p w14:paraId="0EFE7A0E" w14:textId="77777777" w:rsidR="00C37194" w:rsidRPr="00B45531" w:rsidRDefault="00C37194">
            <w:pPr>
              <w:spacing w:line="180" w:lineRule="exact"/>
              <w:jc w:val="center"/>
              <w:rPr>
                <w:sz w:val="18"/>
                <w:szCs w:val="18"/>
              </w:rPr>
            </w:pPr>
            <w:r w:rsidRPr="00B45531">
              <w:rPr>
                <w:sz w:val="18"/>
                <w:szCs w:val="18"/>
              </w:rPr>
              <w:t>Homing,</w:t>
            </w:r>
          </w:p>
          <w:p w14:paraId="539D2767" w14:textId="77777777" w:rsidR="00C37194" w:rsidRPr="00B45531" w:rsidRDefault="00C37194">
            <w:pPr>
              <w:spacing w:line="180" w:lineRule="exact"/>
              <w:jc w:val="center"/>
              <w:rPr>
                <w:sz w:val="18"/>
                <w:szCs w:val="18"/>
              </w:rPr>
            </w:pPr>
            <w:r w:rsidRPr="00B45531">
              <w:rPr>
                <w:sz w:val="18"/>
                <w:szCs w:val="18"/>
              </w:rPr>
              <w:t>Split drive</w:t>
            </w:r>
          </w:p>
        </w:tc>
        <w:tc>
          <w:tcPr>
            <w:tcW w:w="1842" w:type="dxa"/>
            <w:tcBorders>
              <w:top w:val="single" w:sz="18" w:space="0" w:color="auto"/>
              <w:bottom w:val="single" w:sz="18" w:space="0" w:color="auto"/>
            </w:tcBorders>
            <w:shd w:val="clear" w:color="auto" w:fill="F2F2F2" w:themeFill="background1" w:themeFillShade="F2"/>
          </w:tcPr>
          <w:p w14:paraId="4EFD7CB9" w14:textId="77777777" w:rsidR="00C37194" w:rsidRPr="00B45531" w:rsidRDefault="00C37194">
            <w:pPr>
              <w:spacing w:line="180" w:lineRule="exact"/>
              <w:rPr>
                <w:sz w:val="18"/>
                <w:szCs w:val="18"/>
              </w:rPr>
            </w:pPr>
          </w:p>
          <w:p w14:paraId="6DA6AB08" w14:textId="77777777" w:rsidR="00C37194" w:rsidRPr="00B45531" w:rsidRDefault="00C37194">
            <w:pPr>
              <w:spacing w:line="180" w:lineRule="exact"/>
              <w:jc w:val="center"/>
              <w:rPr>
                <w:sz w:val="18"/>
                <w:szCs w:val="18"/>
              </w:rPr>
            </w:pPr>
            <w:r w:rsidRPr="00B45531">
              <w:rPr>
                <w:sz w:val="18"/>
                <w:szCs w:val="18"/>
              </w:rPr>
              <w:t>Modification</w:t>
            </w:r>
          </w:p>
        </w:tc>
        <w:tc>
          <w:tcPr>
            <w:tcW w:w="1559" w:type="dxa"/>
            <w:tcBorders>
              <w:top w:val="single" w:sz="18" w:space="0" w:color="auto"/>
              <w:bottom w:val="single" w:sz="18" w:space="0" w:color="auto"/>
            </w:tcBorders>
            <w:shd w:val="clear" w:color="auto" w:fill="F2F2F2" w:themeFill="background1" w:themeFillShade="F2"/>
          </w:tcPr>
          <w:p w14:paraId="2DFC4C57" w14:textId="77777777" w:rsidR="00C37194" w:rsidRPr="00B45531" w:rsidRDefault="00C37194">
            <w:pPr>
              <w:spacing w:line="180" w:lineRule="exact"/>
              <w:rPr>
                <w:sz w:val="18"/>
                <w:szCs w:val="18"/>
              </w:rPr>
            </w:pPr>
          </w:p>
          <w:p w14:paraId="430977F4" w14:textId="77777777" w:rsidR="00C37194" w:rsidRPr="00B45531" w:rsidRDefault="00C37194">
            <w:pPr>
              <w:spacing w:line="180" w:lineRule="exact"/>
              <w:jc w:val="center"/>
              <w:rPr>
                <w:sz w:val="18"/>
                <w:szCs w:val="18"/>
              </w:rPr>
            </w:pPr>
            <w:r w:rsidRPr="00B45531">
              <w:rPr>
                <w:sz w:val="18"/>
                <w:szCs w:val="18"/>
              </w:rPr>
              <w:t xml:space="preserve">Strains generated and tested in insectary in target </w:t>
            </w:r>
            <w:proofErr w:type="gramStart"/>
            <w:r w:rsidRPr="00B45531">
              <w:rPr>
                <w:sz w:val="18"/>
                <w:szCs w:val="18"/>
              </w:rPr>
              <w:t>species</w:t>
            </w:r>
            <w:proofErr w:type="gramEnd"/>
          </w:p>
          <w:p w14:paraId="5D4B9704" w14:textId="77777777" w:rsidR="00C37194" w:rsidRPr="00B45531" w:rsidRDefault="00C37194">
            <w:pPr>
              <w:spacing w:line="180" w:lineRule="exact"/>
              <w:jc w:val="center"/>
              <w:rPr>
                <w:sz w:val="18"/>
                <w:szCs w:val="18"/>
              </w:rPr>
            </w:pPr>
          </w:p>
        </w:tc>
        <w:tc>
          <w:tcPr>
            <w:tcW w:w="1417" w:type="dxa"/>
            <w:tcBorders>
              <w:top w:val="single" w:sz="18" w:space="0" w:color="auto"/>
              <w:bottom w:val="single" w:sz="18" w:space="0" w:color="auto"/>
            </w:tcBorders>
            <w:shd w:val="clear" w:color="auto" w:fill="F2F2F2" w:themeFill="background1" w:themeFillShade="F2"/>
          </w:tcPr>
          <w:p w14:paraId="37ED6A51" w14:textId="77777777" w:rsidR="00C37194" w:rsidRPr="00B45531" w:rsidRDefault="00C37194">
            <w:pPr>
              <w:spacing w:line="180" w:lineRule="exact"/>
              <w:rPr>
                <w:sz w:val="18"/>
                <w:szCs w:val="18"/>
              </w:rPr>
            </w:pPr>
          </w:p>
          <w:p w14:paraId="2A14748D" w14:textId="6EDAC44A" w:rsidR="00C37194" w:rsidRPr="00B45531" w:rsidRDefault="00C37194">
            <w:pPr>
              <w:spacing w:line="180" w:lineRule="exact"/>
              <w:jc w:val="center"/>
              <w:rPr>
                <w:sz w:val="18"/>
                <w:szCs w:val="18"/>
              </w:rPr>
            </w:pPr>
            <w:r w:rsidRPr="00B45531">
              <w:rPr>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B45531">
              <w:rPr>
                <w:sz w:val="18"/>
                <w:szCs w:val="18"/>
              </w:rPr>
              <w:instrText xml:space="preserve"> ADDIN EN.CITE </w:instrText>
            </w:r>
            <w:r w:rsidRPr="00B45531">
              <w:rPr>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B45531">
              <w:rPr>
                <w:sz w:val="18"/>
                <w:szCs w:val="18"/>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9E6578">
              <w:rPr>
                <w:sz w:val="18"/>
                <w:szCs w:val="18"/>
              </w:rPr>
              <w:t xml:space="preserve">Harvey-Samuel </w:t>
            </w:r>
            <w:r w:rsidR="00F80CEB" w:rsidRPr="009E6578">
              <w:rPr>
                <w:sz w:val="18"/>
                <w:szCs w:val="18"/>
              </w:rPr>
              <w:t>and others,</w:t>
            </w:r>
            <w:r w:rsidRPr="009E6578">
              <w:rPr>
                <w:sz w:val="18"/>
                <w:szCs w:val="18"/>
              </w:rPr>
              <w:t xml:space="preserve"> 2023</w:t>
            </w:r>
            <w:r w:rsidRPr="00B45531">
              <w:rPr>
                <w:sz w:val="18"/>
                <w:szCs w:val="18"/>
              </w:rPr>
              <w:fldChar w:fldCharType="end"/>
            </w:r>
          </w:p>
        </w:tc>
      </w:tr>
      <w:tr w:rsidR="00F721BF" w:rsidRPr="002A1A51" w14:paraId="5DDF5C07" w14:textId="77777777">
        <w:trPr>
          <w:trHeight w:val="265"/>
        </w:trPr>
        <w:tc>
          <w:tcPr>
            <w:tcW w:w="1418" w:type="dxa"/>
            <w:vMerge w:val="restart"/>
            <w:tcBorders>
              <w:top w:val="single" w:sz="18" w:space="0" w:color="auto"/>
            </w:tcBorders>
            <w:shd w:val="clear" w:color="auto" w:fill="F2F2F2" w:themeFill="background1" w:themeFillShade="F2"/>
          </w:tcPr>
          <w:p w14:paraId="304886E7" w14:textId="77777777" w:rsidR="00C37194" w:rsidRPr="00B45531" w:rsidRDefault="00C37194">
            <w:pPr>
              <w:spacing w:line="180" w:lineRule="exact"/>
              <w:jc w:val="center"/>
              <w:rPr>
                <w:sz w:val="18"/>
                <w:szCs w:val="18"/>
              </w:rPr>
            </w:pPr>
          </w:p>
          <w:p w14:paraId="696C0B15" w14:textId="77777777" w:rsidR="00C37194" w:rsidRPr="00B45531" w:rsidRDefault="00C37194">
            <w:pPr>
              <w:spacing w:line="180" w:lineRule="exact"/>
              <w:jc w:val="center"/>
              <w:rPr>
                <w:sz w:val="18"/>
                <w:szCs w:val="18"/>
              </w:rPr>
            </w:pPr>
            <w:r w:rsidRPr="00B45531">
              <w:rPr>
                <w:sz w:val="18"/>
                <w:szCs w:val="18"/>
              </w:rPr>
              <w:t>Potentially multiple</w:t>
            </w:r>
          </w:p>
          <w:p w14:paraId="70F20330" w14:textId="7C178527" w:rsidR="00C37194" w:rsidRPr="00B45531" w:rsidRDefault="00C37194">
            <w:pPr>
              <w:spacing w:line="180" w:lineRule="exact"/>
              <w:jc w:val="center"/>
              <w:rPr>
                <w:sz w:val="18"/>
                <w:szCs w:val="18"/>
              </w:rPr>
            </w:pPr>
            <w:r w:rsidRPr="00B45531">
              <w:rPr>
                <w:sz w:val="18"/>
                <w:szCs w:val="18"/>
              </w:rPr>
              <w:t>other vectors (e.g.</w:t>
            </w:r>
            <w:r w:rsidR="009265EB">
              <w:rPr>
                <w:sz w:val="18"/>
                <w:szCs w:val="18"/>
              </w:rPr>
              <w:t>,</w:t>
            </w:r>
          </w:p>
          <w:p w14:paraId="0F712B1F" w14:textId="77777777" w:rsidR="00C37194" w:rsidRPr="00B45531" w:rsidRDefault="00C37194">
            <w:pPr>
              <w:spacing w:line="180" w:lineRule="exact"/>
              <w:jc w:val="center"/>
              <w:rPr>
                <w:sz w:val="18"/>
                <w:szCs w:val="18"/>
              </w:rPr>
            </w:pPr>
            <w:r w:rsidRPr="00B45531">
              <w:rPr>
                <w:i/>
                <w:iCs/>
                <w:sz w:val="18"/>
                <w:szCs w:val="18"/>
              </w:rPr>
              <w:t>Anopheles</w:t>
            </w:r>
            <w:r w:rsidRPr="00B45531">
              <w:rPr>
                <w:sz w:val="18"/>
                <w:szCs w:val="18"/>
              </w:rPr>
              <w:t xml:space="preserve">, </w:t>
            </w:r>
            <w:r w:rsidRPr="00B45531">
              <w:rPr>
                <w:i/>
                <w:iCs/>
                <w:sz w:val="18"/>
                <w:szCs w:val="18"/>
              </w:rPr>
              <w:t>Aedes,</w:t>
            </w:r>
            <w:r w:rsidRPr="00B45531">
              <w:rPr>
                <w:sz w:val="18"/>
                <w:szCs w:val="18"/>
              </w:rPr>
              <w:t xml:space="preserve"> or </w:t>
            </w:r>
            <w:r w:rsidRPr="00B45531">
              <w:rPr>
                <w:i/>
                <w:iCs/>
                <w:sz w:val="18"/>
                <w:szCs w:val="18"/>
              </w:rPr>
              <w:t xml:space="preserve">Culex </w:t>
            </w:r>
            <w:r w:rsidRPr="00B45531">
              <w:rPr>
                <w:sz w:val="18"/>
                <w:szCs w:val="18"/>
              </w:rPr>
              <w:t>species from South America or Asia Pacific regions)</w:t>
            </w:r>
          </w:p>
        </w:tc>
        <w:tc>
          <w:tcPr>
            <w:tcW w:w="1700" w:type="dxa"/>
            <w:vMerge w:val="restart"/>
            <w:tcBorders>
              <w:top w:val="single" w:sz="18" w:space="0" w:color="auto"/>
            </w:tcBorders>
            <w:shd w:val="clear" w:color="auto" w:fill="F2F2F2" w:themeFill="background1" w:themeFillShade="F2"/>
          </w:tcPr>
          <w:p w14:paraId="03900049" w14:textId="77777777" w:rsidR="00C37194" w:rsidRPr="00B45531" w:rsidRDefault="00C37194">
            <w:pPr>
              <w:spacing w:line="180" w:lineRule="exact"/>
              <w:jc w:val="center"/>
              <w:rPr>
                <w:sz w:val="18"/>
                <w:szCs w:val="18"/>
              </w:rPr>
            </w:pPr>
          </w:p>
          <w:p w14:paraId="46679097" w14:textId="77777777" w:rsidR="00C37194" w:rsidRPr="00B45531" w:rsidRDefault="00C37194">
            <w:pPr>
              <w:spacing w:line="180" w:lineRule="exact"/>
              <w:jc w:val="center"/>
              <w:rPr>
                <w:sz w:val="18"/>
                <w:szCs w:val="18"/>
              </w:rPr>
            </w:pPr>
            <w:r w:rsidRPr="00B45531">
              <w:rPr>
                <w:sz w:val="18"/>
                <w:szCs w:val="18"/>
              </w:rPr>
              <w:t>Potentially</w:t>
            </w:r>
          </w:p>
          <w:p w14:paraId="0E22C0CF" w14:textId="77777777" w:rsidR="00C37194" w:rsidRPr="00B45531" w:rsidRDefault="00C37194">
            <w:pPr>
              <w:spacing w:line="180" w:lineRule="exact"/>
              <w:jc w:val="center"/>
              <w:rPr>
                <w:sz w:val="18"/>
                <w:szCs w:val="18"/>
              </w:rPr>
            </w:pPr>
            <w:r w:rsidRPr="00B45531">
              <w:rPr>
                <w:sz w:val="18"/>
                <w:szCs w:val="18"/>
              </w:rPr>
              <w:t>multiple</w:t>
            </w:r>
          </w:p>
          <w:p w14:paraId="664B7168" w14:textId="749EF2A0" w:rsidR="00C37194" w:rsidRPr="00B45531" w:rsidRDefault="00C37194">
            <w:pPr>
              <w:spacing w:line="180" w:lineRule="exact"/>
              <w:jc w:val="center"/>
              <w:rPr>
                <w:sz w:val="18"/>
                <w:szCs w:val="18"/>
              </w:rPr>
            </w:pPr>
            <w:r w:rsidRPr="00B45531">
              <w:rPr>
                <w:sz w:val="18"/>
                <w:szCs w:val="18"/>
              </w:rPr>
              <w:t>other diseases (e.g.</w:t>
            </w:r>
            <w:r w:rsidR="009265EB">
              <w:rPr>
                <w:sz w:val="18"/>
                <w:szCs w:val="18"/>
              </w:rPr>
              <w:t>,</w:t>
            </w:r>
            <w:r w:rsidRPr="00B45531">
              <w:rPr>
                <w:sz w:val="18"/>
                <w:szCs w:val="18"/>
              </w:rPr>
              <w:t xml:space="preserve"> </w:t>
            </w:r>
          </w:p>
          <w:p w14:paraId="774A8310" w14:textId="77777777" w:rsidR="00C37194" w:rsidRPr="00B45531" w:rsidRDefault="00C37194">
            <w:pPr>
              <w:spacing w:line="180" w:lineRule="exact"/>
              <w:jc w:val="center"/>
              <w:rPr>
                <w:sz w:val="18"/>
                <w:szCs w:val="18"/>
              </w:rPr>
            </w:pPr>
            <w:r w:rsidRPr="00B45531">
              <w:rPr>
                <w:sz w:val="18"/>
                <w:szCs w:val="18"/>
              </w:rPr>
              <w:t xml:space="preserve">malaria or arboviral infections </w:t>
            </w:r>
          </w:p>
          <w:p w14:paraId="0092E651" w14:textId="77777777" w:rsidR="00C37194" w:rsidRPr="00B45531" w:rsidRDefault="00C37194">
            <w:pPr>
              <w:spacing w:line="180" w:lineRule="exact"/>
              <w:jc w:val="center"/>
              <w:rPr>
                <w:sz w:val="18"/>
                <w:szCs w:val="18"/>
              </w:rPr>
            </w:pPr>
            <w:r w:rsidRPr="00B45531">
              <w:rPr>
                <w:sz w:val="18"/>
                <w:szCs w:val="18"/>
              </w:rPr>
              <w:t xml:space="preserve">from South </w:t>
            </w:r>
          </w:p>
          <w:p w14:paraId="1E9A5B50" w14:textId="77777777" w:rsidR="00C37194" w:rsidRPr="00B45531" w:rsidRDefault="00C37194">
            <w:pPr>
              <w:spacing w:line="180" w:lineRule="exact"/>
              <w:jc w:val="center"/>
              <w:rPr>
                <w:sz w:val="18"/>
                <w:szCs w:val="18"/>
              </w:rPr>
            </w:pPr>
            <w:r w:rsidRPr="00B45531">
              <w:rPr>
                <w:sz w:val="18"/>
                <w:szCs w:val="18"/>
              </w:rPr>
              <w:t xml:space="preserve">America or </w:t>
            </w:r>
          </w:p>
          <w:p w14:paraId="22ADD426" w14:textId="77777777" w:rsidR="00C37194" w:rsidRPr="00B45531" w:rsidRDefault="00C37194">
            <w:pPr>
              <w:spacing w:line="180" w:lineRule="exact"/>
              <w:jc w:val="center"/>
              <w:rPr>
                <w:sz w:val="18"/>
                <w:szCs w:val="18"/>
              </w:rPr>
            </w:pPr>
            <w:r w:rsidRPr="00B45531">
              <w:rPr>
                <w:sz w:val="18"/>
                <w:szCs w:val="18"/>
              </w:rPr>
              <w:t xml:space="preserve">Asia Pacific </w:t>
            </w:r>
          </w:p>
          <w:p w14:paraId="01B06ABF" w14:textId="77777777" w:rsidR="00C37194" w:rsidRPr="00B45531" w:rsidRDefault="00C37194">
            <w:pPr>
              <w:spacing w:line="180" w:lineRule="exact"/>
              <w:jc w:val="center"/>
              <w:rPr>
                <w:sz w:val="18"/>
                <w:szCs w:val="18"/>
              </w:rPr>
            </w:pPr>
            <w:r w:rsidRPr="00B45531">
              <w:rPr>
                <w:sz w:val="18"/>
                <w:szCs w:val="18"/>
              </w:rPr>
              <w:t>regions)</w:t>
            </w:r>
          </w:p>
        </w:tc>
        <w:tc>
          <w:tcPr>
            <w:tcW w:w="1702" w:type="dxa"/>
            <w:tcBorders>
              <w:top w:val="single" w:sz="18" w:space="0" w:color="auto"/>
            </w:tcBorders>
            <w:shd w:val="clear" w:color="auto" w:fill="F2F2F2" w:themeFill="background1" w:themeFillShade="F2"/>
          </w:tcPr>
          <w:p w14:paraId="67FBCE4E" w14:textId="77777777" w:rsidR="00C37194" w:rsidRPr="00B45531" w:rsidRDefault="00C37194">
            <w:pPr>
              <w:spacing w:line="180" w:lineRule="exact"/>
              <w:jc w:val="center"/>
              <w:rPr>
                <w:sz w:val="18"/>
                <w:szCs w:val="18"/>
              </w:rPr>
            </w:pPr>
          </w:p>
          <w:p w14:paraId="42266F47" w14:textId="77777777" w:rsidR="00C37194" w:rsidRPr="00B45531" w:rsidRDefault="00C37194">
            <w:pPr>
              <w:spacing w:line="180" w:lineRule="exact"/>
              <w:jc w:val="center"/>
              <w:rPr>
                <w:sz w:val="18"/>
                <w:szCs w:val="18"/>
              </w:rPr>
            </w:pPr>
            <w:r w:rsidRPr="00B45531">
              <w:rPr>
                <w:sz w:val="18"/>
                <w:szCs w:val="18"/>
              </w:rPr>
              <w:t>Low</w:t>
            </w:r>
          </w:p>
          <w:p w14:paraId="5787BCED" w14:textId="77777777" w:rsidR="00C37194" w:rsidRPr="00B45531" w:rsidRDefault="00C37194">
            <w:pPr>
              <w:spacing w:line="180" w:lineRule="exact"/>
              <w:jc w:val="center"/>
              <w:rPr>
                <w:sz w:val="18"/>
                <w:szCs w:val="18"/>
              </w:rPr>
            </w:pPr>
          </w:p>
        </w:tc>
        <w:tc>
          <w:tcPr>
            <w:tcW w:w="1844" w:type="dxa"/>
            <w:tcBorders>
              <w:top w:val="single" w:sz="18" w:space="0" w:color="auto"/>
            </w:tcBorders>
            <w:shd w:val="clear" w:color="auto" w:fill="F2F2F2" w:themeFill="background1" w:themeFillShade="F2"/>
          </w:tcPr>
          <w:p w14:paraId="0D67AA8A" w14:textId="77777777" w:rsidR="00C37194" w:rsidRPr="00B45531" w:rsidRDefault="00C37194">
            <w:pPr>
              <w:spacing w:line="180" w:lineRule="exact"/>
              <w:jc w:val="center"/>
              <w:rPr>
                <w:sz w:val="18"/>
                <w:szCs w:val="18"/>
              </w:rPr>
            </w:pPr>
          </w:p>
          <w:p w14:paraId="5D062CD3" w14:textId="77777777" w:rsidR="00C37194" w:rsidRPr="00B45531" w:rsidRDefault="00C37194">
            <w:pPr>
              <w:spacing w:line="180" w:lineRule="exact"/>
              <w:jc w:val="center"/>
              <w:rPr>
                <w:sz w:val="18"/>
                <w:szCs w:val="18"/>
              </w:rPr>
            </w:pPr>
            <w:r w:rsidRPr="00B45531">
              <w:rPr>
                <w:sz w:val="18"/>
                <w:szCs w:val="18"/>
              </w:rPr>
              <w:t>Self-sustaining</w:t>
            </w:r>
          </w:p>
          <w:p w14:paraId="50F27970" w14:textId="77777777" w:rsidR="00C37194" w:rsidRPr="00B45531" w:rsidRDefault="00C37194">
            <w:pPr>
              <w:spacing w:line="180" w:lineRule="exact"/>
              <w:jc w:val="center"/>
              <w:rPr>
                <w:sz w:val="18"/>
                <w:szCs w:val="18"/>
              </w:rPr>
            </w:pPr>
          </w:p>
        </w:tc>
        <w:tc>
          <w:tcPr>
            <w:tcW w:w="1418" w:type="dxa"/>
            <w:tcBorders>
              <w:top w:val="single" w:sz="18" w:space="0" w:color="auto"/>
            </w:tcBorders>
            <w:shd w:val="clear" w:color="auto" w:fill="F2F2F2" w:themeFill="background1" w:themeFillShade="F2"/>
          </w:tcPr>
          <w:p w14:paraId="01298EEA" w14:textId="77777777" w:rsidR="00C37194" w:rsidRPr="00B45531" w:rsidRDefault="00C37194">
            <w:pPr>
              <w:spacing w:line="180" w:lineRule="exact"/>
              <w:jc w:val="center"/>
              <w:rPr>
                <w:sz w:val="18"/>
                <w:szCs w:val="18"/>
              </w:rPr>
            </w:pPr>
          </w:p>
          <w:p w14:paraId="325C5697" w14:textId="77777777" w:rsidR="00C37194" w:rsidRPr="00B45531" w:rsidRDefault="00C37194">
            <w:pPr>
              <w:spacing w:line="180" w:lineRule="exact"/>
              <w:jc w:val="center"/>
              <w:rPr>
                <w:sz w:val="18"/>
                <w:szCs w:val="18"/>
              </w:rPr>
            </w:pPr>
            <w:r w:rsidRPr="00B45531">
              <w:rPr>
                <w:sz w:val="18"/>
                <w:szCs w:val="18"/>
              </w:rPr>
              <w:t>Non-localised</w:t>
            </w:r>
          </w:p>
          <w:p w14:paraId="1B729F73" w14:textId="77777777" w:rsidR="00C37194" w:rsidRPr="00B45531" w:rsidRDefault="00C37194">
            <w:pPr>
              <w:spacing w:line="180" w:lineRule="exact"/>
              <w:jc w:val="center"/>
              <w:rPr>
                <w:sz w:val="18"/>
                <w:szCs w:val="18"/>
              </w:rPr>
            </w:pPr>
          </w:p>
        </w:tc>
        <w:tc>
          <w:tcPr>
            <w:tcW w:w="1701" w:type="dxa"/>
            <w:tcBorders>
              <w:top w:val="single" w:sz="18" w:space="0" w:color="auto"/>
              <w:bottom w:val="single" w:sz="2" w:space="0" w:color="auto"/>
            </w:tcBorders>
            <w:shd w:val="clear" w:color="auto" w:fill="F2F2F2" w:themeFill="background1" w:themeFillShade="F2"/>
          </w:tcPr>
          <w:p w14:paraId="175BAD6C" w14:textId="77777777" w:rsidR="00C37194" w:rsidRPr="00B45531" w:rsidRDefault="00C37194">
            <w:pPr>
              <w:spacing w:line="180" w:lineRule="exact"/>
              <w:rPr>
                <w:sz w:val="18"/>
                <w:szCs w:val="18"/>
              </w:rPr>
            </w:pPr>
          </w:p>
          <w:p w14:paraId="3318D1A1" w14:textId="77777777" w:rsidR="00C37194" w:rsidRPr="00B45531" w:rsidRDefault="00C37194">
            <w:pPr>
              <w:spacing w:line="180" w:lineRule="exact"/>
              <w:jc w:val="center"/>
              <w:rPr>
                <w:sz w:val="18"/>
                <w:szCs w:val="18"/>
              </w:rPr>
            </w:pPr>
            <w:r w:rsidRPr="00B45531">
              <w:rPr>
                <w:sz w:val="18"/>
                <w:szCs w:val="18"/>
              </w:rPr>
              <w:t>Medea (Maternal effect dominant embryonic arrest)</w:t>
            </w:r>
          </w:p>
          <w:p w14:paraId="5A2ED0F6" w14:textId="77777777" w:rsidR="00C37194" w:rsidRPr="00B45531" w:rsidRDefault="00C37194">
            <w:pPr>
              <w:spacing w:line="180" w:lineRule="exact"/>
              <w:jc w:val="center"/>
              <w:rPr>
                <w:sz w:val="18"/>
                <w:szCs w:val="18"/>
              </w:rPr>
            </w:pPr>
          </w:p>
        </w:tc>
        <w:tc>
          <w:tcPr>
            <w:tcW w:w="1842" w:type="dxa"/>
            <w:tcBorders>
              <w:top w:val="single" w:sz="18" w:space="0" w:color="auto"/>
              <w:bottom w:val="single" w:sz="2" w:space="0" w:color="auto"/>
            </w:tcBorders>
            <w:shd w:val="clear" w:color="auto" w:fill="F2F2F2" w:themeFill="background1" w:themeFillShade="F2"/>
          </w:tcPr>
          <w:p w14:paraId="511349CA" w14:textId="77777777" w:rsidR="00C37194" w:rsidRPr="00B45531" w:rsidRDefault="00C37194">
            <w:pPr>
              <w:spacing w:line="180" w:lineRule="exact"/>
              <w:jc w:val="center"/>
              <w:rPr>
                <w:sz w:val="18"/>
                <w:szCs w:val="18"/>
              </w:rPr>
            </w:pPr>
          </w:p>
          <w:p w14:paraId="6C02B96D" w14:textId="77777777" w:rsidR="00C37194" w:rsidRPr="00B45531" w:rsidRDefault="00C37194">
            <w:pPr>
              <w:spacing w:line="180" w:lineRule="exact"/>
              <w:jc w:val="center"/>
              <w:rPr>
                <w:sz w:val="18"/>
                <w:szCs w:val="18"/>
              </w:rPr>
            </w:pPr>
            <w:r w:rsidRPr="00B45531">
              <w:rPr>
                <w:sz w:val="18"/>
                <w:szCs w:val="18"/>
              </w:rPr>
              <w:t>Modification</w:t>
            </w:r>
          </w:p>
          <w:p w14:paraId="3F906BC8" w14:textId="77777777" w:rsidR="00C37194" w:rsidRPr="00B45531" w:rsidRDefault="00C37194">
            <w:pPr>
              <w:spacing w:line="180" w:lineRule="exact"/>
              <w:jc w:val="center"/>
              <w:rPr>
                <w:sz w:val="18"/>
                <w:szCs w:val="18"/>
              </w:rPr>
            </w:pPr>
          </w:p>
        </w:tc>
        <w:tc>
          <w:tcPr>
            <w:tcW w:w="1559" w:type="dxa"/>
            <w:tcBorders>
              <w:top w:val="single" w:sz="18" w:space="0" w:color="auto"/>
              <w:bottom w:val="single" w:sz="2" w:space="0" w:color="auto"/>
            </w:tcBorders>
            <w:shd w:val="clear" w:color="auto" w:fill="F2F2F2" w:themeFill="background1" w:themeFillShade="F2"/>
          </w:tcPr>
          <w:p w14:paraId="2283A1C3" w14:textId="77777777" w:rsidR="00C37194" w:rsidRPr="00B45531" w:rsidRDefault="00C37194">
            <w:pPr>
              <w:spacing w:line="180" w:lineRule="exact"/>
              <w:jc w:val="center"/>
              <w:rPr>
                <w:sz w:val="18"/>
                <w:szCs w:val="18"/>
              </w:rPr>
            </w:pPr>
          </w:p>
          <w:p w14:paraId="2EE181F8" w14:textId="77777777" w:rsidR="00C37194" w:rsidRPr="00B45531" w:rsidRDefault="00C37194">
            <w:pPr>
              <w:spacing w:line="180" w:lineRule="exact"/>
              <w:jc w:val="center"/>
              <w:rPr>
                <w:sz w:val="18"/>
                <w:szCs w:val="18"/>
              </w:rPr>
            </w:pPr>
            <w:r w:rsidRPr="00B45531">
              <w:rPr>
                <w:sz w:val="18"/>
                <w:szCs w:val="18"/>
              </w:rPr>
              <w:t>Modelling,</w:t>
            </w:r>
          </w:p>
          <w:p w14:paraId="1C43CF8D" w14:textId="77777777" w:rsidR="00C37194" w:rsidRPr="00B45531" w:rsidRDefault="00C37194">
            <w:pPr>
              <w:spacing w:line="180" w:lineRule="exact"/>
              <w:jc w:val="center"/>
              <w:rPr>
                <w:sz w:val="18"/>
                <w:szCs w:val="18"/>
              </w:rPr>
            </w:pPr>
            <w:r w:rsidRPr="00B45531">
              <w:rPr>
                <w:sz w:val="18"/>
                <w:szCs w:val="18"/>
              </w:rPr>
              <w:t xml:space="preserve">Strains generated and tested in </w:t>
            </w:r>
            <w:r w:rsidRPr="00B45531">
              <w:rPr>
                <w:i/>
                <w:iCs/>
                <w:sz w:val="18"/>
                <w:szCs w:val="18"/>
              </w:rPr>
              <w:t xml:space="preserve">Drosophila </w:t>
            </w:r>
            <w:r w:rsidRPr="00B45531">
              <w:rPr>
                <w:sz w:val="18"/>
                <w:szCs w:val="18"/>
              </w:rPr>
              <w:t xml:space="preserve">model system </w:t>
            </w:r>
            <w:proofErr w:type="gramStart"/>
            <w:r w:rsidRPr="00B45531">
              <w:rPr>
                <w:sz w:val="18"/>
                <w:szCs w:val="18"/>
              </w:rPr>
              <w:t>only</w:t>
            </w:r>
            <w:proofErr w:type="gramEnd"/>
          </w:p>
          <w:p w14:paraId="707E207F" w14:textId="77777777" w:rsidR="00C37194" w:rsidRPr="00B45531" w:rsidRDefault="00C37194">
            <w:pPr>
              <w:spacing w:line="180" w:lineRule="exact"/>
              <w:jc w:val="center"/>
              <w:rPr>
                <w:sz w:val="18"/>
                <w:szCs w:val="18"/>
              </w:rPr>
            </w:pPr>
          </w:p>
          <w:p w14:paraId="31B1A4E5" w14:textId="77777777" w:rsidR="00C37194" w:rsidRPr="00B45531" w:rsidRDefault="00C37194">
            <w:pPr>
              <w:spacing w:line="180" w:lineRule="exact"/>
              <w:jc w:val="center"/>
              <w:rPr>
                <w:sz w:val="18"/>
                <w:szCs w:val="18"/>
              </w:rPr>
            </w:pPr>
          </w:p>
        </w:tc>
        <w:tc>
          <w:tcPr>
            <w:tcW w:w="1417" w:type="dxa"/>
            <w:tcBorders>
              <w:top w:val="single" w:sz="18" w:space="0" w:color="auto"/>
              <w:bottom w:val="single" w:sz="2" w:space="0" w:color="auto"/>
            </w:tcBorders>
            <w:shd w:val="clear" w:color="auto" w:fill="F2F2F2" w:themeFill="background1" w:themeFillShade="F2"/>
          </w:tcPr>
          <w:p w14:paraId="070FA94E" w14:textId="77777777" w:rsidR="00C37194" w:rsidRPr="00B45531" w:rsidRDefault="00C37194">
            <w:pPr>
              <w:spacing w:line="180" w:lineRule="exact"/>
              <w:jc w:val="center"/>
              <w:rPr>
                <w:sz w:val="18"/>
                <w:szCs w:val="18"/>
              </w:rPr>
            </w:pPr>
          </w:p>
          <w:p w14:paraId="7EDECD14" w14:textId="51131D33" w:rsidR="00C37194" w:rsidRPr="00E64AF4" w:rsidRDefault="0047597A">
            <w:pPr>
              <w:spacing w:line="180" w:lineRule="exact"/>
              <w:jc w:val="center"/>
              <w:rPr>
                <w:sz w:val="18"/>
                <w:lang w:val="en-US"/>
              </w:rPr>
            </w:pPr>
            <w:r w:rsidRPr="009E6578">
              <w:rPr>
                <w:sz w:val="18"/>
                <w:lang w:val="en-US"/>
              </w:rPr>
              <w:t xml:space="preserve">Chen and </w:t>
            </w:r>
            <w:proofErr w:type="gramStart"/>
            <w:r w:rsidRPr="009E6578">
              <w:rPr>
                <w:sz w:val="18"/>
                <w:lang w:val="en-US"/>
              </w:rPr>
              <w:t>others,  2007</w:t>
            </w:r>
            <w:proofErr w:type="gramEnd"/>
            <w:r>
              <w:rPr>
                <w:sz w:val="18"/>
                <w:lang w:val="en-US"/>
              </w:rPr>
              <w:t xml:space="preserve">; </w:t>
            </w:r>
            <w:r w:rsidR="00C37194" w:rsidRPr="00B45531">
              <w:rPr>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00C37194" w:rsidRPr="00E64AF4">
              <w:rPr>
                <w:sz w:val="18"/>
                <w:lang w:val="en-US"/>
              </w:rPr>
              <w:instrText xml:space="preserve"> ADDIN EN.CITE </w:instrText>
            </w:r>
            <w:r w:rsidR="00C37194" w:rsidRPr="00B45531">
              <w:rPr>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00C37194" w:rsidRPr="006A349B">
              <w:rPr>
                <w:sz w:val="18"/>
                <w:lang w:val="en-US"/>
              </w:rPr>
              <w:instrText xml:space="preserve"> ADDIN EN.CITE.DATA </w:instrText>
            </w:r>
            <w:r w:rsidR="00C37194" w:rsidRPr="00B45531">
              <w:rPr>
                <w:sz w:val="18"/>
                <w:szCs w:val="18"/>
              </w:rPr>
            </w:r>
            <w:r w:rsidR="00C37194" w:rsidRPr="00B45531">
              <w:rPr>
                <w:sz w:val="18"/>
                <w:szCs w:val="18"/>
              </w:rPr>
              <w:fldChar w:fldCharType="end"/>
            </w:r>
            <w:r w:rsidR="00C37194" w:rsidRPr="00B45531">
              <w:rPr>
                <w:sz w:val="18"/>
                <w:szCs w:val="18"/>
              </w:rPr>
            </w:r>
            <w:r w:rsidR="00C37194" w:rsidRPr="00B45531">
              <w:rPr>
                <w:sz w:val="18"/>
                <w:szCs w:val="18"/>
              </w:rPr>
              <w:fldChar w:fldCharType="separate"/>
            </w:r>
            <w:r w:rsidR="00C37194" w:rsidRPr="009E6578">
              <w:rPr>
                <w:sz w:val="18"/>
                <w:lang w:val="en-US"/>
              </w:rPr>
              <w:t xml:space="preserve">Buchman </w:t>
            </w:r>
            <w:r w:rsidR="00F80CEB" w:rsidRPr="009E6578">
              <w:rPr>
                <w:sz w:val="18"/>
                <w:lang w:val="en-US"/>
              </w:rPr>
              <w:t>and others,</w:t>
            </w:r>
            <w:r w:rsidR="00C37194" w:rsidRPr="009E6578">
              <w:rPr>
                <w:sz w:val="18"/>
                <w:lang w:val="en-US"/>
              </w:rPr>
              <w:t xml:space="preserve"> 2018a</w:t>
            </w:r>
            <w:r w:rsidR="00C37194" w:rsidRPr="00B45531">
              <w:rPr>
                <w:sz w:val="18"/>
                <w:szCs w:val="18"/>
              </w:rPr>
              <w:fldChar w:fldCharType="end"/>
            </w:r>
          </w:p>
          <w:p w14:paraId="446E7DDD" w14:textId="77777777" w:rsidR="00C37194" w:rsidRPr="00E64AF4" w:rsidRDefault="00C37194">
            <w:pPr>
              <w:spacing w:line="180" w:lineRule="exact"/>
              <w:jc w:val="center"/>
              <w:rPr>
                <w:sz w:val="18"/>
                <w:lang w:val="en-US"/>
              </w:rPr>
            </w:pPr>
          </w:p>
        </w:tc>
      </w:tr>
      <w:tr w:rsidR="00F721BF" w:rsidRPr="004B6EB5" w14:paraId="4030CD55" w14:textId="77777777">
        <w:trPr>
          <w:trHeight w:val="265"/>
        </w:trPr>
        <w:tc>
          <w:tcPr>
            <w:tcW w:w="1418" w:type="dxa"/>
            <w:vMerge/>
            <w:tcBorders>
              <w:top w:val="single" w:sz="18" w:space="0" w:color="auto"/>
            </w:tcBorders>
            <w:shd w:val="clear" w:color="auto" w:fill="F2F2F2" w:themeFill="background1" w:themeFillShade="F2"/>
          </w:tcPr>
          <w:p w14:paraId="5CDA6317" w14:textId="77777777" w:rsidR="00C37194" w:rsidRPr="00E64AF4" w:rsidRDefault="00C37194">
            <w:pPr>
              <w:spacing w:line="180" w:lineRule="exact"/>
              <w:jc w:val="center"/>
              <w:rPr>
                <w:sz w:val="18"/>
                <w:lang w:val="en-US"/>
              </w:rPr>
            </w:pPr>
          </w:p>
        </w:tc>
        <w:tc>
          <w:tcPr>
            <w:tcW w:w="1700" w:type="dxa"/>
            <w:vMerge/>
            <w:tcBorders>
              <w:top w:val="single" w:sz="18" w:space="0" w:color="auto"/>
            </w:tcBorders>
            <w:shd w:val="clear" w:color="auto" w:fill="F2F2F2" w:themeFill="background1" w:themeFillShade="F2"/>
          </w:tcPr>
          <w:p w14:paraId="41184E6F" w14:textId="77777777" w:rsidR="00C37194" w:rsidRPr="00E64AF4" w:rsidRDefault="00C37194">
            <w:pPr>
              <w:spacing w:line="180" w:lineRule="exact"/>
              <w:jc w:val="center"/>
              <w:rPr>
                <w:sz w:val="18"/>
                <w:lang w:val="en-US"/>
              </w:rPr>
            </w:pPr>
          </w:p>
        </w:tc>
        <w:tc>
          <w:tcPr>
            <w:tcW w:w="1702" w:type="dxa"/>
            <w:tcBorders>
              <w:bottom w:val="single" w:sz="2" w:space="0" w:color="auto"/>
            </w:tcBorders>
            <w:shd w:val="clear" w:color="auto" w:fill="F2F2F2" w:themeFill="background1" w:themeFillShade="F2"/>
          </w:tcPr>
          <w:p w14:paraId="5C85D370" w14:textId="77777777" w:rsidR="00C37194" w:rsidRPr="00E64AF4" w:rsidRDefault="00C37194">
            <w:pPr>
              <w:spacing w:line="180" w:lineRule="exact"/>
              <w:jc w:val="center"/>
              <w:rPr>
                <w:sz w:val="18"/>
                <w:lang w:val="en-US"/>
              </w:rPr>
            </w:pPr>
          </w:p>
        </w:tc>
        <w:tc>
          <w:tcPr>
            <w:tcW w:w="1844" w:type="dxa"/>
            <w:tcBorders>
              <w:bottom w:val="single" w:sz="2" w:space="0" w:color="auto"/>
            </w:tcBorders>
            <w:shd w:val="clear" w:color="auto" w:fill="F2F2F2" w:themeFill="background1" w:themeFillShade="F2"/>
          </w:tcPr>
          <w:p w14:paraId="150D44BC" w14:textId="77777777" w:rsidR="00C37194" w:rsidRPr="00E64AF4" w:rsidRDefault="00C37194">
            <w:pPr>
              <w:spacing w:line="180" w:lineRule="exact"/>
              <w:jc w:val="center"/>
              <w:rPr>
                <w:sz w:val="18"/>
                <w:lang w:val="en-US"/>
              </w:rPr>
            </w:pPr>
          </w:p>
        </w:tc>
        <w:tc>
          <w:tcPr>
            <w:tcW w:w="1418" w:type="dxa"/>
            <w:tcBorders>
              <w:bottom w:val="single" w:sz="2" w:space="0" w:color="auto"/>
            </w:tcBorders>
            <w:shd w:val="clear" w:color="auto" w:fill="F2F2F2" w:themeFill="background1" w:themeFillShade="F2"/>
          </w:tcPr>
          <w:p w14:paraId="391299FE" w14:textId="77777777" w:rsidR="00C37194" w:rsidRPr="00E64AF4" w:rsidRDefault="00C37194">
            <w:pPr>
              <w:spacing w:line="180" w:lineRule="exact"/>
              <w:jc w:val="center"/>
              <w:rPr>
                <w:sz w:val="18"/>
                <w:lang w:val="en-US"/>
              </w:rPr>
            </w:pPr>
          </w:p>
        </w:tc>
        <w:tc>
          <w:tcPr>
            <w:tcW w:w="1701" w:type="dxa"/>
            <w:tcBorders>
              <w:top w:val="single" w:sz="2" w:space="0" w:color="auto"/>
              <w:bottom w:val="single" w:sz="2" w:space="0" w:color="auto"/>
            </w:tcBorders>
            <w:shd w:val="clear" w:color="auto" w:fill="F2F2F2" w:themeFill="background1" w:themeFillShade="F2"/>
          </w:tcPr>
          <w:p w14:paraId="19AA79DF" w14:textId="77777777" w:rsidR="00C37194" w:rsidRPr="00E64AF4" w:rsidRDefault="00C37194">
            <w:pPr>
              <w:spacing w:line="180" w:lineRule="exact"/>
              <w:jc w:val="center"/>
              <w:rPr>
                <w:sz w:val="18"/>
                <w:lang w:val="en-US"/>
              </w:rPr>
            </w:pPr>
          </w:p>
          <w:p w14:paraId="3C121643" w14:textId="77777777" w:rsidR="00C37194" w:rsidRPr="00B45531" w:rsidRDefault="00C37194">
            <w:pPr>
              <w:spacing w:line="180" w:lineRule="exact"/>
              <w:jc w:val="center"/>
              <w:rPr>
                <w:sz w:val="18"/>
                <w:szCs w:val="18"/>
              </w:rPr>
            </w:pPr>
            <w:r w:rsidRPr="00B45531">
              <w:rPr>
                <w:sz w:val="18"/>
                <w:szCs w:val="18"/>
              </w:rPr>
              <w:t>Toxin antidote rescue system</w:t>
            </w:r>
          </w:p>
          <w:p w14:paraId="1CECCF4D" w14:textId="77777777" w:rsidR="00C37194" w:rsidRPr="00B45531" w:rsidRDefault="00C37194">
            <w:pPr>
              <w:spacing w:line="180" w:lineRule="exact"/>
              <w:jc w:val="center"/>
              <w:rPr>
                <w:sz w:val="18"/>
                <w:szCs w:val="18"/>
              </w:rPr>
            </w:pPr>
          </w:p>
        </w:tc>
        <w:tc>
          <w:tcPr>
            <w:tcW w:w="1842" w:type="dxa"/>
            <w:tcBorders>
              <w:top w:val="single" w:sz="2" w:space="0" w:color="auto"/>
              <w:bottom w:val="single" w:sz="2" w:space="0" w:color="auto"/>
            </w:tcBorders>
            <w:shd w:val="clear" w:color="auto" w:fill="F2F2F2" w:themeFill="background1" w:themeFillShade="F2"/>
          </w:tcPr>
          <w:p w14:paraId="43D970F9" w14:textId="77777777" w:rsidR="00C37194" w:rsidRPr="00B45531" w:rsidRDefault="00C37194">
            <w:pPr>
              <w:spacing w:line="180" w:lineRule="exact"/>
              <w:jc w:val="center"/>
              <w:rPr>
                <w:sz w:val="18"/>
                <w:szCs w:val="18"/>
              </w:rPr>
            </w:pPr>
          </w:p>
          <w:p w14:paraId="07CFDC8C" w14:textId="77777777" w:rsidR="00C37194" w:rsidRPr="00B45531" w:rsidRDefault="00C37194">
            <w:pPr>
              <w:spacing w:line="180" w:lineRule="exact"/>
              <w:jc w:val="center"/>
              <w:rPr>
                <w:sz w:val="18"/>
                <w:szCs w:val="18"/>
              </w:rPr>
            </w:pPr>
            <w:r w:rsidRPr="00B45531">
              <w:rPr>
                <w:sz w:val="18"/>
                <w:szCs w:val="18"/>
              </w:rPr>
              <w:t>Modification</w:t>
            </w:r>
          </w:p>
        </w:tc>
        <w:tc>
          <w:tcPr>
            <w:tcW w:w="1559" w:type="dxa"/>
            <w:tcBorders>
              <w:top w:val="single" w:sz="2" w:space="0" w:color="auto"/>
              <w:bottom w:val="single" w:sz="2" w:space="0" w:color="auto"/>
            </w:tcBorders>
            <w:shd w:val="clear" w:color="auto" w:fill="F2F2F2" w:themeFill="background1" w:themeFillShade="F2"/>
          </w:tcPr>
          <w:p w14:paraId="4C4CA367" w14:textId="77777777" w:rsidR="00C37194" w:rsidRPr="00B45531" w:rsidRDefault="00C37194">
            <w:pPr>
              <w:spacing w:line="180" w:lineRule="exact"/>
              <w:jc w:val="center"/>
              <w:rPr>
                <w:sz w:val="18"/>
                <w:szCs w:val="18"/>
              </w:rPr>
            </w:pPr>
          </w:p>
          <w:p w14:paraId="33257744" w14:textId="77777777" w:rsidR="00C37194" w:rsidRPr="00B45531" w:rsidRDefault="00C37194">
            <w:pPr>
              <w:spacing w:line="180" w:lineRule="exact"/>
              <w:jc w:val="center"/>
              <w:rPr>
                <w:sz w:val="18"/>
                <w:szCs w:val="18"/>
              </w:rPr>
            </w:pPr>
            <w:r w:rsidRPr="00B45531">
              <w:rPr>
                <w:sz w:val="18"/>
                <w:szCs w:val="18"/>
              </w:rPr>
              <w:t>Modelling,</w:t>
            </w:r>
          </w:p>
          <w:p w14:paraId="3F5D452B" w14:textId="77777777" w:rsidR="00C37194" w:rsidRPr="00B45531" w:rsidRDefault="00C37194">
            <w:pPr>
              <w:spacing w:line="180" w:lineRule="exact"/>
              <w:jc w:val="center"/>
              <w:rPr>
                <w:sz w:val="18"/>
                <w:szCs w:val="18"/>
              </w:rPr>
            </w:pPr>
            <w:r w:rsidRPr="00B45531">
              <w:rPr>
                <w:sz w:val="18"/>
                <w:szCs w:val="18"/>
              </w:rPr>
              <w:t xml:space="preserve">Strains generated and tested in </w:t>
            </w:r>
            <w:r w:rsidRPr="00B45531">
              <w:rPr>
                <w:i/>
                <w:iCs/>
                <w:sz w:val="18"/>
                <w:szCs w:val="18"/>
              </w:rPr>
              <w:t xml:space="preserve">Drosophila </w:t>
            </w:r>
            <w:r w:rsidRPr="00B45531">
              <w:rPr>
                <w:sz w:val="18"/>
                <w:szCs w:val="18"/>
              </w:rPr>
              <w:t xml:space="preserve">model system </w:t>
            </w:r>
            <w:proofErr w:type="gramStart"/>
            <w:r w:rsidRPr="00B45531">
              <w:rPr>
                <w:sz w:val="18"/>
                <w:szCs w:val="18"/>
              </w:rPr>
              <w:t>only</w:t>
            </w:r>
            <w:proofErr w:type="gramEnd"/>
          </w:p>
          <w:p w14:paraId="783357D0"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64BCB48E" w14:textId="77777777" w:rsidR="00C37194" w:rsidRPr="00B45531" w:rsidRDefault="00C37194">
            <w:pPr>
              <w:spacing w:line="180" w:lineRule="exact"/>
              <w:jc w:val="center"/>
              <w:rPr>
                <w:sz w:val="18"/>
                <w:szCs w:val="18"/>
              </w:rPr>
            </w:pPr>
          </w:p>
          <w:p w14:paraId="36679E4D" w14:textId="7EC99037" w:rsidR="00C37194" w:rsidRPr="00B45531" w:rsidRDefault="00C37194">
            <w:pPr>
              <w:spacing w:line="180" w:lineRule="exact"/>
              <w:jc w:val="center"/>
              <w:rPr>
                <w:sz w:val="18"/>
                <w:szCs w:val="18"/>
              </w:rPr>
            </w:pPr>
            <w:r w:rsidRPr="00B45531">
              <w:rPr>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B45531">
              <w:rPr>
                <w:sz w:val="18"/>
                <w:szCs w:val="18"/>
              </w:rPr>
              <w:instrText xml:space="preserve"> ADDIN EN.CITE </w:instrText>
            </w:r>
            <w:r w:rsidRPr="00B45531">
              <w:rPr>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B45531">
              <w:rPr>
                <w:sz w:val="18"/>
                <w:szCs w:val="18"/>
              </w:rPr>
              <w:instrText xml:space="preserve"> ADDIN EN.CITE.DATA </w:instrText>
            </w:r>
            <w:r w:rsidRPr="00B45531">
              <w:rPr>
                <w:sz w:val="18"/>
                <w:szCs w:val="18"/>
              </w:rPr>
            </w:r>
            <w:r w:rsidRPr="00B45531">
              <w:rPr>
                <w:sz w:val="18"/>
                <w:szCs w:val="18"/>
              </w:rPr>
              <w:fldChar w:fldCharType="end"/>
            </w:r>
            <w:r w:rsidRPr="00B45531">
              <w:rPr>
                <w:sz w:val="18"/>
                <w:szCs w:val="18"/>
              </w:rPr>
            </w:r>
            <w:r w:rsidRPr="00B45531">
              <w:rPr>
                <w:sz w:val="18"/>
                <w:szCs w:val="18"/>
              </w:rPr>
              <w:fldChar w:fldCharType="separate"/>
            </w:r>
            <w:r w:rsidRPr="009E6578">
              <w:rPr>
                <w:sz w:val="18"/>
                <w:szCs w:val="18"/>
              </w:rPr>
              <w:t xml:space="preserve">Oberhofer </w:t>
            </w:r>
            <w:r w:rsidR="00F80CEB" w:rsidRPr="009E6578">
              <w:rPr>
                <w:sz w:val="18"/>
                <w:szCs w:val="18"/>
              </w:rPr>
              <w:t>and others,</w:t>
            </w:r>
            <w:r w:rsidRPr="009E6578">
              <w:rPr>
                <w:sz w:val="18"/>
                <w:szCs w:val="18"/>
              </w:rPr>
              <w:t xml:space="preserve"> 2019, 2020b</w:t>
            </w:r>
            <w:r w:rsidRPr="00B45531">
              <w:rPr>
                <w:sz w:val="18"/>
                <w:szCs w:val="18"/>
              </w:rPr>
              <w:fldChar w:fldCharType="end"/>
            </w:r>
          </w:p>
        </w:tc>
      </w:tr>
      <w:tr w:rsidR="00F721BF" w:rsidRPr="002A1A51" w14:paraId="6B68F429" w14:textId="77777777">
        <w:trPr>
          <w:trHeight w:val="265"/>
        </w:trPr>
        <w:tc>
          <w:tcPr>
            <w:tcW w:w="1418" w:type="dxa"/>
            <w:vMerge/>
            <w:shd w:val="clear" w:color="auto" w:fill="F2F2F2" w:themeFill="background1" w:themeFillShade="F2"/>
          </w:tcPr>
          <w:p w14:paraId="2B421C28" w14:textId="77777777" w:rsidR="00C37194" w:rsidRPr="00B45531" w:rsidRDefault="00C37194">
            <w:pPr>
              <w:spacing w:line="180" w:lineRule="exact"/>
              <w:jc w:val="center"/>
              <w:rPr>
                <w:sz w:val="18"/>
                <w:szCs w:val="18"/>
              </w:rPr>
            </w:pPr>
          </w:p>
        </w:tc>
        <w:tc>
          <w:tcPr>
            <w:tcW w:w="1700" w:type="dxa"/>
            <w:vMerge/>
            <w:shd w:val="clear" w:color="auto" w:fill="F2F2F2" w:themeFill="background1" w:themeFillShade="F2"/>
          </w:tcPr>
          <w:p w14:paraId="223F020D" w14:textId="77777777" w:rsidR="00C37194" w:rsidRPr="00B45531" w:rsidRDefault="00C37194">
            <w:pPr>
              <w:spacing w:line="180" w:lineRule="exact"/>
              <w:jc w:val="center"/>
              <w:rPr>
                <w:sz w:val="18"/>
                <w:szCs w:val="18"/>
              </w:rPr>
            </w:pPr>
          </w:p>
        </w:tc>
        <w:tc>
          <w:tcPr>
            <w:tcW w:w="1702" w:type="dxa"/>
            <w:tcBorders>
              <w:top w:val="single" w:sz="2" w:space="0" w:color="auto"/>
            </w:tcBorders>
            <w:shd w:val="clear" w:color="auto" w:fill="F2F2F2" w:themeFill="background1" w:themeFillShade="F2"/>
          </w:tcPr>
          <w:p w14:paraId="663E6631" w14:textId="77777777" w:rsidR="00C37194" w:rsidRPr="00B45531" w:rsidRDefault="00C37194">
            <w:pPr>
              <w:spacing w:line="180" w:lineRule="exact"/>
              <w:jc w:val="center"/>
              <w:rPr>
                <w:sz w:val="18"/>
                <w:szCs w:val="18"/>
              </w:rPr>
            </w:pPr>
          </w:p>
          <w:p w14:paraId="02E34BDB" w14:textId="77777777" w:rsidR="00C37194" w:rsidRPr="00B45531" w:rsidRDefault="00C37194">
            <w:pPr>
              <w:spacing w:line="180" w:lineRule="exact"/>
              <w:jc w:val="center"/>
              <w:rPr>
                <w:sz w:val="18"/>
                <w:szCs w:val="18"/>
              </w:rPr>
            </w:pPr>
            <w:r w:rsidRPr="00B45531">
              <w:rPr>
                <w:sz w:val="18"/>
                <w:szCs w:val="18"/>
              </w:rPr>
              <w:t xml:space="preserve">High </w:t>
            </w:r>
          </w:p>
        </w:tc>
        <w:tc>
          <w:tcPr>
            <w:tcW w:w="1844" w:type="dxa"/>
            <w:tcBorders>
              <w:top w:val="single" w:sz="2" w:space="0" w:color="auto"/>
            </w:tcBorders>
            <w:shd w:val="clear" w:color="auto" w:fill="F2F2F2" w:themeFill="background1" w:themeFillShade="F2"/>
          </w:tcPr>
          <w:p w14:paraId="64E1D32B" w14:textId="77777777" w:rsidR="00C37194" w:rsidRPr="00B45531" w:rsidRDefault="00C37194">
            <w:pPr>
              <w:spacing w:line="180" w:lineRule="exact"/>
              <w:jc w:val="center"/>
              <w:rPr>
                <w:sz w:val="18"/>
                <w:szCs w:val="18"/>
              </w:rPr>
            </w:pPr>
          </w:p>
          <w:p w14:paraId="466F04D2" w14:textId="77777777" w:rsidR="00C37194" w:rsidRPr="00B45531" w:rsidRDefault="00C37194">
            <w:pPr>
              <w:spacing w:line="180" w:lineRule="exact"/>
              <w:jc w:val="center"/>
              <w:rPr>
                <w:sz w:val="18"/>
                <w:szCs w:val="18"/>
              </w:rPr>
            </w:pPr>
            <w:r w:rsidRPr="00B45531">
              <w:rPr>
                <w:sz w:val="18"/>
                <w:szCs w:val="18"/>
              </w:rPr>
              <w:t>Self-limiting</w:t>
            </w:r>
          </w:p>
          <w:p w14:paraId="2C18C1DC" w14:textId="77777777" w:rsidR="00C37194" w:rsidRPr="00B45531" w:rsidRDefault="00C37194">
            <w:pPr>
              <w:spacing w:line="180" w:lineRule="exact"/>
              <w:jc w:val="center"/>
              <w:rPr>
                <w:sz w:val="18"/>
                <w:szCs w:val="18"/>
              </w:rPr>
            </w:pPr>
          </w:p>
        </w:tc>
        <w:tc>
          <w:tcPr>
            <w:tcW w:w="1418" w:type="dxa"/>
            <w:tcBorders>
              <w:top w:val="single" w:sz="2" w:space="0" w:color="auto"/>
            </w:tcBorders>
            <w:shd w:val="clear" w:color="auto" w:fill="F2F2F2" w:themeFill="background1" w:themeFillShade="F2"/>
          </w:tcPr>
          <w:p w14:paraId="4CD1D908" w14:textId="77777777" w:rsidR="00C37194" w:rsidRPr="00B45531" w:rsidRDefault="00C37194">
            <w:pPr>
              <w:spacing w:line="180" w:lineRule="exact"/>
              <w:jc w:val="center"/>
              <w:rPr>
                <w:sz w:val="18"/>
                <w:szCs w:val="18"/>
              </w:rPr>
            </w:pPr>
          </w:p>
          <w:p w14:paraId="297FE605" w14:textId="77777777" w:rsidR="00C37194" w:rsidRPr="00B45531" w:rsidRDefault="00C37194">
            <w:pPr>
              <w:spacing w:line="180" w:lineRule="exact"/>
              <w:jc w:val="center"/>
              <w:rPr>
                <w:sz w:val="18"/>
                <w:szCs w:val="18"/>
              </w:rPr>
            </w:pPr>
            <w:r w:rsidRPr="00B45531">
              <w:rPr>
                <w:sz w:val="18"/>
                <w:szCs w:val="18"/>
              </w:rPr>
              <w:t>Localised</w:t>
            </w:r>
          </w:p>
          <w:p w14:paraId="2AA806B0" w14:textId="77777777" w:rsidR="00C37194" w:rsidRPr="00B45531" w:rsidRDefault="00C37194">
            <w:pPr>
              <w:spacing w:line="180" w:lineRule="exact"/>
              <w:jc w:val="center"/>
              <w:rPr>
                <w:sz w:val="18"/>
                <w:szCs w:val="18"/>
              </w:rPr>
            </w:pPr>
          </w:p>
        </w:tc>
        <w:tc>
          <w:tcPr>
            <w:tcW w:w="1701" w:type="dxa"/>
            <w:tcBorders>
              <w:top w:val="single" w:sz="2" w:space="0" w:color="auto"/>
              <w:bottom w:val="single" w:sz="2" w:space="0" w:color="auto"/>
            </w:tcBorders>
            <w:shd w:val="clear" w:color="auto" w:fill="F2F2F2" w:themeFill="background1" w:themeFillShade="F2"/>
          </w:tcPr>
          <w:p w14:paraId="0B15629C" w14:textId="77777777" w:rsidR="00C37194" w:rsidRPr="00B45531" w:rsidRDefault="00C37194">
            <w:pPr>
              <w:spacing w:line="180" w:lineRule="exact"/>
              <w:jc w:val="center"/>
              <w:rPr>
                <w:sz w:val="18"/>
                <w:szCs w:val="18"/>
              </w:rPr>
            </w:pPr>
          </w:p>
          <w:p w14:paraId="4E74B7E3" w14:textId="77777777" w:rsidR="00C37194" w:rsidRPr="00B45531" w:rsidRDefault="00C37194">
            <w:pPr>
              <w:spacing w:line="180" w:lineRule="exact"/>
              <w:jc w:val="center"/>
              <w:rPr>
                <w:sz w:val="18"/>
                <w:szCs w:val="18"/>
              </w:rPr>
            </w:pPr>
            <w:r w:rsidRPr="00B45531">
              <w:rPr>
                <w:sz w:val="18"/>
                <w:szCs w:val="18"/>
              </w:rPr>
              <w:t xml:space="preserve">Toxin antidote rescue system, </w:t>
            </w:r>
          </w:p>
          <w:p w14:paraId="6EBF68A9" w14:textId="77777777" w:rsidR="00C37194" w:rsidRPr="00B45531" w:rsidRDefault="00C37194">
            <w:pPr>
              <w:spacing w:line="180" w:lineRule="exact"/>
              <w:jc w:val="center"/>
              <w:rPr>
                <w:sz w:val="18"/>
                <w:szCs w:val="18"/>
              </w:rPr>
            </w:pPr>
            <w:r w:rsidRPr="00B45531">
              <w:rPr>
                <w:sz w:val="18"/>
                <w:szCs w:val="18"/>
              </w:rPr>
              <w:t>Split drive</w:t>
            </w:r>
          </w:p>
          <w:p w14:paraId="401F1C7F" w14:textId="77777777" w:rsidR="00C37194" w:rsidRPr="00B45531" w:rsidRDefault="00C37194">
            <w:pPr>
              <w:spacing w:line="180" w:lineRule="exact"/>
              <w:jc w:val="center"/>
              <w:rPr>
                <w:sz w:val="18"/>
                <w:szCs w:val="18"/>
              </w:rPr>
            </w:pPr>
          </w:p>
          <w:p w14:paraId="04950CC8" w14:textId="77777777" w:rsidR="00C37194" w:rsidRPr="00B45531" w:rsidRDefault="00C37194">
            <w:pPr>
              <w:spacing w:line="180" w:lineRule="exact"/>
              <w:jc w:val="center"/>
              <w:rPr>
                <w:sz w:val="18"/>
                <w:szCs w:val="18"/>
              </w:rPr>
            </w:pPr>
          </w:p>
        </w:tc>
        <w:tc>
          <w:tcPr>
            <w:tcW w:w="1842" w:type="dxa"/>
            <w:tcBorders>
              <w:top w:val="single" w:sz="2" w:space="0" w:color="auto"/>
              <w:bottom w:val="single" w:sz="2" w:space="0" w:color="auto"/>
            </w:tcBorders>
            <w:shd w:val="clear" w:color="auto" w:fill="F2F2F2" w:themeFill="background1" w:themeFillShade="F2"/>
          </w:tcPr>
          <w:p w14:paraId="6518038F" w14:textId="77777777" w:rsidR="00C37194" w:rsidRPr="00B45531" w:rsidRDefault="00C37194">
            <w:pPr>
              <w:spacing w:line="180" w:lineRule="exact"/>
              <w:jc w:val="center"/>
              <w:rPr>
                <w:sz w:val="18"/>
                <w:szCs w:val="18"/>
              </w:rPr>
            </w:pPr>
          </w:p>
          <w:p w14:paraId="654D79E9" w14:textId="77777777" w:rsidR="00C37194" w:rsidRPr="00B45531" w:rsidRDefault="00C37194">
            <w:pPr>
              <w:spacing w:line="180" w:lineRule="exact"/>
              <w:jc w:val="center"/>
              <w:rPr>
                <w:sz w:val="18"/>
                <w:szCs w:val="18"/>
              </w:rPr>
            </w:pPr>
            <w:r w:rsidRPr="00B45531">
              <w:rPr>
                <w:sz w:val="18"/>
                <w:szCs w:val="18"/>
              </w:rPr>
              <w:t>Modification or suppression</w:t>
            </w:r>
          </w:p>
          <w:p w14:paraId="684ACE3D" w14:textId="77777777" w:rsidR="00C37194" w:rsidRPr="00B45531" w:rsidRDefault="00C37194">
            <w:pPr>
              <w:spacing w:line="180" w:lineRule="exact"/>
              <w:jc w:val="center"/>
              <w:rPr>
                <w:sz w:val="18"/>
                <w:szCs w:val="18"/>
              </w:rPr>
            </w:pPr>
          </w:p>
        </w:tc>
        <w:tc>
          <w:tcPr>
            <w:tcW w:w="1559" w:type="dxa"/>
            <w:tcBorders>
              <w:top w:val="single" w:sz="2" w:space="0" w:color="auto"/>
              <w:bottom w:val="single" w:sz="2" w:space="0" w:color="auto"/>
            </w:tcBorders>
            <w:shd w:val="clear" w:color="auto" w:fill="F2F2F2" w:themeFill="background1" w:themeFillShade="F2"/>
          </w:tcPr>
          <w:p w14:paraId="18D6D7E6" w14:textId="77777777" w:rsidR="00C37194" w:rsidRPr="00B45531" w:rsidRDefault="00C37194">
            <w:pPr>
              <w:spacing w:line="180" w:lineRule="exact"/>
              <w:jc w:val="center"/>
              <w:rPr>
                <w:sz w:val="18"/>
                <w:szCs w:val="18"/>
              </w:rPr>
            </w:pPr>
          </w:p>
          <w:p w14:paraId="05254EF3" w14:textId="77777777" w:rsidR="00C37194" w:rsidRPr="00B45531" w:rsidRDefault="00C37194">
            <w:pPr>
              <w:spacing w:line="180" w:lineRule="exact"/>
              <w:jc w:val="center"/>
              <w:rPr>
                <w:sz w:val="18"/>
                <w:szCs w:val="18"/>
              </w:rPr>
            </w:pPr>
            <w:r w:rsidRPr="00B45531">
              <w:rPr>
                <w:sz w:val="18"/>
                <w:szCs w:val="18"/>
              </w:rPr>
              <w:t>Modelling,</w:t>
            </w:r>
          </w:p>
          <w:p w14:paraId="03528331" w14:textId="77777777" w:rsidR="00C37194" w:rsidRPr="00B45531" w:rsidRDefault="00C37194">
            <w:pPr>
              <w:spacing w:line="180" w:lineRule="exact"/>
              <w:jc w:val="center"/>
              <w:rPr>
                <w:sz w:val="18"/>
                <w:szCs w:val="18"/>
              </w:rPr>
            </w:pPr>
            <w:r w:rsidRPr="00B45531">
              <w:rPr>
                <w:sz w:val="18"/>
                <w:szCs w:val="18"/>
              </w:rPr>
              <w:t xml:space="preserve">Strains generated and tested in </w:t>
            </w:r>
            <w:r w:rsidRPr="00B45531">
              <w:rPr>
                <w:i/>
                <w:iCs/>
                <w:sz w:val="18"/>
                <w:szCs w:val="18"/>
              </w:rPr>
              <w:t xml:space="preserve">Drosophila </w:t>
            </w:r>
            <w:r w:rsidRPr="00B45531">
              <w:rPr>
                <w:sz w:val="18"/>
                <w:szCs w:val="18"/>
              </w:rPr>
              <w:t xml:space="preserve">model system </w:t>
            </w:r>
            <w:proofErr w:type="gramStart"/>
            <w:r w:rsidRPr="00B45531">
              <w:rPr>
                <w:sz w:val="18"/>
                <w:szCs w:val="18"/>
              </w:rPr>
              <w:t>only</w:t>
            </w:r>
            <w:proofErr w:type="gramEnd"/>
          </w:p>
          <w:p w14:paraId="0F7FAA26" w14:textId="77777777" w:rsidR="00C37194" w:rsidRPr="00B45531" w:rsidRDefault="00C37194">
            <w:pPr>
              <w:spacing w:line="180" w:lineRule="exact"/>
              <w:jc w:val="center"/>
              <w:rPr>
                <w:sz w:val="18"/>
                <w:szCs w:val="18"/>
              </w:rPr>
            </w:pPr>
          </w:p>
          <w:p w14:paraId="2FAF21E4" w14:textId="77777777" w:rsidR="00C37194" w:rsidRPr="00B45531" w:rsidRDefault="00C37194">
            <w:pPr>
              <w:spacing w:line="180" w:lineRule="exact"/>
              <w:jc w:val="center"/>
              <w:rPr>
                <w:sz w:val="18"/>
                <w:szCs w:val="18"/>
              </w:rPr>
            </w:pPr>
          </w:p>
        </w:tc>
        <w:tc>
          <w:tcPr>
            <w:tcW w:w="1417" w:type="dxa"/>
            <w:tcBorders>
              <w:top w:val="single" w:sz="2" w:space="0" w:color="auto"/>
              <w:bottom w:val="single" w:sz="2" w:space="0" w:color="auto"/>
            </w:tcBorders>
            <w:shd w:val="clear" w:color="auto" w:fill="F2F2F2" w:themeFill="background1" w:themeFillShade="F2"/>
          </w:tcPr>
          <w:p w14:paraId="6CB3E724" w14:textId="77777777" w:rsidR="00C37194" w:rsidRPr="00B45531" w:rsidRDefault="00C37194">
            <w:pPr>
              <w:spacing w:line="180" w:lineRule="exact"/>
              <w:jc w:val="center"/>
              <w:rPr>
                <w:sz w:val="18"/>
                <w:szCs w:val="18"/>
              </w:rPr>
            </w:pPr>
          </w:p>
          <w:p w14:paraId="2C9BADD8" w14:textId="10E7E628" w:rsidR="00C37194" w:rsidRPr="00E64AF4" w:rsidRDefault="00F15579">
            <w:pPr>
              <w:spacing w:line="180" w:lineRule="exact"/>
              <w:jc w:val="center"/>
              <w:rPr>
                <w:sz w:val="18"/>
                <w:lang w:val="en-US"/>
              </w:rPr>
            </w:pPr>
            <w:r w:rsidRPr="009E6578">
              <w:rPr>
                <w:sz w:val="18"/>
                <w:lang w:val="en-US"/>
              </w:rPr>
              <w:t>Gould and others, 2008</w:t>
            </w:r>
            <w:r>
              <w:rPr>
                <w:sz w:val="18"/>
                <w:lang w:val="en-US"/>
              </w:rPr>
              <w:t>;</w:t>
            </w:r>
            <w:r w:rsidR="00C37194" w:rsidRPr="00B45531">
              <w:rPr>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00C37194" w:rsidRPr="00E64AF4">
              <w:rPr>
                <w:sz w:val="18"/>
                <w:lang w:val="en-US"/>
              </w:rPr>
              <w:instrText xml:space="preserve"> ADDIN EN.CITE </w:instrText>
            </w:r>
            <w:r w:rsidR="00C37194" w:rsidRPr="00B45531">
              <w:rPr>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00C37194" w:rsidRPr="006A349B">
              <w:rPr>
                <w:sz w:val="18"/>
                <w:lang w:val="en-US"/>
              </w:rPr>
              <w:instrText xml:space="preserve"> ADDIN EN.CITE.DATA </w:instrText>
            </w:r>
            <w:r w:rsidR="00C37194" w:rsidRPr="00B45531">
              <w:rPr>
                <w:sz w:val="18"/>
                <w:szCs w:val="18"/>
              </w:rPr>
            </w:r>
            <w:r w:rsidR="00C37194" w:rsidRPr="00B45531">
              <w:rPr>
                <w:sz w:val="18"/>
                <w:szCs w:val="18"/>
              </w:rPr>
              <w:fldChar w:fldCharType="end"/>
            </w:r>
            <w:r w:rsidR="00C37194" w:rsidRPr="00B45531">
              <w:rPr>
                <w:sz w:val="18"/>
                <w:szCs w:val="18"/>
              </w:rPr>
            </w:r>
            <w:r w:rsidR="00C37194" w:rsidRPr="00B45531">
              <w:rPr>
                <w:sz w:val="18"/>
                <w:szCs w:val="18"/>
              </w:rPr>
              <w:fldChar w:fldCharType="separate"/>
            </w:r>
            <w:r w:rsidR="00C37194" w:rsidRPr="00E64AF4">
              <w:rPr>
                <w:sz w:val="18"/>
                <w:lang w:val="en-US"/>
              </w:rPr>
              <w:t xml:space="preserve">Akbari </w:t>
            </w:r>
            <w:r w:rsidR="00F80CEB" w:rsidRPr="00E64AF4">
              <w:rPr>
                <w:sz w:val="18"/>
                <w:lang w:val="en-US"/>
              </w:rPr>
              <w:t>and others,</w:t>
            </w:r>
            <w:r w:rsidR="00C37194" w:rsidRPr="00E64AF4">
              <w:rPr>
                <w:sz w:val="18"/>
                <w:lang w:val="en-US"/>
              </w:rPr>
              <w:t xml:space="preserve"> 2013; </w:t>
            </w:r>
            <w:r w:rsidR="00C37194" w:rsidRPr="009E6578">
              <w:rPr>
                <w:sz w:val="18"/>
                <w:lang w:val="en-US"/>
              </w:rPr>
              <w:t xml:space="preserve">Champer </w:t>
            </w:r>
            <w:r w:rsidR="00F80CEB" w:rsidRPr="009E6578">
              <w:rPr>
                <w:sz w:val="18"/>
                <w:lang w:val="en-US"/>
              </w:rPr>
              <w:t>and others,</w:t>
            </w:r>
            <w:r w:rsidR="00C37194" w:rsidRPr="009E6578">
              <w:rPr>
                <w:sz w:val="18"/>
                <w:lang w:val="en-US"/>
              </w:rPr>
              <w:t xml:space="preserve"> 2020a</w:t>
            </w:r>
            <w:r w:rsidR="00F80CEB" w:rsidRPr="009E6578">
              <w:rPr>
                <w:sz w:val="18"/>
                <w:lang w:val="en-US"/>
              </w:rPr>
              <w:t>,</w:t>
            </w:r>
            <w:r w:rsidR="00C37194" w:rsidRPr="009E6578">
              <w:rPr>
                <w:sz w:val="18"/>
                <w:lang w:val="en-US"/>
              </w:rPr>
              <w:t xml:space="preserve"> 2020b;</w:t>
            </w:r>
            <w:r w:rsidR="00C37194" w:rsidRPr="00E64AF4">
              <w:rPr>
                <w:sz w:val="18"/>
                <w:lang w:val="en-US"/>
              </w:rPr>
              <w:t xml:space="preserve"> </w:t>
            </w:r>
            <w:r w:rsidR="00C37194" w:rsidRPr="009E6578">
              <w:rPr>
                <w:sz w:val="18"/>
                <w:lang w:val="en-US"/>
              </w:rPr>
              <w:t xml:space="preserve">Oberhofer </w:t>
            </w:r>
            <w:r w:rsidR="00F80CEB" w:rsidRPr="009E6578">
              <w:rPr>
                <w:sz w:val="18"/>
                <w:lang w:val="en-US"/>
              </w:rPr>
              <w:t>and others,</w:t>
            </w:r>
            <w:r w:rsidR="00C37194" w:rsidRPr="009E6578">
              <w:rPr>
                <w:sz w:val="18"/>
                <w:lang w:val="en-US"/>
              </w:rPr>
              <w:t xml:space="preserve"> 2020a </w:t>
            </w:r>
            <w:r w:rsidR="00F80CEB" w:rsidRPr="009E6578">
              <w:rPr>
                <w:sz w:val="18"/>
                <w:lang w:val="en-US"/>
              </w:rPr>
              <w:t xml:space="preserve">and others, </w:t>
            </w:r>
            <w:r w:rsidR="00C37194" w:rsidRPr="009E6578">
              <w:rPr>
                <w:sz w:val="18"/>
                <w:lang w:val="en-US"/>
              </w:rPr>
              <w:t>2021</w:t>
            </w:r>
            <w:r w:rsidR="00C37194" w:rsidRPr="00B45531">
              <w:rPr>
                <w:sz w:val="18"/>
                <w:szCs w:val="18"/>
              </w:rPr>
              <w:fldChar w:fldCharType="end"/>
            </w:r>
          </w:p>
        </w:tc>
      </w:tr>
      <w:tr w:rsidR="00F721BF" w:rsidRPr="002A1A51" w14:paraId="24972D16" w14:textId="77777777">
        <w:trPr>
          <w:trHeight w:val="265"/>
        </w:trPr>
        <w:tc>
          <w:tcPr>
            <w:tcW w:w="1418" w:type="dxa"/>
            <w:tcBorders>
              <w:bottom w:val="single" w:sz="18" w:space="0" w:color="auto"/>
            </w:tcBorders>
            <w:shd w:val="clear" w:color="auto" w:fill="F2F2F2" w:themeFill="background1" w:themeFillShade="F2"/>
          </w:tcPr>
          <w:p w14:paraId="346BA7AE" w14:textId="06F92B42" w:rsidR="00C37194" w:rsidRPr="00E64AF4" w:rsidRDefault="004B3E45">
            <w:pPr>
              <w:spacing w:line="180" w:lineRule="exact"/>
              <w:jc w:val="center"/>
              <w:rPr>
                <w:sz w:val="18"/>
                <w:lang w:val="en-US"/>
              </w:rPr>
            </w:pPr>
            <w:r>
              <w:rPr>
                <w:sz w:val="18"/>
                <w:lang w:val="en-US"/>
              </w:rPr>
              <w:t xml:space="preserve">         </w:t>
            </w:r>
          </w:p>
        </w:tc>
        <w:tc>
          <w:tcPr>
            <w:tcW w:w="1700" w:type="dxa"/>
            <w:tcBorders>
              <w:bottom w:val="single" w:sz="18" w:space="0" w:color="auto"/>
            </w:tcBorders>
            <w:shd w:val="clear" w:color="auto" w:fill="F2F2F2" w:themeFill="background1" w:themeFillShade="F2"/>
          </w:tcPr>
          <w:p w14:paraId="210C8F83" w14:textId="77777777" w:rsidR="00C37194" w:rsidRPr="00E64AF4" w:rsidRDefault="00C37194">
            <w:pPr>
              <w:spacing w:line="180" w:lineRule="exact"/>
              <w:jc w:val="center"/>
              <w:rPr>
                <w:sz w:val="18"/>
                <w:lang w:val="en-US"/>
              </w:rPr>
            </w:pPr>
          </w:p>
        </w:tc>
        <w:tc>
          <w:tcPr>
            <w:tcW w:w="1702" w:type="dxa"/>
            <w:tcBorders>
              <w:bottom w:val="single" w:sz="18" w:space="0" w:color="auto"/>
            </w:tcBorders>
            <w:shd w:val="clear" w:color="auto" w:fill="F2F2F2" w:themeFill="background1" w:themeFillShade="F2"/>
          </w:tcPr>
          <w:p w14:paraId="79EA4B22" w14:textId="77777777" w:rsidR="00C37194" w:rsidRPr="00E64AF4" w:rsidRDefault="00C37194">
            <w:pPr>
              <w:spacing w:line="180" w:lineRule="exact"/>
              <w:jc w:val="center"/>
              <w:rPr>
                <w:sz w:val="18"/>
                <w:lang w:val="en-US"/>
              </w:rPr>
            </w:pPr>
          </w:p>
        </w:tc>
        <w:tc>
          <w:tcPr>
            <w:tcW w:w="1844" w:type="dxa"/>
            <w:tcBorders>
              <w:bottom w:val="single" w:sz="18" w:space="0" w:color="auto"/>
            </w:tcBorders>
            <w:shd w:val="clear" w:color="auto" w:fill="F2F2F2" w:themeFill="background1" w:themeFillShade="F2"/>
          </w:tcPr>
          <w:p w14:paraId="2C51608C" w14:textId="77777777" w:rsidR="00C37194" w:rsidRPr="00E64AF4" w:rsidRDefault="00C37194">
            <w:pPr>
              <w:spacing w:line="180" w:lineRule="exact"/>
              <w:jc w:val="center"/>
              <w:rPr>
                <w:sz w:val="18"/>
                <w:lang w:val="en-US"/>
              </w:rPr>
            </w:pPr>
          </w:p>
        </w:tc>
        <w:tc>
          <w:tcPr>
            <w:tcW w:w="1418" w:type="dxa"/>
            <w:tcBorders>
              <w:bottom w:val="single" w:sz="18" w:space="0" w:color="auto"/>
            </w:tcBorders>
            <w:shd w:val="clear" w:color="auto" w:fill="F2F2F2" w:themeFill="background1" w:themeFillShade="F2"/>
          </w:tcPr>
          <w:p w14:paraId="48F1A4D0" w14:textId="77777777" w:rsidR="00C37194" w:rsidRPr="00E64AF4" w:rsidRDefault="00C37194">
            <w:pPr>
              <w:spacing w:line="180" w:lineRule="exact"/>
              <w:jc w:val="center"/>
              <w:rPr>
                <w:sz w:val="18"/>
                <w:lang w:val="en-US"/>
              </w:rPr>
            </w:pPr>
          </w:p>
        </w:tc>
        <w:tc>
          <w:tcPr>
            <w:tcW w:w="1701" w:type="dxa"/>
            <w:tcBorders>
              <w:top w:val="single" w:sz="2" w:space="0" w:color="auto"/>
              <w:bottom w:val="single" w:sz="18" w:space="0" w:color="auto"/>
            </w:tcBorders>
            <w:shd w:val="clear" w:color="auto" w:fill="F2F2F2" w:themeFill="background1" w:themeFillShade="F2"/>
          </w:tcPr>
          <w:p w14:paraId="794CA41D" w14:textId="77777777" w:rsidR="00C37194" w:rsidRPr="00E64AF4" w:rsidRDefault="00C37194">
            <w:pPr>
              <w:spacing w:line="180" w:lineRule="exact"/>
              <w:jc w:val="center"/>
              <w:rPr>
                <w:sz w:val="18"/>
                <w:lang w:val="en-US"/>
              </w:rPr>
            </w:pPr>
          </w:p>
          <w:p w14:paraId="0C40E39A" w14:textId="77777777" w:rsidR="00C37194" w:rsidRPr="00B45531" w:rsidRDefault="00C37194">
            <w:pPr>
              <w:spacing w:line="180" w:lineRule="exact"/>
              <w:jc w:val="center"/>
              <w:rPr>
                <w:sz w:val="18"/>
                <w:szCs w:val="18"/>
              </w:rPr>
            </w:pPr>
            <w:r w:rsidRPr="00B45531">
              <w:rPr>
                <w:sz w:val="18"/>
                <w:szCs w:val="18"/>
              </w:rPr>
              <w:t>One-locus underdominance</w:t>
            </w:r>
          </w:p>
        </w:tc>
        <w:tc>
          <w:tcPr>
            <w:tcW w:w="1842" w:type="dxa"/>
            <w:tcBorders>
              <w:top w:val="single" w:sz="2" w:space="0" w:color="auto"/>
              <w:bottom w:val="single" w:sz="18" w:space="0" w:color="auto"/>
            </w:tcBorders>
            <w:shd w:val="clear" w:color="auto" w:fill="F2F2F2" w:themeFill="background1" w:themeFillShade="F2"/>
          </w:tcPr>
          <w:p w14:paraId="30683030" w14:textId="77777777" w:rsidR="00C37194" w:rsidRPr="00B45531" w:rsidRDefault="00C37194">
            <w:pPr>
              <w:spacing w:line="180" w:lineRule="exact"/>
              <w:jc w:val="center"/>
              <w:rPr>
                <w:sz w:val="18"/>
                <w:szCs w:val="18"/>
              </w:rPr>
            </w:pPr>
          </w:p>
          <w:p w14:paraId="280D5F7B" w14:textId="77777777" w:rsidR="00C37194" w:rsidRPr="00B45531" w:rsidRDefault="00C37194">
            <w:pPr>
              <w:spacing w:line="180" w:lineRule="exact"/>
              <w:jc w:val="center"/>
              <w:rPr>
                <w:sz w:val="18"/>
                <w:szCs w:val="18"/>
              </w:rPr>
            </w:pPr>
            <w:r w:rsidRPr="00B45531">
              <w:rPr>
                <w:sz w:val="18"/>
                <w:szCs w:val="18"/>
              </w:rPr>
              <w:t>Modification or suppression</w:t>
            </w:r>
          </w:p>
        </w:tc>
        <w:tc>
          <w:tcPr>
            <w:tcW w:w="1559" w:type="dxa"/>
            <w:tcBorders>
              <w:top w:val="single" w:sz="2" w:space="0" w:color="auto"/>
              <w:bottom w:val="single" w:sz="18" w:space="0" w:color="auto"/>
            </w:tcBorders>
            <w:shd w:val="clear" w:color="auto" w:fill="F2F2F2" w:themeFill="background1" w:themeFillShade="F2"/>
          </w:tcPr>
          <w:p w14:paraId="2414B472" w14:textId="77777777" w:rsidR="00C37194" w:rsidRPr="00B45531" w:rsidRDefault="00C37194">
            <w:pPr>
              <w:spacing w:line="180" w:lineRule="exact"/>
              <w:jc w:val="center"/>
              <w:rPr>
                <w:sz w:val="18"/>
                <w:szCs w:val="18"/>
              </w:rPr>
            </w:pPr>
          </w:p>
          <w:p w14:paraId="495B4D2F" w14:textId="77777777" w:rsidR="00C37194" w:rsidRPr="00B45531" w:rsidRDefault="00C37194">
            <w:pPr>
              <w:spacing w:line="180" w:lineRule="exact"/>
              <w:jc w:val="center"/>
              <w:rPr>
                <w:sz w:val="18"/>
                <w:szCs w:val="18"/>
              </w:rPr>
            </w:pPr>
            <w:r w:rsidRPr="00B45531">
              <w:rPr>
                <w:sz w:val="18"/>
                <w:szCs w:val="18"/>
              </w:rPr>
              <w:t>Modelling,</w:t>
            </w:r>
          </w:p>
          <w:p w14:paraId="4EACE0C3" w14:textId="77777777" w:rsidR="00C37194" w:rsidRPr="00B45531" w:rsidRDefault="00C37194">
            <w:pPr>
              <w:spacing w:line="180" w:lineRule="exact"/>
              <w:jc w:val="center"/>
              <w:rPr>
                <w:sz w:val="18"/>
                <w:szCs w:val="18"/>
              </w:rPr>
            </w:pPr>
            <w:r w:rsidRPr="00B45531">
              <w:rPr>
                <w:sz w:val="18"/>
                <w:szCs w:val="18"/>
              </w:rPr>
              <w:t xml:space="preserve">Strains generated and tested in </w:t>
            </w:r>
            <w:r w:rsidRPr="00B45531">
              <w:rPr>
                <w:i/>
                <w:iCs/>
                <w:sz w:val="18"/>
                <w:szCs w:val="18"/>
              </w:rPr>
              <w:t xml:space="preserve">Drosophila </w:t>
            </w:r>
            <w:r w:rsidRPr="00B45531">
              <w:rPr>
                <w:sz w:val="18"/>
                <w:szCs w:val="18"/>
              </w:rPr>
              <w:t xml:space="preserve">model systems </w:t>
            </w:r>
            <w:proofErr w:type="gramStart"/>
            <w:r w:rsidRPr="00B45531">
              <w:rPr>
                <w:sz w:val="18"/>
                <w:szCs w:val="18"/>
              </w:rPr>
              <w:t>only</w:t>
            </w:r>
            <w:proofErr w:type="gramEnd"/>
          </w:p>
          <w:p w14:paraId="593766C4" w14:textId="77777777" w:rsidR="00C37194" w:rsidRPr="00B45531" w:rsidRDefault="00C37194">
            <w:pPr>
              <w:spacing w:line="180" w:lineRule="exact"/>
              <w:jc w:val="center"/>
              <w:rPr>
                <w:sz w:val="18"/>
                <w:szCs w:val="18"/>
              </w:rPr>
            </w:pPr>
          </w:p>
        </w:tc>
        <w:tc>
          <w:tcPr>
            <w:tcW w:w="1417" w:type="dxa"/>
            <w:tcBorders>
              <w:top w:val="single" w:sz="2" w:space="0" w:color="auto"/>
              <w:bottom w:val="single" w:sz="18" w:space="0" w:color="auto"/>
            </w:tcBorders>
            <w:shd w:val="clear" w:color="auto" w:fill="F2F2F2" w:themeFill="background1" w:themeFillShade="F2"/>
          </w:tcPr>
          <w:p w14:paraId="3D6E4372" w14:textId="77777777" w:rsidR="00C37194" w:rsidRPr="00B45531" w:rsidRDefault="00C37194">
            <w:pPr>
              <w:spacing w:line="180" w:lineRule="exact"/>
              <w:jc w:val="center"/>
              <w:rPr>
                <w:sz w:val="18"/>
                <w:szCs w:val="18"/>
              </w:rPr>
            </w:pPr>
          </w:p>
          <w:p w14:paraId="4A1E48E0" w14:textId="38EE3E5B" w:rsidR="00C37194" w:rsidRPr="00E64AF4" w:rsidRDefault="00F15579">
            <w:pPr>
              <w:spacing w:line="180" w:lineRule="exact"/>
              <w:jc w:val="center"/>
              <w:rPr>
                <w:sz w:val="18"/>
                <w:lang w:val="en-US"/>
              </w:rPr>
            </w:pPr>
            <w:r w:rsidRPr="009E6578">
              <w:rPr>
                <w:sz w:val="18"/>
                <w:lang w:val="en-US"/>
              </w:rPr>
              <w:t>Reeves and others, 2014, Buchman and others, 2018b</w:t>
            </w:r>
            <w:r>
              <w:rPr>
                <w:sz w:val="18"/>
                <w:lang w:val="en-US"/>
              </w:rPr>
              <w:t>, 2021</w:t>
            </w:r>
            <w:r w:rsidRPr="00E64AF4">
              <w:rPr>
                <w:sz w:val="18"/>
                <w:lang w:val="en-US"/>
              </w:rPr>
              <w:t xml:space="preserve">; </w:t>
            </w:r>
            <w:r w:rsidRPr="009E6578">
              <w:rPr>
                <w:sz w:val="18"/>
                <w:lang w:val="en-US"/>
              </w:rPr>
              <w:t>Dhole and others, 2018, 2019</w:t>
            </w:r>
            <w:r w:rsidR="00C37194" w:rsidRPr="00B45531">
              <w:rPr>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00C37194" w:rsidRPr="00E64AF4">
              <w:rPr>
                <w:sz w:val="18"/>
                <w:lang w:val="en-US"/>
              </w:rPr>
              <w:instrText xml:space="preserve"> ADDIN EN.CITE </w:instrText>
            </w:r>
            <w:r w:rsidR="00C37194" w:rsidRPr="00B45531">
              <w:rPr>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00C37194" w:rsidRPr="006A349B">
              <w:rPr>
                <w:sz w:val="18"/>
                <w:lang w:val="en-US"/>
              </w:rPr>
              <w:instrText xml:space="preserve"> ADDIN EN.CITE.DATA </w:instrText>
            </w:r>
            <w:r w:rsidR="00C37194" w:rsidRPr="00B45531">
              <w:rPr>
                <w:sz w:val="18"/>
                <w:szCs w:val="18"/>
              </w:rPr>
            </w:r>
            <w:r w:rsidR="00C37194" w:rsidRPr="00B45531">
              <w:rPr>
                <w:sz w:val="18"/>
                <w:szCs w:val="18"/>
              </w:rPr>
              <w:fldChar w:fldCharType="end"/>
            </w:r>
            <w:r w:rsidR="00FA4183">
              <w:rPr>
                <w:sz w:val="18"/>
                <w:szCs w:val="18"/>
              </w:rPr>
            </w:r>
            <w:r w:rsidR="00FA4183">
              <w:rPr>
                <w:sz w:val="18"/>
                <w:szCs w:val="18"/>
              </w:rPr>
              <w:fldChar w:fldCharType="separate"/>
            </w:r>
            <w:r w:rsidR="00C37194" w:rsidRPr="00B45531">
              <w:rPr>
                <w:sz w:val="18"/>
                <w:szCs w:val="18"/>
              </w:rPr>
              <w:fldChar w:fldCharType="end"/>
            </w:r>
          </w:p>
          <w:p w14:paraId="06DE98C3" w14:textId="77777777" w:rsidR="00C37194" w:rsidRPr="00E64AF4" w:rsidRDefault="00C37194">
            <w:pPr>
              <w:spacing w:line="180" w:lineRule="exact"/>
              <w:jc w:val="center"/>
              <w:rPr>
                <w:sz w:val="18"/>
                <w:lang w:val="en-US"/>
              </w:rPr>
            </w:pPr>
          </w:p>
        </w:tc>
      </w:tr>
    </w:tbl>
    <w:p w14:paraId="39ED42AE" w14:textId="77777777" w:rsidR="00C37194" w:rsidRPr="00E64AF4" w:rsidRDefault="00C37194" w:rsidP="00C37194">
      <w:pPr>
        <w:rPr>
          <w:lang w:val="en-US"/>
        </w:rPr>
        <w:sectPr w:rsidR="00C37194" w:rsidRPr="00E64AF4" w:rsidSect="003724BD">
          <w:type w:val="continuous"/>
          <w:pgSz w:w="16838" w:h="11906" w:orient="landscape"/>
          <w:pgMar w:top="1440" w:right="1440" w:bottom="1440" w:left="1440" w:header="709" w:footer="709" w:gutter="0"/>
          <w:cols w:space="708"/>
          <w:docGrid w:linePitch="360"/>
        </w:sectPr>
      </w:pPr>
    </w:p>
    <w:p w14:paraId="2CC3C659" w14:textId="1C9C66F2" w:rsidR="004933D2" w:rsidRDefault="00E307D3" w:rsidP="00510EBB">
      <w:pPr>
        <w:pStyle w:val="Heading2"/>
        <w:spacing w:line="276" w:lineRule="auto"/>
      </w:pPr>
      <w:bookmarkStart w:id="163" w:name="_Toc161220538"/>
      <w:r w:rsidRPr="00510EBB">
        <w:rPr>
          <w:rFonts w:ascii="Times New Roman" w:hAnsi="Times New Roman" w:cs="Times New Roman"/>
          <w:b/>
          <w:color w:val="auto"/>
          <w:sz w:val="28"/>
          <w:szCs w:val="28"/>
          <w:lang w:val="en-GB"/>
        </w:rPr>
        <w:lastRenderedPageBreak/>
        <w:t xml:space="preserve">Annex </w:t>
      </w:r>
      <w:r w:rsidR="00710BB4">
        <w:rPr>
          <w:rFonts w:ascii="Times New Roman" w:hAnsi="Times New Roman" w:cs="Times New Roman"/>
          <w:b/>
          <w:bCs/>
          <w:color w:val="auto"/>
          <w:sz w:val="28"/>
          <w:szCs w:val="28"/>
          <w:lang w:val="en-GB"/>
        </w:rPr>
        <w:t>VII</w:t>
      </w:r>
      <w:bookmarkEnd w:id="163"/>
    </w:p>
    <w:p w14:paraId="2177FA00" w14:textId="1048E227" w:rsidR="00C37194" w:rsidRPr="00AE7560" w:rsidRDefault="004933D2" w:rsidP="001516BD">
      <w:r w:rsidRPr="00510EBB">
        <w:rPr>
          <w:rFonts w:ascii="Times New Roman" w:eastAsia="Times New Roman" w:hAnsi="Times New Roman" w:cs="Times New Roman"/>
          <w:b/>
          <w:sz w:val="28"/>
          <w:szCs w:val="28"/>
        </w:rPr>
        <w:t xml:space="preserve">Engineered gene drive </w:t>
      </w:r>
      <w:proofErr w:type="gramStart"/>
      <w:r w:rsidRPr="00510EBB">
        <w:rPr>
          <w:rFonts w:ascii="Times New Roman" w:eastAsia="Times New Roman" w:hAnsi="Times New Roman" w:cs="Times New Roman"/>
          <w:b/>
          <w:sz w:val="28"/>
          <w:szCs w:val="28"/>
        </w:rPr>
        <w:t>systems</w:t>
      </w:r>
      <w:proofErr w:type="gramEnd"/>
    </w:p>
    <w:p w14:paraId="12BEA40D" w14:textId="7D6F569E" w:rsidR="00C37194" w:rsidRPr="001516BD" w:rsidRDefault="00AB0846" w:rsidP="001516BD">
      <w:pPr>
        <w:rPr>
          <w:rFonts w:ascii="Times New Roman" w:hAnsi="Times New Roman"/>
          <w:b/>
        </w:rPr>
      </w:pPr>
      <w:r w:rsidRPr="001516BD">
        <w:rPr>
          <w:rFonts w:ascii="Times New Roman" w:hAnsi="Times New Roman"/>
          <w:b/>
        </w:rPr>
        <w:t xml:space="preserve">A. </w:t>
      </w:r>
      <w:r w:rsidR="00C37194" w:rsidRPr="001516BD">
        <w:rPr>
          <w:rFonts w:ascii="Times New Roman" w:hAnsi="Times New Roman"/>
          <w:b/>
        </w:rPr>
        <w:t>Homing</w:t>
      </w:r>
    </w:p>
    <w:p w14:paraId="6E352F0D" w14:textId="40F25C2C" w:rsidR="00C37194" w:rsidRPr="0076240E" w:rsidRDefault="00C37194" w:rsidP="001516BD">
      <w:pPr>
        <w:spacing w:line="276" w:lineRule="auto"/>
        <w:jc w:val="both"/>
        <w:rPr>
          <w:rFonts w:ascii="Times New Roman" w:hAnsi="Times New Roman"/>
          <w:i/>
          <w:iCs/>
        </w:rPr>
      </w:pPr>
      <w:r w:rsidRPr="001516BD">
        <w:rPr>
          <w:rFonts w:ascii="Times New Roman" w:hAnsi="Times New Roman" w:cs="Times New Roman"/>
        </w:rPr>
        <w:t xml:space="preserve">Here, an EGD results in germline expression of both the CRISPR-Cas9 endonuclease and guide RNAs, which together recognize and cleave specific sequences in the genome </w:t>
      </w:r>
      <w:r w:rsidRPr="009E6578">
        <w:rPr>
          <w:rFonts w:ascii="Times New Roman" w:hAnsi="Times New Roman" w:cs="Times New Roman"/>
        </w:rPr>
        <w:fldChar w:fldCharType="begin">
          <w:fldData xml:space="preserve">PEVuZE5vdGU+PENpdGU+PEF1dGhvcj5Db25ub2xseTwvQXV0aG9yPjxZZWFyPjIwMjM8L1llYXI+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</w:fldData>
        </w:fldChar>
      </w:r>
      <w:r w:rsidRPr="009E6578">
        <w:rPr>
          <w:rFonts w:ascii="Times New Roman" w:hAnsi="Times New Roman" w:cs="Times New Roman"/>
        </w:rPr>
        <w:instrText xml:space="preserve"> ADDIN EN.CITE </w:instrText>
      </w:r>
      <w:r w:rsidRPr="009E6578">
        <w:rPr>
          <w:rFonts w:ascii="Times New Roman" w:hAnsi="Times New Roman" w:cs="Times New Roman"/>
        </w:rPr>
        <w:fldChar w:fldCharType="begin">
          <w:fldData xml:space="preserve">PEVuZE5vdGU+PENpdGU+PEF1dGhvcj5Db25ub2xseTwvQXV0aG9yPjxZZWFyPjIwMjM8L1llYXI+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</w:fldData>
        </w:fldChar>
      </w:r>
      <w:r w:rsidRPr="009E6578">
        <w:rPr>
          <w:rFonts w:ascii="Times New Roman" w:hAnsi="Times New Roman" w:cs="Times New Roman"/>
        </w:rPr>
        <w:instrText xml:space="preserve"> ADDIN EN.CITE.DATA </w:instrText>
      </w:r>
      <w:r w:rsidRPr="009E6578">
        <w:rPr>
          <w:rFonts w:ascii="Times New Roman" w:hAnsi="Times New Roman" w:cs="Times New Roman"/>
        </w:rPr>
      </w:r>
      <w:r w:rsidRPr="009E6578">
        <w:rPr>
          <w:rFonts w:ascii="Times New Roman" w:hAnsi="Times New Roman" w:cs="Times New Roman"/>
        </w:rPr>
        <w:fldChar w:fldCharType="end"/>
      </w:r>
      <w:r w:rsidRPr="009E6578">
        <w:rPr>
          <w:rFonts w:ascii="Times New Roman" w:hAnsi="Times New Roman" w:cs="Times New Roman"/>
        </w:rPr>
      </w:r>
      <w:r w:rsidRPr="009E6578">
        <w:rPr>
          <w:rFonts w:ascii="Times New Roman" w:hAnsi="Times New Roman" w:cs="Times New Roman"/>
        </w:rPr>
        <w:fldChar w:fldCharType="separate"/>
      </w:r>
      <w:r w:rsidRPr="009E6578">
        <w:rPr>
          <w:rFonts w:ascii="Times New Roman" w:hAnsi="Times New Roman" w:cs="Times New Roman"/>
        </w:rPr>
        <w:t>(Burt and others, 2018; Connolly and others, 2023)</w:t>
      </w:r>
      <w:r w:rsidRPr="009E6578">
        <w:rPr>
          <w:rFonts w:ascii="Times New Roman" w:hAnsi="Times New Roman" w:cs="Times New Roman"/>
        </w:rPr>
        <w:fldChar w:fldCharType="end"/>
      </w:r>
      <w:r w:rsidRPr="001516BD">
        <w:rPr>
          <w:rFonts w:ascii="Times New Roman" w:hAnsi="Times New Roman" w:cs="Times New Roman"/>
        </w:rPr>
        <w:t>. This EGD is inserted precisely into its genomic target location on one of a pair of homologous chromosomes of an LMM. In germline cells, the guide RNA and Cas9 act in concert to cause a double-stranded break in the target DNA site of the homologous chromosome that does not contain the EGD. Homology-directed repair mechanisms are activated by germline cells to repair the double-stranded break. These use the homologous chromosome containing the EGD as a repair template. The flanking sequences on either side of the EG</w:t>
      </w:r>
      <w:r w:rsidR="006214DA">
        <w:rPr>
          <w:rFonts w:ascii="Times New Roman" w:hAnsi="Times New Roman" w:cs="Times New Roman"/>
        </w:rPr>
        <w:t>D</w:t>
      </w:r>
      <w:r w:rsidRPr="001516BD">
        <w:rPr>
          <w:rFonts w:ascii="Times New Roman" w:hAnsi="Times New Roman" w:cs="Times New Roman"/>
        </w:rPr>
        <w:t>, along with the EGD itself, are repaired into the double-stranded break at the target site of the homologous, formerly wild-type, chromosome. This process of homing creates pairs of parental homologous chromosomes that are typically homozygous for the EGD, leading to super-Mendelian inheritance of the EGD in progeny. Thus, once introduced into mating populations of mosquitoes, the EGD is expected to increase in frequency, or drive, and spread in target mosquito populations.</w:t>
      </w:r>
    </w:p>
    <w:p w14:paraId="095AF9B7" w14:textId="77777777" w:rsidR="00C37194" w:rsidRPr="001516BD" w:rsidRDefault="00C37194" w:rsidP="00C37194">
      <w:pPr>
        <w:spacing w:after="0" w:line="276" w:lineRule="auto"/>
        <w:rPr>
          <w:rFonts w:ascii="Times New Roman" w:hAnsi="Times New Roman"/>
          <w:b/>
        </w:rPr>
      </w:pPr>
      <w:r w:rsidRPr="001516BD">
        <w:rPr>
          <w:rFonts w:ascii="Times New Roman" w:hAnsi="Times New Roman"/>
          <w:b/>
        </w:rPr>
        <w:t>B. Y-drive</w:t>
      </w:r>
    </w:p>
    <w:p w14:paraId="37A9C0C7" w14:textId="52372DEA" w:rsidR="00C37194" w:rsidRPr="0076240E" w:rsidRDefault="00C37194" w:rsidP="001516BD">
      <w:pPr>
        <w:pStyle w:val="Default"/>
        <w:spacing w:line="276" w:lineRule="auto"/>
      </w:pPr>
      <w:r w:rsidRPr="001516BD">
        <w:rPr>
          <w:color w:val="auto"/>
          <w:sz w:val="22"/>
          <w:szCs w:val="22"/>
        </w:rPr>
        <w:t>This form of gene drive is also known as meiotic drive. As is the case in humans, male mosquitoes possess both X and Y chromosomes in their cells, while female cells possess two parental copies of the X chromosome only.</w:t>
      </w:r>
      <w:r w:rsidRPr="0076240E">
        <w:rPr>
          <w:sz w:val="22"/>
          <w:szCs w:val="22"/>
        </w:rPr>
        <w:t xml:space="preserve"> The EG</w:t>
      </w:r>
      <w:r w:rsidR="006214DA">
        <w:rPr>
          <w:sz w:val="22"/>
          <w:szCs w:val="22"/>
        </w:rPr>
        <w:t>D</w:t>
      </w:r>
      <w:r w:rsidRPr="0076240E">
        <w:rPr>
          <w:sz w:val="22"/>
          <w:szCs w:val="22"/>
        </w:rPr>
        <w:t xml:space="preserve"> is located on the Y chromosome, so it is only inherited by male mosquitoes. The EG</w:t>
      </w:r>
      <w:r w:rsidR="006214DA">
        <w:rPr>
          <w:sz w:val="22"/>
          <w:szCs w:val="22"/>
        </w:rPr>
        <w:t>D</w:t>
      </w:r>
      <w:r w:rsidRPr="0076240E">
        <w:rPr>
          <w:sz w:val="22"/>
          <w:szCs w:val="22"/>
        </w:rPr>
        <w:t xml:space="preserve"> also expresses a DNA endonuclease in male germline cells that cleaves a genomic target site on the X-chromosome. This means that sperm with X chromosomes produced by the male mosquito are cut and become inviable; only Y-bearing sperm survive. When an EGD-LMM male mates with a wild-type female, only progeny possessing an X from their mother and Y from their father can be produced. So far, such system has only been tested in laboratory </w:t>
      </w:r>
      <w:r w:rsidRPr="009E6578">
        <w:rPr>
          <w:sz w:val="22"/>
          <w:szCs w:val="22"/>
        </w:rPr>
        <w:t>(Simoni</w:t>
      </w:r>
      <w:r w:rsidR="00160426" w:rsidRPr="009E6578">
        <w:rPr>
          <w:sz w:val="22"/>
          <w:szCs w:val="22"/>
        </w:rPr>
        <w:t>,</w:t>
      </w:r>
      <w:r w:rsidRPr="009E6578">
        <w:rPr>
          <w:sz w:val="22"/>
          <w:szCs w:val="22"/>
        </w:rPr>
        <w:t xml:space="preserve"> 2020)</w:t>
      </w:r>
      <w:r w:rsidRPr="0076240E">
        <w:rPr>
          <w:sz w:val="22"/>
          <w:szCs w:val="22"/>
        </w:rPr>
        <w:t xml:space="preserve"> or via modelling (</w:t>
      </w:r>
      <w:proofErr w:type="spellStart"/>
      <w:r w:rsidRPr="009E6578">
        <w:rPr>
          <w:sz w:val="22"/>
          <w:szCs w:val="22"/>
        </w:rPr>
        <w:t>Metchanun</w:t>
      </w:r>
      <w:proofErr w:type="spellEnd"/>
      <w:r w:rsidRPr="009E6578">
        <w:rPr>
          <w:sz w:val="22"/>
          <w:szCs w:val="22"/>
        </w:rPr>
        <w:t xml:space="preserve"> </w:t>
      </w:r>
      <w:r w:rsidRPr="009E6578">
        <w:rPr>
          <w:color w:val="auto"/>
          <w:sz w:val="22"/>
          <w:szCs w:val="22"/>
        </w:rPr>
        <w:t>and others,</w:t>
      </w:r>
      <w:r w:rsidRPr="009E6578">
        <w:rPr>
          <w:sz w:val="22"/>
          <w:szCs w:val="22"/>
        </w:rPr>
        <w:t xml:space="preserve"> 2022).</w:t>
      </w:r>
      <w:r w:rsidRPr="0076240E">
        <w:rPr>
          <w:sz w:val="22"/>
          <w:szCs w:val="22"/>
        </w:rPr>
        <w:t xml:space="preserve"> </w:t>
      </w:r>
    </w:p>
    <w:p w14:paraId="0655702F" w14:textId="77777777" w:rsidR="00C37194" w:rsidRPr="001516BD" w:rsidRDefault="00C37194" w:rsidP="00C37194">
      <w:pPr>
        <w:spacing w:after="0" w:line="276" w:lineRule="auto"/>
        <w:rPr>
          <w:rFonts w:ascii="Times New Roman" w:hAnsi="Times New Roman"/>
          <w:b/>
        </w:rPr>
      </w:pPr>
      <w:r w:rsidRPr="001516BD">
        <w:rPr>
          <w:rFonts w:ascii="Times New Roman" w:hAnsi="Times New Roman"/>
          <w:b/>
        </w:rPr>
        <w:t>C. Toxin-antidote rescue system</w:t>
      </w:r>
    </w:p>
    <w:p w14:paraId="7D665BF5" w14:textId="618B4C01" w:rsidR="00C37194" w:rsidRPr="0076240E" w:rsidRDefault="00C37194" w:rsidP="00FD16A5">
      <w:pPr>
        <w:spacing w:after="0" w:line="276" w:lineRule="auto"/>
        <w:jc w:val="both"/>
        <w:rPr>
          <w:rFonts w:ascii="Times New Roman" w:hAnsi="Times New Roman"/>
          <w:i/>
          <w:iCs/>
        </w:rPr>
      </w:pPr>
      <w:r w:rsidRPr="001516BD">
        <w:rPr>
          <w:rFonts w:ascii="Times New Roman" w:hAnsi="Times New Roman" w:cs="Times New Roman"/>
        </w:rPr>
        <w:t xml:space="preserve">A variety of toxin-antidote EGD systems consist of a genetically linked pair of transgenes, one encoding a toxin and the other an antidote </w:t>
      </w:r>
      <w:r w:rsidRPr="0076240E">
        <w:rPr>
          <w:rFonts w:ascii="Times New Roman" w:hAnsi="Times New Roman"/>
        </w:rPr>
        <w:fldChar w:fldCharType="begin"/>
      </w:r>
      <w:r w:rsidRPr="0076240E">
        <w:rPr>
          <w:rFonts w:ascii="Times New Roman" w:hAnsi="Times New Roman"/>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76240E">
        <w:rPr>
          <w:rFonts w:ascii="Times New Roman" w:hAnsi="Times New Roman"/>
        </w:rPr>
        <w:fldChar w:fldCharType="separate"/>
      </w:r>
      <w:r w:rsidRPr="0076240E">
        <w:rPr>
          <w:rFonts w:ascii="Times New Roman" w:hAnsi="Times New Roman"/>
        </w:rPr>
        <w:t>(</w:t>
      </w:r>
      <w:r w:rsidRPr="009E6578">
        <w:rPr>
          <w:rFonts w:ascii="Times New Roman" w:hAnsi="Times New Roman"/>
        </w:rPr>
        <w:t xml:space="preserve">Hay </w:t>
      </w:r>
      <w:r w:rsidRPr="009E6578">
        <w:rPr>
          <w:rFonts w:ascii="Times New Roman" w:hAnsi="Times New Roman"/>
          <w:color w:val="000000"/>
        </w:rPr>
        <w:t>and others</w:t>
      </w:r>
      <w:r w:rsidRPr="009E6578">
        <w:rPr>
          <w:rFonts w:ascii="Times New Roman" w:hAnsi="Times New Roman"/>
        </w:rPr>
        <w:t>, 2021</w:t>
      </w:r>
      <w:r w:rsidRPr="0076240E">
        <w:rPr>
          <w:rFonts w:ascii="Times New Roman" w:hAnsi="Times New Roman"/>
        </w:rPr>
        <w:t>)</w:t>
      </w:r>
      <w:r w:rsidRPr="0076240E">
        <w:rPr>
          <w:rFonts w:ascii="Times New Roman" w:hAnsi="Times New Roman"/>
        </w:rPr>
        <w:fldChar w:fldCharType="end"/>
      </w:r>
      <w:r w:rsidRPr="0076240E">
        <w:rPr>
          <w:rFonts w:ascii="Times New Roman" w:hAnsi="Times New Roman"/>
        </w:rPr>
        <w:t xml:space="preserve">. Expression of the EGD in LMMs results in the death of gametes or progeny that do not contain the EGD, leading to an increase in the frequency of EGD-LMMs relative to wild type mosquitoes. For example, the </w:t>
      </w:r>
      <w:r w:rsidRPr="0076240E">
        <w:rPr>
          <w:rFonts w:ascii="Times New Roman" w:hAnsi="Times New Roman"/>
          <w:i/>
          <w:iCs/>
        </w:rPr>
        <w:t>cleave and rescue</w:t>
      </w:r>
      <w:r w:rsidRPr="0076240E">
        <w:rPr>
          <w:rFonts w:ascii="Times New Roman" w:hAnsi="Times New Roman"/>
        </w:rPr>
        <w:t xml:space="preserve"> (</w:t>
      </w:r>
      <w:proofErr w:type="spellStart"/>
      <w:r w:rsidRPr="0076240E">
        <w:rPr>
          <w:rFonts w:ascii="Times New Roman" w:hAnsi="Times New Roman"/>
        </w:rPr>
        <w:t>ClvR</w:t>
      </w:r>
      <w:proofErr w:type="spellEnd"/>
      <w:r w:rsidRPr="0076240E">
        <w:rPr>
          <w:rFonts w:ascii="Times New Roman" w:hAnsi="Times New Roman"/>
        </w:rPr>
        <w:t xml:space="preserve">) or </w:t>
      </w:r>
      <w:r w:rsidRPr="0076240E">
        <w:rPr>
          <w:rFonts w:ascii="Times New Roman" w:hAnsi="Times New Roman"/>
          <w:i/>
          <w:iCs/>
        </w:rPr>
        <w:t>toxin antidote recessive embryo</w:t>
      </w:r>
      <w:r w:rsidRPr="0076240E">
        <w:rPr>
          <w:rFonts w:ascii="Times New Roman" w:hAnsi="Times New Roman"/>
        </w:rPr>
        <w:t xml:space="preserve"> (TARE) systems use germline expression of the Cas9 nuclease and a guide RNA to introduce cuts into an endogenous mosquito gene required for viability. Cellular end-joining repair mechanisms produce loss-of-function mutations in this endogenous gene. When expressed in the germline, it creates loss-of function mutations in essential endogenous genes in the EGD-LMM. The antidote portion of the EGD supplies a recoded version of the endogenous gene that cannot be cleaved by the Cas9/guide RNA combination. Offspring who do not inherit the EGD will not survive because they do not possess the rescuing recoded version of the endogenous gene. Therefore, individuals possessing the EGD increase in frequency relative to wild type mosquitoes and spread in the population.</w:t>
      </w:r>
    </w:p>
    <w:p w14:paraId="5AE2CFA5" w14:textId="04240429" w:rsidR="00C37194" w:rsidRPr="001516BD" w:rsidRDefault="00C37194" w:rsidP="001516BD">
      <w:pPr>
        <w:spacing w:before="240" w:after="0" w:line="276" w:lineRule="auto"/>
        <w:rPr>
          <w:rFonts w:ascii="Times New Roman" w:hAnsi="Times New Roman"/>
          <w:b/>
        </w:rPr>
      </w:pPr>
      <w:r w:rsidRPr="001516BD">
        <w:rPr>
          <w:rFonts w:ascii="Times New Roman" w:hAnsi="Times New Roman"/>
          <w:b/>
        </w:rPr>
        <w:t>D. M</w:t>
      </w:r>
      <w:r w:rsidR="00D643E7">
        <w:rPr>
          <w:rFonts w:ascii="Times New Roman" w:hAnsi="Times New Roman"/>
          <w:b/>
        </w:rPr>
        <w:t xml:space="preserve">aternal effect dominant embryonic arrest </w:t>
      </w:r>
    </w:p>
    <w:p w14:paraId="4F6D4B95" w14:textId="39754386" w:rsidR="00C37194" w:rsidRPr="0076240E" w:rsidRDefault="00C37194" w:rsidP="00FD16A5">
      <w:pPr>
        <w:spacing w:after="0" w:line="276" w:lineRule="auto"/>
        <w:jc w:val="both"/>
        <w:rPr>
          <w:rFonts w:ascii="Times New Roman" w:hAnsi="Times New Roman"/>
        </w:rPr>
      </w:pPr>
      <w:r w:rsidRPr="001516BD">
        <w:rPr>
          <w:rFonts w:ascii="Times New Roman" w:hAnsi="Times New Roman" w:cs="Times New Roman"/>
        </w:rPr>
        <w:lastRenderedPageBreak/>
        <w:t xml:space="preserve">The </w:t>
      </w:r>
      <w:r w:rsidRPr="001516BD">
        <w:rPr>
          <w:rFonts w:ascii="Times New Roman" w:hAnsi="Times New Roman" w:cs="Times New Roman"/>
          <w:i/>
        </w:rPr>
        <w:t>maternal effect dominant embryonic arrest</w:t>
      </w:r>
      <w:r w:rsidRPr="001516BD">
        <w:rPr>
          <w:rFonts w:ascii="Times New Roman" w:hAnsi="Times New Roman" w:cs="Times New Roman"/>
        </w:rPr>
        <w:t xml:space="preserve"> (Medea) gene drive system consists of two genetically linked components: a maternally expressed toxin and an antidote expressed in the zygote. The toxin consists of maternally expressed microRNAs that inhibit expression of an endogenous mosquito gene required for early embryogenesis. The antidote consists of a transgenic version of the same endogenous mosquito gene required for early embryogenesis, but which has been recoded so that it cannot be inhibited by the microRNA. When this antidote transgene is expressed in the early embryo, it rescues the loss of expression of the endogenous mosquito gene so that the embryos survive. Offspring of Medea EGD-LMM mothers that do not inherit the E</w:t>
      </w:r>
      <w:r w:rsidR="006214DA">
        <w:rPr>
          <w:rFonts w:ascii="Times New Roman" w:hAnsi="Times New Roman" w:cs="Times New Roman"/>
        </w:rPr>
        <w:t>GD</w:t>
      </w:r>
      <w:r w:rsidRPr="001516BD">
        <w:rPr>
          <w:rFonts w:ascii="Times New Roman" w:hAnsi="Times New Roman" w:cs="Times New Roman"/>
        </w:rPr>
        <w:t xml:space="preserve"> die because they cannot express the rescuing transgene antidote, while those that do inherit the EGD express the rescuing transgene antidote and survive, leading to an increase in the frequency of EGD-LMMs relative to wild type mosquitoes and spread of the EG</w:t>
      </w:r>
      <w:r w:rsidR="006214DA">
        <w:rPr>
          <w:rFonts w:ascii="Times New Roman" w:hAnsi="Times New Roman" w:cs="Times New Roman"/>
        </w:rPr>
        <w:t>D</w:t>
      </w:r>
      <w:r w:rsidRPr="001516BD">
        <w:rPr>
          <w:rFonts w:ascii="Times New Roman" w:hAnsi="Times New Roman" w:cs="Times New Roman"/>
        </w:rPr>
        <w:t xml:space="preserve"> through target populations </w:t>
      </w:r>
      <w:r w:rsidRPr="009E6578">
        <w:rPr>
          <w:rFonts w:ascii="Times New Roman" w:hAnsi="Times New Roman" w:cs="Times New Roman"/>
        </w:rPr>
        <w:fldChar w:fldCharType="begin"/>
      </w:r>
      <w:r w:rsidRPr="009E6578">
        <w:rPr>
          <w:rFonts w:ascii="Times New Roman" w:hAnsi="Times New Roman" w:cs="Times New Roman"/>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9E6578">
        <w:rPr>
          <w:rFonts w:ascii="Times New Roman" w:hAnsi="Times New Roman" w:cs="Times New Roman"/>
        </w:rPr>
        <w:fldChar w:fldCharType="separate"/>
      </w:r>
      <w:r w:rsidRPr="009E6578">
        <w:rPr>
          <w:rFonts w:ascii="Times New Roman" w:hAnsi="Times New Roman" w:cs="Times New Roman"/>
        </w:rPr>
        <w:t>(Hay and others, 2021)</w:t>
      </w:r>
      <w:r w:rsidRPr="009E6578">
        <w:rPr>
          <w:rFonts w:ascii="Times New Roman" w:hAnsi="Times New Roman" w:cs="Times New Roman"/>
        </w:rPr>
        <w:fldChar w:fldCharType="end"/>
      </w:r>
      <w:r w:rsidRPr="009E6578">
        <w:rPr>
          <w:rFonts w:ascii="Times New Roman" w:hAnsi="Times New Roman" w:cs="Times New Roman"/>
        </w:rPr>
        <w:t>.</w:t>
      </w:r>
    </w:p>
    <w:p w14:paraId="2EF96613" w14:textId="77777777" w:rsidR="00C37194" w:rsidRPr="005475F5" w:rsidRDefault="00C37194" w:rsidP="001516BD">
      <w:pPr>
        <w:autoSpaceDE w:val="0"/>
        <w:autoSpaceDN w:val="0"/>
        <w:adjustRightInd w:val="0"/>
        <w:spacing w:before="240" w:after="0" w:line="276" w:lineRule="auto"/>
        <w:rPr>
          <w:rFonts w:ascii="Times New Roman" w:hAnsi="Times New Roman"/>
          <w:b/>
        </w:rPr>
      </w:pPr>
      <w:r w:rsidRPr="001516BD">
        <w:rPr>
          <w:rFonts w:ascii="Times New Roman" w:hAnsi="Times New Roman"/>
          <w:b/>
        </w:rPr>
        <w:t xml:space="preserve">E. Underdominance </w:t>
      </w:r>
    </w:p>
    <w:p w14:paraId="60D825A6" w14:textId="05139B14" w:rsidR="00C37194" w:rsidRPr="0076240E" w:rsidRDefault="00C37194" w:rsidP="001516BD">
      <w:pPr>
        <w:spacing w:line="276" w:lineRule="auto"/>
        <w:jc w:val="both"/>
        <w:rPr>
          <w:rFonts w:ascii="Times New Roman" w:hAnsi="Times New Roman"/>
        </w:rPr>
      </w:pPr>
      <w:r w:rsidRPr="001516BD">
        <w:rPr>
          <w:rFonts w:ascii="Times New Roman" w:hAnsi="Times New Roman" w:cs="Times New Roman"/>
        </w:rPr>
        <w:t xml:space="preserve">Underdominance is a form of gene drive that has been proposed for population modification of mosquito vectors, which allows for localised spread in target mosquito populations </w:t>
      </w:r>
      <w:r w:rsidRPr="009E6578">
        <w:rPr>
          <w:rFonts w:ascii="Times New Roman" w:hAnsi="Times New Roman" w:cs="Times New Roman"/>
        </w:rPr>
        <w:fldChar w:fldCharType="begin">
          <w:fldData xml:space="preserve">PEVuZE5vdGU+PENpdGU+PEF1dGhvcj5XYW5nPC9BdXRob3I+PFllYXI+MjAyMjwvWWVhcj48UmVj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</w:fldData>
        </w:fldChar>
      </w:r>
      <w:r w:rsidRPr="009E6578">
        <w:rPr>
          <w:rFonts w:ascii="Times New Roman" w:hAnsi="Times New Roman" w:cs="Times New Roman"/>
        </w:rPr>
        <w:instrText xml:space="preserve"> ADDIN EN.CITE </w:instrText>
      </w:r>
      <w:r w:rsidRPr="009E6578">
        <w:rPr>
          <w:rFonts w:ascii="Times New Roman" w:hAnsi="Times New Roman" w:cs="Times New Roman"/>
        </w:rPr>
        <w:fldChar w:fldCharType="begin">
          <w:fldData xml:space="preserve">PEVuZE5vdGU+PENpdGU+PEF1dGhvcj5XYW5nPC9BdXRob3I+PFllYXI+MjAyMjwvWWVhcj48UmVj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</w:fldData>
        </w:fldChar>
      </w:r>
      <w:r w:rsidRPr="009E6578">
        <w:rPr>
          <w:rFonts w:ascii="Times New Roman" w:hAnsi="Times New Roman" w:cs="Times New Roman"/>
        </w:rPr>
        <w:instrText xml:space="preserve"> ADDIN EN.CITE.DATA </w:instrText>
      </w:r>
      <w:r w:rsidRPr="009E6578">
        <w:rPr>
          <w:rFonts w:ascii="Times New Roman" w:hAnsi="Times New Roman" w:cs="Times New Roman"/>
        </w:rPr>
      </w:r>
      <w:r w:rsidRPr="009E6578">
        <w:rPr>
          <w:rFonts w:ascii="Times New Roman" w:hAnsi="Times New Roman" w:cs="Times New Roman"/>
        </w:rPr>
        <w:fldChar w:fldCharType="end"/>
      </w:r>
      <w:r w:rsidRPr="009E6578">
        <w:rPr>
          <w:rFonts w:ascii="Times New Roman" w:hAnsi="Times New Roman" w:cs="Times New Roman"/>
        </w:rPr>
      </w:r>
      <w:r w:rsidRPr="009E6578">
        <w:rPr>
          <w:rFonts w:ascii="Times New Roman" w:hAnsi="Times New Roman" w:cs="Times New Roman"/>
        </w:rPr>
        <w:fldChar w:fldCharType="separate"/>
      </w:r>
      <w:r w:rsidRPr="009E6578">
        <w:rPr>
          <w:rFonts w:ascii="Times New Roman" w:hAnsi="Times New Roman" w:cs="Times New Roman"/>
        </w:rPr>
        <w:t>(Wang and others, 2022a)</w:t>
      </w:r>
      <w:r w:rsidRPr="009E6578">
        <w:rPr>
          <w:rFonts w:ascii="Times New Roman" w:hAnsi="Times New Roman" w:cs="Times New Roman"/>
        </w:rPr>
        <w:fldChar w:fldCharType="end"/>
      </w:r>
      <w:r w:rsidRPr="009E6578">
        <w:rPr>
          <w:rFonts w:ascii="Times New Roman" w:hAnsi="Times New Roman" w:cs="Times New Roman"/>
        </w:rPr>
        <w:t>.</w:t>
      </w:r>
      <w:r w:rsidRPr="001516BD">
        <w:rPr>
          <w:rFonts w:ascii="Times New Roman" w:hAnsi="Times New Roman" w:cs="Times New Roman"/>
        </w:rPr>
        <w:t xml:space="preserve"> Because of its requirements for high release thresholds, it can be thought of as a form of localised gene drive. In one-locus underdominance, heterozygotes for the EGD are less fit than either wild types or homozygotes of the EGD, typically leading to self-limiting characteristics. In two-locus underdominance, mosquitoes carrying none or both of two different EG</w:t>
      </w:r>
      <w:r w:rsidR="006214DA">
        <w:rPr>
          <w:rFonts w:ascii="Times New Roman" w:hAnsi="Times New Roman" w:cs="Times New Roman"/>
        </w:rPr>
        <w:t>D</w:t>
      </w:r>
      <w:r w:rsidRPr="001516BD">
        <w:rPr>
          <w:rFonts w:ascii="Times New Roman" w:hAnsi="Times New Roman" w:cs="Times New Roman"/>
        </w:rPr>
        <w:t>s are fitter than those carrying only one of the two EGDs, typically producing self-sustaining gene drive.</w:t>
      </w:r>
    </w:p>
    <w:p w14:paraId="5F2949CA" w14:textId="76DB482E" w:rsidR="00C37194" w:rsidRPr="001516BD" w:rsidRDefault="00C37194" w:rsidP="00C37194">
      <w:pPr>
        <w:autoSpaceDE w:val="0"/>
        <w:autoSpaceDN w:val="0"/>
        <w:adjustRightInd w:val="0"/>
        <w:spacing w:after="0" w:line="276" w:lineRule="auto"/>
        <w:rPr>
          <w:rFonts w:ascii="Times New Roman" w:hAnsi="Times New Roman"/>
          <w:b/>
        </w:rPr>
      </w:pPr>
      <w:r w:rsidRPr="001516BD">
        <w:rPr>
          <w:rFonts w:ascii="Times New Roman" w:hAnsi="Times New Roman"/>
          <w:b/>
        </w:rPr>
        <w:t xml:space="preserve">F. Split drives </w:t>
      </w:r>
    </w:p>
    <w:p w14:paraId="0A1BEB36" w14:textId="41C439D6" w:rsidR="00C37194" w:rsidRPr="001516BD" w:rsidRDefault="00C37194" w:rsidP="001516BD">
      <w:pPr>
        <w:pStyle w:val="Default"/>
        <w:spacing w:line="276" w:lineRule="auto"/>
        <w:rPr>
          <w:color w:val="auto"/>
          <w:sz w:val="22"/>
          <w:szCs w:val="22"/>
        </w:rPr>
      </w:pPr>
      <w:r w:rsidRPr="4644E7B5">
        <w:rPr>
          <w:color w:val="auto"/>
          <w:sz w:val="22"/>
          <w:szCs w:val="22"/>
        </w:rPr>
        <w:t xml:space="preserve">Split drives </w:t>
      </w:r>
      <w:r w:rsidR="24E5D547" w:rsidRPr="00F02914">
        <w:rPr>
          <w:color w:val="000000" w:themeColor="text1"/>
          <w:sz w:val="22"/>
          <w:szCs w:val="22"/>
        </w:rPr>
        <w:t>are</w:t>
      </w:r>
      <w:r w:rsidR="25587B75" w:rsidRPr="00F02914">
        <w:rPr>
          <w:color w:val="000000" w:themeColor="text1"/>
          <w:sz w:val="22"/>
          <w:szCs w:val="22"/>
        </w:rPr>
        <w:t xml:space="preserve"> a type of engineered gene drive </w:t>
      </w:r>
      <w:r w:rsidRPr="00F02914">
        <w:rPr>
          <w:color w:val="000000" w:themeColor="text1"/>
          <w:sz w:val="22"/>
          <w:szCs w:val="22"/>
        </w:rPr>
        <w:t>consist</w:t>
      </w:r>
      <w:r w:rsidR="1EC42990" w:rsidRPr="00F02914">
        <w:rPr>
          <w:color w:val="000000" w:themeColor="text1"/>
          <w:sz w:val="22"/>
          <w:szCs w:val="22"/>
        </w:rPr>
        <w:t>ing</w:t>
      </w:r>
      <w:r w:rsidRPr="00F02914">
        <w:rPr>
          <w:color w:val="000000" w:themeColor="text1"/>
          <w:sz w:val="22"/>
          <w:szCs w:val="22"/>
        </w:rPr>
        <w:t xml:space="preserve"> of two or more unlinked </w:t>
      </w:r>
      <w:r w:rsidR="00BC0EA2" w:rsidRPr="00F02914">
        <w:rPr>
          <w:color w:val="000000" w:themeColor="text1"/>
          <w:sz w:val="22"/>
          <w:szCs w:val="22"/>
        </w:rPr>
        <w:t xml:space="preserve">components </w:t>
      </w:r>
      <w:r w:rsidR="1C4DCB34" w:rsidRPr="00F02914">
        <w:rPr>
          <w:color w:val="000000" w:themeColor="text1"/>
          <w:sz w:val="22"/>
          <w:szCs w:val="22"/>
        </w:rPr>
        <w:t>inserted at different sites in the genome</w:t>
      </w:r>
      <w:r w:rsidRPr="4644E7B5">
        <w:rPr>
          <w:color w:val="auto"/>
          <w:sz w:val="22"/>
          <w:szCs w:val="22"/>
        </w:rPr>
        <w:t>, which are only capable of increasing in frequency and spreading in target mosquito populations when coupled with each other</w:t>
      </w:r>
      <w:r w:rsidRPr="00261F57">
        <w:rPr>
          <w:color w:val="auto"/>
          <w:sz w:val="22"/>
          <w:szCs w:val="22"/>
        </w:rPr>
        <w:t xml:space="preserve">. </w:t>
      </w:r>
      <w:r w:rsidRPr="00261F57">
        <w:rPr>
          <w:sz w:val="22"/>
          <w:szCs w:val="22"/>
        </w:rPr>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261F57">
        <w:rPr>
          <w:sz w:val="22"/>
          <w:szCs w:val="22"/>
        </w:rPr>
        <w:instrText xml:space="preserve"> ADDIN EN.CITE </w:instrText>
      </w:r>
      <w:r w:rsidRPr="00261F57">
        <w:rPr>
          <w:sz w:val="22"/>
          <w:szCs w:val="22"/>
        </w:rPr>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9E6578">
        <w:rPr>
          <w:sz w:val="22"/>
          <w:szCs w:val="22"/>
          <w:highlight w:val="red"/>
        </w:rPr>
        <w:instrText xml:space="preserve"> ADDIN EN.CITE.DATA </w:instrText>
      </w:r>
      <w:r w:rsidRPr="00261F57">
        <w:rPr>
          <w:sz w:val="22"/>
          <w:szCs w:val="22"/>
        </w:rPr>
      </w:r>
      <w:r w:rsidRPr="00261F57">
        <w:rPr>
          <w:sz w:val="22"/>
          <w:szCs w:val="22"/>
        </w:rPr>
        <w:fldChar w:fldCharType="end"/>
      </w:r>
      <w:r w:rsidRPr="00261F57">
        <w:rPr>
          <w:sz w:val="22"/>
          <w:szCs w:val="22"/>
        </w:rPr>
      </w:r>
      <w:r w:rsidRPr="00261F57">
        <w:rPr>
          <w:sz w:val="22"/>
          <w:szCs w:val="22"/>
        </w:rPr>
        <w:fldChar w:fldCharType="separate"/>
      </w:r>
      <w:r w:rsidRPr="00261F57">
        <w:rPr>
          <w:sz w:val="22"/>
          <w:szCs w:val="22"/>
          <w:lang w:val="en-US"/>
        </w:rPr>
        <w:t xml:space="preserve">(Champer </w:t>
      </w:r>
      <w:r w:rsidRPr="00261F57">
        <w:rPr>
          <w:sz w:val="22"/>
          <w:szCs w:val="22"/>
        </w:rPr>
        <w:t>and others</w:t>
      </w:r>
      <w:r w:rsidRPr="00261F57">
        <w:rPr>
          <w:sz w:val="22"/>
          <w:szCs w:val="22"/>
          <w:lang w:val="en-US"/>
        </w:rPr>
        <w:t>, 2019</w:t>
      </w:r>
      <w:r w:rsidR="00261F57" w:rsidRPr="00261F57">
        <w:rPr>
          <w:sz w:val="22"/>
          <w:szCs w:val="22"/>
          <w:lang w:val="en-US"/>
        </w:rPr>
        <w:t>b</w:t>
      </w:r>
      <w:r w:rsidRPr="00261F57">
        <w:rPr>
          <w:sz w:val="22"/>
          <w:szCs w:val="22"/>
          <w:lang w:val="en-US"/>
        </w:rPr>
        <w:t xml:space="preserve">; Li </w:t>
      </w:r>
      <w:r w:rsidRPr="00261F57">
        <w:rPr>
          <w:sz w:val="22"/>
          <w:szCs w:val="22"/>
        </w:rPr>
        <w:t>and others</w:t>
      </w:r>
      <w:r w:rsidRPr="00261F57">
        <w:rPr>
          <w:sz w:val="22"/>
          <w:szCs w:val="22"/>
          <w:lang w:val="en-US"/>
        </w:rPr>
        <w:t xml:space="preserve">, 2020; Noble </w:t>
      </w:r>
      <w:r w:rsidRPr="00261F57">
        <w:rPr>
          <w:sz w:val="22"/>
          <w:szCs w:val="22"/>
        </w:rPr>
        <w:t>and others</w:t>
      </w:r>
      <w:r w:rsidRPr="00261F57">
        <w:rPr>
          <w:sz w:val="22"/>
          <w:szCs w:val="22"/>
          <w:lang w:val="en-US"/>
        </w:rPr>
        <w:t xml:space="preserve">, 2019; Oberhofer </w:t>
      </w:r>
      <w:r w:rsidRPr="00261F57">
        <w:rPr>
          <w:sz w:val="22"/>
          <w:szCs w:val="22"/>
        </w:rPr>
        <w:t>and others</w:t>
      </w:r>
      <w:r w:rsidRPr="00261F57">
        <w:rPr>
          <w:sz w:val="22"/>
          <w:szCs w:val="22"/>
          <w:lang w:val="en-US"/>
        </w:rPr>
        <w:t>, 2020a)</w:t>
      </w:r>
      <w:r w:rsidRPr="00261F57">
        <w:rPr>
          <w:sz w:val="22"/>
          <w:szCs w:val="22"/>
        </w:rPr>
        <w:fldChar w:fldCharType="end"/>
      </w:r>
      <w:r w:rsidRPr="00261F57">
        <w:rPr>
          <w:sz w:val="22"/>
          <w:szCs w:val="22"/>
          <w:lang w:val="en-US"/>
        </w:rPr>
        <w:t>.</w:t>
      </w:r>
      <w:r w:rsidRPr="4644E7B5">
        <w:rPr>
          <w:lang w:val="en-US"/>
        </w:rPr>
        <w:t xml:space="preserve"> </w:t>
      </w:r>
      <w:r w:rsidRPr="009E6578">
        <w:rPr>
          <w:sz w:val="22"/>
          <w:szCs w:val="22"/>
        </w:rPr>
        <w:t>They have principally been considered for mosquito population modification. Some modelling indicates that such EG</w:t>
      </w:r>
      <w:r w:rsidR="006214DA" w:rsidRPr="009E6578">
        <w:rPr>
          <w:sz w:val="22"/>
          <w:szCs w:val="22"/>
        </w:rPr>
        <w:t>D</w:t>
      </w:r>
      <w:r w:rsidRPr="009E6578">
        <w:rPr>
          <w:sz w:val="22"/>
          <w:szCs w:val="22"/>
        </w:rPr>
        <w:t>-LMMs would increase in frequency in target mosquito populations but persist for only a limited time before declining in frequency due to dissociation of both EGD elements. However, evidence also suggests that split-drives may persist beyond the intended design aim and behave like full gene drives (</w:t>
      </w:r>
      <w:proofErr w:type="spellStart"/>
      <w:r w:rsidRPr="009E6578">
        <w:rPr>
          <w:sz w:val="22"/>
          <w:szCs w:val="22"/>
        </w:rPr>
        <w:t>Teradas</w:t>
      </w:r>
      <w:proofErr w:type="spellEnd"/>
      <w:r w:rsidRPr="009E6578">
        <w:rPr>
          <w:sz w:val="22"/>
          <w:szCs w:val="22"/>
        </w:rPr>
        <w:t xml:space="preserve"> </w:t>
      </w:r>
      <w:r w:rsidR="00F80CEB" w:rsidRPr="009E6578">
        <w:rPr>
          <w:sz w:val="22"/>
          <w:szCs w:val="22"/>
        </w:rPr>
        <w:t>and others,</w:t>
      </w:r>
      <w:r w:rsidRPr="009E6578">
        <w:rPr>
          <w:sz w:val="22"/>
          <w:szCs w:val="22"/>
        </w:rPr>
        <w:t xml:space="preserve"> 2023).</w:t>
      </w:r>
      <w:r w:rsidRPr="009E6578">
        <w:rPr>
          <w:color w:val="auto"/>
          <w:sz w:val="22"/>
          <w:szCs w:val="22"/>
        </w:rPr>
        <w:t xml:space="preserve"> </w:t>
      </w:r>
    </w:p>
    <w:p w14:paraId="6C1B1E40" w14:textId="77777777" w:rsidR="00C37194" w:rsidRPr="001516BD" w:rsidRDefault="00C37194" w:rsidP="005475F5">
      <w:pPr>
        <w:spacing w:after="0" w:line="276" w:lineRule="auto"/>
        <w:rPr>
          <w:rFonts w:ascii="Times New Roman" w:hAnsi="Times New Roman"/>
          <w:b/>
        </w:rPr>
      </w:pPr>
      <w:r w:rsidRPr="001516BD">
        <w:rPr>
          <w:rFonts w:ascii="Times New Roman" w:hAnsi="Times New Roman"/>
          <w:b/>
        </w:rPr>
        <w:t>G. Double drives with private alleles</w:t>
      </w:r>
    </w:p>
    <w:p w14:paraId="74464E07" w14:textId="4AD3C94C" w:rsidR="00C37194" w:rsidRPr="001516BD" w:rsidRDefault="00C37194" w:rsidP="001516BD">
      <w:pPr>
        <w:pStyle w:val="Default"/>
        <w:spacing w:line="276" w:lineRule="auto"/>
        <w:rPr>
          <w:color w:val="auto"/>
          <w:sz w:val="22"/>
          <w:szCs w:val="22"/>
        </w:rPr>
      </w:pPr>
      <w:r w:rsidRPr="001516BD">
        <w:rPr>
          <w:color w:val="auto"/>
          <w:sz w:val="22"/>
          <w:szCs w:val="22"/>
        </w:rPr>
        <w:t xml:space="preserve">Double drives are comprised of two separate elements to produce a functional EGD </w:t>
      </w:r>
      <w:r w:rsidRPr="001516BD">
        <w:rPr>
          <w:color w:val="auto"/>
          <w:sz w:val="22"/>
          <w:szCs w:val="22"/>
        </w:rPr>
        <w:fldChar w:fldCharType="begin"/>
      </w:r>
      <w:r w:rsidRPr="001516BD">
        <w:rPr>
          <w:color w:val="auto"/>
          <w:sz w:val="22"/>
          <w:szCs w:val="22"/>
        </w:rPr>
        <w:instrText xml:space="preserve"> ADDIN EN.CITE &lt;EndNote&gt;&lt;Cite&gt;&lt;Author&gt;Willis&lt;/Author&gt;&lt;Year&gt;2021&lt;/Year&gt;&lt;RecNum&gt;23245&lt;/RecNum&gt;&lt;DisplayText&gt;(Willis and Burt, 2021)&lt;/DisplayText&gt;&lt;record&gt;&lt;rec-number&gt;23245&lt;/rec-number&gt;&lt;foreign-keys&gt;&lt;key app="EN" db-id="sxd2rda5xvs0soe2z0459vtoft2tr205a0p0" timestamp="1674391963" guid="06c89822-7b14-4501-8ec6-35695af53d46"&gt;23245&lt;/key&gt;&lt;/foreign-keys&gt;&lt;ref-type name="Journal Article"&gt;17&lt;/ref-type&gt;&lt;contributors&gt;&lt;authors&gt;&lt;author&gt;Willis, K.&lt;/author&gt;&lt;author&gt;Burt, A.&lt;/author&gt;&lt;/authors&gt;&lt;/contributors&gt;&lt;auth-address&gt;Department of Life Sciences, Imperial College London, Silwood Park, Ascot, United Kingdom.&lt;/auth-address&gt;&lt;titles&gt;&lt;title&gt;Double drives and private alleles for localised population genetic control&lt;/title&gt;&lt;secondary-title&gt;PLoS Genet&lt;/secondary-title&gt;&lt;/titles&gt;&lt;periodical&gt;&lt;full-title&gt;PLoS Genet&lt;/full-title&gt;&lt;/periodical&gt;&lt;pages&gt;e1009333&lt;/pages&gt;&lt;volume&gt;17&lt;/volume&gt;&lt;number&gt;3&lt;/number&gt;&lt;edition&gt;2021/03/24&lt;/edition&gt;&lt;keywords&gt;&lt;keyword&gt;*Alleles&lt;/keyword&gt;&lt;keyword&gt;Animals&lt;/keyword&gt;&lt;keyword&gt;Anopheles/genetics&lt;/keyword&gt;&lt;keyword&gt;*Evolution, Molecular&lt;/keyword&gt;&lt;keyword&gt;Female&lt;/keyword&gt;&lt;keyword&gt;Gene Frequency&lt;/keyword&gt;&lt;keyword&gt;Genetic Fitness&lt;/keyword&gt;&lt;keyword&gt;*Genetics, Population&lt;/keyword&gt;&lt;keyword&gt;Geography&lt;/keyword&gt;&lt;keyword&gt;Male&lt;/keyword&gt;&lt;keyword&gt;*Models, Genetic&lt;/keyword&gt;&lt;keyword&gt;Population Density&lt;/keyword&gt;&lt;keyword&gt;Quantitative Trait Loci&lt;/keyword&gt;&lt;/keywords&gt;&lt;dates&gt;&lt;year&gt;2021&lt;/year&gt;&lt;pub-dates&gt;&lt;date&gt;Mar&lt;/date&gt;&lt;/pub-dates&gt;&lt;/dates&gt;&lt;isbn&gt;1553-7404 (Electronic)&amp;#xD;1553-7390 (Print)&amp;#xD;1553-7390 (Linking)&lt;/isbn&gt;&lt;accession-num&gt;33755671&lt;/accession-num&gt;&lt;urls&gt;&lt;related-urls&gt;&lt;url&gt;https://www.ncbi.nlm.nih.gov/pubmed/33755671&lt;/url&gt;&lt;/related-urls&gt;&lt;/urls&gt;&lt;custom2&gt;PMC8018619&lt;/custom2&gt;&lt;electronic-resource-num&gt;10.1371/journal.pgen.1009333&lt;/electronic-resource-num&gt;&lt;/record&gt;&lt;/Cite&gt;&lt;/EndNote&gt;</w:instrText>
      </w:r>
      <w:r w:rsidRPr="001516BD">
        <w:rPr>
          <w:color w:val="auto"/>
          <w:sz w:val="22"/>
          <w:szCs w:val="22"/>
        </w:rPr>
        <w:fldChar w:fldCharType="separate"/>
      </w:r>
      <w:r w:rsidRPr="001516BD">
        <w:rPr>
          <w:color w:val="auto"/>
          <w:sz w:val="22"/>
          <w:szCs w:val="22"/>
        </w:rPr>
        <w:t>(</w:t>
      </w:r>
      <w:r w:rsidRPr="009E6578">
        <w:rPr>
          <w:color w:val="auto"/>
          <w:sz w:val="22"/>
          <w:szCs w:val="22"/>
        </w:rPr>
        <w:t>Willis and Burt, 2021)</w:t>
      </w:r>
      <w:r w:rsidRPr="001516BD">
        <w:rPr>
          <w:color w:val="auto"/>
          <w:sz w:val="22"/>
          <w:szCs w:val="22"/>
        </w:rPr>
        <w:fldChar w:fldCharType="end"/>
      </w:r>
      <w:r w:rsidRPr="001516BD">
        <w:rPr>
          <w:color w:val="auto"/>
          <w:sz w:val="22"/>
          <w:szCs w:val="22"/>
        </w:rPr>
        <w:t xml:space="preserve">. The first element of the EGD encodes Cas9 that, when expressed alongside a guide RNA that recognises a specific genomic target locus, or ‘private allele’, that is present in target mosquito populations but not in other mosquito populations, causes homing of that EGD element at that target genomic locus. A separate genetically unlinked element of the EGD encodes a guide RNA that recognises a second genomic target site. Alongside Cas9 expressed from the first element, this allows homing of the second EGD element that can be used in either population suppression or population modification applications. Together both elements act in EGD-LMMs as a ‘double drive’ EGD for </w:t>
      </w:r>
      <w:r w:rsidR="00F02914" w:rsidRPr="001516BD">
        <w:rPr>
          <w:color w:val="auto"/>
          <w:sz w:val="22"/>
          <w:szCs w:val="22"/>
        </w:rPr>
        <w:t>homing</w:t>
      </w:r>
      <w:r w:rsidRPr="001516BD">
        <w:rPr>
          <w:color w:val="auto"/>
          <w:sz w:val="22"/>
          <w:szCs w:val="22"/>
        </w:rPr>
        <w:t xml:space="preserve"> both at the genomic target locus required for population suppression or </w:t>
      </w:r>
      <w:r w:rsidR="00F02914" w:rsidRPr="001516BD">
        <w:rPr>
          <w:color w:val="auto"/>
          <w:sz w:val="22"/>
          <w:szCs w:val="22"/>
        </w:rPr>
        <w:t>modification</w:t>
      </w:r>
      <w:r w:rsidRPr="001516BD">
        <w:rPr>
          <w:color w:val="auto"/>
          <w:sz w:val="22"/>
          <w:szCs w:val="22"/>
        </w:rPr>
        <w:t xml:space="preserve"> and at the genomic target locus restricted to the target mosquito population. This means the double drive EGD would be localised, acting as a self-sustaining, low-threshold EGD in target mosquito populations but a self-limiting, high-threshold split </w:t>
      </w:r>
      <w:proofErr w:type="gramStart"/>
      <w:r w:rsidRPr="001516BD">
        <w:rPr>
          <w:color w:val="auto"/>
          <w:sz w:val="22"/>
          <w:szCs w:val="22"/>
        </w:rPr>
        <w:t>drive in</w:t>
      </w:r>
      <w:proofErr w:type="gramEnd"/>
      <w:r w:rsidRPr="001516BD">
        <w:rPr>
          <w:color w:val="auto"/>
          <w:sz w:val="22"/>
          <w:szCs w:val="22"/>
        </w:rPr>
        <w:t xml:space="preserve"> non</w:t>
      </w:r>
      <w:r w:rsidR="00D70703">
        <w:rPr>
          <w:color w:val="auto"/>
          <w:sz w:val="22"/>
          <w:szCs w:val="22"/>
        </w:rPr>
        <w:t>-</w:t>
      </w:r>
      <w:r w:rsidRPr="001516BD">
        <w:rPr>
          <w:color w:val="auto"/>
          <w:sz w:val="22"/>
          <w:szCs w:val="22"/>
        </w:rPr>
        <w:t xml:space="preserve">target </w:t>
      </w:r>
      <w:r w:rsidR="00F02914" w:rsidRPr="001516BD">
        <w:rPr>
          <w:color w:val="auto"/>
          <w:sz w:val="22"/>
          <w:szCs w:val="22"/>
        </w:rPr>
        <w:t>mosquito</w:t>
      </w:r>
      <w:r w:rsidRPr="001516BD">
        <w:rPr>
          <w:color w:val="auto"/>
          <w:sz w:val="22"/>
          <w:szCs w:val="22"/>
        </w:rPr>
        <w:t xml:space="preserve"> populations. By contrast, they act as a split </w:t>
      </w:r>
      <w:proofErr w:type="gramStart"/>
      <w:r w:rsidRPr="001516BD">
        <w:rPr>
          <w:color w:val="auto"/>
          <w:sz w:val="22"/>
          <w:szCs w:val="22"/>
        </w:rPr>
        <w:t>drive in</w:t>
      </w:r>
      <w:proofErr w:type="gramEnd"/>
      <w:r w:rsidRPr="001516BD">
        <w:rPr>
          <w:color w:val="auto"/>
          <w:sz w:val="22"/>
          <w:szCs w:val="22"/>
        </w:rPr>
        <w:t xml:space="preserve"> non-target populations. </w:t>
      </w:r>
      <w:r w:rsidR="00F02914" w:rsidRPr="001516BD">
        <w:rPr>
          <w:color w:val="auto"/>
          <w:sz w:val="22"/>
          <w:szCs w:val="22"/>
        </w:rPr>
        <w:t>Modelling</w:t>
      </w:r>
      <w:r w:rsidRPr="001516BD">
        <w:rPr>
          <w:color w:val="auto"/>
          <w:sz w:val="22"/>
          <w:szCs w:val="22"/>
        </w:rPr>
        <w:t xml:space="preserve"> shows that such </w:t>
      </w:r>
      <w:r w:rsidRPr="001516BD">
        <w:rPr>
          <w:color w:val="auto"/>
          <w:sz w:val="22"/>
          <w:szCs w:val="22"/>
        </w:rPr>
        <w:lastRenderedPageBreak/>
        <w:t xml:space="preserve">designs can restrict the spread and impact of the construct even if there is a relatively modest level of genetic differentiation between target and non-target populations </w:t>
      </w:r>
      <w:r w:rsidRPr="009E6578">
        <w:rPr>
          <w:color w:val="auto"/>
          <w:sz w:val="22"/>
          <w:szCs w:val="22"/>
        </w:rPr>
        <w:fldChar w:fldCharType="begin"/>
      </w:r>
      <w:r w:rsidRPr="009E6578">
        <w:rPr>
          <w:color w:val="auto"/>
          <w:sz w:val="22"/>
          <w:szCs w:val="22"/>
        </w:rPr>
        <w:instrText xml:space="preserve"> ADDIN EN.CITE &lt;EndNote&gt;&lt;Cite&gt;&lt;Author&gt;Willis&lt;/Author&gt;&lt;Year&gt;2021&lt;/Year&gt;&lt;RecNum&gt;23245&lt;/RecNum&gt;&lt;DisplayText&gt;(Willis and Burt, 2021)&lt;/DisplayText&gt;&lt;record&gt;&lt;rec-number&gt;23245&lt;/rec-number&gt;&lt;foreign-keys&gt;&lt;key app="EN" db-id="sxd2rda5xvs0soe2z0459vtoft2tr205a0p0" timestamp="1674391963" guid="06c89822-7b14-4501-8ec6-35695af53d46"&gt;23245&lt;/key&gt;&lt;/foreign-keys&gt;&lt;ref-type name="Journal Article"&gt;17&lt;/ref-type&gt;&lt;contributors&gt;&lt;authors&gt;&lt;author&gt;Willis, K.&lt;/author&gt;&lt;author&gt;Burt, A.&lt;/author&gt;&lt;/authors&gt;&lt;/contributors&gt;&lt;auth-address&gt;Department of Life Sciences, Imperial College London, Silwood Park, Ascot, United Kingdom.&lt;/auth-address&gt;&lt;titles&gt;&lt;title&gt;Double drives and private alleles for localised population genetic control&lt;/title&gt;&lt;secondary-title&gt;PLoS Genet&lt;/secondary-title&gt;&lt;/titles&gt;&lt;periodical&gt;&lt;full-title&gt;PLoS Genet&lt;/full-title&gt;&lt;/periodical&gt;&lt;pages&gt;e1009333&lt;/pages&gt;&lt;volume&gt;17&lt;/volume&gt;&lt;number&gt;3&lt;/number&gt;&lt;edition&gt;2021/03/24&lt;/edition&gt;&lt;keywords&gt;&lt;keyword&gt;*Alleles&lt;/keyword&gt;&lt;keyword&gt;Animals&lt;/keyword&gt;&lt;keyword&gt;Anopheles/genetics&lt;/keyword&gt;&lt;keyword&gt;*Evolution, Molecular&lt;/keyword&gt;&lt;keyword&gt;Female&lt;/keyword&gt;&lt;keyword&gt;Gene Frequency&lt;/keyword&gt;&lt;keyword&gt;Genetic Fitness&lt;/keyword&gt;&lt;keyword&gt;*Genetics, Population&lt;/keyword&gt;&lt;keyword&gt;Geography&lt;/keyword&gt;&lt;keyword&gt;Male&lt;/keyword&gt;&lt;keyword&gt;*Models, Genetic&lt;/keyword&gt;&lt;keyword&gt;Population Density&lt;/keyword&gt;&lt;keyword&gt;Quantitative Trait Loci&lt;/keyword&gt;&lt;/keywords&gt;&lt;dates&gt;&lt;year&gt;2021&lt;/year&gt;&lt;pub-dates&gt;&lt;date&gt;Mar&lt;/date&gt;&lt;/pub-dates&gt;&lt;/dates&gt;&lt;isbn&gt;1553-7404 (Electronic)&amp;#xD;1553-7390 (Print)&amp;#xD;1553-7390 (Linking)&lt;/isbn&gt;&lt;accession-num&gt;33755671&lt;/accession-num&gt;&lt;urls&gt;&lt;related-urls&gt;&lt;url&gt;https://www.ncbi.nlm.nih.gov/pubmed/33755671&lt;/url&gt;&lt;/related-urls&gt;&lt;/urls&gt;&lt;custom2&gt;PMC8018619&lt;/custom2&gt;&lt;electronic-resource-num&gt;10.1371/journal.pgen.1009333&lt;/electronic-resource-num&gt;&lt;/record&gt;&lt;/Cite&gt;&lt;/EndNote&gt;</w:instrText>
      </w:r>
      <w:r w:rsidRPr="009E6578">
        <w:rPr>
          <w:color w:val="auto"/>
          <w:sz w:val="22"/>
          <w:szCs w:val="22"/>
        </w:rPr>
        <w:fldChar w:fldCharType="separate"/>
      </w:r>
      <w:r w:rsidRPr="009E6578">
        <w:rPr>
          <w:color w:val="auto"/>
          <w:sz w:val="22"/>
          <w:szCs w:val="22"/>
        </w:rPr>
        <w:t>(Willis and Burt, 2021)</w:t>
      </w:r>
      <w:r w:rsidRPr="009E6578">
        <w:rPr>
          <w:color w:val="auto"/>
          <w:sz w:val="22"/>
          <w:szCs w:val="22"/>
        </w:rPr>
        <w:fldChar w:fldCharType="end"/>
      </w:r>
      <w:r w:rsidRPr="009E6578">
        <w:rPr>
          <w:color w:val="auto"/>
          <w:sz w:val="22"/>
          <w:szCs w:val="22"/>
        </w:rPr>
        <w:t>.</w:t>
      </w:r>
      <w:r w:rsidRPr="001516BD">
        <w:rPr>
          <w:color w:val="auto"/>
          <w:sz w:val="22"/>
          <w:szCs w:val="22"/>
        </w:rPr>
        <w:t xml:space="preserve"> </w:t>
      </w:r>
    </w:p>
    <w:p w14:paraId="482C67FD" w14:textId="500B3BA3" w:rsidR="00C37194" w:rsidRPr="00B01B25" w:rsidRDefault="00C37194" w:rsidP="00C37194">
      <w:pPr>
        <w:spacing w:line="276" w:lineRule="auto"/>
        <w:rPr>
          <w:rFonts w:ascii="Times New Roman" w:eastAsia="Times New Roman" w:hAnsi="Times New Roman"/>
          <w:b/>
          <w:bCs/>
        </w:rPr>
      </w:pPr>
      <w:r w:rsidRPr="00B01B25">
        <w:rPr>
          <w:rFonts w:ascii="Times New Roman" w:eastAsia="Times New Roman" w:hAnsi="Times New Roman"/>
          <w:b/>
          <w:bCs/>
        </w:rPr>
        <w:t>H.</w:t>
      </w:r>
      <w:r w:rsidR="00DA1D11">
        <w:rPr>
          <w:rFonts w:ascii="Times New Roman" w:eastAsia="Times New Roman" w:hAnsi="Times New Roman"/>
          <w:b/>
          <w:bCs/>
        </w:rPr>
        <w:t xml:space="preserve"> Secondary drive</w:t>
      </w:r>
    </w:p>
    <w:p w14:paraId="6A9E4214" w14:textId="0956B66A" w:rsidR="00C37194" w:rsidRDefault="00C37194" w:rsidP="00FD16A5">
      <w:pPr>
        <w:spacing w:line="276" w:lineRule="auto"/>
        <w:jc w:val="both"/>
        <w:rPr>
          <w:rFonts w:ascii="Times New Roman" w:eastAsia="Times New Roman" w:hAnsi="Times New Roman"/>
          <w:kern w:val="22"/>
          <w:lang w:eastAsia="en-CA"/>
        </w:rPr>
      </w:pPr>
      <w:r w:rsidRPr="00ED5E25">
        <w:rPr>
          <w:rFonts w:ascii="Times New Roman" w:eastAsia="Times New Roman" w:hAnsi="Times New Roman"/>
        </w:rPr>
        <w:t xml:space="preserve">Examples of </w:t>
      </w:r>
      <w:r w:rsidR="001516BD">
        <w:rPr>
          <w:rFonts w:ascii="Times New Roman" w:eastAsia="Times New Roman" w:hAnsi="Times New Roman"/>
        </w:rPr>
        <w:t xml:space="preserve">secondary </w:t>
      </w:r>
      <w:r w:rsidRPr="00ED5E25">
        <w:rPr>
          <w:rFonts w:ascii="Times New Roman" w:eastAsia="Times New Roman" w:hAnsi="Times New Roman"/>
        </w:rPr>
        <w:t>drives including reversal drives, immunizing drives (</w:t>
      </w:r>
      <w:proofErr w:type="spellStart"/>
      <w:r w:rsidR="00D70703" w:rsidRPr="009E6578">
        <w:rPr>
          <w:rFonts w:ascii="Times New Roman" w:eastAsia="Times New Roman" w:hAnsi="Times New Roman"/>
        </w:rPr>
        <w:t>Esvlet</w:t>
      </w:r>
      <w:proofErr w:type="spellEnd"/>
      <w:r w:rsidR="00D70703" w:rsidRPr="009E6578">
        <w:rPr>
          <w:rFonts w:ascii="Times New Roman" w:eastAsia="Times New Roman" w:hAnsi="Times New Roman"/>
        </w:rPr>
        <w:t xml:space="preserve"> </w:t>
      </w:r>
      <w:r w:rsidR="00D70703" w:rsidRPr="009E6578">
        <w:rPr>
          <w:rFonts w:ascii="Times New Roman" w:hAnsi="Times New Roman"/>
          <w:color w:val="000000"/>
        </w:rPr>
        <w:t>and others,</w:t>
      </w:r>
      <w:r w:rsidR="00D70703" w:rsidRPr="009E6578">
        <w:rPr>
          <w:rFonts w:ascii="Times New Roman" w:eastAsia="Times New Roman" w:hAnsi="Times New Roman"/>
        </w:rPr>
        <w:t xml:space="preserve"> 2014</w:t>
      </w:r>
      <w:r w:rsidR="00D70703">
        <w:rPr>
          <w:rFonts w:ascii="Times New Roman" w:eastAsia="Times New Roman" w:hAnsi="Times New Roman"/>
        </w:rPr>
        <w:t xml:space="preserve">; </w:t>
      </w:r>
      <w:r w:rsidRPr="009E6578">
        <w:rPr>
          <w:rFonts w:ascii="Times New Roman" w:eastAsia="Times New Roman" w:hAnsi="Times New Roman"/>
        </w:rPr>
        <w:t xml:space="preserve">Girardin, Calvez &amp; </w:t>
      </w:r>
      <w:proofErr w:type="spellStart"/>
      <w:r w:rsidRPr="009E6578">
        <w:rPr>
          <w:rFonts w:ascii="Times New Roman" w:eastAsia="Times New Roman" w:hAnsi="Times New Roman"/>
        </w:rPr>
        <w:t>Debarre</w:t>
      </w:r>
      <w:proofErr w:type="spellEnd"/>
      <w:r w:rsidRPr="009E6578">
        <w:rPr>
          <w:rFonts w:ascii="Times New Roman" w:eastAsia="Times New Roman" w:hAnsi="Times New Roman"/>
        </w:rPr>
        <w:t>, 2019</w:t>
      </w:r>
      <w:r w:rsidRPr="00ED5E25">
        <w:rPr>
          <w:rFonts w:ascii="Times New Roman" w:eastAsia="Times New Roman" w:hAnsi="Times New Roman"/>
        </w:rPr>
        <w:t>), overwriting drives</w:t>
      </w:r>
      <w:r w:rsidR="009C4B8A">
        <w:rPr>
          <w:rFonts w:ascii="Times New Roman" w:eastAsia="Times New Roman" w:hAnsi="Times New Roman"/>
        </w:rPr>
        <w:t xml:space="preserve"> and</w:t>
      </w:r>
      <w:r w:rsidRPr="00ED5E25">
        <w:rPr>
          <w:rFonts w:ascii="Times New Roman" w:eastAsia="Times New Roman" w:hAnsi="Times New Roman"/>
        </w:rPr>
        <w:t xml:space="preserve"> e-CHACR, ERACR (</w:t>
      </w:r>
      <w:r w:rsidRPr="009E6578">
        <w:rPr>
          <w:rFonts w:ascii="Times New Roman" w:eastAsia="Times New Roman" w:hAnsi="Times New Roman"/>
        </w:rPr>
        <w:t xml:space="preserve">Xu </w:t>
      </w:r>
      <w:r w:rsidRPr="009E6578">
        <w:rPr>
          <w:rFonts w:ascii="Times New Roman" w:hAnsi="Times New Roman"/>
          <w:color w:val="000000"/>
        </w:rPr>
        <w:t>and others,</w:t>
      </w:r>
      <w:r w:rsidRPr="009E6578">
        <w:rPr>
          <w:rFonts w:ascii="Times New Roman" w:hAnsi="Times New Roman"/>
        </w:rPr>
        <w:t xml:space="preserve"> 2020).</w:t>
      </w:r>
      <w:r w:rsidRPr="00ED5E25">
        <w:rPr>
          <w:rFonts w:ascii="Times New Roman" w:hAnsi="Times New Roman"/>
        </w:rPr>
        <w:t xml:space="preserve"> </w:t>
      </w:r>
      <w:r w:rsidRPr="00ED5E25">
        <w:rPr>
          <w:rFonts w:ascii="Times New Roman" w:eastAsia="Times New Roman" w:hAnsi="Times New Roman"/>
        </w:rPr>
        <w:t>Such mitigation strategies remain unproven. If considering the use of secondary drives</w:t>
      </w:r>
      <w:r w:rsidRPr="00ED5E25">
        <w:rPr>
          <w:rFonts w:ascii="Times New Roman" w:eastAsia="Times New Roman" w:hAnsi="Times New Roman"/>
          <w:kern w:val="22"/>
          <w:lang w:eastAsia="en-CA"/>
        </w:rPr>
        <w:t xml:space="preserve">, consideration of potential novel genetic rearrangements is necessary, with evidence that interaction of the two systems may occur with unintended genetic effects, adding yet more unpredictability and complexity to potential outcomes </w:t>
      </w:r>
      <w:r w:rsidRPr="009E6578">
        <w:rPr>
          <w:rFonts w:ascii="Times New Roman" w:eastAsia="Times New Roman" w:hAnsi="Times New Roman"/>
          <w:kern w:val="22"/>
          <w:lang w:eastAsia="en-CA"/>
        </w:rPr>
        <w:t xml:space="preserve">(Xu </w:t>
      </w:r>
      <w:r w:rsidRPr="009E6578">
        <w:rPr>
          <w:rFonts w:ascii="Times New Roman" w:hAnsi="Times New Roman"/>
          <w:color w:val="000000"/>
        </w:rPr>
        <w:t>and others</w:t>
      </w:r>
      <w:r w:rsidRPr="009E6578">
        <w:rPr>
          <w:rFonts w:ascii="Times New Roman" w:eastAsia="Times New Roman" w:hAnsi="Times New Roman"/>
          <w:kern w:val="22"/>
          <w:lang w:eastAsia="en-CA"/>
        </w:rPr>
        <w:t>, 2020).</w:t>
      </w:r>
      <w:r w:rsidRPr="00ED5E25">
        <w:rPr>
          <w:rFonts w:ascii="Times New Roman" w:eastAsia="Times New Roman" w:hAnsi="Times New Roman"/>
          <w:kern w:val="22"/>
          <w:lang w:eastAsia="en-CA"/>
        </w:rPr>
        <w:t xml:space="preserve"> </w:t>
      </w:r>
    </w:p>
    <w:p w14:paraId="0EAB6730" w14:textId="28E831E9" w:rsidR="00E360DE" w:rsidRDefault="00E360DE" w:rsidP="00C37194">
      <w:pPr>
        <w:spacing w:line="276" w:lineRule="auto"/>
        <w:rPr>
          <w:rFonts w:ascii="Times New Roman" w:eastAsia="Times New Roman" w:hAnsi="Times New Roman"/>
          <w:kern w:val="22"/>
          <w:lang w:eastAsia="en-CA"/>
        </w:rPr>
      </w:pPr>
      <w:r w:rsidRPr="4644E7B5">
        <w:rPr>
          <w:rFonts w:ascii="Times New Roman" w:eastAsia="Times New Roman" w:hAnsi="Times New Roman"/>
          <w:lang w:eastAsia="en-CA"/>
        </w:rPr>
        <w:br w:type="page"/>
      </w:r>
    </w:p>
    <w:p w14:paraId="6CAD56AF" w14:textId="42AB7508" w:rsidR="00360815" w:rsidRPr="00F168AD" w:rsidRDefault="0A676C0A" w:rsidP="00F168AD">
      <w:pPr>
        <w:pStyle w:val="Heading2"/>
        <w:spacing w:line="276" w:lineRule="auto"/>
        <w:ind w:left="-20" w:right="-20"/>
        <w:rPr>
          <w:rFonts w:ascii="Times New Roman" w:eastAsia="Times New Roman" w:hAnsi="Times New Roman" w:cs="Times New Roman"/>
          <w:b/>
          <w:bCs/>
          <w:color w:val="000000" w:themeColor="text1"/>
          <w:sz w:val="28"/>
          <w:szCs w:val="28"/>
          <w:lang w:val="en-GB"/>
        </w:rPr>
      </w:pPr>
      <w:bookmarkStart w:id="164" w:name="_Toc161220539"/>
      <w:r w:rsidRPr="4644E7B5">
        <w:rPr>
          <w:rFonts w:ascii="Times New Roman" w:eastAsia="Times New Roman" w:hAnsi="Times New Roman" w:cs="Times New Roman"/>
          <w:b/>
          <w:bCs/>
          <w:color w:val="000000" w:themeColor="text1"/>
          <w:sz w:val="28"/>
          <w:szCs w:val="28"/>
          <w:lang w:val="en-GB"/>
        </w:rPr>
        <w:lastRenderedPageBreak/>
        <w:t>List of Terms</w:t>
      </w:r>
      <w:r w:rsidR="00F168AD">
        <w:rPr>
          <w:rStyle w:val="FootnoteReference"/>
          <w:rFonts w:ascii="Times New Roman" w:eastAsia="Times New Roman" w:hAnsi="Times New Roman" w:cs="Times New Roman"/>
          <w:b/>
          <w:bCs/>
          <w:color w:val="000000" w:themeColor="text1"/>
          <w:sz w:val="28"/>
          <w:szCs w:val="28"/>
          <w:lang w:val="en-GB"/>
        </w:rPr>
        <w:footnoteReference w:id="18"/>
      </w:r>
      <w:bookmarkEnd w:id="164"/>
      <w:r w:rsidR="00857181">
        <w:rPr>
          <w:rFonts w:ascii="Times New Roman" w:eastAsia="Times New Roman" w:hAnsi="Times New Roman" w:cs="Times New Roman"/>
          <w:b/>
          <w:bCs/>
          <w:color w:val="000000" w:themeColor="text1"/>
          <w:sz w:val="28"/>
          <w:szCs w:val="28"/>
          <w:lang w:val="en-GB"/>
        </w:rPr>
        <w:t xml:space="preserve">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
        <w:gridCol w:w="2331"/>
        <w:gridCol w:w="3610"/>
        <w:gridCol w:w="2742"/>
      </w:tblGrid>
      <w:tr w:rsidR="4644E7B5" w14:paraId="12EFDC29" w14:textId="77777777" w:rsidTr="00FD23CF">
        <w:trPr>
          <w:trHeight w:val="300"/>
        </w:trPr>
        <w:tc>
          <w:tcPr>
            <w:tcW w:w="395" w:type="dxa"/>
            <w:tcMar>
              <w:left w:w="108" w:type="dxa"/>
              <w:right w:w="108" w:type="dxa"/>
            </w:tcMar>
          </w:tcPr>
          <w:p w14:paraId="5AC780D0" w14:textId="587DFF6F" w:rsidR="4644E7B5" w:rsidRDefault="4644E7B5" w:rsidP="4644E7B5">
            <w:pPr>
              <w:spacing w:before="40" w:after="40"/>
              <w:ind w:left="-20" w:right="-20"/>
            </w:pPr>
            <w:r w:rsidRPr="4644E7B5">
              <w:rPr>
                <w:b/>
                <w:bCs/>
              </w:rPr>
              <w:t>#</w:t>
            </w:r>
          </w:p>
        </w:tc>
        <w:tc>
          <w:tcPr>
            <w:tcW w:w="2331" w:type="dxa"/>
            <w:tcMar>
              <w:left w:w="108" w:type="dxa"/>
              <w:right w:w="108" w:type="dxa"/>
            </w:tcMar>
          </w:tcPr>
          <w:p w14:paraId="3151E570" w14:textId="7BAC4781" w:rsidR="4644E7B5" w:rsidRDefault="4644E7B5" w:rsidP="4644E7B5">
            <w:pPr>
              <w:spacing w:before="40" w:after="40"/>
              <w:ind w:left="-20" w:right="-20"/>
            </w:pPr>
            <w:r w:rsidRPr="4644E7B5">
              <w:rPr>
                <w:b/>
                <w:bCs/>
                <w:sz w:val="22"/>
                <w:szCs w:val="22"/>
              </w:rPr>
              <w:t>Term</w:t>
            </w:r>
          </w:p>
        </w:tc>
        <w:tc>
          <w:tcPr>
            <w:tcW w:w="3610" w:type="dxa"/>
            <w:tcMar>
              <w:left w:w="108" w:type="dxa"/>
              <w:right w:w="108" w:type="dxa"/>
            </w:tcMar>
          </w:tcPr>
          <w:p w14:paraId="14505ED6" w14:textId="0ABD5282" w:rsidR="4644E7B5" w:rsidRDefault="4644E7B5" w:rsidP="4644E7B5">
            <w:pPr>
              <w:spacing w:before="40" w:after="40"/>
              <w:ind w:left="-20" w:right="-20"/>
            </w:pPr>
            <w:r w:rsidRPr="4644E7B5">
              <w:rPr>
                <w:b/>
                <w:bCs/>
                <w:sz w:val="22"/>
                <w:szCs w:val="22"/>
              </w:rPr>
              <w:t>Draft definition(s)</w:t>
            </w:r>
          </w:p>
        </w:tc>
        <w:tc>
          <w:tcPr>
            <w:tcW w:w="2742" w:type="dxa"/>
            <w:tcMar>
              <w:left w:w="108" w:type="dxa"/>
              <w:right w:w="108" w:type="dxa"/>
            </w:tcMar>
          </w:tcPr>
          <w:p w14:paraId="1310ED58" w14:textId="48AF2D74" w:rsidR="4644E7B5" w:rsidRDefault="4644E7B5" w:rsidP="4644E7B5">
            <w:pPr>
              <w:spacing w:before="40" w:after="40"/>
              <w:ind w:left="-20" w:right="-20"/>
            </w:pPr>
            <w:r w:rsidRPr="4644E7B5">
              <w:rPr>
                <w:b/>
                <w:bCs/>
                <w:sz w:val="22"/>
                <w:szCs w:val="22"/>
              </w:rPr>
              <w:t xml:space="preserve">Source </w:t>
            </w:r>
          </w:p>
        </w:tc>
      </w:tr>
      <w:tr w:rsidR="4644E7B5" w14:paraId="71774C49" w14:textId="77777777" w:rsidTr="00FD23CF">
        <w:trPr>
          <w:trHeight w:val="300"/>
        </w:trPr>
        <w:tc>
          <w:tcPr>
            <w:tcW w:w="395" w:type="dxa"/>
            <w:vMerge w:val="restart"/>
            <w:tcMar>
              <w:left w:w="108" w:type="dxa"/>
              <w:right w:w="108" w:type="dxa"/>
            </w:tcMar>
          </w:tcPr>
          <w:p w14:paraId="30D16306" w14:textId="3C119667" w:rsidR="4644E7B5" w:rsidRDefault="4644E7B5" w:rsidP="4644E7B5">
            <w:pPr>
              <w:spacing w:before="40" w:after="40"/>
              <w:ind w:left="-20" w:right="-20"/>
            </w:pPr>
            <w:r w:rsidRPr="4644E7B5">
              <w:rPr>
                <w:b/>
                <w:bCs/>
                <w:sz w:val="22"/>
                <w:szCs w:val="22"/>
              </w:rPr>
              <w:t xml:space="preserve"> </w:t>
            </w:r>
          </w:p>
        </w:tc>
        <w:tc>
          <w:tcPr>
            <w:tcW w:w="2331" w:type="dxa"/>
            <w:vMerge w:val="restart"/>
            <w:tcMar>
              <w:left w:w="108" w:type="dxa"/>
              <w:right w:w="108" w:type="dxa"/>
            </w:tcMar>
          </w:tcPr>
          <w:p w14:paraId="5202D059" w14:textId="3F5A325E" w:rsidR="4644E7B5" w:rsidRDefault="4644E7B5" w:rsidP="4644E7B5">
            <w:pPr>
              <w:spacing w:before="40" w:after="40"/>
              <w:ind w:left="-20" w:right="-20"/>
            </w:pPr>
            <w:r w:rsidRPr="4644E7B5">
              <w:rPr>
                <w:i/>
                <w:iCs/>
                <w:sz w:val="22"/>
                <w:szCs w:val="22"/>
              </w:rPr>
              <w:t>Applicant</w:t>
            </w:r>
          </w:p>
        </w:tc>
        <w:tc>
          <w:tcPr>
            <w:tcW w:w="3610" w:type="dxa"/>
            <w:tcMar>
              <w:left w:w="108" w:type="dxa"/>
              <w:right w:w="108" w:type="dxa"/>
            </w:tcMar>
          </w:tcPr>
          <w:p w14:paraId="57FE4570" w14:textId="463A469B" w:rsidR="4644E7B5" w:rsidRDefault="4644E7B5" w:rsidP="4644E7B5">
            <w:pPr>
              <w:spacing w:before="40" w:after="40"/>
              <w:ind w:left="-20" w:right="-20"/>
            </w:pPr>
            <w:r w:rsidRPr="4644E7B5">
              <w:rPr>
                <w:i/>
                <w:iCs/>
                <w:sz w:val="22"/>
                <w:szCs w:val="22"/>
              </w:rPr>
              <w:t xml:space="preserve">An individual or organisation that applies for approval or authorisation of a regulated activity to a responsible government agency or regulatory body. The </w:t>
            </w:r>
            <w:r w:rsidRPr="4644E7B5">
              <w:rPr>
                <w:i/>
                <w:iCs/>
                <w:color w:val="0070C0"/>
                <w:sz w:val="22"/>
                <w:szCs w:val="22"/>
              </w:rPr>
              <w:t xml:space="preserve">applicant </w:t>
            </w:r>
            <w:r w:rsidRPr="4644E7B5">
              <w:rPr>
                <w:i/>
                <w:iCs/>
                <w:sz w:val="22"/>
                <w:szCs w:val="22"/>
              </w:rPr>
              <w:t xml:space="preserve">may be the </w:t>
            </w:r>
            <w:r w:rsidRPr="4644E7B5">
              <w:rPr>
                <w:i/>
                <w:iCs/>
                <w:color w:val="0070C0"/>
                <w:sz w:val="22"/>
                <w:szCs w:val="22"/>
              </w:rPr>
              <w:t>developer</w:t>
            </w:r>
            <w:r w:rsidRPr="4644E7B5">
              <w:rPr>
                <w:i/>
                <w:iCs/>
                <w:sz w:val="22"/>
                <w:szCs w:val="22"/>
              </w:rPr>
              <w:t>.</w:t>
            </w:r>
          </w:p>
        </w:tc>
        <w:tc>
          <w:tcPr>
            <w:tcW w:w="2742" w:type="dxa"/>
            <w:vMerge w:val="restart"/>
            <w:tcMar>
              <w:left w:w="108" w:type="dxa"/>
              <w:right w:w="108" w:type="dxa"/>
            </w:tcMar>
          </w:tcPr>
          <w:p w14:paraId="564FCF3A" w14:textId="6C2E3420" w:rsidR="4644E7B5" w:rsidRDefault="4644E7B5" w:rsidP="4644E7B5">
            <w:pPr>
              <w:spacing w:before="40" w:after="40"/>
              <w:ind w:left="-20" w:right="-20"/>
            </w:pPr>
            <w:r w:rsidRPr="4644E7B5">
              <w:rPr>
                <w:sz w:val="22"/>
                <w:szCs w:val="22"/>
              </w:rPr>
              <w:t>N/A (original)</w:t>
            </w:r>
          </w:p>
        </w:tc>
      </w:tr>
      <w:tr w:rsidR="4644E7B5" w14:paraId="5C1C407F" w14:textId="77777777" w:rsidTr="00FD23CF">
        <w:trPr>
          <w:trHeight w:val="300"/>
        </w:trPr>
        <w:tc>
          <w:tcPr>
            <w:tcW w:w="395" w:type="dxa"/>
            <w:vMerge/>
            <w:vAlign w:val="center"/>
          </w:tcPr>
          <w:p w14:paraId="35FE7265" w14:textId="77777777" w:rsidR="00D72B06" w:rsidRDefault="00D72B06"/>
        </w:tc>
        <w:tc>
          <w:tcPr>
            <w:tcW w:w="2331" w:type="dxa"/>
            <w:vMerge/>
            <w:vAlign w:val="center"/>
          </w:tcPr>
          <w:p w14:paraId="0B23BF2C" w14:textId="77777777" w:rsidR="00D72B06" w:rsidRDefault="00D72B06"/>
        </w:tc>
        <w:tc>
          <w:tcPr>
            <w:tcW w:w="3610" w:type="dxa"/>
            <w:tcMar>
              <w:left w:w="108" w:type="dxa"/>
              <w:right w:w="108" w:type="dxa"/>
            </w:tcMar>
          </w:tcPr>
          <w:p w14:paraId="3EE48B53" w14:textId="52FCAD88" w:rsidR="4644E7B5" w:rsidRDefault="4644E7B5" w:rsidP="4644E7B5">
            <w:pPr>
              <w:spacing w:before="40" w:after="40"/>
              <w:ind w:left="-20" w:right="-20"/>
            </w:pPr>
            <w:r w:rsidRPr="4644E7B5">
              <w:rPr>
                <w:i/>
                <w:iCs/>
                <w:color w:val="000000" w:themeColor="text1"/>
                <w:sz w:val="22"/>
                <w:szCs w:val="22"/>
              </w:rPr>
              <w:t xml:space="preserve">Related definition: </w:t>
            </w:r>
            <w:r w:rsidRPr="4644E7B5">
              <w:rPr>
                <w:i/>
                <w:iCs/>
                <w:color w:val="0070C0"/>
                <w:sz w:val="22"/>
                <w:szCs w:val="22"/>
              </w:rPr>
              <w:t>developer</w:t>
            </w:r>
          </w:p>
        </w:tc>
        <w:tc>
          <w:tcPr>
            <w:tcW w:w="2742" w:type="dxa"/>
            <w:vMerge/>
            <w:vAlign w:val="center"/>
          </w:tcPr>
          <w:p w14:paraId="6542701B" w14:textId="77777777" w:rsidR="00D72B06" w:rsidRDefault="00D72B06"/>
        </w:tc>
      </w:tr>
      <w:tr w:rsidR="4644E7B5" w14:paraId="3C032723" w14:textId="77777777" w:rsidTr="00FD23CF">
        <w:trPr>
          <w:trHeight w:val="1290"/>
        </w:trPr>
        <w:tc>
          <w:tcPr>
            <w:tcW w:w="395" w:type="dxa"/>
            <w:vMerge w:val="restart"/>
            <w:tcMar>
              <w:left w:w="108" w:type="dxa"/>
              <w:right w:w="108" w:type="dxa"/>
            </w:tcMar>
          </w:tcPr>
          <w:p w14:paraId="2F61053A" w14:textId="3A5990BC" w:rsidR="4644E7B5" w:rsidRDefault="4644E7B5"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5DD0E278" w14:textId="35B722A8" w:rsidR="4644E7B5" w:rsidRDefault="4644E7B5" w:rsidP="4644E7B5">
            <w:pPr>
              <w:spacing w:before="40" w:after="40"/>
              <w:ind w:left="-20" w:right="-20"/>
            </w:pPr>
            <w:r w:rsidRPr="4644E7B5">
              <w:rPr>
                <w:i/>
                <w:iCs/>
                <w:sz w:val="22"/>
                <w:szCs w:val="22"/>
              </w:rPr>
              <w:t>Assessment endpoint</w:t>
            </w:r>
          </w:p>
        </w:tc>
        <w:tc>
          <w:tcPr>
            <w:tcW w:w="3610" w:type="dxa"/>
            <w:tcMar>
              <w:left w:w="108" w:type="dxa"/>
              <w:right w:w="108" w:type="dxa"/>
            </w:tcMar>
          </w:tcPr>
          <w:p w14:paraId="63D95F42" w14:textId="1C070AEC" w:rsidR="4644E7B5" w:rsidRDefault="4644E7B5" w:rsidP="4644E7B5">
            <w:pPr>
              <w:spacing w:before="40" w:after="40"/>
              <w:ind w:left="-20" w:right="-20"/>
            </w:pPr>
            <w:r w:rsidRPr="4644E7B5">
              <w:rPr>
                <w:i/>
                <w:iCs/>
                <w:color w:val="000000" w:themeColor="text1"/>
                <w:sz w:val="22"/>
                <w:szCs w:val="22"/>
              </w:rPr>
              <w:t>An expression of the environmental value that is to be protected, operationally defined as</w:t>
            </w:r>
            <w:r w:rsidRPr="4644E7B5">
              <w:rPr>
                <w:i/>
                <w:iCs/>
                <w:sz w:val="22"/>
                <w:szCs w:val="22"/>
              </w:rPr>
              <w:t xml:space="preserve"> an entity (e.g., a species, </w:t>
            </w:r>
            <w:proofErr w:type="gramStart"/>
            <w:r w:rsidRPr="4644E7B5">
              <w:rPr>
                <w:i/>
                <w:iCs/>
                <w:sz w:val="22"/>
                <w:szCs w:val="22"/>
              </w:rPr>
              <w:t>population</w:t>
            </w:r>
            <w:proofErr w:type="gramEnd"/>
            <w:r w:rsidRPr="4644E7B5">
              <w:rPr>
                <w:i/>
                <w:iCs/>
                <w:sz w:val="22"/>
                <w:szCs w:val="22"/>
              </w:rPr>
              <w:t xml:space="preserve"> or habitat) and an attribute of that entity (e.g., abundance, distribution, mortality) that can be measured or modelled.</w:t>
            </w:r>
          </w:p>
        </w:tc>
        <w:tc>
          <w:tcPr>
            <w:tcW w:w="2742" w:type="dxa"/>
            <w:vMerge w:val="restart"/>
            <w:tcMar>
              <w:left w:w="108" w:type="dxa"/>
              <w:right w:w="108" w:type="dxa"/>
            </w:tcMar>
          </w:tcPr>
          <w:p w14:paraId="020B3356" w14:textId="30F80530" w:rsidR="4644E7B5" w:rsidRDefault="4644E7B5" w:rsidP="4644E7B5">
            <w:pPr>
              <w:spacing w:before="40" w:after="40"/>
              <w:ind w:left="-20" w:right="-20"/>
            </w:pPr>
            <w:r w:rsidRPr="4644E7B5">
              <w:rPr>
                <w:sz w:val="22"/>
                <w:szCs w:val="22"/>
              </w:rPr>
              <w:t>Adapted from: EFSA GMO Panel</w:t>
            </w:r>
            <w:r w:rsidR="0053208D">
              <w:rPr>
                <w:sz w:val="22"/>
                <w:szCs w:val="22"/>
              </w:rPr>
              <w:t>,</w:t>
            </w:r>
            <w:r w:rsidRPr="4644E7B5">
              <w:rPr>
                <w:sz w:val="22"/>
                <w:szCs w:val="22"/>
              </w:rPr>
              <w:t xml:space="preserve"> 2010</w:t>
            </w:r>
            <w:r w:rsidR="0053208D">
              <w:rPr>
                <w:sz w:val="22"/>
                <w:szCs w:val="22"/>
                <w:lang w:val="en-US"/>
              </w:rPr>
              <w:t>;</w:t>
            </w:r>
            <w:r w:rsidRPr="4644E7B5">
              <w:rPr>
                <w:sz w:val="22"/>
                <w:szCs w:val="22"/>
              </w:rPr>
              <w:t xml:space="preserve"> </w:t>
            </w:r>
            <w:r w:rsidRPr="00DC3B7D">
              <w:rPr>
                <w:sz w:val="22"/>
                <w:szCs w:val="22"/>
              </w:rPr>
              <w:t>NASEM</w:t>
            </w:r>
            <w:r w:rsidR="0053208D" w:rsidRPr="00DC3B7D">
              <w:rPr>
                <w:sz w:val="22"/>
                <w:szCs w:val="22"/>
              </w:rPr>
              <w:t>,</w:t>
            </w:r>
            <w:r w:rsidRPr="00DC3B7D">
              <w:rPr>
                <w:sz w:val="22"/>
                <w:szCs w:val="22"/>
              </w:rPr>
              <w:t xml:space="preserve"> 2016</w:t>
            </w:r>
            <w:r w:rsidR="0053208D" w:rsidRPr="00DC3B7D">
              <w:rPr>
                <w:sz w:val="22"/>
                <w:szCs w:val="22"/>
              </w:rPr>
              <w:t>;</w:t>
            </w:r>
            <w:r w:rsidRPr="00DC3B7D">
              <w:rPr>
                <w:sz w:val="22"/>
                <w:szCs w:val="22"/>
              </w:rPr>
              <w:t xml:space="preserve"> OECD</w:t>
            </w:r>
            <w:r w:rsidR="0053208D" w:rsidRPr="00DC3B7D">
              <w:rPr>
                <w:sz w:val="22"/>
                <w:szCs w:val="22"/>
              </w:rPr>
              <w:t>,</w:t>
            </w:r>
            <w:r w:rsidRPr="00DC3B7D">
              <w:rPr>
                <w:sz w:val="22"/>
                <w:szCs w:val="22"/>
              </w:rPr>
              <w:t xml:space="preserve"> 2023</w:t>
            </w:r>
            <w:r w:rsidR="0053208D">
              <w:rPr>
                <w:sz w:val="22"/>
                <w:szCs w:val="22"/>
              </w:rPr>
              <w:t>;</w:t>
            </w:r>
            <w:r w:rsidRPr="4644E7B5">
              <w:rPr>
                <w:sz w:val="22"/>
                <w:szCs w:val="22"/>
              </w:rPr>
              <w:t xml:space="preserve"> </w:t>
            </w:r>
            <w:r w:rsidR="00192075" w:rsidRPr="00192075">
              <w:rPr>
                <w:color w:val="000000" w:themeColor="text1"/>
                <w:sz w:val="22"/>
                <w:szCs w:val="22"/>
              </w:rPr>
              <w:t xml:space="preserve">World Health </w:t>
            </w:r>
            <w:proofErr w:type="gramStart"/>
            <w:r w:rsidR="00192075" w:rsidRPr="00192075">
              <w:rPr>
                <w:color w:val="000000" w:themeColor="text1"/>
                <w:sz w:val="22"/>
                <w:szCs w:val="22"/>
              </w:rPr>
              <w:t>Organisation</w:t>
            </w:r>
            <w:r w:rsidR="009507F5">
              <w:rPr>
                <w:color w:val="000000" w:themeColor="text1"/>
                <w:sz w:val="22"/>
                <w:szCs w:val="22"/>
              </w:rPr>
              <w:t xml:space="preserve"> </w:t>
            </w:r>
            <w:r w:rsidR="0053208D">
              <w:rPr>
                <w:sz w:val="22"/>
                <w:szCs w:val="22"/>
              </w:rPr>
              <w:t>,</w:t>
            </w:r>
            <w:proofErr w:type="gramEnd"/>
            <w:r w:rsidRPr="4644E7B5">
              <w:rPr>
                <w:sz w:val="22"/>
                <w:szCs w:val="22"/>
              </w:rPr>
              <w:t xml:space="preserve"> 2001</w:t>
            </w:r>
          </w:p>
        </w:tc>
      </w:tr>
      <w:tr w:rsidR="4644E7B5" w14:paraId="2ED6389E" w14:textId="77777777" w:rsidTr="00FD23CF">
        <w:trPr>
          <w:trHeight w:val="645"/>
        </w:trPr>
        <w:tc>
          <w:tcPr>
            <w:tcW w:w="395" w:type="dxa"/>
            <w:vMerge/>
            <w:vAlign w:val="center"/>
          </w:tcPr>
          <w:p w14:paraId="66FDF201" w14:textId="77777777" w:rsidR="00D72B06" w:rsidRDefault="00D72B06"/>
        </w:tc>
        <w:tc>
          <w:tcPr>
            <w:tcW w:w="2331" w:type="dxa"/>
            <w:vMerge/>
            <w:vAlign w:val="center"/>
          </w:tcPr>
          <w:p w14:paraId="1849A1BA" w14:textId="77777777" w:rsidR="00D72B06" w:rsidRDefault="00D72B06"/>
        </w:tc>
        <w:tc>
          <w:tcPr>
            <w:tcW w:w="3610" w:type="dxa"/>
            <w:tcMar>
              <w:left w:w="108" w:type="dxa"/>
              <w:right w:w="108" w:type="dxa"/>
            </w:tcMar>
          </w:tcPr>
          <w:p w14:paraId="0556D203" w14:textId="57824C93" w:rsidR="4644E7B5" w:rsidRDefault="4644E7B5" w:rsidP="4644E7B5">
            <w:pPr>
              <w:spacing w:before="40" w:after="40"/>
              <w:ind w:left="-20" w:right="-20"/>
            </w:pPr>
            <w:r w:rsidRPr="4644E7B5">
              <w:rPr>
                <w:i/>
                <w:iCs/>
                <w:color w:val="000000" w:themeColor="text1"/>
                <w:sz w:val="22"/>
                <w:szCs w:val="22"/>
              </w:rPr>
              <w:t xml:space="preserve">Related definition: </w:t>
            </w:r>
            <w:r w:rsidRPr="4644E7B5">
              <w:rPr>
                <w:i/>
                <w:iCs/>
                <w:color w:val="0070C0"/>
                <w:sz w:val="22"/>
                <w:szCs w:val="22"/>
              </w:rPr>
              <w:t>measurement endpoint</w:t>
            </w:r>
          </w:p>
        </w:tc>
        <w:tc>
          <w:tcPr>
            <w:tcW w:w="2742" w:type="dxa"/>
            <w:vMerge/>
            <w:vAlign w:val="center"/>
          </w:tcPr>
          <w:p w14:paraId="1063821E" w14:textId="77777777" w:rsidR="00D72B06" w:rsidRDefault="00D72B06"/>
        </w:tc>
      </w:tr>
      <w:tr w:rsidR="4644E7B5" w14:paraId="00A85425" w14:textId="77777777" w:rsidTr="00FD23CF">
        <w:trPr>
          <w:trHeight w:val="300"/>
        </w:trPr>
        <w:tc>
          <w:tcPr>
            <w:tcW w:w="395" w:type="dxa"/>
            <w:vMerge w:val="restart"/>
            <w:tcMar>
              <w:left w:w="108" w:type="dxa"/>
              <w:right w:w="108" w:type="dxa"/>
            </w:tcMar>
          </w:tcPr>
          <w:p w14:paraId="44EA7CB2" w14:textId="5D48B6E0" w:rsidR="4644E7B5" w:rsidRDefault="4644E7B5"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4B556E4C" w14:textId="077B81E3" w:rsidR="4644E7B5" w:rsidRDefault="4644E7B5" w:rsidP="4644E7B5">
            <w:pPr>
              <w:spacing w:before="40" w:after="40"/>
              <w:ind w:left="-20" w:right="-20"/>
            </w:pPr>
            <w:r w:rsidRPr="4644E7B5">
              <w:rPr>
                <w:i/>
                <w:iCs/>
                <w:color w:val="000000" w:themeColor="text1"/>
                <w:sz w:val="22"/>
                <w:szCs w:val="22"/>
              </w:rPr>
              <w:t>Cargo/payload gene</w:t>
            </w:r>
          </w:p>
        </w:tc>
        <w:tc>
          <w:tcPr>
            <w:tcW w:w="3610" w:type="dxa"/>
            <w:tcMar>
              <w:left w:w="108" w:type="dxa"/>
              <w:right w:w="108" w:type="dxa"/>
            </w:tcMar>
          </w:tcPr>
          <w:p w14:paraId="1B7283CC" w14:textId="34A80DF5" w:rsidR="4644E7B5" w:rsidRDefault="4644E7B5" w:rsidP="4644E7B5">
            <w:pPr>
              <w:spacing w:before="40" w:after="40"/>
              <w:ind w:left="-20" w:right="-20"/>
            </w:pPr>
            <w:r w:rsidRPr="4644E7B5">
              <w:rPr>
                <w:i/>
                <w:iCs/>
                <w:color w:val="000000" w:themeColor="text1"/>
                <w:sz w:val="22"/>
                <w:szCs w:val="22"/>
              </w:rPr>
              <w:t xml:space="preserve">A functional gene or cassette that is linked to the </w:t>
            </w:r>
            <w:r w:rsidRPr="4644E7B5">
              <w:rPr>
                <w:i/>
                <w:iCs/>
                <w:color w:val="0070C0"/>
                <w:sz w:val="22"/>
                <w:szCs w:val="22"/>
              </w:rPr>
              <w:t xml:space="preserve">engineered gene drive insert </w:t>
            </w:r>
            <w:r w:rsidRPr="4644E7B5">
              <w:rPr>
                <w:i/>
                <w:iCs/>
                <w:color w:val="000000" w:themeColor="text1"/>
                <w:sz w:val="22"/>
                <w:szCs w:val="22"/>
              </w:rPr>
              <w:t xml:space="preserve">that is not necessary for the engineered gene drive to function but aims to spread the linked gene/cassette throughout a </w:t>
            </w:r>
            <w:r w:rsidRPr="4644E7B5">
              <w:rPr>
                <w:i/>
                <w:iCs/>
                <w:color w:val="0070C0"/>
                <w:sz w:val="22"/>
                <w:szCs w:val="22"/>
              </w:rPr>
              <w:t>target population</w:t>
            </w:r>
            <w:r w:rsidRPr="4644E7B5">
              <w:rPr>
                <w:i/>
                <w:iCs/>
                <w:color w:val="000000" w:themeColor="text1"/>
                <w:sz w:val="22"/>
                <w:szCs w:val="22"/>
              </w:rPr>
              <w:t>.</w:t>
            </w:r>
            <w:r w:rsidRPr="4644E7B5">
              <w:rPr>
                <w:i/>
                <w:iCs/>
                <w:color w:val="808080" w:themeColor="background1" w:themeShade="80"/>
                <w:sz w:val="22"/>
                <w:szCs w:val="22"/>
              </w:rPr>
              <w:t xml:space="preserve"> </w:t>
            </w:r>
          </w:p>
        </w:tc>
        <w:tc>
          <w:tcPr>
            <w:tcW w:w="2742" w:type="dxa"/>
            <w:vMerge w:val="restart"/>
            <w:tcMar>
              <w:left w:w="108" w:type="dxa"/>
              <w:right w:w="108" w:type="dxa"/>
            </w:tcMar>
          </w:tcPr>
          <w:p w14:paraId="4D13806C" w14:textId="079FD3FE" w:rsidR="4644E7B5" w:rsidRDefault="4644E7B5" w:rsidP="4644E7B5">
            <w:pPr>
              <w:spacing w:before="40" w:after="40"/>
              <w:ind w:left="-20" w:right="-20"/>
            </w:pPr>
            <w:proofErr w:type="spellStart"/>
            <w:r w:rsidRPr="00DC3B7D">
              <w:rPr>
                <w:sz w:val="22"/>
                <w:szCs w:val="22"/>
              </w:rPr>
              <w:t>Alphey</w:t>
            </w:r>
            <w:proofErr w:type="spellEnd"/>
            <w:r w:rsidRPr="00DC3B7D">
              <w:rPr>
                <w:sz w:val="22"/>
                <w:szCs w:val="22"/>
              </w:rPr>
              <w:t xml:space="preserve"> and others, 2020 – publication by the gene drive research community proposing a list of standardised definitions. </w:t>
            </w:r>
            <w:r w:rsidRPr="00DC3B7D">
              <w:rPr>
                <w:rFonts w:ascii="Times" w:eastAsia="Times" w:hAnsi="Times" w:cs="Times"/>
                <w:sz w:val="22"/>
                <w:szCs w:val="22"/>
              </w:rPr>
              <w:t>The words</w:t>
            </w:r>
            <w:r w:rsidRPr="00DC3B7D">
              <w:rPr>
                <w:rFonts w:ascii="Times" w:eastAsia="Times" w:hAnsi="Times" w:cs="Times"/>
                <w:sz w:val="18"/>
                <w:szCs w:val="18"/>
              </w:rPr>
              <w:t xml:space="preserve"> </w:t>
            </w:r>
            <w:r w:rsidRPr="00DC3B7D">
              <w:rPr>
                <w:rFonts w:ascii="Times" w:eastAsia="Times" w:hAnsi="Times" w:cs="Times"/>
                <w:sz w:val="22"/>
                <w:szCs w:val="22"/>
              </w:rPr>
              <w:t>“engineered</w:t>
            </w:r>
            <w:proofErr w:type="gramStart"/>
            <w:r w:rsidRPr="00DC3B7D">
              <w:rPr>
                <w:rFonts w:ascii="Times" w:eastAsia="Times" w:hAnsi="Times" w:cs="Times"/>
                <w:sz w:val="22"/>
                <w:szCs w:val="22"/>
              </w:rPr>
              <w:t>”</w:t>
            </w:r>
            <w:proofErr w:type="gramEnd"/>
            <w:r w:rsidRPr="00DC3B7D">
              <w:rPr>
                <w:rFonts w:ascii="Times" w:eastAsia="Times" w:hAnsi="Times" w:cs="Times"/>
                <w:sz w:val="22"/>
                <w:szCs w:val="22"/>
              </w:rPr>
              <w:t xml:space="preserve"> and “target” have been added to the published definition to link other definitions in this </w:t>
            </w:r>
            <w:r w:rsidR="00CF0591" w:rsidRPr="00DC3B7D">
              <w:rPr>
                <w:rFonts w:ascii="Times" w:eastAsia="Times" w:hAnsi="Times" w:cs="Times"/>
                <w:sz w:val="22"/>
                <w:szCs w:val="22"/>
              </w:rPr>
              <w:t>list</w:t>
            </w:r>
            <w:r w:rsidRPr="00DC3B7D">
              <w:rPr>
                <w:rFonts w:ascii="Times" w:eastAsia="Times" w:hAnsi="Times" w:cs="Times"/>
                <w:sz w:val="22"/>
                <w:szCs w:val="22"/>
              </w:rPr>
              <w:t xml:space="preserve"> of </w:t>
            </w:r>
            <w:r w:rsidR="00CF0591" w:rsidRPr="00DC3B7D">
              <w:rPr>
                <w:rFonts w:ascii="Times" w:eastAsia="Times" w:hAnsi="Times" w:cs="Times"/>
                <w:sz w:val="22"/>
                <w:szCs w:val="22"/>
              </w:rPr>
              <w:t>t</w:t>
            </w:r>
            <w:r w:rsidRPr="00DC3B7D">
              <w:rPr>
                <w:rFonts w:ascii="Times" w:eastAsia="Times" w:hAnsi="Times" w:cs="Times"/>
                <w:sz w:val="22"/>
                <w:szCs w:val="22"/>
              </w:rPr>
              <w:t>erms.</w:t>
            </w:r>
          </w:p>
        </w:tc>
      </w:tr>
      <w:tr w:rsidR="4644E7B5" w14:paraId="7DCCFDA7" w14:textId="77777777" w:rsidTr="00FD23CF">
        <w:trPr>
          <w:trHeight w:val="300"/>
        </w:trPr>
        <w:tc>
          <w:tcPr>
            <w:tcW w:w="395" w:type="dxa"/>
            <w:vMerge/>
            <w:vAlign w:val="center"/>
          </w:tcPr>
          <w:p w14:paraId="6E014903" w14:textId="77777777" w:rsidR="00D72B06" w:rsidRDefault="00D72B06"/>
        </w:tc>
        <w:tc>
          <w:tcPr>
            <w:tcW w:w="2331" w:type="dxa"/>
            <w:vMerge/>
            <w:vAlign w:val="center"/>
          </w:tcPr>
          <w:p w14:paraId="68131E97" w14:textId="77777777" w:rsidR="00D72B06" w:rsidRDefault="00D72B06"/>
        </w:tc>
        <w:tc>
          <w:tcPr>
            <w:tcW w:w="3610" w:type="dxa"/>
            <w:tcMar>
              <w:left w:w="108" w:type="dxa"/>
              <w:right w:w="108" w:type="dxa"/>
            </w:tcMar>
          </w:tcPr>
          <w:p w14:paraId="69C25A80" w14:textId="5FC759F8" w:rsidR="4644E7B5" w:rsidRDefault="4644E7B5" w:rsidP="4644E7B5">
            <w:pPr>
              <w:spacing w:before="40" w:after="40"/>
              <w:ind w:left="-20" w:right="-20"/>
            </w:pPr>
            <w:r w:rsidRPr="4644E7B5">
              <w:rPr>
                <w:i/>
                <w:iCs/>
                <w:sz w:val="22"/>
                <w:szCs w:val="22"/>
              </w:rPr>
              <w:t xml:space="preserve">Related definitions: </w:t>
            </w:r>
            <w:r w:rsidRPr="4644E7B5">
              <w:rPr>
                <w:i/>
                <w:iCs/>
                <w:color w:val="0070C0"/>
                <w:sz w:val="22"/>
                <w:szCs w:val="22"/>
              </w:rPr>
              <w:t>engineered gene drive</w:t>
            </w:r>
            <w:r w:rsidRPr="4644E7B5">
              <w:rPr>
                <w:i/>
                <w:iCs/>
                <w:sz w:val="22"/>
                <w:szCs w:val="22"/>
              </w:rPr>
              <w:t xml:space="preserve">, </w:t>
            </w:r>
            <w:r w:rsidRPr="4644E7B5">
              <w:rPr>
                <w:i/>
                <w:iCs/>
                <w:color w:val="0070C0"/>
                <w:sz w:val="22"/>
                <w:szCs w:val="22"/>
              </w:rPr>
              <w:t>target population</w:t>
            </w:r>
          </w:p>
        </w:tc>
        <w:tc>
          <w:tcPr>
            <w:tcW w:w="2742" w:type="dxa"/>
            <w:vMerge/>
            <w:vAlign w:val="center"/>
          </w:tcPr>
          <w:p w14:paraId="325D4C67" w14:textId="77777777" w:rsidR="00D72B06" w:rsidRDefault="00D72B06"/>
        </w:tc>
      </w:tr>
      <w:tr w:rsidR="4644E7B5" w14:paraId="7058E6FC" w14:textId="77777777" w:rsidTr="00FD23CF">
        <w:trPr>
          <w:trHeight w:val="300"/>
        </w:trPr>
        <w:tc>
          <w:tcPr>
            <w:tcW w:w="395" w:type="dxa"/>
            <w:vMerge w:val="restart"/>
            <w:tcMar>
              <w:left w:w="108" w:type="dxa"/>
              <w:right w:w="108" w:type="dxa"/>
            </w:tcMar>
          </w:tcPr>
          <w:p w14:paraId="6144FD2F" w14:textId="7B6B9D8E" w:rsidR="4644E7B5" w:rsidRDefault="4644E7B5"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3476520F" w14:textId="449A3027" w:rsidR="4644E7B5" w:rsidRDefault="4644E7B5" w:rsidP="4644E7B5">
            <w:pPr>
              <w:spacing w:before="40" w:after="40"/>
              <w:ind w:left="-20" w:right="-20"/>
            </w:pPr>
            <w:r w:rsidRPr="4644E7B5">
              <w:rPr>
                <w:i/>
                <w:iCs/>
                <w:sz w:val="22"/>
                <w:szCs w:val="22"/>
              </w:rPr>
              <w:t xml:space="preserve">Confinement measures </w:t>
            </w:r>
          </w:p>
        </w:tc>
        <w:tc>
          <w:tcPr>
            <w:tcW w:w="3610" w:type="dxa"/>
            <w:tcMar>
              <w:left w:w="108" w:type="dxa"/>
              <w:right w:w="108" w:type="dxa"/>
            </w:tcMar>
          </w:tcPr>
          <w:p w14:paraId="5D588715" w14:textId="749D95F5" w:rsidR="4644E7B5" w:rsidRDefault="4644E7B5" w:rsidP="4644E7B5">
            <w:pPr>
              <w:spacing w:before="40" w:after="40"/>
              <w:ind w:left="-20" w:right="-20"/>
            </w:pPr>
            <w:r w:rsidRPr="4644E7B5">
              <w:rPr>
                <w:i/>
                <w:iCs/>
                <w:sz w:val="22"/>
                <w:szCs w:val="22"/>
              </w:rPr>
              <w:t xml:space="preserve">A set of measures intended to prevent or minimise the unintentional release of organisms, such as </w:t>
            </w:r>
            <w:r w:rsidRPr="4644E7B5">
              <w:rPr>
                <w:i/>
                <w:iCs/>
                <w:color w:val="000000" w:themeColor="text1"/>
                <w:sz w:val="22"/>
                <w:szCs w:val="22"/>
              </w:rPr>
              <w:t xml:space="preserve">a living modified mosquito (see </w:t>
            </w:r>
            <w:r w:rsidRPr="4644E7B5">
              <w:rPr>
                <w:i/>
                <w:iCs/>
                <w:color w:val="0070C0"/>
                <w:sz w:val="22"/>
                <w:szCs w:val="22"/>
              </w:rPr>
              <w:t>living modified organism</w:t>
            </w:r>
            <w:r w:rsidRPr="4644E7B5">
              <w:rPr>
                <w:i/>
                <w:iCs/>
                <w:color w:val="000000" w:themeColor="text1"/>
                <w:sz w:val="22"/>
                <w:szCs w:val="22"/>
              </w:rPr>
              <w:t xml:space="preserve">) containing an </w:t>
            </w:r>
            <w:r w:rsidRPr="4644E7B5">
              <w:rPr>
                <w:i/>
                <w:iCs/>
                <w:color w:val="0070C0"/>
                <w:sz w:val="22"/>
                <w:szCs w:val="22"/>
              </w:rPr>
              <w:t>engineered gene drive,</w:t>
            </w:r>
            <w:r w:rsidRPr="4644E7B5">
              <w:rPr>
                <w:i/>
                <w:iCs/>
                <w:sz w:val="22"/>
                <w:szCs w:val="22"/>
              </w:rPr>
              <w:t xml:space="preserve"> from a designated area into the surrounding environment. This may </w:t>
            </w:r>
            <w:r w:rsidRPr="4644E7B5">
              <w:rPr>
                <w:i/>
                <w:iCs/>
                <w:color w:val="000000" w:themeColor="text1"/>
                <w:sz w:val="22"/>
                <w:szCs w:val="22"/>
              </w:rPr>
              <w:t>include studies conducted in physical confinement (also termed “</w:t>
            </w:r>
            <w:r w:rsidRPr="00521721">
              <w:rPr>
                <w:i/>
                <w:iCs/>
                <w:color w:val="000000" w:themeColor="text1"/>
                <w:sz w:val="22"/>
                <w:szCs w:val="22"/>
              </w:rPr>
              <w:t>containment</w:t>
            </w:r>
            <w:r w:rsidRPr="4644E7B5">
              <w:rPr>
                <w:i/>
                <w:iCs/>
                <w:color w:val="000000" w:themeColor="text1"/>
                <w:sz w:val="22"/>
                <w:szCs w:val="22"/>
              </w:rPr>
              <w:t xml:space="preserve">”), with measures including physical barriers such as indoor laboratories, insectaries, or population cages. In outdoor settings, large cages may be used, and additional ecological confinement measures may include </w:t>
            </w:r>
            <w:r w:rsidRPr="4644E7B5">
              <w:rPr>
                <w:i/>
                <w:iCs/>
                <w:color w:val="000000" w:themeColor="text1"/>
                <w:sz w:val="22"/>
                <w:szCs w:val="22"/>
              </w:rPr>
              <w:lastRenderedPageBreak/>
              <w:t xml:space="preserve">geographical/spatial and/or climatic isolation. </w:t>
            </w:r>
          </w:p>
        </w:tc>
        <w:tc>
          <w:tcPr>
            <w:tcW w:w="2742" w:type="dxa"/>
            <w:vMerge w:val="restart"/>
            <w:tcMar>
              <w:left w:w="108" w:type="dxa"/>
              <w:right w:w="108" w:type="dxa"/>
            </w:tcMar>
          </w:tcPr>
          <w:p w14:paraId="27A2E779" w14:textId="292DF7B7" w:rsidR="4644E7B5" w:rsidRPr="00DC3B7D" w:rsidRDefault="006B17EC" w:rsidP="4644E7B5">
            <w:pPr>
              <w:spacing w:before="40" w:after="40"/>
              <w:ind w:left="-20" w:right="-20"/>
              <w:rPr>
                <w:color w:val="000000" w:themeColor="text1"/>
              </w:rPr>
            </w:pPr>
            <w:r w:rsidRPr="009D39B3">
              <w:rPr>
                <w:color w:val="000000" w:themeColor="text1"/>
                <w:sz w:val="22"/>
                <w:szCs w:val="22"/>
              </w:rPr>
              <w:lastRenderedPageBreak/>
              <w:t>Adapted</w:t>
            </w:r>
            <w:r w:rsidR="4644E7B5" w:rsidRPr="009D39B3">
              <w:rPr>
                <w:color w:val="000000" w:themeColor="text1"/>
                <w:sz w:val="22"/>
                <w:szCs w:val="22"/>
              </w:rPr>
              <w:t xml:space="preserve"> from explanatory text</w:t>
            </w:r>
            <w:r w:rsidR="4644E7B5" w:rsidRPr="00DC3B7D">
              <w:rPr>
                <w:color w:val="000000" w:themeColor="text1"/>
                <w:sz w:val="22"/>
                <w:szCs w:val="22"/>
              </w:rPr>
              <w:t xml:space="preserve"> in: </w:t>
            </w:r>
            <w:r w:rsidR="00192075" w:rsidRPr="00192075">
              <w:rPr>
                <w:color w:val="000000" w:themeColor="text1"/>
                <w:sz w:val="22"/>
                <w:szCs w:val="22"/>
              </w:rPr>
              <w:t>World Health Organisation</w:t>
            </w:r>
            <w:r w:rsidR="0053208D" w:rsidRPr="00DC3B7D">
              <w:rPr>
                <w:color w:val="000000" w:themeColor="text1"/>
                <w:sz w:val="22"/>
                <w:szCs w:val="22"/>
              </w:rPr>
              <w:t>,</w:t>
            </w:r>
            <w:r w:rsidR="4644E7B5" w:rsidRPr="00DC3B7D">
              <w:rPr>
                <w:color w:val="000000" w:themeColor="text1"/>
                <w:sz w:val="22"/>
                <w:szCs w:val="22"/>
              </w:rPr>
              <w:t xml:space="preserve"> </w:t>
            </w:r>
            <w:proofErr w:type="gramStart"/>
            <w:r w:rsidR="4644E7B5" w:rsidRPr="009D39B3">
              <w:rPr>
                <w:color w:val="000000" w:themeColor="text1"/>
                <w:sz w:val="22"/>
                <w:szCs w:val="22"/>
              </w:rPr>
              <w:t>2021</w:t>
            </w:r>
            <w:r w:rsidR="009D39B3" w:rsidRPr="009D39B3">
              <w:rPr>
                <w:color w:val="000000" w:themeColor="text1"/>
                <w:sz w:val="22"/>
                <w:szCs w:val="22"/>
              </w:rPr>
              <w:t>b</w:t>
            </w:r>
            <w:proofErr w:type="gramEnd"/>
          </w:p>
          <w:p w14:paraId="0F63C2B7" w14:textId="249FD109" w:rsidR="4644E7B5" w:rsidRDefault="4644E7B5" w:rsidP="4644E7B5">
            <w:pPr>
              <w:spacing w:before="40" w:after="40"/>
              <w:ind w:left="-20" w:right="-20"/>
            </w:pPr>
            <w:r w:rsidRPr="00464189">
              <w:rPr>
                <w:color w:val="FF0000"/>
                <w:sz w:val="22"/>
                <w:szCs w:val="22"/>
              </w:rPr>
              <w:t xml:space="preserve"> </w:t>
            </w:r>
          </w:p>
        </w:tc>
      </w:tr>
      <w:tr w:rsidR="4644E7B5" w14:paraId="330DB9C9" w14:textId="77777777" w:rsidTr="00FD23CF">
        <w:trPr>
          <w:trHeight w:val="300"/>
        </w:trPr>
        <w:tc>
          <w:tcPr>
            <w:tcW w:w="395" w:type="dxa"/>
            <w:vMerge/>
            <w:vAlign w:val="center"/>
          </w:tcPr>
          <w:p w14:paraId="1944BE9D" w14:textId="77777777" w:rsidR="00D72B06" w:rsidRDefault="00D72B06"/>
        </w:tc>
        <w:tc>
          <w:tcPr>
            <w:tcW w:w="2331" w:type="dxa"/>
            <w:vMerge/>
            <w:vAlign w:val="center"/>
          </w:tcPr>
          <w:p w14:paraId="6267171C" w14:textId="77777777" w:rsidR="00D72B06" w:rsidRDefault="00D72B06"/>
        </w:tc>
        <w:tc>
          <w:tcPr>
            <w:tcW w:w="3610" w:type="dxa"/>
            <w:tcMar>
              <w:left w:w="108" w:type="dxa"/>
              <w:right w:w="108" w:type="dxa"/>
            </w:tcMar>
          </w:tcPr>
          <w:p w14:paraId="1C368247" w14:textId="7B86C967" w:rsidR="4644E7B5" w:rsidRDefault="4644E7B5" w:rsidP="4644E7B5">
            <w:pPr>
              <w:spacing w:before="40" w:after="40"/>
              <w:ind w:left="-20" w:right="-20"/>
            </w:pPr>
            <w:r w:rsidRPr="4644E7B5">
              <w:rPr>
                <w:i/>
                <w:iCs/>
                <w:color w:val="000000" w:themeColor="text1"/>
                <w:sz w:val="22"/>
                <w:szCs w:val="22"/>
              </w:rPr>
              <w:t>Related definitions</w:t>
            </w:r>
            <w:r w:rsidR="00FA01C6">
              <w:rPr>
                <w:i/>
                <w:iCs/>
                <w:color w:val="000000" w:themeColor="text1"/>
                <w:sz w:val="22"/>
                <w:szCs w:val="22"/>
              </w:rPr>
              <w:t>:</w:t>
            </w:r>
            <w:r w:rsidRPr="4644E7B5">
              <w:rPr>
                <w:i/>
                <w:iCs/>
                <w:color w:val="000000" w:themeColor="text1"/>
                <w:sz w:val="22"/>
                <w:szCs w:val="22"/>
              </w:rPr>
              <w:t xml:space="preserve"> </w:t>
            </w:r>
            <w:r w:rsidRPr="4644E7B5">
              <w:rPr>
                <w:i/>
                <w:iCs/>
                <w:color w:val="0070C0"/>
                <w:sz w:val="22"/>
                <w:szCs w:val="22"/>
              </w:rPr>
              <w:t>engineered gene drive</w:t>
            </w:r>
            <w:r w:rsidRPr="4644E7B5">
              <w:rPr>
                <w:i/>
                <w:iCs/>
                <w:color w:val="000000" w:themeColor="text1"/>
                <w:sz w:val="22"/>
                <w:szCs w:val="22"/>
              </w:rPr>
              <w:t xml:space="preserve">, </w:t>
            </w:r>
            <w:r w:rsidRPr="4644E7B5">
              <w:rPr>
                <w:i/>
                <w:iCs/>
                <w:color w:val="0070C0"/>
                <w:sz w:val="22"/>
                <w:szCs w:val="22"/>
              </w:rPr>
              <w:t>living modified organism</w:t>
            </w:r>
          </w:p>
        </w:tc>
        <w:tc>
          <w:tcPr>
            <w:tcW w:w="2742" w:type="dxa"/>
            <w:vMerge/>
            <w:vAlign w:val="center"/>
          </w:tcPr>
          <w:p w14:paraId="6520FE79" w14:textId="77777777" w:rsidR="00D72B06" w:rsidRDefault="00D72B06"/>
        </w:tc>
      </w:tr>
      <w:tr w:rsidR="4644E7B5" w14:paraId="4B53F98F" w14:textId="77777777">
        <w:trPr>
          <w:trHeight w:val="1159"/>
        </w:trPr>
        <w:tc>
          <w:tcPr>
            <w:tcW w:w="395" w:type="dxa"/>
            <w:tcMar>
              <w:left w:w="108" w:type="dxa"/>
              <w:right w:w="108" w:type="dxa"/>
            </w:tcMar>
          </w:tcPr>
          <w:p w14:paraId="2A1CB498" w14:textId="4F30F3D7" w:rsidR="4644E7B5" w:rsidRDefault="4644E7B5" w:rsidP="4644E7B5">
            <w:pPr>
              <w:spacing w:before="40" w:after="40"/>
              <w:ind w:left="-20" w:right="-20"/>
            </w:pPr>
            <w:r w:rsidRPr="4644E7B5">
              <w:rPr>
                <w:sz w:val="22"/>
                <w:szCs w:val="22"/>
              </w:rPr>
              <w:t xml:space="preserve"> </w:t>
            </w:r>
          </w:p>
        </w:tc>
        <w:tc>
          <w:tcPr>
            <w:tcW w:w="2331" w:type="dxa"/>
            <w:tcMar>
              <w:left w:w="108" w:type="dxa"/>
              <w:right w:w="108" w:type="dxa"/>
            </w:tcMar>
          </w:tcPr>
          <w:p w14:paraId="58385643" w14:textId="32EACDCB" w:rsidR="4644E7B5" w:rsidRDefault="4644E7B5" w:rsidP="4644E7B5">
            <w:pPr>
              <w:spacing w:before="40" w:after="40"/>
              <w:ind w:left="-20" w:right="-20"/>
            </w:pPr>
            <w:r w:rsidRPr="4644E7B5">
              <w:rPr>
                <w:i/>
                <w:iCs/>
                <w:sz w:val="22"/>
                <w:szCs w:val="22"/>
              </w:rPr>
              <w:t>Developer</w:t>
            </w:r>
          </w:p>
        </w:tc>
        <w:tc>
          <w:tcPr>
            <w:tcW w:w="3610" w:type="dxa"/>
            <w:tcMar>
              <w:left w:w="108" w:type="dxa"/>
              <w:right w:w="108" w:type="dxa"/>
            </w:tcMar>
          </w:tcPr>
          <w:p w14:paraId="63E21FBF" w14:textId="0C40A37A" w:rsidR="4644E7B5" w:rsidRDefault="4644E7B5" w:rsidP="4644E7B5">
            <w:pPr>
              <w:spacing w:before="40" w:after="40"/>
              <w:ind w:left="-20" w:right="-20"/>
            </w:pPr>
            <w:r w:rsidRPr="4644E7B5">
              <w:rPr>
                <w:i/>
                <w:iCs/>
                <w:color w:val="000000" w:themeColor="text1"/>
                <w:sz w:val="22"/>
                <w:szCs w:val="22"/>
              </w:rPr>
              <w:t xml:space="preserve">An entity/entities undertaking research and development activities aimed at producing new or improved products (goods or services) or processes. </w:t>
            </w:r>
          </w:p>
        </w:tc>
        <w:tc>
          <w:tcPr>
            <w:tcW w:w="2742" w:type="dxa"/>
            <w:tcMar>
              <w:left w:w="108" w:type="dxa"/>
              <w:right w:w="108" w:type="dxa"/>
            </w:tcMar>
          </w:tcPr>
          <w:p w14:paraId="20C1ACA8" w14:textId="77777777" w:rsidR="00A87AFE" w:rsidRPr="0053208D" w:rsidRDefault="4644E7B5" w:rsidP="4644E7B5">
            <w:pPr>
              <w:spacing w:before="40" w:after="40"/>
              <w:ind w:left="-20" w:right="-20"/>
              <w:rPr>
                <w:lang w:val="en-US"/>
              </w:rPr>
            </w:pPr>
            <w:r w:rsidRPr="4644E7B5">
              <w:rPr>
                <w:sz w:val="22"/>
                <w:szCs w:val="22"/>
              </w:rPr>
              <w:t xml:space="preserve">Derived from descriptions of </w:t>
            </w:r>
            <w:r w:rsidRPr="00A87AFE">
              <w:rPr>
                <w:sz w:val="22"/>
                <w:szCs w:val="22"/>
              </w:rPr>
              <w:t xml:space="preserve">Beeckman and </w:t>
            </w:r>
            <w:proofErr w:type="spellStart"/>
            <w:r w:rsidR="00A87AFE" w:rsidRPr="00A87AFE">
              <w:rPr>
                <w:sz w:val="22"/>
                <w:szCs w:val="22"/>
              </w:rPr>
              <w:t>Rüdelsheim</w:t>
            </w:r>
            <w:proofErr w:type="spellEnd"/>
            <w:r w:rsidR="0053208D" w:rsidRPr="00A87AFE">
              <w:rPr>
                <w:sz w:val="22"/>
                <w:szCs w:val="22"/>
              </w:rPr>
              <w:t>,</w:t>
            </w:r>
            <w:r w:rsidRPr="00A87AFE">
              <w:rPr>
                <w:sz w:val="22"/>
                <w:szCs w:val="22"/>
              </w:rPr>
              <w:t xml:space="preserve"> 2020</w:t>
            </w:r>
            <w:r w:rsidR="0053208D">
              <w:rPr>
                <w:sz w:val="22"/>
                <w:szCs w:val="22"/>
              </w:rPr>
              <w:t>;</w:t>
            </w:r>
            <w:r w:rsidRPr="4644E7B5">
              <w:rPr>
                <w:sz w:val="22"/>
                <w:szCs w:val="22"/>
              </w:rPr>
              <w:t xml:space="preserve"> OECD</w:t>
            </w:r>
            <w:r w:rsidR="0053208D">
              <w:rPr>
                <w:sz w:val="22"/>
                <w:szCs w:val="22"/>
              </w:rPr>
              <w:t>,</w:t>
            </w:r>
            <w:r w:rsidRPr="4644E7B5">
              <w:rPr>
                <w:sz w:val="22"/>
                <w:szCs w:val="22"/>
              </w:rPr>
              <w:t xml:space="preserve"> 2015</w:t>
            </w:r>
          </w:p>
          <w:p w14:paraId="152ACF67" w14:textId="41097D07" w:rsidR="4644E7B5" w:rsidRPr="0053208D" w:rsidRDefault="00A87AFE" w:rsidP="4644E7B5">
            <w:pPr>
              <w:spacing w:before="40" w:after="40"/>
              <w:ind w:left="-20" w:right="-20"/>
              <w:rPr>
                <w:lang w:val="en-US"/>
              </w:rPr>
            </w:pPr>
            <w:r w:rsidRPr="4644E7B5">
              <w:rPr>
                <w:sz w:val="22"/>
                <w:szCs w:val="22"/>
              </w:rPr>
              <w:t xml:space="preserve"> </w:t>
            </w:r>
          </w:p>
        </w:tc>
      </w:tr>
      <w:tr w:rsidR="4644E7B5" w14:paraId="4D0E0922" w14:textId="77777777" w:rsidTr="00FD23CF">
        <w:trPr>
          <w:trHeight w:val="300"/>
        </w:trPr>
        <w:tc>
          <w:tcPr>
            <w:tcW w:w="395" w:type="dxa"/>
            <w:tcMar>
              <w:left w:w="108" w:type="dxa"/>
              <w:right w:w="108" w:type="dxa"/>
            </w:tcMar>
          </w:tcPr>
          <w:p w14:paraId="156162A2" w14:textId="4DD186F9" w:rsidR="4644E7B5" w:rsidRDefault="4644E7B5" w:rsidP="4644E7B5">
            <w:pPr>
              <w:spacing w:before="40" w:after="40"/>
              <w:ind w:left="-20" w:right="-20"/>
            </w:pPr>
            <w:r w:rsidRPr="4644E7B5">
              <w:rPr>
                <w:sz w:val="22"/>
                <w:szCs w:val="22"/>
              </w:rPr>
              <w:t xml:space="preserve"> </w:t>
            </w:r>
          </w:p>
        </w:tc>
        <w:tc>
          <w:tcPr>
            <w:tcW w:w="2331" w:type="dxa"/>
            <w:tcMar>
              <w:left w:w="108" w:type="dxa"/>
              <w:right w:w="108" w:type="dxa"/>
            </w:tcMar>
          </w:tcPr>
          <w:p w14:paraId="195C8F03" w14:textId="263FF8FC" w:rsidR="4644E7B5" w:rsidRDefault="4644E7B5" w:rsidP="4644E7B5">
            <w:pPr>
              <w:spacing w:before="40" w:after="40"/>
              <w:ind w:left="-20" w:right="-20"/>
            </w:pPr>
            <w:r w:rsidRPr="4644E7B5">
              <w:rPr>
                <w:i/>
                <w:iCs/>
                <w:sz w:val="22"/>
                <w:szCs w:val="22"/>
              </w:rPr>
              <w:t>Ecosystem</w:t>
            </w:r>
          </w:p>
        </w:tc>
        <w:tc>
          <w:tcPr>
            <w:tcW w:w="3610" w:type="dxa"/>
            <w:tcMar>
              <w:left w:w="108" w:type="dxa"/>
              <w:right w:w="108" w:type="dxa"/>
            </w:tcMar>
          </w:tcPr>
          <w:p w14:paraId="4534A472" w14:textId="3D985A50" w:rsidR="4644E7B5" w:rsidRDefault="4644E7B5" w:rsidP="4644E7B5">
            <w:pPr>
              <w:spacing w:before="40" w:after="40"/>
              <w:ind w:left="-20" w:right="-20"/>
            </w:pPr>
            <w:r w:rsidRPr="4644E7B5">
              <w:rPr>
                <w:i/>
                <w:iCs/>
                <w:color w:val="000000" w:themeColor="text1"/>
                <w:sz w:val="22"/>
                <w:szCs w:val="22"/>
              </w:rPr>
              <w:t>A dynamic complex of plant, animal and micro-organism communities and their non-living environment interacting as a functional unit.</w:t>
            </w:r>
          </w:p>
        </w:tc>
        <w:tc>
          <w:tcPr>
            <w:tcW w:w="2742" w:type="dxa"/>
            <w:tcMar>
              <w:left w:w="108" w:type="dxa"/>
              <w:right w:w="108" w:type="dxa"/>
            </w:tcMar>
          </w:tcPr>
          <w:p w14:paraId="4DB9DEFE" w14:textId="7CE4100C" w:rsidR="4644E7B5" w:rsidRDefault="4644E7B5" w:rsidP="4644E7B5">
            <w:pPr>
              <w:spacing w:before="40" w:after="40"/>
              <w:ind w:left="-20" w:right="-20"/>
            </w:pPr>
            <w:r w:rsidRPr="00A87AFE">
              <w:rPr>
                <w:color w:val="000000" w:themeColor="text1"/>
                <w:sz w:val="22"/>
                <w:szCs w:val="22"/>
              </w:rPr>
              <w:t>Article 2 (Use of terms) of the Convention on Biological Diversity</w:t>
            </w:r>
          </w:p>
        </w:tc>
      </w:tr>
      <w:tr w:rsidR="005A69B8" w14:paraId="62B1C21E" w14:textId="77777777" w:rsidTr="00FD23CF">
        <w:trPr>
          <w:trHeight w:val="1178"/>
        </w:trPr>
        <w:tc>
          <w:tcPr>
            <w:tcW w:w="395" w:type="dxa"/>
            <w:vMerge w:val="restart"/>
            <w:tcMar>
              <w:left w:w="108" w:type="dxa"/>
              <w:right w:w="108" w:type="dxa"/>
            </w:tcMar>
          </w:tcPr>
          <w:p w14:paraId="5529B8C9" w14:textId="422BDFF4" w:rsidR="005A69B8" w:rsidRDefault="005A69B8"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5FEA0A7E" w14:textId="4A6FBAE9" w:rsidR="005A69B8" w:rsidRDefault="005A69B8" w:rsidP="4644E7B5">
            <w:pPr>
              <w:spacing w:before="40" w:after="40"/>
              <w:ind w:left="-20" w:right="-20"/>
            </w:pPr>
            <w:r w:rsidRPr="4644E7B5">
              <w:rPr>
                <w:i/>
                <w:iCs/>
                <w:sz w:val="22"/>
                <w:szCs w:val="22"/>
              </w:rPr>
              <w:t>Ecosystem services</w:t>
            </w:r>
          </w:p>
        </w:tc>
        <w:tc>
          <w:tcPr>
            <w:tcW w:w="3610" w:type="dxa"/>
            <w:tcMar>
              <w:left w:w="108" w:type="dxa"/>
              <w:right w:w="108" w:type="dxa"/>
            </w:tcMar>
          </w:tcPr>
          <w:p w14:paraId="75118D2F" w14:textId="70D8CB52" w:rsidR="005A69B8" w:rsidRDefault="005A69B8" w:rsidP="4644E7B5">
            <w:pPr>
              <w:spacing w:before="40" w:after="40"/>
              <w:ind w:left="-20" w:right="-20"/>
            </w:pPr>
            <w:r w:rsidRPr="4644E7B5">
              <w:rPr>
                <w:i/>
                <w:iCs/>
                <w:color w:val="000000" w:themeColor="text1"/>
                <w:sz w:val="22"/>
                <w:szCs w:val="22"/>
              </w:rPr>
              <w:t xml:space="preserve">Benefits people obtain from </w:t>
            </w:r>
            <w:r w:rsidRPr="005A69B8">
              <w:rPr>
                <w:i/>
                <w:iCs/>
                <w:color w:val="0070C0"/>
                <w:sz w:val="22"/>
                <w:szCs w:val="22"/>
              </w:rPr>
              <w:t>ecosystems</w:t>
            </w:r>
            <w:r w:rsidR="00A862E4">
              <w:rPr>
                <w:i/>
                <w:iCs/>
                <w:color w:val="0070C0"/>
                <w:sz w:val="22"/>
                <w:szCs w:val="22"/>
              </w:rPr>
              <w:t>;</w:t>
            </w:r>
            <w:r w:rsidRPr="005A69B8">
              <w:rPr>
                <w:i/>
                <w:color w:val="0070C0"/>
                <w:sz w:val="22"/>
                <w:szCs w:val="22"/>
              </w:rPr>
              <w:t xml:space="preserve"> </w:t>
            </w:r>
            <w:r w:rsidRPr="4644E7B5">
              <w:rPr>
                <w:i/>
                <w:iCs/>
                <w:color w:val="000000" w:themeColor="text1"/>
                <w:sz w:val="22"/>
                <w:szCs w:val="22"/>
              </w:rPr>
              <w:t>four categories of ecosystem services</w:t>
            </w:r>
            <w:r w:rsidR="00A862E4">
              <w:rPr>
                <w:i/>
                <w:iCs/>
                <w:color w:val="000000" w:themeColor="text1"/>
                <w:sz w:val="22"/>
                <w:szCs w:val="22"/>
              </w:rPr>
              <w:t xml:space="preserve"> are distinguished</w:t>
            </w:r>
            <w:r w:rsidRPr="4644E7B5">
              <w:rPr>
                <w:i/>
                <w:iCs/>
                <w:color w:val="000000" w:themeColor="text1"/>
                <w:sz w:val="22"/>
                <w:szCs w:val="22"/>
              </w:rPr>
              <w:t>, where the supporting services are regarded as the basis for the services of the other three categories. These four categories of ecosystem services are: provisioning, regulating, cultural and supporting services.</w:t>
            </w:r>
          </w:p>
        </w:tc>
        <w:tc>
          <w:tcPr>
            <w:tcW w:w="2742" w:type="dxa"/>
            <w:vMerge w:val="restart"/>
            <w:tcMar>
              <w:left w:w="108" w:type="dxa"/>
              <w:right w:w="108" w:type="dxa"/>
            </w:tcMar>
          </w:tcPr>
          <w:p w14:paraId="0B66241A" w14:textId="20D5D144" w:rsidR="005A69B8" w:rsidRDefault="00AE219F" w:rsidP="4644E7B5">
            <w:pPr>
              <w:spacing w:before="40" w:after="40"/>
              <w:ind w:left="-20" w:right="-20"/>
            </w:pPr>
            <w:r>
              <w:rPr>
                <w:color w:val="040C28"/>
                <w:sz w:val="22"/>
                <w:szCs w:val="22"/>
              </w:rPr>
              <w:t>Reid</w:t>
            </w:r>
            <w:r w:rsidR="00A94748">
              <w:rPr>
                <w:color w:val="040C28"/>
                <w:sz w:val="22"/>
                <w:szCs w:val="22"/>
              </w:rPr>
              <w:t>,</w:t>
            </w:r>
            <w:r w:rsidR="005A69B8" w:rsidRPr="4644E7B5">
              <w:rPr>
                <w:color w:val="040C28"/>
                <w:sz w:val="22"/>
                <w:szCs w:val="22"/>
              </w:rPr>
              <w:t xml:space="preserve"> 2005</w:t>
            </w:r>
            <w:r w:rsidR="005A69B8" w:rsidRPr="4644E7B5">
              <w:rPr>
                <w:color w:val="202124"/>
                <w:sz w:val="22"/>
                <w:szCs w:val="22"/>
              </w:rPr>
              <w:t xml:space="preserve"> and </w:t>
            </w:r>
            <w:r w:rsidR="00091D71" w:rsidRPr="00A87AFE">
              <w:rPr>
                <w:color w:val="202124"/>
                <w:sz w:val="22"/>
                <w:szCs w:val="22"/>
              </w:rPr>
              <w:t>Devos</w:t>
            </w:r>
            <w:r w:rsidR="005A69B8" w:rsidRPr="00A87AFE">
              <w:rPr>
                <w:color w:val="202124"/>
                <w:sz w:val="22"/>
                <w:szCs w:val="22"/>
              </w:rPr>
              <w:t xml:space="preserve"> and </w:t>
            </w:r>
            <w:r w:rsidR="00091D71" w:rsidRPr="00A87AFE">
              <w:rPr>
                <w:color w:val="202124"/>
                <w:sz w:val="22"/>
                <w:szCs w:val="22"/>
              </w:rPr>
              <w:t>others</w:t>
            </w:r>
            <w:r w:rsidR="0053208D" w:rsidRPr="00A87AFE">
              <w:rPr>
                <w:color w:val="202124"/>
                <w:sz w:val="22"/>
                <w:szCs w:val="22"/>
              </w:rPr>
              <w:t xml:space="preserve">, </w:t>
            </w:r>
            <w:r w:rsidR="00384A7A" w:rsidRPr="00A87AFE">
              <w:rPr>
                <w:color w:val="202124"/>
                <w:sz w:val="22"/>
                <w:szCs w:val="22"/>
              </w:rPr>
              <w:t>2015</w:t>
            </w:r>
            <w:r w:rsidR="005A69B8" w:rsidRPr="00A87AFE">
              <w:rPr>
                <w:color w:val="202124"/>
                <w:sz w:val="22"/>
                <w:szCs w:val="22"/>
              </w:rPr>
              <w:t>.</w:t>
            </w:r>
          </w:p>
          <w:p w14:paraId="41AD80A5" w14:textId="0B083F6C" w:rsidR="005A69B8" w:rsidRDefault="005A69B8" w:rsidP="4644E7B5">
            <w:pPr>
              <w:spacing w:before="40" w:after="40"/>
              <w:ind w:left="-20" w:right="-20"/>
            </w:pPr>
            <w:r w:rsidRPr="4644E7B5">
              <w:rPr>
                <w:sz w:val="22"/>
                <w:szCs w:val="22"/>
              </w:rPr>
              <w:t xml:space="preserve"> </w:t>
            </w:r>
          </w:p>
        </w:tc>
      </w:tr>
      <w:tr w:rsidR="005A69B8" w14:paraId="6990C0AA" w14:textId="77777777" w:rsidTr="00FD23CF">
        <w:trPr>
          <w:trHeight w:val="358"/>
        </w:trPr>
        <w:tc>
          <w:tcPr>
            <w:tcW w:w="395" w:type="dxa"/>
            <w:vMerge/>
            <w:tcMar>
              <w:left w:w="108" w:type="dxa"/>
              <w:right w:w="108" w:type="dxa"/>
            </w:tcMar>
          </w:tcPr>
          <w:p w14:paraId="60667B17" w14:textId="77777777" w:rsidR="005A69B8" w:rsidRPr="4644E7B5" w:rsidRDefault="005A69B8" w:rsidP="4644E7B5">
            <w:pPr>
              <w:spacing w:before="40" w:after="40"/>
              <w:ind w:left="-20" w:right="-20"/>
            </w:pPr>
          </w:p>
        </w:tc>
        <w:tc>
          <w:tcPr>
            <w:tcW w:w="2331" w:type="dxa"/>
            <w:vMerge/>
            <w:tcMar>
              <w:left w:w="108" w:type="dxa"/>
              <w:right w:w="108" w:type="dxa"/>
            </w:tcMar>
          </w:tcPr>
          <w:p w14:paraId="568D0BD4" w14:textId="77777777" w:rsidR="005A69B8" w:rsidRPr="4644E7B5" w:rsidRDefault="005A69B8" w:rsidP="4644E7B5">
            <w:pPr>
              <w:spacing w:before="40" w:after="40"/>
              <w:ind w:left="-20" w:right="-20"/>
              <w:rPr>
                <w:i/>
                <w:iCs/>
              </w:rPr>
            </w:pPr>
          </w:p>
        </w:tc>
        <w:tc>
          <w:tcPr>
            <w:tcW w:w="3610" w:type="dxa"/>
            <w:tcMar>
              <w:left w:w="108" w:type="dxa"/>
              <w:right w:w="108" w:type="dxa"/>
            </w:tcMar>
          </w:tcPr>
          <w:p w14:paraId="7C0BA21F" w14:textId="5042EBAB" w:rsidR="005A69B8" w:rsidRPr="4644E7B5" w:rsidRDefault="005A69B8" w:rsidP="4644E7B5">
            <w:pPr>
              <w:spacing w:before="40" w:after="40"/>
              <w:ind w:left="-20" w:right="-20"/>
              <w:rPr>
                <w:i/>
                <w:iCs/>
                <w:color w:val="000000" w:themeColor="text1"/>
              </w:rPr>
            </w:pPr>
            <w:r w:rsidRPr="4644E7B5">
              <w:rPr>
                <w:i/>
                <w:iCs/>
                <w:color w:val="000000" w:themeColor="text1"/>
                <w:sz w:val="22"/>
                <w:szCs w:val="22"/>
              </w:rPr>
              <w:t xml:space="preserve">Related definition: </w:t>
            </w:r>
            <w:r w:rsidRPr="4644E7B5">
              <w:rPr>
                <w:i/>
                <w:iCs/>
                <w:color w:val="0070C0"/>
                <w:sz w:val="22"/>
                <w:szCs w:val="22"/>
              </w:rPr>
              <w:t>e</w:t>
            </w:r>
            <w:r>
              <w:rPr>
                <w:i/>
                <w:iCs/>
                <w:color w:val="0070C0"/>
                <w:sz w:val="22"/>
                <w:szCs w:val="22"/>
              </w:rPr>
              <w:t>cosystem</w:t>
            </w:r>
          </w:p>
        </w:tc>
        <w:tc>
          <w:tcPr>
            <w:tcW w:w="2742" w:type="dxa"/>
            <w:vMerge/>
            <w:tcMar>
              <w:left w:w="108" w:type="dxa"/>
              <w:right w:w="108" w:type="dxa"/>
            </w:tcMar>
          </w:tcPr>
          <w:p w14:paraId="655784DB" w14:textId="77777777" w:rsidR="005A69B8" w:rsidRPr="4644E7B5" w:rsidRDefault="005A69B8" w:rsidP="4644E7B5">
            <w:pPr>
              <w:spacing w:before="40" w:after="40"/>
              <w:ind w:left="-20" w:right="-20"/>
              <w:rPr>
                <w:color w:val="040C28"/>
              </w:rPr>
            </w:pPr>
          </w:p>
        </w:tc>
      </w:tr>
      <w:tr w:rsidR="00033FF0" w14:paraId="7A430642" w14:textId="77777777" w:rsidTr="00FD23CF">
        <w:trPr>
          <w:trHeight w:val="4615"/>
        </w:trPr>
        <w:tc>
          <w:tcPr>
            <w:tcW w:w="395" w:type="dxa"/>
            <w:tcMar>
              <w:left w:w="108" w:type="dxa"/>
              <w:right w:w="108" w:type="dxa"/>
            </w:tcMar>
            <w:vAlign w:val="center"/>
          </w:tcPr>
          <w:p w14:paraId="249204F7" w14:textId="01B20040" w:rsidR="00033FF0" w:rsidRDefault="00033FF0" w:rsidP="4644E7B5">
            <w:pPr>
              <w:spacing w:before="40" w:after="40"/>
              <w:ind w:left="-20" w:right="-20"/>
              <w:jc w:val="center"/>
            </w:pPr>
            <w:r w:rsidRPr="4644E7B5">
              <w:rPr>
                <w:sz w:val="22"/>
                <w:szCs w:val="22"/>
              </w:rPr>
              <w:t xml:space="preserve"> </w:t>
            </w:r>
          </w:p>
        </w:tc>
        <w:tc>
          <w:tcPr>
            <w:tcW w:w="2331" w:type="dxa"/>
            <w:tcMar>
              <w:left w:w="108" w:type="dxa"/>
              <w:right w:w="108" w:type="dxa"/>
            </w:tcMar>
          </w:tcPr>
          <w:p w14:paraId="38A6DC3D" w14:textId="6A0F2847" w:rsidR="00033FF0" w:rsidRDefault="00033FF0" w:rsidP="4644E7B5">
            <w:pPr>
              <w:spacing w:before="40" w:after="40"/>
              <w:ind w:left="-20" w:right="-20"/>
            </w:pPr>
            <w:r w:rsidRPr="4644E7B5">
              <w:rPr>
                <w:i/>
                <w:iCs/>
                <w:sz w:val="22"/>
                <w:szCs w:val="22"/>
              </w:rPr>
              <w:t>Engineered gene drive (EGD)</w:t>
            </w:r>
          </w:p>
          <w:p w14:paraId="1F43FB8A" w14:textId="5B1BA1F1" w:rsidR="00033FF0" w:rsidRDefault="00033FF0" w:rsidP="4644E7B5">
            <w:pPr>
              <w:spacing w:before="40" w:after="40"/>
              <w:ind w:left="-20" w:right="-20"/>
            </w:pPr>
            <w:r w:rsidRPr="4644E7B5">
              <w:rPr>
                <w:i/>
                <w:iCs/>
                <w:sz w:val="22"/>
                <w:szCs w:val="22"/>
              </w:rPr>
              <w:t xml:space="preserve"> </w:t>
            </w:r>
          </w:p>
        </w:tc>
        <w:tc>
          <w:tcPr>
            <w:tcW w:w="3610" w:type="dxa"/>
            <w:tcMar>
              <w:left w:w="108" w:type="dxa"/>
              <w:right w:w="108" w:type="dxa"/>
            </w:tcMar>
          </w:tcPr>
          <w:p w14:paraId="76FFA839" w14:textId="61FF4DFD" w:rsidR="00033FF0" w:rsidRDefault="00033FF0" w:rsidP="4644E7B5">
            <w:pPr>
              <w:spacing w:before="40" w:after="40"/>
              <w:ind w:left="-20" w:right="-20"/>
            </w:pPr>
            <w:r w:rsidRPr="4644E7B5">
              <w:rPr>
                <w:i/>
                <w:iCs/>
                <w:color w:val="000000" w:themeColor="text1"/>
                <w:sz w:val="22"/>
                <w:szCs w:val="22"/>
              </w:rPr>
              <w:t xml:space="preserve">A </w:t>
            </w:r>
            <w:r w:rsidRPr="4644E7B5">
              <w:rPr>
                <w:i/>
                <w:iCs/>
                <w:color w:val="0070C0"/>
                <w:sz w:val="22"/>
                <w:szCs w:val="22"/>
              </w:rPr>
              <w:t xml:space="preserve">gene drive </w:t>
            </w:r>
            <w:r w:rsidRPr="4644E7B5">
              <w:rPr>
                <w:i/>
                <w:iCs/>
                <w:color w:val="000000" w:themeColor="text1"/>
                <w:sz w:val="22"/>
                <w:szCs w:val="22"/>
              </w:rPr>
              <w:t xml:space="preserve">system that is created through the application of </w:t>
            </w:r>
          </w:p>
          <w:p w14:paraId="23EC4C11" w14:textId="7B4B5013" w:rsidR="00033FF0" w:rsidRDefault="00033FF0" w:rsidP="4644E7B5">
            <w:pPr>
              <w:spacing w:before="40" w:after="40"/>
              <w:ind w:left="-20" w:right="-20"/>
            </w:pPr>
            <w:r w:rsidRPr="4644E7B5">
              <w:rPr>
                <w:i/>
                <w:iCs/>
                <w:color w:val="000000" w:themeColor="text1"/>
                <w:sz w:val="22"/>
                <w:szCs w:val="22"/>
              </w:rPr>
              <w:t>recombinant DNA techniques.</w:t>
            </w:r>
          </w:p>
        </w:tc>
        <w:tc>
          <w:tcPr>
            <w:tcW w:w="2742" w:type="dxa"/>
            <w:tcMar>
              <w:left w:w="108" w:type="dxa"/>
              <w:right w:w="108" w:type="dxa"/>
            </w:tcMar>
          </w:tcPr>
          <w:p w14:paraId="48A1A72E" w14:textId="7F948D7F" w:rsidR="00033FF0" w:rsidRDefault="00033FF0" w:rsidP="4644E7B5">
            <w:pPr>
              <w:spacing w:before="40" w:after="40"/>
              <w:ind w:left="-20" w:right="-20"/>
            </w:pPr>
            <w:r w:rsidRPr="4644E7B5">
              <w:rPr>
                <w:sz w:val="22"/>
                <w:szCs w:val="22"/>
              </w:rPr>
              <w:t xml:space="preserve">Adapted from: </w:t>
            </w:r>
            <w:proofErr w:type="spellStart"/>
            <w:r w:rsidRPr="00A87AFE">
              <w:rPr>
                <w:sz w:val="22"/>
                <w:szCs w:val="22"/>
              </w:rPr>
              <w:t>Alphey</w:t>
            </w:r>
            <w:proofErr w:type="spellEnd"/>
            <w:r w:rsidRPr="00A87AFE">
              <w:rPr>
                <w:sz w:val="22"/>
                <w:szCs w:val="22"/>
              </w:rPr>
              <w:t xml:space="preserve"> and others</w:t>
            </w:r>
            <w:r w:rsidR="0053208D" w:rsidRPr="00A87AFE">
              <w:rPr>
                <w:sz w:val="22"/>
                <w:szCs w:val="22"/>
              </w:rPr>
              <w:t>,</w:t>
            </w:r>
            <w:r w:rsidRPr="00A87AFE">
              <w:rPr>
                <w:sz w:val="22"/>
                <w:szCs w:val="22"/>
              </w:rPr>
              <w:t xml:space="preserve"> 2020</w:t>
            </w:r>
            <w:r w:rsidR="0053208D">
              <w:rPr>
                <w:sz w:val="22"/>
                <w:szCs w:val="22"/>
              </w:rPr>
              <w:t>;</w:t>
            </w:r>
            <w:r w:rsidRPr="4644E7B5">
              <w:rPr>
                <w:sz w:val="22"/>
                <w:szCs w:val="22"/>
              </w:rPr>
              <w:t xml:space="preserve"> </w:t>
            </w:r>
            <w:r w:rsidRPr="00A87AFE">
              <w:rPr>
                <w:sz w:val="22"/>
                <w:szCs w:val="22"/>
              </w:rPr>
              <w:t>Australian Academy of Sciences</w:t>
            </w:r>
            <w:r w:rsidR="0053208D" w:rsidRPr="00A87AFE">
              <w:rPr>
                <w:sz w:val="22"/>
                <w:szCs w:val="22"/>
              </w:rPr>
              <w:t xml:space="preserve">, </w:t>
            </w:r>
            <w:r w:rsidRPr="00A87AFE">
              <w:rPr>
                <w:sz w:val="22"/>
                <w:szCs w:val="22"/>
              </w:rPr>
              <w:t>2017</w:t>
            </w:r>
            <w:r w:rsidR="0053208D">
              <w:rPr>
                <w:sz w:val="22"/>
                <w:szCs w:val="22"/>
              </w:rPr>
              <w:t>.</w:t>
            </w:r>
          </w:p>
          <w:p w14:paraId="544223E5" w14:textId="5D6F965E" w:rsidR="00033FF0" w:rsidRDefault="00033FF0" w:rsidP="4644E7B5">
            <w:pPr>
              <w:spacing w:before="40" w:after="40"/>
              <w:ind w:left="-20" w:right="-20"/>
            </w:pPr>
            <w:r w:rsidRPr="4644E7B5">
              <w:rPr>
                <w:sz w:val="22"/>
                <w:szCs w:val="22"/>
              </w:rPr>
              <w:t xml:space="preserve"> </w:t>
            </w:r>
          </w:p>
          <w:p w14:paraId="1ABC92DA" w14:textId="46E11F63" w:rsidR="00033FF0" w:rsidRDefault="00033FF0" w:rsidP="4644E7B5">
            <w:pPr>
              <w:spacing w:before="40" w:after="40"/>
              <w:ind w:left="-20" w:right="-20"/>
            </w:pPr>
          </w:p>
        </w:tc>
      </w:tr>
      <w:tr w:rsidR="4644E7B5" w14:paraId="02809470" w14:textId="77777777" w:rsidTr="00FD23CF">
        <w:trPr>
          <w:trHeight w:val="300"/>
        </w:trPr>
        <w:tc>
          <w:tcPr>
            <w:tcW w:w="395" w:type="dxa"/>
            <w:tcMar>
              <w:left w:w="108" w:type="dxa"/>
              <w:right w:w="108" w:type="dxa"/>
            </w:tcMar>
          </w:tcPr>
          <w:p w14:paraId="7E8F21BF" w14:textId="0C03D5B5" w:rsidR="4644E7B5" w:rsidRDefault="4644E7B5" w:rsidP="4644E7B5">
            <w:pPr>
              <w:spacing w:before="40" w:after="40"/>
              <w:ind w:left="-20" w:right="-20"/>
            </w:pPr>
            <w:r w:rsidRPr="4644E7B5">
              <w:rPr>
                <w:sz w:val="22"/>
                <w:szCs w:val="22"/>
              </w:rPr>
              <w:t xml:space="preserve"> </w:t>
            </w:r>
          </w:p>
        </w:tc>
        <w:tc>
          <w:tcPr>
            <w:tcW w:w="2331" w:type="dxa"/>
            <w:tcMar>
              <w:left w:w="108" w:type="dxa"/>
              <w:right w:w="108" w:type="dxa"/>
            </w:tcMar>
          </w:tcPr>
          <w:p w14:paraId="7B5365B4" w14:textId="00A2EEF6" w:rsidR="4644E7B5" w:rsidRDefault="4644E7B5" w:rsidP="4644E7B5">
            <w:pPr>
              <w:spacing w:before="40" w:after="40"/>
              <w:ind w:left="-20" w:right="-20"/>
            </w:pPr>
            <w:r w:rsidRPr="4644E7B5">
              <w:rPr>
                <w:i/>
                <w:iCs/>
                <w:sz w:val="22"/>
                <w:szCs w:val="22"/>
              </w:rPr>
              <w:t>Habitat</w:t>
            </w:r>
          </w:p>
        </w:tc>
        <w:tc>
          <w:tcPr>
            <w:tcW w:w="3610" w:type="dxa"/>
            <w:tcMar>
              <w:left w:w="108" w:type="dxa"/>
              <w:right w:w="108" w:type="dxa"/>
            </w:tcMar>
          </w:tcPr>
          <w:p w14:paraId="385C887A" w14:textId="46D00B22" w:rsidR="4644E7B5" w:rsidRPr="00FA01C6" w:rsidRDefault="4644E7B5" w:rsidP="4644E7B5">
            <w:pPr>
              <w:spacing w:before="40" w:after="40"/>
              <w:ind w:left="-20" w:right="-20"/>
              <w:rPr>
                <w:i/>
                <w:iCs/>
                <w:sz w:val="22"/>
                <w:szCs w:val="22"/>
              </w:rPr>
            </w:pPr>
            <w:r w:rsidRPr="00FA01C6">
              <w:rPr>
                <w:i/>
                <w:iCs/>
                <w:sz w:val="22"/>
                <w:szCs w:val="22"/>
              </w:rPr>
              <w:t>The place or type of site where an organism or population naturally occurs</w:t>
            </w:r>
          </w:p>
        </w:tc>
        <w:tc>
          <w:tcPr>
            <w:tcW w:w="2742" w:type="dxa"/>
            <w:tcMar>
              <w:left w:w="108" w:type="dxa"/>
              <w:right w:w="108" w:type="dxa"/>
            </w:tcMar>
          </w:tcPr>
          <w:p w14:paraId="7FF8A301" w14:textId="6E2E4C0F" w:rsidR="4644E7B5" w:rsidRDefault="4644E7B5" w:rsidP="4644E7B5">
            <w:pPr>
              <w:spacing w:before="40" w:after="40"/>
              <w:ind w:left="-20" w:right="-20"/>
            </w:pPr>
            <w:r w:rsidRPr="00A87AFE">
              <w:rPr>
                <w:color w:val="000000" w:themeColor="text1"/>
                <w:sz w:val="22"/>
                <w:szCs w:val="22"/>
              </w:rPr>
              <w:t>Article 2 (Use of terms) of the Convention on Biological Diversity</w:t>
            </w:r>
          </w:p>
        </w:tc>
      </w:tr>
      <w:tr w:rsidR="4644E7B5" w14:paraId="34F383F3" w14:textId="77777777" w:rsidTr="00FA2B36">
        <w:trPr>
          <w:trHeight w:val="70"/>
        </w:trPr>
        <w:tc>
          <w:tcPr>
            <w:tcW w:w="395" w:type="dxa"/>
            <w:tcMar>
              <w:left w:w="108" w:type="dxa"/>
              <w:right w:w="108" w:type="dxa"/>
            </w:tcMar>
          </w:tcPr>
          <w:p w14:paraId="42AC5D00" w14:textId="1F0DA532" w:rsidR="4644E7B5" w:rsidRDefault="4644E7B5" w:rsidP="4644E7B5">
            <w:pPr>
              <w:spacing w:before="40" w:after="40"/>
              <w:ind w:left="-20" w:right="-20"/>
            </w:pPr>
            <w:r w:rsidRPr="4644E7B5">
              <w:rPr>
                <w:sz w:val="22"/>
                <w:szCs w:val="22"/>
              </w:rPr>
              <w:t xml:space="preserve"> </w:t>
            </w:r>
          </w:p>
        </w:tc>
        <w:tc>
          <w:tcPr>
            <w:tcW w:w="2331" w:type="dxa"/>
            <w:tcMar>
              <w:left w:w="108" w:type="dxa"/>
              <w:right w:w="108" w:type="dxa"/>
            </w:tcMar>
          </w:tcPr>
          <w:p w14:paraId="57FCEE26" w14:textId="46D957E0" w:rsidR="4644E7B5" w:rsidRDefault="4644E7B5" w:rsidP="4644E7B5">
            <w:pPr>
              <w:spacing w:before="40" w:after="40"/>
              <w:ind w:left="-20" w:right="-20"/>
            </w:pPr>
            <w:r w:rsidRPr="4644E7B5">
              <w:rPr>
                <w:i/>
                <w:iCs/>
                <w:sz w:val="22"/>
                <w:szCs w:val="22"/>
              </w:rPr>
              <w:t>Harm</w:t>
            </w:r>
          </w:p>
        </w:tc>
        <w:tc>
          <w:tcPr>
            <w:tcW w:w="3610" w:type="dxa"/>
            <w:tcMar>
              <w:left w:w="108" w:type="dxa"/>
              <w:right w:w="108" w:type="dxa"/>
            </w:tcMar>
          </w:tcPr>
          <w:p w14:paraId="0EE6CFE2" w14:textId="6FB2E75C" w:rsidR="4644E7B5" w:rsidRPr="00C87F14" w:rsidRDefault="4644E7B5" w:rsidP="00C0682C">
            <w:pPr>
              <w:spacing w:before="40" w:after="40"/>
              <w:ind w:left="-20" w:right="-20"/>
              <w:rPr>
                <w:i/>
                <w:iCs/>
                <w:sz w:val="22"/>
                <w:szCs w:val="22"/>
              </w:rPr>
            </w:pPr>
            <w:r w:rsidRPr="00C87F14">
              <w:rPr>
                <w:i/>
                <w:iCs/>
                <w:sz w:val="22"/>
                <w:szCs w:val="22"/>
              </w:rPr>
              <w:t xml:space="preserve">Actual injury or damage to the receiving environment or human or animal health. A </w:t>
            </w:r>
            <w:r w:rsidRPr="00FA01C6">
              <w:rPr>
                <w:i/>
                <w:iCs/>
                <w:color w:val="0070C0"/>
                <w:sz w:val="22"/>
                <w:szCs w:val="22"/>
              </w:rPr>
              <w:t>harm</w:t>
            </w:r>
            <w:r w:rsidRPr="00C87F14">
              <w:rPr>
                <w:i/>
                <w:iCs/>
                <w:sz w:val="22"/>
                <w:szCs w:val="22"/>
              </w:rPr>
              <w:t xml:space="preserve"> may also be referred to as an “adverse effect”.</w:t>
            </w:r>
          </w:p>
        </w:tc>
        <w:tc>
          <w:tcPr>
            <w:tcW w:w="2742" w:type="dxa"/>
            <w:tcMar>
              <w:left w:w="108" w:type="dxa"/>
              <w:right w:w="108" w:type="dxa"/>
            </w:tcMar>
          </w:tcPr>
          <w:p w14:paraId="34D5CEEA" w14:textId="4AD98CD3" w:rsidR="4644E7B5" w:rsidRDefault="4644E7B5" w:rsidP="00FA2B36">
            <w:pPr>
              <w:spacing w:before="40" w:after="40"/>
              <w:ind w:left="-20" w:right="-20"/>
            </w:pPr>
            <w:r w:rsidRPr="4644E7B5">
              <w:rPr>
                <w:sz w:val="22"/>
                <w:szCs w:val="22"/>
              </w:rPr>
              <w:t>Adapted from: Cartagena Protocol (Art</w:t>
            </w:r>
            <w:r w:rsidR="0053208D">
              <w:rPr>
                <w:sz w:val="22"/>
                <w:szCs w:val="22"/>
              </w:rPr>
              <w:t>icle</w:t>
            </w:r>
            <w:r w:rsidRPr="4644E7B5">
              <w:rPr>
                <w:sz w:val="22"/>
                <w:szCs w:val="22"/>
              </w:rPr>
              <w:t xml:space="preserve"> 15)</w:t>
            </w:r>
            <w:r w:rsidR="006A0657">
              <w:rPr>
                <w:sz w:val="22"/>
                <w:szCs w:val="22"/>
              </w:rPr>
              <w:t xml:space="preserve"> (SC</w:t>
            </w:r>
            <w:r w:rsidR="00F76724">
              <w:rPr>
                <w:sz w:val="22"/>
                <w:szCs w:val="22"/>
              </w:rPr>
              <w:t>BD, 2000</w:t>
            </w:r>
            <w:r w:rsidRPr="4644E7B5">
              <w:rPr>
                <w:sz w:val="22"/>
                <w:szCs w:val="22"/>
              </w:rPr>
              <w:t>)</w:t>
            </w:r>
            <w:r w:rsidR="0053208D">
              <w:rPr>
                <w:sz w:val="22"/>
                <w:szCs w:val="22"/>
              </w:rPr>
              <w:t>;</w:t>
            </w:r>
            <w:r w:rsidRPr="4644E7B5">
              <w:rPr>
                <w:sz w:val="22"/>
                <w:szCs w:val="22"/>
              </w:rPr>
              <w:t xml:space="preserve"> ISO </w:t>
            </w:r>
            <w:r w:rsidRPr="4644E7B5">
              <w:rPr>
                <w:sz w:val="22"/>
                <w:szCs w:val="22"/>
              </w:rPr>
              <w:lastRenderedPageBreak/>
              <w:t>14791:2019</w:t>
            </w:r>
            <w:r w:rsidR="0053208D">
              <w:rPr>
                <w:sz w:val="22"/>
                <w:szCs w:val="22"/>
              </w:rPr>
              <w:t>;</w:t>
            </w:r>
            <w:r w:rsidRPr="4644E7B5">
              <w:rPr>
                <w:sz w:val="22"/>
                <w:szCs w:val="22"/>
              </w:rPr>
              <w:t xml:space="preserve"> </w:t>
            </w:r>
            <w:r w:rsidR="00192075" w:rsidRPr="00192075">
              <w:rPr>
                <w:color w:val="000000" w:themeColor="text1"/>
                <w:sz w:val="22"/>
                <w:szCs w:val="22"/>
              </w:rPr>
              <w:t>World Health Organisation</w:t>
            </w:r>
            <w:r w:rsidR="0053208D">
              <w:rPr>
                <w:sz w:val="22"/>
                <w:szCs w:val="22"/>
              </w:rPr>
              <w:t>,</w:t>
            </w:r>
            <w:r w:rsidRPr="4644E7B5">
              <w:rPr>
                <w:sz w:val="22"/>
                <w:szCs w:val="22"/>
              </w:rPr>
              <w:t xml:space="preserve"> 2021</w:t>
            </w:r>
            <w:r w:rsidR="00F76724">
              <w:rPr>
                <w:sz w:val="22"/>
                <w:szCs w:val="22"/>
              </w:rPr>
              <w:t>b</w:t>
            </w:r>
          </w:p>
        </w:tc>
      </w:tr>
      <w:tr w:rsidR="4644E7B5" w14:paraId="07BD4F64" w14:textId="77777777" w:rsidTr="00FD23CF">
        <w:trPr>
          <w:trHeight w:val="300"/>
        </w:trPr>
        <w:tc>
          <w:tcPr>
            <w:tcW w:w="395" w:type="dxa"/>
            <w:vMerge w:val="restart"/>
            <w:tcMar>
              <w:left w:w="108" w:type="dxa"/>
              <w:right w:w="108" w:type="dxa"/>
            </w:tcMar>
          </w:tcPr>
          <w:p w14:paraId="26EBF5DB" w14:textId="4FC00DFD" w:rsidR="4644E7B5" w:rsidRDefault="4644E7B5" w:rsidP="4644E7B5">
            <w:pPr>
              <w:spacing w:before="40" w:after="40"/>
              <w:ind w:left="-20" w:right="-20"/>
            </w:pPr>
            <w:r w:rsidRPr="4644E7B5">
              <w:rPr>
                <w:sz w:val="22"/>
                <w:szCs w:val="22"/>
              </w:rPr>
              <w:lastRenderedPageBreak/>
              <w:t xml:space="preserve"> </w:t>
            </w:r>
          </w:p>
        </w:tc>
        <w:tc>
          <w:tcPr>
            <w:tcW w:w="2331" w:type="dxa"/>
            <w:vMerge w:val="restart"/>
            <w:tcMar>
              <w:left w:w="108" w:type="dxa"/>
              <w:right w:w="108" w:type="dxa"/>
            </w:tcMar>
          </w:tcPr>
          <w:p w14:paraId="472C564E" w14:textId="00E2E24A" w:rsidR="4644E7B5" w:rsidRDefault="4644E7B5" w:rsidP="4644E7B5">
            <w:pPr>
              <w:spacing w:before="40" w:after="40"/>
              <w:ind w:left="-20" w:right="-20"/>
            </w:pPr>
            <w:r w:rsidRPr="4644E7B5">
              <w:rPr>
                <w:i/>
                <w:iCs/>
                <w:sz w:val="22"/>
                <w:szCs w:val="22"/>
              </w:rPr>
              <w:t>Hazard</w:t>
            </w:r>
          </w:p>
        </w:tc>
        <w:tc>
          <w:tcPr>
            <w:tcW w:w="3610" w:type="dxa"/>
            <w:tcMar>
              <w:left w:w="108" w:type="dxa"/>
              <w:right w:w="108" w:type="dxa"/>
            </w:tcMar>
          </w:tcPr>
          <w:p w14:paraId="7FF5F33A" w14:textId="51E32907" w:rsidR="4644E7B5" w:rsidRDefault="4644E7B5" w:rsidP="4644E7B5">
            <w:pPr>
              <w:spacing w:before="40" w:after="40"/>
              <w:ind w:left="-20" w:right="-20"/>
            </w:pPr>
            <w:r w:rsidRPr="4644E7B5">
              <w:rPr>
                <w:i/>
                <w:iCs/>
                <w:sz w:val="22"/>
                <w:szCs w:val="22"/>
              </w:rPr>
              <w:t xml:space="preserve">A source of potential </w:t>
            </w:r>
            <w:r w:rsidRPr="4644E7B5">
              <w:rPr>
                <w:i/>
                <w:iCs/>
                <w:color w:val="0070C0"/>
                <w:sz w:val="22"/>
                <w:szCs w:val="22"/>
              </w:rPr>
              <w:t>harm.</w:t>
            </w:r>
          </w:p>
        </w:tc>
        <w:tc>
          <w:tcPr>
            <w:tcW w:w="2742" w:type="dxa"/>
            <w:vMerge w:val="restart"/>
            <w:tcMar>
              <w:left w:w="108" w:type="dxa"/>
              <w:right w:w="108" w:type="dxa"/>
            </w:tcMar>
          </w:tcPr>
          <w:p w14:paraId="407C7483" w14:textId="34450CB4" w:rsidR="4644E7B5" w:rsidRPr="00B10BCA" w:rsidRDefault="4644E7B5" w:rsidP="4644E7B5">
            <w:pPr>
              <w:spacing w:before="40" w:after="40"/>
              <w:ind w:left="-20" w:right="-20"/>
              <w:rPr>
                <w:color w:val="000000" w:themeColor="text1"/>
              </w:rPr>
            </w:pPr>
            <w:r w:rsidRPr="00B10BCA">
              <w:rPr>
                <w:color w:val="000000" w:themeColor="text1"/>
                <w:sz w:val="22"/>
                <w:szCs w:val="22"/>
              </w:rPr>
              <w:t>ISO 14791:2019</w:t>
            </w:r>
            <w:r w:rsidR="006B07C1" w:rsidRPr="00B10BCA">
              <w:rPr>
                <w:color w:val="000000" w:themeColor="text1"/>
                <w:sz w:val="22"/>
                <w:szCs w:val="22"/>
              </w:rPr>
              <w:t>;</w:t>
            </w:r>
            <w:r w:rsidRPr="00B10BCA">
              <w:rPr>
                <w:color w:val="000000" w:themeColor="text1"/>
                <w:sz w:val="22"/>
                <w:szCs w:val="22"/>
              </w:rPr>
              <w:t xml:space="preserve"> O</w:t>
            </w:r>
            <w:r w:rsidR="006B07C1" w:rsidRPr="00B10BCA">
              <w:rPr>
                <w:color w:val="000000" w:themeColor="text1"/>
                <w:sz w:val="22"/>
                <w:szCs w:val="22"/>
              </w:rPr>
              <w:t xml:space="preserve">ffice of the </w:t>
            </w:r>
            <w:r w:rsidRPr="00B10BCA">
              <w:rPr>
                <w:color w:val="000000" w:themeColor="text1"/>
                <w:sz w:val="22"/>
                <w:szCs w:val="22"/>
              </w:rPr>
              <w:t>G</w:t>
            </w:r>
            <w:r w:rsidR="006B07C1" w:rsidRPr="00B10BCA">
              <w:rPr>
                <w:color w:val="000000" w:themeColor="text1"/>
                <w:sz w:val="22"/>
                <w:szCs w:val="22"/>
              </w:rPr>
              <w:t xml:space="preserve">ene </w:t>
            </w:r>
            <w:r w:rsidRPr="00B10BCA">
              <w:rPr>
                <w:color w:val="000000" w:themeColor="text1"/>
                <w:sz w:val="22"/>
                <w:szCs w:val="22"/>
              </w:rPr>
              <w:t>T</w:t>
            </w:r>
            <w:r w:rsidR="006B07C1" w:rsidRPr="00B10BCA">
              <w:rPr>
                <w:color w:val="000000" w:themeColor="text1"/>
                <w:sz w:val="22"/>
                <w:szCs w:val="22"/>
              </w:rPr>
              <w:t xml:space="preserve">echnology </w:t>
            </w:r>
            <w:r w:rsidRPr="00B10BCA">
              <w:rPr>
                <w:color w:val="000000" w:themeColor="text1"/>
                <w:sz w:val="22"/>
                <w:szCs w:val="22"/>
              </w:rPr>
              <w:t>R</w:t>
            </w:r>
            <w:r w:rsidR="006B07C1" w:rsidRPr="00B10BCA">
              <w:rPr>
                <w:color w:val="000000" w:themeColor="text1"/>
                <w:sz w:val="22"/>
                <w:szCs w:val="22"/>
              </w:rPr>
              <w:t>egulator,</w:t>
            </w:r>
            <w:r w:rsidRPr="00B10BCA">
              <w:rPr>
                <w:color w:val="000000" w:themeColor="text1"/>
                <w:sz w:val="22"/>
                <w:szCs w:val="22"/>
              </w:rPr>
              <w:t xml:space="preserve"> 2005</w:t>
            </w:r>
          </w:p>
        </w:tc>
      </w:tr>
      <w:tr w:rsidR="4644E7B5" w14:paraId="3D70491D" w14:textId="77777777" w:rsidTr="00FD23CF">
        <w:trPr>
          <w:trHeight w:val="300"/>
        </w:trPr>
        <w:tc>
          <w:tcPr>
            <w:tcW w:w="395" w:type="dxa"/>
            <w:vMerge/>
            <w:vAlign w:val="center"/>
          </w:tcPr>
          <w:p w14:paraId="6E374A59" w14:textId="77777777" w:rsidR="00D72B06" w:rsidRDefault="00D72B06"/>
        </w:tc>
        <w:tc>
          <w:tcPr>
            <w:tcW w:w="2331" w:type="dxa"/>
            <w:vMerge/>
            <w:vAlign w:val="center"/>
          </w:tcPr>
          <w:p w14:paraId="27973F5A" w14:textId="77777777" w:rsidR="00D72B06" w:rsidRDefault="00D72B06"/>
        </w:tc>
        <w:tc>
          <w:tcPr>
            <w:tcW w:w="3610" w:type="dxa"/>
            <w:tcMar>
              <w:left w:w="108" w:type="dxa"/>
              <w:right w:w="108" w:type="dxa"/>
            </w:tcMar>
          </w:tcPr>
          <w:p w14:paraId="058DB4BA" w14:textId="5935566A" w:rsidR="4644E7B5" w:rsidRDefault="4644E7B5" w:rsidP="4644E7B5">
            <w:pPr>
              <w:spacing w:before="40" w:after="40"/>
              <w:ind w:left="-20" w:right="-20"/>
            </w:pPr>
            <w:r w:rsidRPr="4644E7B5">
              <w:rPr>
                <w:i/>
                <w:iCs/>
                <w:color w:val="000000" w:themeColor="text1"/>
                <w:sz w:val="22"/>
                <w:szCs w:val="22"/>
              </w:rPr>
              <w:t>Related definition:</w:t>
            </w:r>
            <w:r w:rsidRPr="4644E7B5">
              <w:rPr>
                <w:i/>
                <w:iCs/>
                <w:sz w:val="22"/>
                <w:szCs w:val="22"/>
              </w:rPr>
              <w:t xml:space="preserve"> </w:t>
            </w:r>
            <w:r w:rsidRPr="4644E7B5">
              <w:rPr>
                <w:i/>
                <w:iCs/>
                <w:color w:val="0070C0"/>
                <w:sz w:val="22"/>
                <w:szCs w:val="22"/>
              </w:rPr>
              <w:t>ha</w:t>
            </w:r>
            <w:r w:rsidR="0067511B">
              <w:rPr>
                <w:i/>
                <w:iCs/>
                <w:color w:val="0070C0"/>
                <w:sz w:val="22"/>
                <w:szCs w:val="22"/>
              </w:rPr>
              <w:t>zard</w:t>
            </w:r>
          </w:p>
        </w:tc>
        <w:tc>
          <w:tcPr>
            <w:tcW w:w="2742" w:type="dxa"/>
            <w:vMerge/>
            <w:vAlign w:val="center"/>
          </w:tcPr>
          <w:p w14:paraId="35496CCA" w14:textId="77777777" w:rsidR="00D72B06" w:rsidRPr="00B10BCA" w:rsidRDefault="00D72B06">
            <w:pPr>
              <w:rPr>
                <w:color w:val="000000" w:themeColor="text1"/>
              </w:rPr>
            </w:pPr>
          </w:p>
        </w:tc>
      </w:tr>
      <w:tr w:rsidR="00C0682C" w14:paraId="16BB4859" w14:textId="77777777" w:rsidTr="00FD23CF">
        <w:trPr>
          <w:trHeight w:val="300"/>
        </w:trPr>
        <w:tc>
          <w:tcPr>
            <w:tcW w:w="395" w:type="dxa"/>
            <w:vMerge w:val="restart"/>
            <w:tcMar>
              <w:left w:w="108" w:type="dxa"/>
              <w:right w:w="108" w:type="dxa"/>
            </w:tcMar>
          </w:tcPr>
          <w:p w14:paraId="7879C993" w14:textId="266BF0B9" w:rsidR="00C0682C" w:rsidRDefault="00C0682C"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162B4343" w14:textId="37BE70F4" w:rsidR="00C0682C" w:rsidRDefault="00C0682C" w:rsidP="4644E7B5">
            <w:pPr>
              <w:spacing w:before="40" w:after="40"/>
              <w:ind w:left="-20" w:right="-20"/>
            </w:pPr>
            <w:r w:rsidRPr="4644E7B5">
              <w:rPr>
                <w:i/>
                <w:iCs/>
                <w:sz w:val="22"/>
                <w:szCs w:val="22"/>
              </w:rPr>
              <w:t>Hazard identification</w:t>
            </w:r>
          </w:p>
          <w:p w14:paraId="4DF76B22" w14:textId="2A76F2D9" w:rsidR="00C0682C" w:rsidRDefault="00C0682C" w:rsidP="4644E7B5">
            <w:pPr>
              <w:spacing w:before="40" w:after="40"/>
              <w:ind w:left="-20" w:right="-20"/>
            </w:pPr>
            <w:r w:rsidRPr="4644E7B5">
              <w:rPr>
                <w:i/>
                <w:iCs/>
                <w:sz w:val="22"/>
                <w:szCs w:val="22"/>
              </w:rPr>
              <w:t xml:space="preserve"> </w:t>
            </w:r>
          </w:p>
        </w:tc>
        <w:tc>
          <w:tcPr>
            <w:tcW w:w="3610" w:type="dxa"/>
            <w:tcMar>
              <w:left w:w="108" w:type="dxa"/>
              <w:right w:w="108" w:type="dxa"/>
            </w:tcMar>
          </w:tcPr>
          <w:p w14:paraId="33B3EA0A" w14:textId="315C3934" w:rsidR="00C0682C" w:rsidRDefault="00C0682C" w:rsidP="4644E7B5">
            <w:pPr>
              <w:spacing w:before="40" w:after="40"/>
              <w:ind w:left="-20" w:right="-20"/>
            </w:pPr>
            <w:r w:rsidRPr="4644E7B5">
              <w:rPr>
                <w:i/>
                <w:iCs/>
                <w:sz w:val="22"/>
                <w:szCs w:val="22"/>
              </w:rPr>
              <w:t xml:space="preserve">A step in the </w:t>
            </w:r>
            <w:r w:rsidRPr="4644E7B5">
              <w:rPr>
                <w:i/>
                <w:iCs/>
                <w:color w:val="0070C0"/>
                <w:sz w:val="22"/>
                <w:szCs w:val="22"/>
              </w:rPr>
              <w:t xml:space="preserve">risk assessment </w:t>
            </w:r>
            <w:r w:rsidRPr="4644E7B5">
              <w:rPr>
                <w:i/>
                <w:iCs/>
                <w:sz w:val="22"/>
                <w:szCs w:val="22"/>
              </w:rPr>
              <w:t xml:space="preserve">process involving the identification of potential sources of </w:t>
            </w:r>
            <w:r w:rsidRPr="4644E7B5">
              <w:rPr>
                <w:i/>
                <w:iCs/>
                <w:color w:val="0070C0"/>
                <w:sz w:val="22"/>
                <w:szCs w:val="22"/>
              </w:rPr>
              <w:t>harm</w:t>
            </w:r>
            <w:r w:rsidRPr="4644E7B5">
              <w:rPr>
                <w:i/>
                <w:iCs/>
                <w:sz w:val="22"/>
                <w:szCs w:val="22"/>
              </w:rPr>
              <w:t xml:space="preserve"> to </w:t>
            </w:r>
            <w:r w:rsidRPr="4644E7B5">
              <w:rPr>
                <w:i/>
                <w:iCs/>
                <w:color w:val="0070C0"/>
                <w:sz w:val="22"/>
                <w:szCs w:val="22"/>
              </w:rPr>
              <w:t>protection goals</w:t>
            </w:r>
            <w:r w:rsidRPr="4644E7B5">
              <w:rPr>
                <w:i/>
                <w:iCs/>
                <w:sz w:val="22"/>
                <w:szCs w:val="22"/>
              </w:rPr>
              <w:t xml:space="preserve">, and the </w:t>
            </w:r>
            <w:r w:rsidRPr="00607166">
              <w:rPr>
                <w:i/>
                <w:iCs/>
                <w:color w:val="000000" w:themeColor="text1"/>
                <w:sz w:val="22"/>
                <w:szCs w:val="22"/>
              </w:rPr>
              <w:t xml:space="preserve">causal pathway </w:t>
            </w:r>
            <w:r w:rsidRPr="4644E7B5">
              <w:rPr>
                <w:i/>
                <w:iCs/>
                <w:sz w:val="22"/>
                <w:szCs w:val="22"/>
              </w:rPr>
              <w:t xml:space="preserve">giving rise to that </w:t>
            </w:r>
            <w:r w:rsidRPr="4644E7B5">
              <w:rPr>
                <w:i/>
                <w:iCs/>
                <w:color w:val="0070C0"/>
                <w:sz w:val="22"/>
                <w:szCs w:val="22"/>
              </w:rPr>
              <w:t>harm.</w:t>
            </w:r>
          </w:p>
          <w:p w14:paraId="7DDA5A56" w14:textId="0BE43D17" w:rsidR="00C0682C" w:rsidRDefault="00C0682C" w:rsidP="4644E7B5">
            <w:pPr>
              <w:spacing w:before="40" w:after="40"/>
              <w:ind w:left="-20" w:right="-20"/>
            </w:pPr>
            <w:r w:rsidRPr="4644E7B5">
              <w:rPr>
                <w:i/>
                <w:iCs/>
                <w:sz w:val="22"/>
                <w:szCs w:val="22"/>
              </w:rPr>
              <w:t xml:space="preserve"> </w:t>
            </w:r>
          </w:p>
          <w:p w14:paraId="6280557D" w14:textId="60C1F00F" w:rsidR="00C0682C" w:rsidRDefault="00C0682C" w:rsidP="4644E7B5">
            <w:pPr>
              <w:spacing w:before="40" w:after="40"/>
              <w:ind w:left="-20" w:right="-20"/>
            </w:pPr>
            <w:r w:rsidRPr="4644E7B5">
              <w:rPr>
                <w:i/>
                <w:iCs/>
                <w:color w:val="000000" w:themeColor="text1"/>
                <w:sz w:val="22"/>
                <w:szCs w:val="22"/>
              </w:rPr>
              <w:t xml:space="preserve"> </w:t>
            </w:r>
          </w:p>
        </w:tc>
        <w:tc>
          <w:tcPr>
            <w:tcW w:w="2742" w:type="dxa"/>
            <w:vMerge w:val="restart"/>
            <w:tcMar>
              <w:left w:w="108" w:type="dxa"/>
              <w:right w:w="108" w:type="dxa"/>
            </w:tcMar>
          </w:tcPr>
          <w:p w14:paraId="5B1D2A07" w14:textId="245A914C" w:rsidR="00C0682C" w:rsidRPr="00B10BCA" w:rsidRDefault="00C0682C" w:rsidP="4644E7B5">
            <w:pPr>
              <w:spacing w:before="40" w:after="40"/>
              <w:ind w:left="-20" w:right="-20"/>
              <w:rPr>
                <w:color w:val="000000" w:themeColor="text1"/>
              </w:rPr>
            </w:pPr>
            <w:r w:rsidRPr="00B10BCA">
              <w:rPr>
                <w:color w:val="000000" w:themeColor="text1"/>
                <w:sz w:val="22"/>
                <w:szCs w:val="22"/>
              </w:rPr>
              <w:t xml:space="preserve">Adapted from: Office of the Gene Technology Regulator, 2005; World Health Organisation, </w:t>
            </w:r>
            <w:proofErr w:type="gramStart"/>
            <w:r w:rsidRPr="00B10BCA">
              <w:rPr>
                <w:color w:val="000000" w:themeColor="text1"/>
                <w:sz w:val="22"/>
                <w:szCs w:val="22"/>
              </w:rPr>
              <w:t>2021</w:t>
            </w:r>
            <w:r w:rsidR="00B10BCA">
              <w:rPr>
                <w:color w:val="000000" w:themeColor="text1"/>
                <w:sz w:val="22"/>
                <w:szCs w:val="22"/>
              </w:rPr>
              <w:t>b</w:t>
            </w:r>
            <w:proofErr w:type="gramEnd"/>
          </w:p>
          <w:p w14:paraId="035BC661" w14:textId="0F8C44D7" w:rsidR="00C0682C" w:rsidRPr="00B10BCA" w:rsidRDefault="00C0682C" w:rsidP="00C0682C">
            <w:pPr>
              <w:spacing w:before="40" w:after="40"/>
              <w:ind w:left="-20" w:right="-20"/>
              <w:rPr>
                <w:color w:val="000000" w:themeColor="text1"/>
              </w:rPr>
            </w:pPr>
            <w:r w:rsidRPr="00B10BCA">
              <w:rPr>
                <w:color w:val="000000" w:themeColor="text1"/>
                <w:sz w:val="22"/>
                <w:szCs w:val="22"/>
              </w:rPr>
              <w:t xml:space="preserve"> </w:t>
            </w:r>
          </w:p>
          <w:p w14:paraId="10E25F11" w14:textId="42B7E8CB" w:rsidR="00C0682C" w:rsidRPr="00B10BCA" w:rsidRDefault="00C0682C" w:rsidP="4644E7B5">
            <w:pPr>
              <w:spacing w:before="40" w:after="40"/>
              <w:ind w:left="-20" w:right="-20"/>
              <w:rPr>
                <w:color w:val="000000" w:themeColor="text1"/>
              </w:rPr>
            </w:pPr>
            <w:r w:rsidRPr="00B10BCA">
              <w:rPr>
                <w:color w:val="000000" w:themeColor="text1"/>
                <w:sz w:val="22"/>
                <w:szCs w:val="22"/>
              </w:rPr>
              <w:t xml:space="preserve"> </w:t>
            </w:r>
          </w:p>
        </w:tc>
      </w:tr>
      <w:tr w:rsidR="00C0682C" w14:paraId="585C3BE7" w14:textId="77777777" w:rsidTr="00FD23CF">
        <w:trPr>
          <w:trHeight w:val="300"/>
        </w:trPr>
        <w:tc>
          <w:tcPr>
            <w:tcW w:w="395" w:type="dxa"/>
            <w:vMerge/>
            <w:vAlign w:val="center"/>
          </w:tcPr>
          <w:p w14:paraId="494FAE51" w14:textId="77777777" w:rsidR="00C0682C" w:rsidRDefault="00C0682C"/>
        </w:tc>
        <w:tc>
          <w:tcPr>
            <w:tcW w:w="2331" w:type="dxa"/>
            <w:vMerge/>
            <w:vAlign w:val="center"/>
          </w:tcPr>
          <w:p w14:paraId="4AAADD20" w14:textId="77777777" w:rsidR="00C0682C" w:rsidRDefault="00C0682C"/>
        </w:tc>
        <w:tc>
          <w:tcPr>
            <w:tcW w:w="3610" w:type="dxa"/>
            <w:tcMar>
              <w:left w:w="108" w:type="dxa"/>
              <w:right w:w="108" w:type="dxa"/>
            </w:tcMar>
          </w:tcPr>
          <w:p w14:paraId="674126DD" w14:textId="3D3F5825" w:rsidR="00C0682C" w:rsidRDefault="00C0682C" w:rsidP="4644E7B5">
            <w:pPr>
              <w:spacing w:before="40" w:after="40"/>
              <w:ind w:left="-20" w:right="-20"/>
            </w:pPr>
            <w:r w:rsidRPr="4644E7B5">
              <w:rPr>
                <w:i/>
                <w:iCs/>
                <w:color w:val="000000" w:themeColor="text1"/>
                <w:sz w:val="22"/>
                <w:szCs w:val="22"/>
              </w:rPr>
              <w:t xml:space="preserve">Related definitions: </w:t>
            </w:r>
            <w:r w:rsidRPr="4644E7B5">
              <w:rPr>
                <w:i/>
                <w:iCs/>
                <w:color w:val="0070C0"/>
                <w:sz w:val="22"/>
                <w:szCs w:val="22"/>
              </w:rPr>
              <w:t>harm</w:t>
            </w:r>
            <w:r w:rsidRPr="4644E7B5">
              <w:rPr>
                <w:i/>
                <w:iCs/>
                <w:sz w:val="22"/>
                <w:szCs w:val="22"/>
              </w:rPr>
              <w:t xml:space="preserve">, </w:t>
            </w:r>
            <w:r w:rsidRPr="4644E7B5">
              <w:rPr>
                <w:i/>
                <w:iCs/>
                <w:color w:val="0070C0"/>
                <w:sz w:val="22"/>
                <w:szCs w:val="22"/>
              </w:rPr>
              <w:t>protection goals</w:t>
            </w:r>
            <w:r w:rsidRPr="4644E7B5">
              <w:rPr>
                <w:i/>
                <w:iCs/>
                <w:sz w:val="22"/>
                <w:szCs w:val="22"/>
              </w:rPr>
              <w:t>,</w:t>
            </w:r>
            <w:r w:rsidRPr="4644E7B5">
              <w:rPr>
                <w:i/>
                <w:iCs/>
                <w:color w:val="0070C0"/>
                <w:sz w:val="22"/>
                <w:szCs w:val="22"/>
              </w:rPr>
              <w:t xml:space="preserve"> risk assessment</w:t>
            </w:r>
          </w:p>
        </w:tc>
        <w:tc>
          <w:tcPr>
            <w:tcW w:w="2742" w:type="dxa"/>
            <w:vMerge/>
            <w:tcMar>
              <w:left w:w="108" w:type="dxa"/>
              <w:right w:w="108" w:type="dxa"/>
            </w:tcMar>
          </w:tcPr>
          <w:p w14:paraId="2969CFA7" w14:textId="122EDFBD" w:rsidR="00C0682C" w:rsidRDefault="00C0682C" w:rsidP="4644E7B5">
            <w:pPr>
              <w:spacing w:before="40" w:after="40"/>
              <w:ind w:left="-20" w:right="-20"/>
            </w:pPr>
          </w:p>
        </w:tc>
      </w:tr>
      <w:tr w:rsidR="4644E7B5" w14:paraId="54FAF934" w14:textId="77777777" w:rsidTr="00FD23CF">
        <w:trPr>
          <w:trHeight w:val="300"/>
        </w:trPr>
        <w:tc>
          <w:tcPr>
            <w:tcW w:w="395" w:type="dxa"/>
            <w:vMerge w:val="restart"/>
            <w:tcMar>
              <w:left w:w="108" w:type="dxa"/>
              <w:right w:w="108" w:type="dxa"/>
            </w:tcMar>
          </w:tcPr>
          <w:p w14:paraId="4F0BB156" w14:textId="7BEB8DC0" w:rsidR="4644E7B5" w:rsidRDefault="4644E7B5"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07CACD9F" w14:textId="7A6658C1" w:rsidR="4644E7B5" w:rsidRDefault="4644E7B5" w:rsidP="4644E7B5">
            <w:pPr>
              <w:spacing w:before="40" w:after="40"/>
              <w:ind w:left="-20" w:right="-20"/>
            </w:pPr>
            <w:proofErr w:type="gramStart"/>
            <w:r w:rsidRPr="4644E7B5">
              <w:rPr>
                <w:i/>
                <w:iCs/>
                <w:sz w:val="22"/>
                <w:szCs w:val="22"/>
              </w:rPr>
              <w:t>High-threshold</w:t>
            </w:r>
            <w:proofErr w:type="gramEnd"/>
          </w:p>
        </w:tc>
        <w:tc>
          <w:tcPr>
            <w:tcW w:w="3610" w:type="dxa"/>
            <w:tcMar>
              <w:left w:w="108" w:type="dxa"/>
              <w:right w:w="108" w:type="dxa"/>
            </w:tcMar>
          </w:tcPr>
          <w:p w14:paraId="2446C15C" w14:textId="6C4095FE" w:rsidR="4644E7B5" w:rsidRDefault="4644E7B5" w:rsidP="4644E7B5">
            <w:pPr>
              <w:spacing w:before="40" w:after="40"/>
              <w:ind w:left="-20" w:right="-20"/>
            </w:pPr>
            <w:r w:rsidRPr="4644E7B5">
              <w:rPr>
                <w:i/>
                <w:iCs/>
                <w:sz w:val="22"/>
                <w:szCs w:val="22"/>
              </w:rPr>
              <w:t xml:space="preserve">Modelling indicates that </w:t>
            </w:r>
            <w:r w:rsidRPr="00A76457">
              <w:rPr>
                <w:i/>
                <w:iCs/>
                <w:color w:val="000000" w:themeColor="text1"/>
                <w:sz w:val="22"/>
                <w:szCs w:val="22"/>
              </w:rPr>
              <w:t xml:space="preserve">gene drive </w:t>
            </w:r>
            <w:r w:rsidRPr="4644E7B5">
              <w:rPr>
                <w:i/>
                <w:iCs/>
                <w:sz w:val="22"/>
                <w:szCs w:val="22"/>
              </w:rPr>
              <w:t xml:space="preserve">systems may have a threshold level, which refers to the ratio of gene-drive-bearing organisms to wild-type organisms that must be exceeded for the </w:t>
            </w:r>
            <w:r w:rsidRPr="00A76457">
              <w:rPr>
                <w:i/>
                <w:iCs/>
                <w:color w:val="000000" w:themeColor="text1"/>
                <w:sz w:val="22"/>
                <w:szCs w:val="22"/>
              </w:rPr>
              <w:t xml:space="preserve">gene drive </w:t>
            </w:r>
            <w:r w:rsidRPr="4644E7B5">
              <w:rPr>
                <w:i/>
                <w:iCs/>
                <w:sz w:val="22"/>
                <w:szCs w:val="22"/>
              </w:rPr>
              <w:t xml:space="preserve">to spread throughout a </w:t>
            </w:r>
            <w:r w:rsidRPr="4644E7B5">
              <w:rPr>
                <w:i/>
                <w:iCs/>
                <w:color w:val="0070C0"/>
                <w:sz w:val="22"/>
                <w:szCs w:val="22"/>
              </w:rPr>
              <w:t>target population</w:t>
            </w:r>
            <w:r w:rsidRPr="4644E7B5">
              <w:rPr>
                <w:i/>
                <w:iCs/>
                <w:sz w:val="22"/>
                <w:szCs w:val="22"/>
              </w:rPr>
              <w:t xml:space="preserve">. For </w:t>
            </w:r>
            <w:r w:rsidRPr="00A76457">
              <w:rPr>
                <w:i/>
                <w:iCs/>
                <w:color w:val="0070C0"/>
                <w:sz w:val="22"/>
                <w:szCs w:val="22"/>
              </w:rPr>
              <w:t>high-threshold</w:t>
            </w:r>
            <w:r w:rsidRPr="4644E7B5">
              <w:rPr>
                <w:i/>
                <w:iCs/>
                <w:sz w:val="22"/>
                <w:szCs w:val="22"/>
              </w:rPr>
              <w:t xml:space="preserve"> drives, this ratio is relatively high (compare </w:t>
            </w:r>
            <w:r w:rsidRPr="4644E7B5">
              <w:rPr>
                <w:i/>
                <w:iCs/>
                <w:color w:val="0070C0"/>
                <w:sz w:val="22"/>
                <w:szCs w:val="22"/>
              </w:rPr>
              <w:t>low threshold drive</w:t>
            </w:r>
            <w:r w:rsidRPr="4644E7B5">
              <w:rPr>
                <w:i/>
                <w:iCs/>
                <w:sz w:val="22"/>
                <w:szCs w:val="22"/>
              </w:rPr>
              <w:t>), and in theory, they are likely to demonstrate restricted spread.</w:t>
            </w:r>
          </w:p>
        </w:tc>
        <w:tc>
          <w:tcPr>
            <w:tcW w:w="2742" w:type="dxa"/>
            <w:vMerge w:val="restart"/>
            <w:tcMar>
              <w:left w:w="108" w:type="dxa"/>
              <w:right w:w="108" w:type="dxa"/>
            </w:tcMar>
          </w:tcPr>
          <w:p w14:paraId="6CE1ED1A" w14:textId="2DB60C52" w:rsidR="4644E7B5" w:rsidRDefault="4644E7B5" w:rsidP="4644E7B5">
            <w:pPr>
              <w:spacing w:before="40" w:after="40"/>
              <w:ind w:left="-20" w:right="-20"/>
            </w:pPr>
            <w:r w:rsidRPr="4644E7B5">
              <w:rPr>
                <w:sz w:val="22"/>
                <w:szCs w:val="22"/>
              </w:rPr>
              <w:t xml:space="preserve">Adapted from: </w:t>
            </w:r>
            <w:proofErr w:type="spellStart"/>
            <w:r w:rsidRPr="00A87AFE">
              <w:rPr>
                <w:sz w:val="22"/>
                <w:szCs w:val="22"/>
              </w:rPr>
              <w:t>Alphey</w:t>
            </w:r>
            <w:proofErr w:type="spellEnd"/>
            <w:r w:rsidRPr="00A87AFE">
              <w:rPr>
                <w:sz w:val="22"/>
                <w:szCs w:val="22"/>
              </w:rPr>
              <w:t xml:space="preserve"> and others, 2020</w:t>
            </w:r>
            <w:r w:rsidR="0098185B">
              <w:rPr>
                <w:sz w:val="22"/>
                <w:szCs w:val="22"/>
              </w:rPr>
              <w:t>;</w:t>
            </w:r>
            <w:r w:rsidRPr="4644E7B5">
              <w:rPr>
                <w:sz w:val="22"/>
                <w:szCs w:val="22"/>
              </w:rPr>
              <w:t xml:space="preserve"> </w:t>
            </w:r>
            <w:r w:rsidRPr="00A87AFE">
              <w:rPr>
                <w:sz w:val="22"/>
                <w:szCs w:val="22"/>
              </w:rPr>
              <w:t>A</w:t>
            </w:r>
            <w:r w:rsidR="0098185B" w:rsidRPr="00A87AFE">
              <w:rPr>
                <w:sz w:val="22"/>
                <w:szCs w:val="22"/>
              </w:rPr>
              <w:t xml:space="preserve">ustralian </w:t>
            </w:r>
            <w:r w:rsidRPr="00A87AFE">
              <w:rPr>
                <w:sz w:val="22"/>
                <w:szCs w:val="22"/>
              </w:rPr>
              <w:t>A</w:t>
            </w:r>
            <w:r w:rsidR="0098185B" w:rsidRPr="00A87AFE">
              <w:rPr>
                <w:sz w:val="22"/>
                <w:szCs w:val="22"/>
              </w:rPr>
              <w:t xml:space="preserve">cademy of </w:t>
            </w:r>
            <w:r w:rsidRPr="00A87AFE">
              <w:rPr>
                <w:sz w:val="22"/>
                <w:szCs w:val="22"/>
              </w:rPr>
              <w:t>S</w:t>
            </w:r>
            <w:r w:rsidR="0098185B" w:rsidRPr="00A87AFE">
              <w:rPr>
                <w:sz w:val="22"/>
                <w:szCs w:val="22"/>
              </w:rPr>
              <w:t>ciences,</w:t>
            </w:r>
            <w:r w:rsidRPr="00A87AFE">
              <w:rPr>
                <w:sz w:val="22"/>
                <w:szCs w:val="22"/>
              </w:rPr>
              <w:t xml:space="preserve"> </w:t>
            </w:r>
            <w:r w:rsidRPr="004C0902">
              <w:rPr>
                <w:sz w:val="22"/>
                <w:szCs w:val="22"/>
              </w:rPr>
              <w:t>2017</w:t>
            </w:r>
            <w:r w:rsidR="0098185B">
              <w:rPr>
                <w:sz w:val="22"/>
                <w:szCs w:val="22"/>
              </w:rPr>
              <w:t>;</w:t>
            </w:r>
            <w:r w:rsidRPr="4644E7B5">
              <w:rPr>
                <w:sz w:val="22"/>
                <w:szCs w:val="22"/>
              </w:rPr>
              <w:t xml:space="preserve"> </w:t>
            </w:r>
            <w:r w:rsidR="00192075" w:rsidRPr="004C0902">
              <w:rPr>
                <w:color w:val="000000" w:themeColor="text1"/>
                <w:sz w:val="22"/>
                <w:szCs w:val="22"/>
              </w:rPr>
              <w:t>World Health Organisation</w:t>
            </w:r>
            <w:r w:rsidR="0098185B" w:rsidRPr="004C0902">
              <w:rPr>
                <w:sz w:val="22"/>
                <w:szCs w:val="22"/>
              </w:rPr>
              <w:t>,</w:t>
            </w:r>
            <w:r w:rsidRPr="004C0902">
              <w:rPr>
                <w:sz w:val="22"/>
                <w:szCs w:val="22"/>
              </w:rPr>
              <w:t xml:space="preserve"> 2021</w:t>
            </w:r>
            <w:r w:rsidR="004C0902" w:rsidRPr="004C0902">
              <w:rPr>
                <w:sz w:val="22"/>
                <w:szCs w:val="22"/>
              </w:rPr>
              <w:t>b</w:t>
            </w:r>
          </w:p>
        </w:tc>
      </w:tr>
      <w:tr w:rsidR="4644E7B5" w14:paraId="2A907C4D" w14:textId="77777777" w:rsidTr="00FD23CF">
        <w:trPr>
          <w:trHeight w:val="300"/>
        </w:trPr>
        <w:tc>
          <w:tcPr>
            <w:tcW w:w="395" w:type="dxa"/>
            <w:vMerge/>
            <w:vAlign w:val="center"/>
          </w:tcPr>
          <w:p w14:paraId="22BA657B" w14:textId="77777777" w:rsidR="00D72B06" w:rsidRDefault="00D72B06"/>
        </w:tc>
        <w:tc>
          <w:tcPr>
            <w:tcW w:w="2331" w:type="dxa"/>
            <w:vMerge/>
            <w:vAlign w:val="center"/>
          </w:tcPr>
          <w:p w14:paraId="1E5626C8" w14:textId="77777777" w:rsidR="00D72B06" w:rsidRDefault="00D72B06"/>
        </w:tc>
        <w:tc>
          <w:tcPr>
            <w:tcW w:w="3610" w:type="dxa"/>
            <w:tcMar>
              <w:left w:w="108" w:type="dxa"/>
              <w:right w:w="108" w:type="dxa"/>
            </w:tcMar>
          </w:tcPr>
          <w:p w14:paraId="4FAF6768" w14:textId="408C8A4B" w:rsidR="4644E7B5" w:rsidRDefault="4644E7B5" w:rsidP="4644E7B5">
            <w:pPr>
              <w:spacing w:before="40" w:after="40"/>
              <w:ind w:left="-20" w:right="-20"/>
            </w:pPr>
            <w:r w:rsidRPr="4644E7B5">
              <w:rPr>
                <w:i/>
                <w:iCs/>
                <w:color w:val="000000" w:themeColor="text1"/>
                <w:sz w:val="22"/>
                <w:szCs w:val="22"/>
              </w:rPr>
              <w:t xml:space="preserve">Related definitions: </w:t>
            </w:r>
            <w:r w:rsidRPr="4644E7B5">
              <w:rPr>
                <w:i/>
                <w:iCs/>
                <w:color w:val="0070C0"/>
                <w:sz w:val="22"/>
                <w:szCs w:val="22"/>
              </w:rPr>
              <w:t>low threshold drive</w:t>
            </w:r>
            <w:r w:rsidRPr="4644E7B5">
              <w:rPr>
                <w:i/>
                <w:iCs/>
                <w:color w:val="000000" w:themeColor="text1"/>
                <w:sz w:val="22"/>
                <w:szCs w:val="22"/>
              </w:rPr>
              <w:t xml:space="preserve">, </w:t>
            </w:r>
            <w:r w:rsidRPr="4644E7B5">
              <w:rPr>
                <w:i/>
                <w:iCs/>
                <w:color w:val="0070C0"/>
                <w:sz w:val="22"/>
                <w:szCs w:val="22"/>
              </w:rPr>
              <w:t>localised drives</w:t>
            </w:r>
            <w:r w:rsidRPr="4644E7B5">
              <w:rPr>
                <w:i/>
                <w:iCs/>
                <w:sz w:val="22"/>
                <w:szCs w:val="22"/>
              </w:rPr>
              <w:t xml:space="preserve">, </w:t>
            </w:r>
            <w:r w:rsidRPr="4644E7B5">
              <w:rPr>
                <w:i/>
                <w:iCs/>
                <w:color w:val="0070C0"/>
                <w:sz w:val="22"/>
                <w:szCs w:val="22"/>
              </w:rPr>
              <w:t>target population</w:t>
            </w:r>
          </w:p>
        </w:tc>
        <w:tc>
          <w:tcPr>
            <w:tcW w:w="2742" w:type="dxa"/>
            <w:vMerge/>
            <w:vAlign w:val="center"/>
          </w:tcPr>
          <w:p w14:paraId="469FA20A" w14:textId="77777777" w:rsidR="00D72B06" w:rsidRDefault="00D72B06"/>
        </w:tc>
      </w:tr>
      <w:tr w:rsidR="4644E7B5" w14:paraId="77291112" w14:textId="77777777" w:rsidTr="00FD23CF">
        <w:trPr>
          <w:trHeight w:val="705"/>
        </w:trPr>
        <w:tc>
          <w:tcPr>
            <w:tcW w:w="395" w:type="dxa"/>
            <w:tcMar>
              <w:left w:w="108" w:type="dxa"/>
              <w:right w:w="108" w:type="dxa"/>
            </w:tcMar>
          </w:tcPr>
          <w:p w14:paraId="338B31A0" w14:textId="219B679B" w:rsidR="4644E7B5" w:rsidRDefault="4644E7B5" w:rsidP="4644E7B5">
            <w:pPr>
              <w:spacing w:before="40" w:after="40"/>
              <w:ind w:left="-20" w:right="-20"/>
            </w:pPr>
            <w:r w:rsidRPr="4644E7B5">
              <w:rPr>
                <w:sz w:val="22"/>
                <w:szCs w:val="22"/>
              </w:rPr>
              <w:t xml:space="preserve"> </w:t>
            </w:r>
          </w:p>
        </w:tc>
        <w:tc>
          <w:tcPr>
            <w:tcW w:w="2331" w:type="dxa"/>
            <w:tcMar>
              <w:left w:w="108" w:type="dxa"/>
              <w:right w:w="108" w:type="dxa"/>
            </w:tcMar>
          </w:tcPr>
          <w:p w14:paraId="762FE062" w14:textId="1BA1CC51" w:rsidR="4644E7B5" w:rsidRDefault="4644E7B5" w:rsidP="4644E7B5">
            <w:pPr>
              <w:spacing w:before="40" w:after="40"/>
              <w:ind w:left="-20" w:right="-20"/>
            </w:pPr>
            <w:r w:rsidRPr="4644E7B5">
              <w:rPr>
                <w:i/>
                <w:iCs/>
                <w:sz w:val="22"/>
                <w:szCs w:val="22"/>
              </w:rPr>
              <w:t>Integrated pest management</w:t>
            </w:r>
          </w:p>
        </w:tc>
        <w:tc>
          <w:tcPr>
            <w:tcW w:w="3610" w:type="dxa"/>
            <w:tcMar>
              <w:left w:w="108" w:type="dxa"/>
              <w:right w:w="108" w:type="dxa"/>
            </w:tcMar>
          </w:tcPr>
          <w:p w14:paraId="20697645" w14:textId="4234F623" w:rsidR="4644E7B5" w:rsidRDefault="4644E7B5" w:rsidP="4644E7B5">
            <w:pPr>
              <w:spacing w:before="40" w:after="40"/>
              <w:ind w:left="-20" w:right="-20"/>
            </w:pPr>
            <w:r w:rsidRPr="4644E7B5">
              <w:rPr>
                <w:i/>
                <w:iCs/>
                <w:color w:val="000000" w:themeColor="text1"/>
                <w:sz w:val="22"/>
                <w:szCs w:val="22"/>
              </w:rPr>
              <w:t>The careful consideration of all available pest control techniques and subsequent integration of appropriate measures that discourage the development of pest populations. It combines biological, chemical, physical and crop specific (cultural) management strategies and practices to grow healthy crops and minimize the use of pesticides, reducing or minimizing risks posed by pesticides to human health and the environment for sustainable pest management.</w:t>
            </w:r>
          </w:p>
        </w:tc>
        <w:tc>
          <w:tcPr>
            <w:tcW w:w="2742" w:type="dxa"/>
            <w:tcMar>
              <w:left w:w="108" w:type="dxa"/>
              <w:right w:w="108" w:type="dxa"/>
            </w:tcMar>
          </w:tcPr>
          <w:p w14:paraId="5132688E" w14:textId="009DB822" w:rsidR="4644E7B5" w:rsidRDefault="4644E7B5" w:rsidP="4644E7B5">
            <w:pPr>
              <w:spacing w:before="40" w:after="40"/>
              <w:ind w:left="-20" w:right="-20"/>
            </w:pPr>
            <w:r w:rsidRPr="00A87AFE">
              <w:rPr>
                <w:sz w:val="22"/>
                <w:szCs w:val="22"/>
              </w:rPr>
              <w:t>Food and Agriculture Organization of the United Nations</w:t>
            </w:r>
            <w:r w:rsidR="0098185B">
              <w:rPr>
                <w:sz w:val="22"/>
                <w:szCs w:val="22"/>
              </w:rPr>
              <w:t xml:space="preserve">, </w:t>
            </w:r>
            <w:r w:rsidRPr="00A87AFE">
              <w:rPr>
                <w:sz w:val="22"/>
                <w:szCs w:val="22"/>
              </w:rPr>
              <w:t>2024</w:t>
            </w:r>
          </w:p>
        </w:tc>
      </w:tr>
      <w:tr w:rsidR="4644E7B5" w14:paraId="356215D2" w14:textId="77777777" w:rsidTr="00FD23CF">
        <w:trPr>
          <w:trHeight w:val="1645"/>
        </w:trPr>
        <w:tc>
          <w:tcPr>
            <w:tcW w:w="395" w:type="dxa"/>
            <w:tcMar>
              <w:left w:w="108" w:type="dxa"/>
              <w:right w:w="108" w:type="dxa"/>
            </w:tcMar>
          </w:tcPr>
          <w:p w14:paraId="0B0A74F7" w14:textId="0FE94259" w:rsidR="4644E7B5" w:rsidRDefault="4644E7B5" w:rsidP="4644E7B5">
            <w:pPr>
              <w:spacing w:before="40" w:after="40"/>
              <w:ind w:left="-20" w:right="-20"/>
            </w:pPr>
            <w:r w:rsidRPr="4644E7B5">
              <w:rPr>
                <w:sz w:val="22"/>
                <w:szCs w:val="22"/>
              </w:rPr>
              <w:t xml:space="preserve"> </w:t>
            </w:r>
          </w:p>
        </w:tc>
        <w:tc>
          <w:tcPr>
            <w:tcW w:w="2331" w:type="dxa"/>
            <w:tcMar>
              <w:left w:w="108" w:type="dxa"/>
              <w:right w:w="108" w:type="dxa"/>
            </w:tcMar>
          </w:tcPr>
          <w:p w14:paraId="2F3E69A0" w14:textId="24AAC906" w:rsidR="4644E7B5" w:rsidRDefault="4644E7B5" w:rsidP="4644E7B5">
            <w:pPr>
              <w:spacing w:before="40" w:after="40"/>
              <w:ind w:left="-20" w:right="-20"/>
            </w:pPr>
            <w:r w:rsidRPr="4644E7B5">
              <w:rPr>
                <w:i/>
                <w:iCs/>
                <w:sz w:val="22"/>
                <w:szCs w:val="22"/>
              </w:rPr>
              <w:t>Interference mechanisms</w:t>
            </w:r>
          </w:p>
        </w:tc>
        <w:tc>
          <w:tcPr>
            <w:tcW w:w="3610" w:type="dxa"/>
            <w:tcMar>
              <w:left w:w="108" w:type="dxa"/>
              <w:right w:w="108" w:type="dxa"/>
            </w:tcMar>
          </w:tcPr>
          <w:p w14:paraId="3692144A" w14:textId="77960D6B" w:rsidR="4644E7B5" w:rsidRDefault="4644E7B5" w:rsidP="4644E7B5">
            <w:pPr>
              <w:spacing w:before="40" w:after="40"/>
              <w:ind w:left="-20" w:right="-20"/>
            </w:pPr>
            <w:r w:rsidRPr="4644E7B5">
              <w:rPr>
                <w:i/>
                <w:iCs/>
                <w:color w:val="000000" w:themeColor="text1"/>
                <w:sz w:val="22"/>
                <w:szCs w:val="22"/>
              </w:rPr>
              <w:t xml:space="preserve">A </w:t>
            </w:r>
            <w:r w:rsidRPr="00BC3538">
              <w:rPr>
                <w:i/>
                <w:iCs/>
                <w:color w:val="000000" w:themeColor="text1"/>
                <w:sz w:val="22"/>
                <w:szCs w:val="22"/>
              </w:rPr>
              <w:t xml:space="preserve">gene drive </w:t>
            </w:r>
            <w:r w:rsidRPr="4644E7B5">
              <w:rPr>
                <w:i/>
                <w:iCs/>
                <w:color w:val="000000" w:themeColor="text1"/>
                <w:sz w:val="22"/>
                <w:szCs w:val="22"/>
              </w:rPr>
              <w:t>mechanism in which the transgenic construct biases its transmission by interfering with the inheritance or function of wild-type genes. A reported example is a meiotic drive.</w:t>
            </w:r>
          </w:p>
        </w:tc>
        <w:tc>
          <w:tcPr>
            <w:tcW w:w="2742" w:type="dxa"/>
            <w:tcMar>
              <w:left w:w="108" w:type="dxa"/>
              <w:right w:w="108" w:type="dxa"/>
            </w:tcMar>
          </w:tcPr>
          <w:p w14:paraId="2A80B0AE" w14:textId="7647708F" w:rsidR="4644E7B5" w:rsidRDefault="4644E7B5" w:rsidP="4644E7B5">
            <w:pPr>
              <w:spacing w:before="40" w:after="40"/>
              <w:ind w:left="-20" w:right="-20"/>
            </w:pPr>
            <w:r w:rsidRPr="00A87AFE">
              <w:rPr>
                <w:color w:val="000000" w:themeColor="text1"/>
                <w:sz w:val="22"/>
                <w:szCs w:val="22"/>
              </w:rPr>
              <w:t>Adapted from: NASEM</w:t>
            </w:r>
            <w:r w:rsidR="00143F57" w:rsidRPr="00A87AFE">
              <w:rPr>
                <w:color w:val="000000" w:themeColor="text1"/>
                <w:sz w:val="22"/>
                <w:szCs w:val="22"/>
              </w:rPr>
              <w:t>,</w:t>
            </w:r>
            <w:r w:rsidRPr="00A87AFE">
              <w:rPr>
                <w:color w:val="000000" w:themeColor="text1"/>
                <w:sz w:val="22"/>
                <w:szCs w:val="22"/>
              </w:rPr>
              <w:t xml:space="preserve"> 2016</w:t>
            </w:r>
            <w:r w:rsidR="00143F57" w:rsidRPr="00A87AFE">
              <w:rPr>
                <w:color w:val="000000" w:themeColor="text1"/>
                <w:sz w:val="22"/>
                <w:szCs w:val="22"/>
              </w:rPr>
              <w:t>;</w:t>
            </w:r>
            <w:r w:rsidRPr="00A87AFE">
              <w:rPr>
                <w:color w:val="000000" w:themeColor="text1"/>
                <w:sz w:val="22"/>
                <w:szCs w:val="22"/>
              </w:rPr>
              <w:t xml:space="preserve"> </w:t>
            </w:r>
            <w:r w:rsidR="00192075" w:rsidRPr="00B10BCA">
              <w:rPr>
                <w:color w:val="000000" w:themeColor="text1"/>
                <w:sz w:val="22"/>
                <w:szCs w:val="22"/>
              </w:rPr>
              <w:t>World Health Organisation</w:t>
            </w:r>
            <w:r w:rsidR="00143F57" w:rsidRPr="00B10BCA">
              <w:rPr>
                <w:color w:val="000000" w:themeColor="text1"/>
                <w:sz w:val="22"/>
                <w:szCs w:val="22"/>
              </w:rPr>
              <w:t>,</w:t>
            </w:r>
            <w:r w:rsidRPr="00B10BCA">
              <w:rPr>
                <w:color w:val="000000" w:themeColor="text1"/>
                <w:sz w:val="22"/>
                <w:szCs w:val="22"/>
              </w:rPr>
              <w:t xml:space="preserve"> 2021</w:t>
            </w:r>
            <w:r w:rsidR="004C0902" w:rsidRPr="00B10BCA">
              <w:rPr>
                <w:color w:val="000000" w:themeColor="text1"/>
                <w:sz w:val="22"/>
                <w:szCs w:val="22"/>
              </w:rPr>
              <w:t>b</w:t>
            </w:r>
          </w:p>
        </w:tc>
      </w:tr>
      <w:tr w:rsidR="4644E7B5" w14:paraId="377D8235" w14:textId="77777777" w:rsidTr="00FD23CF">
        <w:trPr>
          <w:trHeight w:val="300"/>
        </w:trPr>
        <w:tc>
          <w:tcPr>
            <w:tcW w:w="395" w:type="dxa"/>
            <w:vMerge w:val="restart"/>
            <w:tcMar>
              <w:left w:w="108" w:type="dxa"/>
              <w:right w:w="108" w:type="dxa"/>
            </w:tcMar>
          </w:tcPr>
          <w:p w14:paraId="5BFC7BC0" w14:textId="4681BCA4" w:rsidR="4644E7B5" w:rsidRDefault="4644E7B5" w:rsidP="4644E7B5">
            <w:pPr>
              <w:spacing w:before="40" w:after="40"/>
              <w:ind w:left="-20" w:right="-20"/>
            </w:pPr>
            <w:r w:rsidRPr="4644E7B5">
              <w:rPr>
                <w:sz w:val="22"/>
                <w:szCs w:val="22"/>
              </w:rPr>
              <w:lastRenderedPageBreak/>
              <w:t xml:space="preserve"> </w:t>
            </w:r>
          </w:p>
        </w:tc>
        <w:tc>
          <w:tcPr>
            <w:tcW w:w="2331" w:type="dxa"/>
            <w:vMerge w:val="restart"/>
            <w:tcMar>
              <w:left w:w="108" w:type="dxa"/>
              <w:right w:w="108" w:type="dxa"/>
            </w:tcMar>
          </w:tcPr>
          <w:p w14:paraId="427764BC" w14:textId="1079B73A" w:rsidR="4644E7B5" w:rsidRDefault="4644E7B5" w:rsidP="4644E7B5">
            <w:pPr>
              <w:spacing w:before="40" w:after="40"/>
              <w:ind w:left="-20" w:right="-20"/>
            </w:pPr>
            <w:r w:rsidRPr="4644E7B5">
              <w:rPr>
                <w:i/>
                <w:iCs/>
                <w:sz w:val="22"/>
                <w:szCs w:val="22"/>
              </w:rPr>
              <w:t>Limits of concern</w:t>
            </w:r>
          </w:p>
        </w:tc>
        <w:tc>
          <w:tcPr>
            <w:tcW w:w="3610" w:type="dxa"/>
            <w:tcMar>
              <w:left w:w="108" w:type="dxa"/>
              <w:right w:w="108" w:type="dxa"/>
            </w:tcMar>
          </w:tcPr>
          <w:p w14:paraId="6A163209" w14:textId="23B25917" w:rsidR="4644E7B5" w:rsidRDefault="4644E7B5" w:rsidP="4644E7B5">
            <w:pPr>
              <w:spacing w:before="40" w:after="40"/>
              <w:ind w:left="-20" w:right="-20"/>
            </w:pPr>
            <w:r w:rsidRPr="4644E7B5">
              <w:rPr>
                <w:i/>
                <w:iCs/>
                <w:color w:val="000000" w:themeColor="text1"/>
                <w:sz w:val="22"/>
                <w:szCs w:val="22"/>
              </w:rPr>
              <w:t xml:space="preserve">The level of environmental protection set for a </w:t>
            </w:r>
            <w:r w:rsidRPr="4644E7B5">
              <w:rPr>
                <w:i/>
                <w:iCs/>
                <w:color w:val="0070C0"/>
                <w:sz w:val="22"/>
                <w:szCs w:val="22"/>
              </w:rPr>
              <w:t>measurement endpoint</w:t>
            </w:r>
            <w:r w:rsidRPr="4644E7B5">
              <w:rPr>
                <w:i/>
                <w:iCs/>
                <w:sz w:val="22"/>
                <w:szCs w:val="22"/>
              </w:rPr>
              <w:t xml:space="preserve">, expressed as the minimum ecological effects deemed biologically relevant and of sufficient magnitude to cause </w:t>
            </w:r>
            <w:r w:rsidRPr="4644E7B5">
              <w:rPr>
                <w:i/>
                <w:iCs/>
                <w:color w:val="0070C0"/>
                <w:sz w:val="22"/>
                <w:szCs w:val="22"/>
              </w:rPr>
              <w:t>harm</w:t>
            </w:r>
            <w:r w:rsidRPr="4644E7B5">
              <w:rPr>
                <w:i/>
                <w:iCs/>
                <w:sz w:val="22"/>
                <w:szCs w:val="22"/>
              </w:rPr>
              <w:t>.</w:t>
            </w:r>
          </w:p>
        </w:tc>
        <w:tc>
          <w:tcPr>
            <w:tcW w:w="2742" w:type="dxa"/>
            <w:vMerge w:val="restart"/>
            <w:tcMar>
              <w:left w:w="108" w:type="dxa"/>
              <w:right w:w="108" w:type="dxa"/>
            </w:tcMar>
          </w:tcPr>
          <w:p w14:paraId="6B612A19" w14:textId="4ABD0F6B" w:rsidR="4644E7B5" w:rsidRDefault="4644E7B5" w:rsidP="4644E7B5">
            <w:pPr>
              <w:spacing w:before="40" w:after="40"/>
              <w:ind w:left="-20" w:right="-20"/>
            </w:pPr>
            <w:r w:rsidRPr="00B10BCA">
              <w:rPr>
                <w:color w:val="000000" w:themeColor="text1"/>
                <w:sz w:val="22"/>
                <w:szCs w:val="22"/>
              </w:rPr>
              <w:t>EFSA GMO Panel</w:t>
            </w:r>
            <w:r w:rsidR="00143F57" w:rsidRPr="00B10BCA">
              <w:rPr>
                <w:color w:val="000000" w:themeColor="text1"/>
                <w:sz w:val="22"/>
                <w:szCs w:val="22"/>
              </w:rPr>
              <w:t>,</w:t>
            </w:r>
            <w:r w:rsidRPr="00B10BCA">
              <w:rPr>
                <w:color w:val="000000" w:themeColor="text1"/>
                <w:sz w:val="22"/>
                <w:szCs w:val="22"/>
              </w:rPr>
              <w:t xml:space="preserve"> 2010</w:t>
            </w:r>
          </w:p>
        </w:tc>
      </w:tr>
      <w:tr w:rsidR="4644E7B5" w14:paraId="08CD4750" w14:textId="77777777" w:rsidTr="00FD23CF">
        <w:trPr>
          <w:trHeight w:val="300"/>
        </w:trPr>
        <w:tc>
          <w:tcPr>
            <w:tcW w:w="395" w:type="dxa"/>
            <w:vMerge/>
            <w:vAlign w:val="center"/>
          </w:tcPr>
          <w:p w14:paraId="782C27C7" w14:textId="77777777" w:rsidR="00D72B06" w:rsidRDefault="00D72B06"/>
        </w:tc>
        <w:tc>
          <w:tcPr>
            <w:tcW w:w="2331" w:type="dxa"/>
            <w:vMerge/>
            <w:vAlign w:val="center"/>
          </w:tcPr>
          <w:p w14:paraId="6B3BC937" w14:textId="77777777" w:rsidR="00D72B06" w:rsidRDefault="00D72B06"/>
        </w:tc>
        <w:tc>
          <w:tcPr>
            <w:tcW w:w="3610" w:type="dxa"/>
            <w:tcMar>
              <w:left w:w="108" w:type="dxa"/>
              <w:right w:w="108" w:type="dxa"/>
            </w:tcMar>
          </w:tcPr>
          <w:p w14:paraId="783E0ECF" w14:textId="5418F928" w:rsidR="4644E7B5" w:rsidRDefault="4644E7B5" w:rsidP="4644E7B5">
            <w:pPr>
              <w:spacing w:before="40" w:after="40"/>
              <w:ind w:left="-20" w:right="-20"/>
            </w:pPr>
            <w:r w:rsidRPr="4644E7B5">
              <w:rPr>
                <w:i/>
                <w:iCs/>
                <w:color w:val="000000" w:themeColor="text1"/>
                <w:sz w:val="22"/>
                <w:szCs w:val="22"/>
              </w:rPr>
              <w:t xml:space="preserve">Related definitions: </w:t>
            </w:r>
            <w:r w:rsidRPr="4644E7B5">
              <w:rPr>
                <w:i/>
                <w:iCs/>
                <w:color w:val="0070C0"/>
                <w:sz w:val="22"/>
                <w:szCs w:val="22"/>
              </w:rPr>
              <w:t>measurement endpoint</w:t>
            </w:r>
            <w:r w:rsidRPr="4644E7B5">
              <w:rPr>
                <w:i/>
                <w:iCs/>
                <w:sz w:val="22"/>
                <w:szCs w:val="22"/>
              </w:rPr>
              <w:t>,</w:t>
            </w:r>
            <w:r w:rsidRPr="4644E7B5">
              <w:rPr>
                <w:i/>
                <w:iCs/>
                <w:color w:val="0070C0"/>
                <w:sz w:val="22"/>
                <w:szCs w:val="22"/>
              </w:rPr>
              <w:t xml:space="preserve"> harm</w:t>
            </w:r>
          </w:p>
        </w:tc>
        <w:tc>
          <w:tcPr>
            <w:tcW w:w="2742" w:type="dxa"/>
            <w:vMerge/>
            <w:vAlign w:val="center"/>
          </w:tcPr>
          <w:p w14:paraId="476310B9" w14:textId="77777777" w:rsidR="00D72B06" w:rsidRDefault="00D72B06"/>
        </w:tc>
      </w:tr>
      <w:tr w:rsidR="4644E7B5" w:rsidRPr="00E60B62" w14:paraId="76E0A992" w14:textId="77777777" w:rsidTr="00FD23CF">
        <w:trPr>
          <w:trHeight w:val="300"/>
        </w:trPr>
        <w:tc>
          <w:tcPr>
            <w:tcW w:w="395" w:type="dxa"/>
            <w:tcMar>
              <w:left w:w="108" w:type="dxa"/>
              <w:right w:w="108" w:type="dxa"/>
            </w:tcMar>
          </w:tcPr>
          <w:p w14:paraId="27F2A863" w14:textId="2E81389A" w:rsidR="4644E7B5" w:rsidRDefault="4644E7B5" w:rsidP="4644E7B5">
            <w:pPr>
              <w:spacing w:before="40" w:after="40"/>
              <w:ind w:left="-20" w:right="-20"/>
            </w:pPr>
            <w:r w:rsidRPr="4644E7B5">
              <w:rPr>
                <w:sz w:val="22"/>
                <w:szCs w:val="22"/>
              </w:rPr>
              <w:t xml:space="preserve"> </w:t>
            </w:r>
          </w:p>
        </w:tc>
        <w:tc>
          <w:tcPr>
            <w:tcW w:w="2331" w:type="dxa"/>
            <w:tcMar>
              <w:left w:w="108" w:type="dxa"/>
              <w:right w:w="108" w:type="dxa"/>
            </w:tcMar>
          </w:tcPr>
          <w:p w14:paraId="07A4C2E2" w14:textId="0E956842" w:rsidR="4644E7B5" w:rsidRDefault="4644E7B5" w:rsidP="4644E7B5">
            <w:pPr>
              <w:spacing w:before="40" w:after="40"/>
              <w:ind w:left="-20" w:right="-20"/>
            </w:pPr>
            <w:r w:rsidRPr="4644E7B5">
              <w:rPr>
                <w:i/>
                <w:iCs/>
                <w:sz w:val="22"/>
                <w:szCs w:val="22"/>
              </w:rPr>
              <w:t>Living modified organism (LMO), Living modified mosquito (LMM)</w:t>
            </w:r>
          </w:p>
        </w:tc>
        <w:tc>
          <w:tcPr>
            <w:tcW w:w="3610" w:type="dxa"/>
            <w:tcMar>
              <w:left w:w="108" w:type="dxa"/>
              <w:right w:w="108" w:type="dxa"/>
            </w:tcMar>
          </w:tcPr>
          <w:p w14:paraId="3E33CCE2" w14:textId="5FE251D9" w:rsidR="4644E7B5" w:rsidRDefault="4644E7B5" w:rsidP="4644E7B5">
            <w:pPr>
              <w:spacing w:before="40" w:after="40"/>
              <w:ind w:left="-20" w:right="-20"/>
            </w:pPr>
            <w:r w:rsidRPr="4644E7B5">
              <w:rPr>
                <w:i/>
                <w:iCs/>
                <w:color w:val="000000" w:themeColor="text1"/>
                <w:sz w:val="22"/>
                <w:szCs w:val="22"/>
              </w:rPr>
              <w:t xml:space="preserve">Any living organism that possesses a novel combination of genetic material obtained </w:t>
            </w:r>
            <w:proofErr w:type="gramStart"/>
            <w:r w:rsidRPr="4644E7B5">
              <w:rPr>
                <w:i/>
                <w:iCs/>
                <w:color w:val="000000" w:themeColor="text1"/>
                <w:sz w:val="22"/>
                <w:szCs w:val="22"/>
              </w:rPr>
              <w:t>through the use of</w:t>
            </w:r>
            <w:proofErr w:type="gramEnd"/>
            <w:r w:rsidRPr="4644E7B5">
              <w:rPr>
                <w:i/>
                <w:iCs/>
                <w:color w:val="000000" w:themeColor="text1"/>
                <w:sz w:val="22"/>
                <w:szCs w:val="22"/>
              </w:rPr>
              <w:t xml:space="preserve"> modern biotechnology. </w:t>
            </w:r>
          </w:p>
        </w:tc>
        <w:tc>
          <w:tcPr>
            <w:tcW w:w="2742" w:type="dxa"/>
            <w:tcMar>
              <w:left w:w="108" w:type="dxa"/>
              <w:right w:w="108" w:type="dxa"/>
            </w:tcMar>
          </w:tcPr>
          <w:p w14:paraId="700F9B22" w14:textId="0A34F877" w:rsidR="4644E7B5" w:rsidRPr="0095438C" w:rsidRDefault="4644E7B5" w:rsidP="4644E7B5">
            <w:pPr>
              <w:spacing w:before="40" w:after="40"/>
              <w:ind w:left="-20" w:right="-20"/>
              <w:rPr>
                <w:lang w:val="pt-PT"/>
              </w:rPr>
            </w:pPr>
            <w:r w:rsidRPr="0095438C">
              <w:rPr>
                <w:sz w:val="22"/>
                <w:szCs w:val="22"/>
                <w:lang w:val="pt-PT"/>
              </w:rPr>
              <w:t>Cartagena Protocol Article 3(g)</w:t>
            </w:r>
            <w:r w:rsidR="00F76724" w:rsidRPr="0095438C">
              <w:rPr>
                <w:sz w:val="22"/>
                <w:szCs w:val="22"/>
                <w:lang w:val="pt-PT"/>
              </w:rPr>
              <w:t xml:space="preserve"> (SCBD, 2000)</w:t>
            </w:r>
          </w:p>
        </w:tc>
      </w:tr>
      <w:tr w:rsidR="4644E7B5" w14:paraId="79C1D00F" w14:textId="77777777" w:rsidTr="00FD23CF">
        <w:trPr>
          <w:trHeight w:val="300"/>
        </w:trPr>
        <w:tc>
          <w:tcPr>
            <w:tcW w:w="395" w:type="dxa"/>
            <w:vMerge w:val="restart"/>
            <w:tcMar>
              <w:left w:w="108" w:type="dxa"/>
              <w:right w:w="108" w:type="dxa"/>
            </w:tcMar>
          </w:tcPr>
          <w:p w14:paraId="609D35D2" w14:textId="477B703F" w:rsidR="4644E7B5" w:rsidRPr="0095438C" w:rsidRDefault="4644E7B5" w:rsidP="4644E7B5">
            <w:pPr>
              <w:spacing w:before="40" w:after="40"/>
              <w:ind w:left="-20" w:right="-20"/>
              <w:rPr>
                <w:lang w:val="pt-PT"/>
              </w:rPr>
            </w:pPr>
            <w:r w:rsidRPr="0095438C">
              <w:rPr>
                <w:sz w:val="22"/>
                <w:szCs w:val="22"/>
                <w:lang w:val="pt-PT"/>
              </w:rPr>
              <w:t xml:space="preserve"> </w:t>
            </w:r>
          </w:p>
        </w:tc>
        <w:tc>
          <w:tcPr>
            <w:tcW w:w="2331" w:type="dxa"/>
            <w:vMerge w:val="restart"/>
            <w:tcMar>
              <w:left w:w="108" w:type="dxa"/>
              <w:right w:w="108" w:type="dxa"/>
            </w:tcMar>
          </w:tcPr>
          <w:p w14:paraId="7F20A806" w14:textId="13A527BB" w:rsidR="4644E7B5" w:rsidRDefault="4644E7B5" w:rsidP="4644E7B5">
            <w:pPr>
              <w:spacing w:before="40" w:after="40"/>
              <w:ind w:left="-20" w:right="-20"/>
            </w:pPr>
            <w:proofErr w:type="gramStart"/>
            <w:r w:rsidRPr="4644E7B5">
              <w:rPr>
                <w:i/>
                <w:iCs/>
                <w:sz w:val="22"/>
                <w:szCs w:val="22"/>
              </w:rPr>
              <w:t>Low-threshold</w:t>
            </w:r>
            <w:proofErr w:type="gramEnd"/>
          </w:p>
          <w:p w14:paraId="18565721" w14:textId="02152003" w:rsidR="4644E7B5" w:rsidRDefault="4644E7B5" w:rsidP="4644E7B5">
            <w:pPr>
              <w:spacing w:before="40" w:after="40"/>
              <w:ind w:left="-20" w:right="-20"/>
            </w:pPr>
            <w:r w:rsidRPr="4644E7B5">
              <w:rPr>
                <w:i/>
                <w:iCs/>
                <w:sz w:val="22"/>
                <w:szCs w:val="22"/>
              </w:rPr>
              <w:t xml:space="preserve"> </w:t>
            </w:r>
          </w:p>
          <w:p w14:paraId="482CE4EE" w14:textId="0A007EDC" w:rsidR="4644E7B5" w:rsidRDefault="4644E7B5" w:rsidP="4644E7B5">
            <w:pPr>
              <w:spacing w:before="40" w:after="40"/>
              <w:ind w:left="-20" w:right="-20"/>
            </w:pPr>
            <w:r w:rsidRPr="4644E7B5">
              <w:rPr>
                <w:i/>
                <w:iCs/>
                <w:sz w:val="22"/>
                <w:szCs w:val="22"/>
              </w:rPr>
              <w:t xml:space="preserve"> </w:t>
            </w:r>
          </w:p>
        </w:tc>
        <w:tc>
          <w:tcPr>
            <w:tcW w:w="3610" w:type="dxa"/>
            <w:tcMar>
              <w:left w:w="108" w:type="dxa"/>
              <w:right w:w="108" w:type="dxa"/>
            </w:tcMar>
          </w:tcPr>
          <w:p w14:paraId="27408C57" w14:textId="0AB084CF" w:rsidR="4644E7B5" w:rsidRDefault="4644E7B5" w:rsidP="4644E7B5">
            <w:pPr>
              <w:spacing w:before="40" w:after="40"/>
              <w:ind w:left="-20" w:right="-20"/>
            </w:pPr>
            <w:r w:rsidRPr="4644E7B5">
              <w:rPr>
                <w:i/>
                <w:iCs/>
                <w:sz w:val="22"/>
                <w:szCs w:val="22"/>
              </w:rPr>
              <w:t xml:space="preserve">Modelling indicates </w:t>
            </w:r>
            <w:r w:rsidRPr="000471A6">
              <w:rPr>
                <w:i/>
                <w:iCs/>
                <w:color w:val="000000" w:themeColor="text1"/>
                <w:sz w:val="22"/>
                <w:szCs w:val="22"/>
              </w:rPr>
              <w:t xml:space="preserve">that gene drive systems may have a threshold level, </w:t>
            </w:r>
            <w:r w:rsidRPr="4644E7B5">
              <w:rPr>
                <w:i/>
                <w:iCs/>
                <w:sz w:val="22"/>
                <w:szCs w:val="22"/>
              </w:rPr>
              <w:t xml:space="preserve">which refers to the ratio of gene-drive-bearing organisms to wild-type organisms that must be exceeded for the </w:t>
            </w:r>
            <w:r w:rsidRPr="004B07FB">
              <w:rPr>
                <w:i/>
                <w:iCs/>
                <w:color w:val="000000" w:themeColor="text1"/>
                <w:sz w:val="22"/>
                <w:szCs w:val="22"/>
              </w:rPr>
              <w:t xml:space="preserve">gene drive </w:t>
            </w:r>
            <w:r w:rsidRPr="4644E7B5">
              <w:rPr>
                <w:i/>
                <w:iCs/>
                <w:sz w:val="22"/>
                <w:szCs w:val="22"/>
              </w:rPr>
              <w:t>to spread throughout a target population.</w:t>
            </w:r>
            <w:r w:rsidRPr="00D311D7">
              <w:rPr>
                <w:i/>
                <w:iCs/>
                <w:color w:val="000000" w:themeColor="text1"/>
                <w:sz w:val="22"/>
                <w:szCs w:val="22"/>
              </w:rPr>
              <w:t xml:space="preserve"> For </w:t>
            </w:r>
            <w:r w:rsidRPr="00D311D7">
              <w:rPr>
                <w:i/>
                <w:iCs/>
                <w:color w:val="0070C0"/>
                <w:sz w:val="22"/>
                <w:szCs w:val="22"/>
              </w:rPr>
              <w:t xml:space="preserve">low-threshold </w:t>
            </w:r>
            <w:r w:rsidRPr="4644E7B5">
              <w:rPr>
                <w:i/>
                <w:iCs/>
                <w:sz w:val="22"/>
                <w:szCs w:val="22"/>
              </w:rPr>
              <w:t xml:space="preserve">drives, this ratio is relatively low (compare </w:t>
            </w:r>
            <w:r w:rsidRPr="4644E7B5">
              <w:rPr>
                <w:i/>
                <w:iCs/>
                <w:color w:val="0070C0"/>
                <w:sz w:val="22"/>
                <w:szCs w:val="22"/>
              </w:rPr>
              <w:t>high threshold drive</w:t>
            </w:r>
            <w:r w:rsidRPr="4644E7B5">
              <w:rPr>
                <w:i/>
                <w:iCs/>
                <w:sz w:val="22"/>
                <w:szCs w:val="22"/>
              </w:rPr>
              <w:t xml:space="preserve">), and in theory, a low initial release of gene-drive bearing individuals would be sufficient for the drive to spread throughout a large target population. </w:t>
            </w:r>
          </w:p>
        </w:tc>
        <w:tc>
          <w:tcPr>
            <w:tcW w:w="2742" w:type="dxa"/>
            <w:vMerge w:val="restart"/>
            <w:tcMar>
              <w:left w:w="108" w:type="dxa"/>
              <w:right w:w="108" w:type="dxa"/>
            </w:tcMar>
          </w:tcPr>
          <w:p w14:paraId="45F4833B" w14:textId="397515CF" w:rsidR="4644E7B5" w:rsidRDefault="006341C0" w:rsidP="4644E7B5">
            <w:pPr>
              <w:spacing w:before="40" w:after="40"/>
              <w:ind w:left="-20" w:right="-20"/>
            </w:pPr>
            <w:r>
              <w:rPr>
                <w:sz w:val="22"/>
                <w:szCs w:val="22"/>
              </w:rPr>
              <w:t xml:space="preserve">Adapted </w:t>
            </w:r>
            <w:r w:rsidR="4644E7B5" w:rsidRPr="4644E7B5">
              <w:rPr>
                <w:sz w:val="22"/>
                <w:szCs w:val="22"/>
              </w:rPr>
              <w:t xml:space="preserve">from: </w:t>
            </w:r>
            <w:proofErr w:type="spellStart"/>
            <w:r w:rsidR="4644E7B5" w:rsidRPr="00A87AFE">
              <w:rPr>
                <w:sz w:val="22"/>
                <w:szCs w:val="22"/>
              </w:rPr>
              <w:t>Alphey</w:t>
            </w:r>
            <w:proofErr w:type="spellEnd"/>
            <w:r w:rsidR="4644E7B5" w:rsidRPr="00A87AFE">
              <w:rPr>
                <w:sz w:val="22"/>
                <w:szCs w:val="22"/>
              </w:rPr>
              <w:t xml:space="preserve"> and others, 2020</w:t>
            </w:r>
            <w:r w:rsidR="00143F57" w:rsidRPr="00A87AFE">
              <w:rPr>
                <w:sz w:val="22"/>
                <w:szCs w:val="22"/>
              </w:rPr>
              <w:t xml:space="preserve">; </w:t>
            </w:r>
            <w:r w:rsidR="4644E7B5" w:rsidRPr="00A87AFE">
              <w:rPr>
                <w:sz w:val="22"/>
                <w:szCs w:val="22"/>
              </w:rPr>
              <w:t>A</w:t>
            </w:r>
            <w:r w:rsidR="00143F57" w:rsidRPr="00A87AFE">
              <w:rPr>
                <w:sz w:val="22"/>
                <w:szCs w:val="22"/>
              </w:rPr>
              <w:t>ustralian Academy of Sciences,</w:t>
            </w:r>
            <w:r w:rsidR="4644E7B5" w:rsidRPr="00A87AFE">
              <w:rPr>
                <w:sz w:val="22"/>
                <w:szCs w:val="22"/>
              </w:rPr>
              <w:t xml:space="preserve"> 2017</w:t>
            </w:r>
          </w:p>
        </w:tc>
      </w:tr>
      <w:tr w:rsidR="4644E7B5" w14:paraId="05D3B216" w14:textId="77777777" w:rsidTr="00FD23CF">
        <w:trPr>
          <w:trHeight w:val="300"/>
        </w:trPr>
        <w:tc>
          <w:tcPr>
            <w:tcW w:w="395" w:type="dxa"/>
            <w:vMerge/>
            <w:vAlign w:val="center"/>
          </w:tcPr>
          <w:p w14:paraId="16F34602" w14:textId="77777777" w:rsidR="00D72B06" w:rsidRDefault="00D72B06"/>
        </w:tc>
        <w:tc>
          <w:tcPr>
            <w:tcW w:w="2331" w:type="dxa"/>
            <w:vMerge/>
            <w:vAlign w:val="center"/>
          </w:tcPr>
          <w:p w14:paraId="6D0B876A" w14:textId="77777777" w:rsidR="00D72B06" w:rsidRDefault="00D72B06"/>
        </w:tc>
        <w:tc>
          <w:tcPr>
            <w:tcW w:w="3610" w:type="dxa"/>
            <w:tcMar>
              <w:left w:w="108" w:type="dxa"/>
              <w:right w:w="108" w:type="dxa"/>
            </w:tcMar>
          </w:tcPr>
          <w:p w14:paraId="513AB131" w14:textId="236CCC85" w:rsidR="4644E7B5" w:rsidRDefault="4644E7B5" w:rsidP="4644E7B5">
            <w:pPr>
              <w:spacing w:before="40" w:after="40"/>
              <w:ind w:left="-20" w:right="-20"/>
            </w:pPr>
            <w:r w:rsidRPr="4644E7B5">
              <w:rPr>
                <w:i/>
                <w:iCs/>
                <w:color w:val="000000" w:themeColor="text1"/>
                <w:sz w:val="22"/>
                <w:szCs w:val="22"/>
              </w:rPr>
              <w:t xml:space="preserve">Related definitions: </w:t>
            </w:r>
            <w:r w:rsidRPr="4644E7B5">
              <w:rPr>
                <w:i/>
                <w:iCs/>
                <w:color w:val="0070C0"/>
                <w:sz w:val="22"/>
                <w:szCs w:val="22"/>
              </w:rPr>
              <w:t>high threshold drive</w:t>
            </w:r>
          </w:p>
        </w:tc>
        <w:tc>
          <w:tcPr>
            <w:tcW w:w="2742" w:type="dxa"/>
            <w:vMerge/>
            <w:vAlign w:val="center"/>
          </w:tcPr>
          <w:p w14:paraId="1034B71E" w14:textId="77777777" w:rsidR="00D72B06" w:rsidRDefault="00D72B06"/>
        </w:tc>
      </w:tr>
      <w:tr w:rsidR="4644E7B5" w14:paraId="774EC316" w14:textId="77777777" w:rsidTr="00FD23CF">
        <w:trPr>
          <w:trHeight w:val="300"/>
        </w:trPr>
        <w:tc>
          <w:tcPr>
            <w:tcW w:w="395" w:type="dxa"/>
            <w:vMerge w:val="restart"/>
            <w:tcMar>
              <w:left w:w="108" w:type="dxa"/>
              <w:right w:w="108" w:type="dxa"/>
            </w:tcMar>
          </w:tcPr>
          <w:p w14:paraId="785728E6" w14:textId="2B18D488" w:rsidR="4644E7B5" w:rsidRDefault="4644E7B5"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35698BC4" w14:textId="75FD3F6E" w:rsidR="4644E7B5" w:rsidRDefault="4644E7B5" w:rsidP="4644E7B5">
            <w:pPr>
              <w:spacing w:before="40" w:after="40"/>
              <w:ind w:left="-20" w:right="-20"/>
            </w:pPr>
            <w:r w:rsidRPr="4644E7B5">
              <w:rPr>
                <w:i/>
                <w:iCs/>
                <w:sz w:val="22"/>
                <w:szCs w:val="22"/>
              </w:rPr>
              <w:t>Measurement endpoints</w:t>
            </w:r>
          </w:p>
        </w:tc>
        <w:tc>
          <w:tcPr>
            <w:tcW w:w="3610" w:type="dxa"/>
            <w:tcMar>
              <w:left w:w="108" w:type="dxa"/>
              <w:right w:w="108" w:type="dxa"/>
            </w:tcMar>
          </w:tcPr>
          <w:p w14:paraId="1EFD00C9" w14:textId="5C4F3A8D" w:rsidR="4644E7B5" w:rsidRDefault="4644E7B5" w:rsidP="4644E7B5">
            <w:pPr>
              <w:spacing w:before="40" w:after="40"/>
              <w:ind w:left="-20" w:right="-20"/>
            </w:pPr>
            <w:r w:rsidRPr="4644E7B5">
              <w:rPr>
                <w:i/>
                <w:iCs/>
                <w:sz w:val="22"/>
                <w:szCs w:val="22"/>
              </w:rPr>
              <w:t xml:space="preserve">A measurable indicator of change in an </w:t>
            </w:r>
            <w:r w:rsidRPr="4644E7B5">
              <w:rPr>
                <w:i/>
                <w:iCs/>
                <w:color w:val="0070C0"/>
                <w:sz w:val="22"/>
                <w:szCs w:val="22"/>
              </w:rPr>
              <w:t xml:space="preserve">assessment endpoint, </w:t>
            </w:r>
            <w:r w:rsidRPr="000471A6">
              <w:rPr>
                <w:i/>
                <w:iCs/>
                <w:color w:val="000000" w:themeColor="text1"/>
                <w:sz w:val="22"/>
                <w:szCs w:val="22"/>
              </w:rPr>
              <w:t xml:space="preserve">e.g. the density and abundance of a species </w:t>
            </w:r>
          </w:p>
        </w:tc>
        <w:tc>
          <w:tcPr>
            <w:tcW w:w="2742" w:type="dxa"/>
            <w:vMerge w:val="restart"/>
            <w:tcMar>
              <w:left w:w="108" w:type="dxa"/>
              <w:right w:w="108" w:type="dxa"/>
            </w:tcMar>
          </w:tcPr>
          <w:p w14:paraId="2515D679" w14:textId="6AEA686C" w:rsidR="4644E7B5" w:rsidRDefault="4644E7B5" w:rsidP="000471A6">
            <w:pPr>
              <w:spacing w:before="40" w:after="40"/>
              <w:ind w:right="-20"/>
            </w:pPr>
            <w:r w:rsidRPr="00A87AFE">
              <w:rPr>
                <w:sz w:val="22"/>
                <w:szCs w:val="22"/>
              </w:rPr>
              <w:t>Suter</w:t>
            </w:r>
            <w:r w:rsidR="00DB3C8D" w:rsidRPr="00A87AFE">
              <w:rPr>
                <w:sz w:val="22"/>
                <w:szCs w:val="22"/>
              </w:rPr>
              <w:t xml:space="preserve"> II</w:t>
            </w:r>
            <w:r w:rsidR="00143F57" w:rsidRPr="00A87AFE">
              <w:rPr>
                <w:sz w:val="22"/>
                <w:szCs w:val="22"/>
              </w:rPr>
              <w:t xml:space="preserve">, </w:t>
            </w:r>
            <w:r w:rsidRPr="00A87AFE">
              <w:rPr>
                <w:sz w:val="22"/>
                <w:szCs w:val="22"/>
              </w:rPr>
              <w:t>2006</w:t>
            </w:r>
          </w:p>
        </w:tc>
      </w:tr>
      <w:tr w:rsidR="4644E7B5" w14:paraId="6FC2B73A" w14:textId="77777777" w:rsidTr="00FD23CF">
        <w:trPr>
          <w:trHeight w:val="655"/>
        </w:trPr>
        <w:tc>
          <w:tcPr>
            <w:tcW w:w="395" w:type="dxa"/>
            <w:vMerge/>
            <w:vAlign w:val="center"/>
          </w:tcPr>
          <w:p w14:paraId="73996899" w14:textId="77777777" w:rsidR="00D72B06" w:rsidRDefault="00D72B06"/>
        </w:tc>
        <w:tc>
          <w:tcPr>
            <w:tcW w:w="2331" w:type="dxa"/>
            <w:vMerge/>
            <w:vAlign w:val="center"/>
          </w:tcPr>
          <w:p w14:paraId="1D2AF155" w14:textId="77777777" w:rsidR="00D72B06" w:rsidRDefault="00D72B06"/>
        </w:tc>
        <w:tc>
          <w:tcPr>
            <w:tcW w:w="3610" w:type="dxa"/>
            <w:tcMar>
              <w:left w:w="108" w:type="dxa"/>
              <w:right w:w="108" w:type="dxa"/>
            </w:tcMar>
          </w:tcPr>
          <w:p w14:paraId="699AC27D" w14:textId="7B3FA2F2" w:rsidR="4644E7B5" w:rsidRDefault="4644E7B5" w:rsidP="4644E7B5">
            <w:pPr>
              <w:spacing w:before="40" w:after="40"/>
              <w:ind w:left="-20" w:right="-20"/>
            </w:pPr>
            <w:r w:rsidRPr="4644E7B5">
              <w:rPr>
                <w:i/>
                <w:iCs/>
                <w:color w:val="000000" w:themeColor="text1"/>
                <w:sz w:val="22"/>
                <w:szCs w:val="22"/>
              </w:rPr>
              <w:t xml:space="preserve">Related definitions: </w:t>
            </w:r>
            <w:r w:rsidRPr="4644E7B5">
              <w:rPr>
                <w:i/>
                <w:iCs/>
                <w:color w:val="0070C0"/>
                <w:sz w:val="22"/>
                <w:szCs w:val="22"/>
              </w:rPr>
              <w:t>assessment endpoint</w:t>
            </w:r>
          </w:p>
        </w:tc>
        <w:tc>
          <w:tcPr>
            <w:tcW w:w="2742" w:type="dxa"/>
            <w:vMerge/>
            <w:vAlign w:val="center"/>
          </w:tcPr>
          <w:p w14:paraId="51DCB5CB" w14:textId="77777777" w:rsidR="00D72B06" w:rsidRDefault="00D72B06"/>
        </w:tc>
      </w:tr>
      <w:tr w:rsidR="4644E7B5" w14:paraId="5DAD528A" w14:textId="77777777" w:rsidTr="00FD23CF">
        <w:trPr>
          <w:trHeight w:val="2482"/>
        </w:trPr>
        <w:tc>
          <w:tcPr>
            <w:tcW w:w="395" w:type="dxa"/>
            <w:vMerge w:val="restart"/>
            <w:tcMar>
              <w:left w:w="108" w:type="dxa"/>
              <w:right w:w="108" w:type="dxa"/>
            </w:tcMar>
          </w:tcPr>
          <w:p w14:paraId="7FDAE821" w14:textId="6ED76338" w:rsidR="4644E7B5" w:rsidRDefault="4644E7B5"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0A6E4CA7" w14:textId="7B36C80E" w:rsidR="4644E7B5" w:rsidRDefault="4644E7B5" w:rsidP="4644E7B5">
            <w:pPr>
              <w:spacing w:before="40" w:after="40"/>
              <w:ind w:left="-20" w:right="-20"/>
            </w:pPr>
            <w:r w:rsidRPr="4644E7B5">
              <w:rPr>
                <w:i/>
                <w:iCs/>
                <w:sz w:val="22"/>
                <w:szCs w:val="22"/>
              </w:rPr>
              <w:t>Open release trial</w:t>
            </w:r>
          </w:p>
        </w:tc>
        <w:tc>
          <w:tcPr>
            <w:tcW w:w="3610" w:type="dxa"/>
            <w:tcMar>
              <w:left w:w="108" w:type="dxa"/>
              <w:right w:w="108" w:type="dxa"/>
            </w:tcMar>
          </w:tcPr>
          <w:p w14:paraId="5E40921A" w14:textId="2CCD627A" w:rsidR="4644E7B5" w:rsidRDefault="4644E7B5" w:rsidP="002512AF">
            <w:pPr>
              <w:spacing w:before="40" w:after="40"/>
              <w:ind w:left="-20" w:right="-20"/>
            </w:pPr>
            <w:r w:rsidRPr="4644E7B5">
              <w:rPr>
                <w:i/>
                <w:iCs/>
                <w:color w:val="000000" w:themeColor="text1"/>
                <w:sz w:val="22"/>
                <w:szCs w:val="22"/>
              </w:rPr>
              <w:t xml:space="preserve">A field trial or series of sequential field trials of increasing size, </w:t>
            </w:r>
            <w:proofErr w:type="gramStart"/>
            <w:r w:rsidRPr="4644E7B5">
              <w:rPr>
                <w:i/>
                <w:iCs/>
                <w:color w:val="000000" w:themeColor="text1"/>
                <w:sz w:val="22"/>
                <w:szCs w:val="22"/>
              </w:rPr>
              <w:t>duration</w:t>
            </w:r>
            <w:proofErr w:type="gramEnd"/>
            <w:r w:rsidRPr="4644E7B5">
              <w:rPr>
                <w:i/>
                <w:iCs/>
                <w:color w:val="000000" w:themeColor="text1"/>
                <w:sz w:val="22"/>
                <w:szCs w:val="22"/>
              </w:rPr>
              <w:t xml:space="preserve"> and complexity, conducted at a single site or multiple sites, and may involve </w:t>
            </w:r>
            <w:r w:rsidRPr="00C733A9">
              <w:rPr>
                <w:i/>
                <w:iCs/>
                <w:color w:val="0070C0"/>
                <w:sz w:val="22"/>
                <w:szCs w:val="22"/>
              </w:rPr>
              <w:t>confinement measures</w:t>
            </w:r>
            <w:r w:rsidRPr="4644E7B5">
              <w:rPr>
                <w:i/>
                <w:iCs/>
                <w:color w:val="000000" w:themeColor="text1"/>
                <w:sz w:val="22"/>
                <w:szCs w:val="22"/>
              </w:rPr>
              <w:t xml:space="preserve">. The trials will aim to collect data including entomological and epidemiological efficacy, dispersal, trait behaviour and ecological interactions. </w:t>
            </w:r>
          </w:p>
        </w:tc>
        <w:tc>
          <w:tcPr>
            <w:tcW w:w="2742" w:type="dxa"/>
            <w:vMerge w:val="restart"/>
            <w:tcMar>
              <w:left w:w="108" w:type="dxa"/>
              <w:right w:w="108" w:type="dxa"/>
            </w:tcMar>
          </w:tcPr>
          <w:p w14:paraId="12C80991" w14:textId="5A4F9CD6" w:rsidR="4644E7B5" w:rsidRDefault="00280AF8" w:rsidP="4644E7B5">
            <w:pPr>
              <w:spacing w:before="40" w:after="40"/>
              <w:ind w:left="-20" w:right="-20"/>
            </w:pPr>
            <w:r>
              <w:rPr>
                <w:color w:val="000000" w:themeColor="text1"/>
                <w:sz w:val="22"/>
                <w:szCs w:val="22"/>
              </w:rPr>
              <w:t>WHO 202</w:t>
            </w:r>
            <w:r w:rsidR="001B743F">
              <w:rPr>
                <w:color w:val="000000" w:themeColor="text1"/>
                <w:sz w:val="22"/>
                <w:szCs w:val="22"/>
              </w:rPr>
              <w:t>1b</w:t>
            </w:r>
            <w:r w:rsidR="4644E7B5" w:rsidRPr="00A87AFE">
              <w:rPr>
                <w:color w:val="000000" w:themeColor="text1"/>
                <w:sz w:val="22"/>
                <w:szCs w:val="22"/>
              </w:rPr>
              <w:t xml:space="preserve"> </w:t>
            </w:r>
          </w:p>
        </w:tc>
      </w:tr>
      <w:tr w:rsidR="4644E7B5" w14:paraId="1767074A" w14:textId="77777777" w:rsidTr="00FD23CF">
        <w:trPr>
          <w:trHeight w:val="610"/>
        </w:trPr>
        <w:tc>
          <w:tcPr>
            <w:tcW w:w="395" w:type="dxa"/>
            <w:vMerge/>
            <w:vAlign w:val="center"/>
          </w:tcPr>
          <w:p w14:paraId="2A8E3DB3" w14:textId="77777777" w:rsidR="00D72B06" w:rsidRDefault="00D72B06"/>
        </w:tc>
        <w:tc>
          <w:tcPr>
            <w:tcW w:w="2331" w:type="dxa"/>
            <w:vMerge/>
            <w:vAlign w:val="center"/>
          </w:tcPr>
          <w:p w14:paraId="331A5D90" w14:textId="77777777" w:rsidR="00D72B06" w:rsidRDefault="00D72B06"/>
        </w:tc>
        <w:tc>
          <w:tcPr>
            <w:tcW w:w="3610" w:type="dxa"/>
            <w:tcMar>
              <w:left w:w="108" w:type="dxa"/>
              <w:right w:w="108" w:type="dxa"/>
            </w:tcMar>
          </w:tcPr>
          <w:p w14:paraId="352FF355" w14:textId="27FE88C2" w:rsidR="4644E7B5" w:rsidRPr="002512AF" w:rsidRDefault="4644E7B5" w:rsidP="002512AF">
            <w:pPr>
              <w:spacing w:before="40" w:after="40"/>
              <w:ind w:left="-20" w:right="-20"/>
              <w:rPr>
                <w:i/>
                <w:iCs/>
                <w:color w:val="0070C0"/>
                <w:sz w:val="22"/>
                <w:szCs w:val="22"/>
              </w:rPr>
            </w:pPr>
            <w:r w:rsidRPr="002512AF">
              <w:rPr>
                <w:i/>
                <w:iCs/>
                <w:color w:val="0070C0"/>
                <w:sz w:val="22"/>
                <w:szCs w:val="22"/>
              </w:rPr>
              <w:t xml:space="preserve"> </w:t>
            </w:r>
            <w:r w:rsidRPr="002512AF">
              <w:rPr>
                <w:i/>
                <w:iCs/>
                <w:color w:val="000000" w:themeColor="text1"/>
                <w:sz w:val="22"/>
                <w:szCs w:val="22"/>
              </w:rPr>
              <w:t xml:space="preserve">Related definition: </w:t>
            </w:r>
            <w:r w:rsidRPr="002512AF">
              <w:rPr>
                <w:i/>
                <w:iCs/>
                <w:color w:val="0070C0"/>
                <w:sz w:val="22"/>
                <w:szCs w:val="22"/>
              </w:rPr>
              <w:t>confinement measures</w:t>
            </w:r>
          </w:p>
        </w:tc>
        <w:tc>
          <w:tcPr>
            <w:tcW w:w="2742" w:type="dxa"/>
            <w:vMerge/>
            <w:vAlign w:val="center"/>
          </w:tcPr>
          <w:p w14:paraId="0EAB9548" w14:textId="77777777" w:rsidR="00D72B06" w:rsidRDefault="00D72B06"/>
        </w:tc>
      </w:tr>
      <w:tr w:rsidR="4644E7B5" w14:paraId="688CA944" w14:textId="77777777" w:rsidTr="00FD23CF">
        <w:trPr>
          <w:trHeight w:val="300"/>
        </w:trPr>
        <w:tc>
          <w:tcPr>
            <w:tcW w:w="395" w:type="dxa"/>
            <w:tcMar>
              <w:left w:w="108" w:type="dxa"/>
              <w:right w:w="108" w:type="dxa"/>
            </w:tcMar>
          </w:tcPr>
          <w:p w14:paraId="6ECF562A" w14:textId="2273F57D" w:rsidR="4644E7B5" w:rsidRDefault="4644E7B5" w:rsidP="4644E7B5">
            <w:pPr>
              <w:spacing w:before="40" w:after="40"/>
              <w:ind w:left="-20" w:right="-20"/>
            </w:pPr>
            <w:r w:rsidRPr="4644E7B5">
              <w:rPr>
                <w:sz w:val="22"/>
                <w:szCs w:val="22"/>
              </w:rPr>
              <w:t xml:space="preserve"> </w:t>
            </w:r>
          </w:p>
        </w:tc>
        <w:tc>
          <w:tcPr>
            <w:tcW w:w="2331" w:type="dxa"/>
            <w:tcMar>
              <w:left w:w="108" w:type="dxa"/>
              <w:right w:w="108" w:type="dxa"/>
            </w:tcMar>
          </w:tcPr>
          <w:p w14:paraId="57099DAF" w14:textId="12201E83" w:rsidR="4644E7B5" w:rsidRDefault="4644E7B5" w:rsidP="4644E7B5">
            <w:pPr>
              <w:spacing w:before="40" w:after="40"/>
              <w:ind w:left="-20" w:right="-20"/>
            </w:pPr>
            <w:r w:rsidRPr="4644E7B5">
              <w:rPr>
                <w:i/>
                <w:iCs/>
                <w:sz w:val="22"/>
                <w:szCs w:val="22"/>
              </w:rPr>
              <w:t>Over-replication mechanisms</w:t>
            </w:r>
          </w:p>
        </w:tc>
        <w:tc>
          <w:tcPr>
            <w:tcW w:w="3610" w:type="dxa"/>
            <w:tcMar>
              <w:left w:w="108" w:type="dxa"/>
              <w:right w:w="108" w:type="dxa"/>
            </w:tcMar>
          </w:tcPr>
          <w:p w14:paraId="39CDECA3" w14:textId="381961F7" w:rsidR="4644E7B5" w:rsidRDefault="4644E7B5" w:rsidP="4644E7B5">
            <w:pPr>
              <w:spacing w:before="40" w:after="40"/>
              <w:ind w:left="-20" w:right="-20"/>
            </w:pPr>
            <w:r w:rsidRPr="4644E7B5">
              <w:rPr>
                <w:i/>
                <w:iCs/>
                <w:color w:val="000000" w:themeColor="text1"/>
                <w:sz w:val="22"/>
                <w:szCs w:val="22"/>
              </w:rPr>
              <w:t xml:space="preserve">A </w:t>
            </w:r>
            <w:r w:rsidRPr="00612244">
              <w:rPr>
                <w:i/>
                <w:iCs/>
                <w:color w:val="000000" w:themeColor="text1"/>
                <w:sz w:val="22"/>
                <w:szCs w:val="22"/>
              </w:rPr>
              <w:t xml:space="preserve">gene drive </w:t>
            </w:r>
            <w:r w:rsidRPr="4644E7B5">
              <w:rPr>
                <w:i/>
                <w:iCs/>
                <w:color w:val="000000" w:themeColor="text1"/>
                <w:sz w:val="22"/>
                <w:szCs w:val="22"/>
              </w:rPr>
              <w:t xml:space="preserve">mechanism in which the transgenic construct biases its transmission by replicating more often </w:t>
            </w:r>
            <w:r w:rsidRPr="4644E7B5">
              <w:rPr>
                <w:i/>
                <w:iCs/>
                <w:color w:val="000000" w:themeColor="text1"/>
                <w:sz w:val="22"/>
                <w:szCs w:val="22"/>
              </w:rPr>
              <w:lastRenderedPageBreak/>
              <w:t>than other genes. Homing endonuclease genes are reported to achieve drive using this mechanism.</w:t>
            </w:r>
          </w:p>
        </w:tc>
        <w:tc>
          <w:tcPr>
            <w:tcW w:w="2742" w:type="dxa"/>
            <w:tcMar>
              <w:left w:w="108" w:type="dxa"/>
              <w:right w:w="108" w:type="dxa"/>
            </w:tcMar>
          </w:tcPr>
          <w:p w14:paraId="74706AE6" w14:textId="4AADE5FB" w:rsidR="4644E7B5" w:rsidRDefault="4644E7B5" w:rsidP="4644E7B5">
            <w:pPr>
              <w:pStyle w:val="NoSpacing"/>
              <w:spacing w:before="40" w:after="40"/>
              <w:ind w:left="-20" w:right="-20"/>
            </w:pPr>
            <w:r w:rsidRPr="4644E7B5">
              <w:rPr>
                <w:sz w:val="22"/>
                <w:szCs w:val="22"/>
                <w:lang w:val="en-GB"/>
              </w:rPr>
              <w:lastRenderedPageBreak/>
              <w:t>Adapted from: MacFarlane and others, 2023</w:t>
            </w:r>
            <w:r w:rsidR="004D0046">
              <w:rPr>
                <w:sz w:val="22"/>
                <w:szCs w:val="22"/>
                <w:lang w:val="en-GB"/>
              </w:rPr>
              <w:t>;</w:t>
            </w:r>
            <w:r w:rsidRPr="4644E7B5">
              <w:rPr>
                <w:sz w:val="22"/>
                <w:szCs w:val="22"/>
                <w:lang w:val="en-GB"/>
              </w:rPr>
              <w:t xml:space="preserve"> </w:t>
            </w:r>
            <w:r w:rsidR="001E7EF5">
              <w:rPr>
                <w:color w:val="000000" w:themeColor="text1"/>
                <w:sz w:val="22"/>
                <w:szCs w:val="22"/>
              </w:rPr>
              <w:t>WHO 2021b</w:t>
            </w:r>
          </w:p>
        </w:tc>
      </w:tr>
      <w:tr w:rsidR="4644E7B5" w14:paraId="58069634" w14:textId="77777777" w:rsidTr="00FD23CF">
        <w:trPr>
          <w:trHeight w:val="300"/>
        </w:trPr>
        <w:tc>
          <w:tcPr>
            <w:tcW w:w="395" w:type="dxa"/>
            <w:vMerge w:val="restart"/>
            <w:tcMar>
              <w:left w:w="108" w:type="dxa"/>
              <w:right w:w="108" w:type="dxa"/>
            </w:tcMar>
          </w:tcPr>
          <w:p w14:paraId="2D124CB7" w14:textId="1B449FCD" w:rsidR="4644E7B5" w:rsidRDefault="4644E7B5"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69A3C87C" w14:textId="19C855A4" w:rsidR="4644E7B5" w:rsidRDefault="4644E7B5" w:rsidP="4644E7B5">
            <w:pPr>
              <w:spacing w:before="40" w:after="40"/>
              <w:ind w:left="-20" w:right="-20"/>
            </w:pPr>
            <w:r w:rsidRPr="4644E7B5">
              <w:rPr>
                <w:i/>
                <w:iCs/>
                <w:sz w:val="22"/>
                <w:szCs w:val="22"/>
              </w:rPr>
              <w:t>Pathways to harm</w:t>
            </w:r>
          </w:p>
        </w:tc>
        <w:tc>
          <w:tcPr>
            <w:tcW w:w="3610" w:type="dxa"/>
            <w:tcMar>
              <w:left w:w="108" w:type="dxa"/>
              <w:right w:w="108" w:type="dxa"/>
            </w:tcMar>
          </w:tcPr>
          <w:p w14:paraId="223ABA31" w14:textId="7A184957" w:rsidR="4644E7B5" w:rsidRDefault="4644E7B5" w:rsidP="4644E7B5">
            <w:pPr>
              <w:spacing w:before="40" w:after="40"/>
              <w:ind w:left="-20" w:right="-20"/>
            </w:pPr>
            <w:r w:rsidRPr="4644E7B5">
              <w:rPr>
                <w:i/>
                <w:iCs/>
                <w:color w:val="000000" w:themeColor="text1"/>
                <w:sz w:val="22"/>
                <w:szCs w:val="22"/>
              </w:rPr>
              <w:t xml:space="preserve">A scientifically plausible description of the necessary sequence of steps for a </w:t>
            </w:r>
            <w:r w:rsidRPr="4644E7B5">
              <w:rPr>
                <w:i/>
                <w:iCs/>
                <w:color w:val="0070C0"/>
                <w:sz w:val="22"/>
                <w:szCs w:val="22"/>
              </w:rPr>
              <w:t xml:space="preserve">harm </w:t>
            </w:r>
            <w:r w:rsidRPr="4644E7B5">
              <w:rPr>
                <w:i/>
                <w:iCs/>
                <w:sz w:val="22"/>
                <w:szCs w:val="22"/>
              </w:rPr>
              <w:t>to be realised. These pathways are constructed during th</w:t>
            </w:r>
            <w:r w:rsidRPr="00612244">
              <w:rPr>
                <w:i/>
                <w:iCs/>
                <w:color w:val="000000" w:themeColor="text1"/>
                <w:sz w:val="22"/>
                <w:szCs w:val="22"/>
              </w:rPr>
              <w:t xml:space="preserve">e problem formulation </w:t>
            </w:r>
            <w:r w:rsidRPr="4644E7B5">
              <w:rPr>
                <w:i/>
                <w:iCs/>
                <w:sz w:val="22"/>
                <w:szCs w:val="22"/>
              </w:rPr>
              <w:t>process.</w:t>
            </w:r>
          </w:p>
        </w:tc>
        <w:tc>
          <w:tcPr>
            <w:tcW w:w="2742" w:type="dxa"/>
            <w:vMerge w:val="restart"/>
            <w:tcMar>
              <w:left w:w="108" w:type="dxa"/>
              <w:right w:w="108" w:type="dxa"/>
            </w:tcMar>
          </w:tcPr>
          <w:p w14:paraId="509FB509" w14:textId="6CED130A" w:rsidR="4644E7B5" w:rsidRDefault="4644E7B5" w:rsidP="4644E7B5">
            <w:pPr>
              <w:spacing w:before="40" w:after="40"/>
              <w:ind w:left="-20" w:right="-20"/>
            </w:pPr>
            <w:r w:rsidRPr="4644E7B5">
              <w:rPr>
                <w:sz w:val="22"/>
                <w:szCs w:val="22"/>
              </w:rPr>
              <w:t xml:space="preserve">Adapted from: </w:t>
            </w:r>
            <w:r w:rsidRPr="007A68F8">
              <w:rPr>
                <w:color w:val="000000" w:themeColor="text1"/>
                <w:sz w:val="22"/>
                <w:szCs w:val="22"/>
              </w:rPr>
              <w:t>EFSA</w:t>
            </w:r>
            <w:r w:rsidR="004D0046" w:rsidRPr="007A68F8">
              <w:rPr>
                <w:color w:val="000000" w:themeColor="text1"/>
                <w:sz w:val="22"/>
                <w:szCs w:val="22"/>
              </w:rPr>
              <w:t>,</w:t>
            </w:r>
            <w:r w:rsidRPr="007A68F8">
              <w:rPr>
                <w:color w:val="000000" w:themeColor="text1"/>
                <w:sz w:val="22"/>
                <w:szCs w:val="22"/>
              </w:rPr>
              <w:t xml:space="preserve"> 2020</w:t>
            </w:r>
            <w:r w:rsidR="004D0046" w:rsidRPr="007A68F8">
              <w:rPr>
                <w:color w:val="000000" w:themeColor="text1"/>
                <w:sz w:val="22"/>
                <w:szCs w:val="22"/>
              </w:rPr>
              <w:t>;</w:t>
            </w:r>
            <w:r w:rsidRPr="007A68F8">
              <w:rPr>
                <w:color w:val="000000" w:themeColor="text1"/>
                <w:sz w:val="22"/>
                <w:szCs w:val="22"/>
              </w:rPr>
              <w:t xml:space="preserve"> </w:t>
            </w:r>
            <w:r w:rsidRPr="00A87AFE">
              <w:rPr>
                <w:color w:val="000000" w:themeColor="text1"/>
                <w:sz w:val="22"/>
                <w:szCs w:val="22"/>
              </w:rPr>
              <w:t>OECD</w:t>
            </w:r>
            <w:r w:rsidR="004D0046" w:rsidRPr="00A87AFE">
              <w:rPr>
                <w:color w:val="000000" w:themeColor="text1"/>
                <w:sz w:val="22"/>
                <w:szCs w:val="22"/>
              </w:rPr>
              <w:t>,</w:t>
            </w:r>
            <w:r w:rsidRPr="00A87AFE">
              <w:rPr>
                <w:color w:val="000000" w:themeColor="text1"/>
                <w:sz w:val="22"/>
                <w:szCs w:val="22"/>
              </w:rPr>
              <w:t xml:space="preserve"> 2023</w:t>
            </w:r>
          </w:p>
        </w:tc>
      </w:tr>
      <w:tr w:rsidR="4644E7B5" w14:paraId="4BC1D772" w14:textId="77777777" w:rsidTr="00FD23CF">
        <w:trPr>
          <w:trHeight w:val="300"/>
        </w:trPr>
        <w:tc>
          <w:tcPr>
            <w:tcW w:w="395" w:type="dxa"/>
            <w:vMerge/>
            <w:vAlign w:val="center"/>
          </w:tcPr>
          <w:p w14:paraId="13ED03AF" w14:textId="77777777" w:rsidR="00D72B06" w:rsidRDefault="00D72B06"/>
        </w:tc>
        <w:tc>
          <w:tcPr>
            <w:tcW w:w="2331" w:type="dxa"/>
            <w:vMerge/>
            <w:vAlign w:val="center"/>
          </w:tcPr>
          <w:p w14:paraId="2B715684" w14:textId="77777777" w:rsidR="00D72B06" w:rsidRDefault="00D72B06"/>
        </w:tc>
        <w:tc>
          <w:tcPr>
            <w:tcW w:w="3610" w:type="dxa"/>
            <w:tcMar>
              <w:left w:w="108" w:type="dxa"/>
              <w:right w:w="108" w:type="dxa"/>
            </w:tcMar>
          </w:tcPr>
          <w:p w14:paraId="4665CEFD" w14:textId="71954420" w:rsidR="4644E7B5" w:rsidRDefault="4644E7B5" w:rsidP="4644E7B5">
            <w:pPr>
              <w:spacing w:before="40" w:after="40"/>
              <w:ind w:left="-20" w:right="-20"/>
            </w:pPr>
            <w:r w:rsidRPr="4644E7B5">
              <w:rPr>
                <w:i/>
                <w:iCs/>
                <w:sz w:val="22"/>
                <w:szCs w:val="22"/>
              </w:rPr>
              <w:t xml:space="preserve">Related definitions: </w:t>
            </w:r>
            <w:r w:rsidRPr="4644E7B5">
              <w:rPr>
                <w:i/>
                <w:iCs/>
                <w:color w:val="0070C0"/>
                <w:sz w:val="22"/>
                <w:szCs w:val="22"/>
              </w:rPr>
              <w:t>harm</w:t>
            </w:r>
          </w:p>
        </w:tc>
        <w:tc>
          <w:tcPr>
            <w:tcW w:w="2742" w:type="dxa"/>
            <w:vMerge/>
            <w:vAlign w:val="center"/>
          </w:tcPr>
          <w:p w14:paraId="016CB548" w14:textId="77777777" w:rsidR="00D72B06" w:rsidRDefault="00D72B06"/>
        </w:tc>
      </w:tr>
      <w:tr w:rsidR="4644E7B5" w14:paraId="714419C5" w14:textId="77777777" w:rsidTr="00FD23CF">
        <w:trPr>
          <w:trHeight w:val="300"/>
        </w:trPr>
        <w:tc>
          <w:tcPr>
            <w:tcW w:w="395" w:type="dxa"/>
            <w:vMerge w:val="restart"/>
            <w:tcMar>
              <w:left w:w="108" w:type="dxa"/>
              <w:right w:w="108" w:type="dxa"/>
            </w:tcMar>
          </w:tcPr>
          <w:p w14:paraId="063D6625" w14:textId="5A2F45B2" w:rsidR="4644E7B5" w:rsidRDefault="4644E7B5"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6E9EA609" w14:textId="5BAB77EC" w:rsidR="4644E7B5" w:rsidRDefault="4644E7B5" w:rsidP="4644E7B5">
            <w:pPr>
              <w:spacing w:before="40" w:after="40"/>
              <w:ind w:left="-20" w:right="-20"/>
            </w:pPr>
            <w:r w:rsidRPr="4644E7B5">
              <w:rPr>
                <w:i/>
                <w:iCs/>
                <w:sz w:val="22"/>
                <w:szCs w:val="22"/>
              </w:rPr>
              <w:t>Protection goals</w:t>
            </w:r>
          </w:p>
        </w:tc>
        <w:tc>
          <w:tcPr>
            <w:tcW w:w="3610" w:type="dxa"/>
            <w:tcMar>
              <w:left w:w="108" w:type="dxa"/>
              <w:right w:w="108" w:type="dxa"/>
            </w:tcMar>
          </w:tcPr>
          <w:p w14:paraId="4BE902C8" w14:textId="28B73756" w:rsidR="4644E7B5" w:rsidRDefault="4644E7B5" w:rsidP="4644E7B5">
            <w:pPr>
              <w:spacing w:before="40" w:after="40"/>
              <w:ind w:left="-20" w:right="-20"/>
            </w:pPr>
            <w:r w:rsidRPr="4644E7B5">
              <w:rPr>
                <w:i/>
                <w:iCs/>
                <w:sz w:val="22"/>
                <w:szCs w:val="22"/>
              </w:rPr>
              <w:t xml:space="preserve">Components of the environment (e.g., </w:t>
            </w:r>
            <w:r w:rsidR="00FC0389" w:rsidRPr="001850A5">
              <w:rPr>
                <w:i/>
                <w:iCs/>
                <w:sz w:val="22"/>
                <w:szCs w:val="22"/>
              </w:rPr>
              <w:t xml:space="preserve">biological diversity, genetic diversity, human and animal health, habitats, </w:t>
            </w:r>
            <w:r w:rsidR="00FC0389" w:rsidRPr="001850A5">
              <w:rPr>
                <w:i/>
                <w:iCs/>
                <w:color w:val="0070C0"/>
                <w:sz w:val="22"/>
                <w:szCs w:val="22"/>
              </w:rPr>
              <w:t>ecosystems, ecosystem functions</w:t>
            </w:r>
            <w:r w:rsidR="00FC0389" w:rsidRPr="001850A5">
              <w:rPr>
                <w:i/>
                <w:iCs/>
                <w:sz w:val="22"/>
                <w:szCs w:val="22"/>
              </w:rPr>
              <w:t xml:space="preserve"> and services, soil health, water quality</w:t>
            </w:r>
            <w:r w:rsidRPr="001850A5">
              <w:rPr>
                <w:i/>
                <w:iCs/>
                <w:sz w:val="22"/>
                <w:szCs w:val="22"/>
              </w:rPr>
              <w:t>) that are valued and need to be</w:t>
            </w:r>
            <w:r w:rsidRPr="4644E7B5">
              <w:rPr>
                <w:i/>
                <w:iCs/>
                <w:sz w:val="22"/>
                <w:szCs w:val="22"/>
              </w:rPr>
              <w:t xml:space="preserve"> protected from </w:t>
            </w:r>
            <w:r w:rsidRPr="4644E7B5">
              <w:rPr>
                <w:i/>
                <w:iCs/>
                <w:color w:val="0070C0"/>
                <w:sz w:val="22"/>
                <w:szCs w:val="22"/>
              </w:rPr>
              <w:t>harm</w:t>
            </w:r>
            <w:r w:rsidRPr="4644E7B5">
              <w:rPr>
                <w:i/>
                <w:iCs/>
                <w:sz w:val="22"/>
                <w:szCs w:val="22"/>
              </w:rPr>
              <w:t xml:space="preserve">. They are usually identified in the relevant laws or policies of a jurisdiction and establish the context for the environmental </w:t>
            </w:r>
            <w:r w:rsidRPr="4644E7B5">
              <w:rPr>
                <w:i/>
                <w:iCs/>
                <w:color w:val="0070C0"/>
                <w:sz w:val="22"/>
                <w:szCs w:val="22"/>
              </w:rPr>
              <w:t>risk assessment.</w:t>
            </w:r>
          </w:p>
        </w:tc>
        <w:tc>
          <w:tcPr>
            <w:tcW w:w="2742" w:type="dxa"/>
            <w:vMerge w:val="restart"/>
            <w:tcMar>
              <w:left w:w="108" w:type="dxa"/>
              <w:right w:w="108" w:type="dxa"/>
            </w:tcMar>
          </w:tcPr>
          <w:p w14:paraId="77ED5BEB" w14:textId="2CB8ED5D" w:rsidR="4644E7B5" w:rsidRDefault="4644E7B5" w:rsidP="4644E7B5">
            <w:pPr>
              <w:spacing w:before="40" w:after="40"/>
              <w:ind w:left="-20" w:right="-20"/>
            </w:pPr>
            <w:r w:rsidRPr="4644E7B5">
              <w:rPr>
                <w:sz w:val="22"/>
                <w:szCs w:val="22"/>
              </w:rPr>
              <w:t>Adapted from:</w:t>
            </w:r>
            <w:r w:rsidRPr="00A87AFE">
              <w:rPr>
                <w:color w:val="000000" w:themeColor="text1"/>
                <w:sz w:val="22"/>
                <w:szCs w:val="22"/>
              </w:rPr>
              <w:t xml:space="preserve"> </w:t>
            </w:r>
            <w:r w:rsidR="00FC0389" w:rsidRPr="003371FD">
              <w:rPr>
                <w:color w:val="000000" w:themeColor="text1"/>
                <w:sz w:val="22"/>
                <w:szCs w:val="22"/>
              </w:rPr>
              <w:t>Convention on Biological Diversit</w:t>
            </w:r>
            <w:r w:rsidR="0072070B" w:rsidRPr="003371FD">
              <w:rPr>
                <w:color w:val="000000" w:themeColor="text1"/>
                <w:sz w:val="22"/>
                <w:szCs w:val="22"/>
              </w:rPr>
              <w:t>y, annex I</w:t>
            </w:r>
            <w:r w:rsidR="0072070B" w:rsidRPr="00802120">
              <w:rPr>
                <w:color w:val="000000" w:themeColor="text1"/>
                <w:sz w:val="22"/>
                <w:szCs w:val="22"/>
              </w:rPr>
              <w:t xml:space="preserve">; </w:t>
            </w:r>
            <w:r w:rsidRPr="00802120">
              <w:rPr>
                <w:color w:val="000000" w:themeColor="text1"/>
                <w:sz w:val="22"/>
                <w:szCs w:val="22"/>
              </w:rPr>
              <w:t>EFSA GMO Panel</w:t>
            </w:r>
            <w:r w:rsidR="0072070B" w:rsidRPr="00802120">
              <w:rPr>
                <w:color w:val="000000" w:themeColor="text1"/>
                <w:sz w:val="22"/>
                <w:szCs w:val="22"/>
              </w:rPr>
              <w:t>,</w:t>
            </w:r>
            <w:r w:rsidRPr="00802120">
              <w:rPr>
                <w:color w:val="000000" w:themeColor="text1"/>
                <w:sz w:val="22"/>
                <w:szCs w:val="22"/>
              </w:rPr>
              <w:t xml:space="preserve"> 2010</w:t>
            </w:r>
            <w:r w:rsidR="0072070B" w:rsidRPr="00802120">
              <w:rPr>
                <w:color w:val="000000" w:themeColor="text1"/>
                <w:sz w:val="22"/>
                <w:szCs w:val="22"/>
              </w:rPr>
              <w:t>;</w:t>
            </w:r>
            <w:r w:rsidRPr="00A87AFE">
              <w:rPr>
                <w:color w:val="000000" w:themeColor="text1"/>
                <w:sz w:val="22"/>
                <w:szCs w:val="22"/>
              </w:rPr>
              <w:t xml:space="preserve"> </w:t>
            </w:r>
            <w:r w:rsidRPr="00A87AFE">
              <w:rPr>
                <w:sz w:val="22"/>
                <w:szCs w:val="22"/>
              </w:rPr>
              <w:t>OECD</w:t>
            </w:r>
            <w:r w:rsidR="0072070B" w:rsidRPr="00A87AFE">
              <w:rPr>
                <w:sz w:val="22"/>
                <w:szCs w:val="22"/>
              </w:rPr>
              <w:t>,</w:t>
            </w:r>
            <w:r w:rsidRPr="00A87AFE">
              <w:rPr>
                <w:sz w:val="22"/>
                <w:szCs w:val="22"/>
              </w:rPr>
              <w:t xml:space="preserve"> 2023</w:t>
            </w:r>
          </w:p>
        </w:tc>
      </w:tr>
      <w:tr w:rsidR="4644E7B5" w14:paraId="11B03D57" w14:textId="77777777" w:rsidTr="00FD23CF">
        <w:trPr>
          <w:trHeight w:val="300"/>
        </w:trPr>
        <w:tc>
          <w:tcPr>
            <w:tcW w:w="395" w:type="dxa"/>
            <w:vMerge/>
            <w:vAlign w:val="center"/>
          </w:tcPr>
          <w:p w14:paraId="3BD11678" w14:textId="77777777" w:rsidR="00D72B06" w:rsidRDefault="00D72B06"/>
        </w:tc>
        <w:tc>
          <w:tcPr>
            <w:tcW w:w="2331" w:type="dxa"/>
            <w:vMerge/>
            <w:vAlign w:val="center"/>
          </w:tcPr>
          <w:p w14:paraId="15E7EDE0" w14:textId="77777777" w:rsidR="00D72B06" w:rsidRDefault="00D72B06"/>
        </w:tc>
        <w:tc>
          <w:tcPr>
            <w:tcW w:w="3610" w:type="dxa"/>
            <w:tcMar>
              <w:left w:w="108" w:type="dxa"/>
              <w:right w:w="108" w:type="dxa"/>
            </w:tcMar>
          </w:tcPr>
          <w:p w14:paraId="425A5BA0" w14:textId="6CE51D9D" w:rsidR="4644E7B5" w:rsidRDefault="4644E7B5" w:rsidP="4644E7B5">
            <w:pPr>
              <w:spacing w:before="40" w:after="40"/>
              <w:ind w:left="-20" w:right="-20"/>
            </w:pPr>
            <w:r w:rsidRPr="4644E7B5">
              <w:rPr>
                <w:i/>
                <w:iCs/>
                <w:color w:val="000000" w:themeColor="text1"/>
                <w:sz w:val="22"/>
                <w:szCs w:val="22"/>
              </w:rPr>
              <w:t>Related definitions:</w:t>
            </w:r>
            <w:r w:rsidRPr="4644E7B5">
              <w:rPr>
                <w:i/>
                <w:iCs/>
                <w:sz w:val="22"/>
                <w:szCs w:val="22"/>
              </w:rPr>
              <w:t xml:space="preserve"> </w:t>
            </w:r>
            <w:r w:rsidRPr="4644E7B5">
              <w:rPr>
                <w:i/>
                <w:iCs/>
                <w:color w:val="0070C0"/>
                <w:sz w:val="22"/>
                <w:szCs w:val="22"/>
              </w:rPr>
              <w:t>h</w:t>
            </w:r>
            <w:r w:rsidR="00865C0D">
              <w:rPr>
                <w:i/>
                <w:iCs/>
                <w:color w:val="0070C0"/>
                <w:sz w:val="22"/>
                <w:szCs w:val="22"/>
              </w:rPr>
              <w:t>abitat, h</w:t>
            </w:r>
            <w:r w:rsidRPr="4644E7B5">
              <w:rPr>
                <w:i/>
                <w:iCs/>
                <w:color w:val="0070C0"/>
                <w:sz w:val="22"/>
                <w:szCs w:val="22"/>
              </w:rPr>
              <w:t>arm</w:t>
            </w:r>
            <w:r w:rsidRPr="4644E7B5">
              <w:rPr>
                <w:i/>
                <w:iCs/>
                <w:sz w:val="22"/>
                <w:szCs w:val="22"/>
              </w:rPr>
              <w:t xml:space="preserve">, </w:t>
            </w:r>
            <w:r w:rsidRPr="4644E7B5">
              <w:rPr>
                <w:i/>
                <w:iCs/>
                <w:color w:val="0070C0"/>
                <w:sz w:val="22"/>
                <w:szCs w:val="22"/>
              </w:rPr>
              <w:t xml:space="preserve">risk assessment </w:t>
            </w:r>
          </w:p>
        </w:tc>
        <w:tc>
          <w:tcPr>
            <w:tcW w:w="2742" w:type="dxa"/>
            <w:vMerge/>
            <w:vAlign w:val="center"/>
          </w:tcPr>
          <w:p w14:paraId="77306029" w14:textId="77777777" w:rsidR="00D72B06" w:rsidRDefault="00D72B06"/>
        </w:tc>
      </w:tr>
      <w:tr w:rsidR="00313EC8" w14:paraId="04F657C8" w14:textId="77777777" w:rsidTr="00FD23CF">
        <w:trPr>
          <w:trHeight w:val="2410"/>
        </w:trPr>
        <w:tc>
          <w:tcPr>
            <w:tcW w:w="395" w:type="dxa"/>
            <w:tcMar>
              <w:left w:w="108" w:type="dxa"/>
              <w:right w:w="108" w:type="dxa"/>
            </w:tcMar>
          </w:tcPr>
          <w:p w14:paraId="1CC20047" w14:textId="4F44A11D" w:rsidR="00313EC8" w:rsidRDefault="00313EC8" w:rsidP="4644E7B5">
            <w:pPr>
              <w:spacing w:before="40" w:after="40"/>
              <w:ind w:left="-20" w:right="-20"/>
            </w:pPr>
            <w:r w:rsidRPr="4644E7B5">
              <w:rPr>
                <w:sz w:val="22"/>
                <w:szCs w:val="22"/>
              </w:rPr>
              <w:t xml:space="preserve"> </w:t>
            </w:r>
          </w:p>
        </w:tc>
        <w:tc>
          <w:tcPr>
            <w:tcW w:w="2331" w:type="dxa"/>
            <w:tcMar>
              <w:left w:w="108" w:type="dxa"/>
              <w:right w:w="108" w:type="dxa"/>
            </w:tcMar>
          </w:tcPr>
          <w:p w14:paraId="45EBA7EE" w14:textId="7496DA0C" w:rsidR="00313EC8" w:rsidRDefault="00313EC8" w:rsidP="4644E7B5">
            <w:pPr>
              <w:spacing w:before="40" w:after="40"/>
              <w:ind w:left="-20" w:right="-20"/>
            </w:pPr>
            <w:r w:rsidRPr="4644E7B5">
              <w:rPr>
                <w:i/>
                <w:iCs/>
                <w:sz w:val="22"/>
                <w:szCs w:val="22"/>
              </w:rPr>
              <w:t>Regulator</w:t>
            </w:r>
          </w:p>
        </w:tc>
        <w:tc>
          <w:tcPr>
            <w:tcW w:w="3610" w:type="dxa"/>
            <w:tcMar>
              <w:left w:w="108" w:type="dxa"/>
              <w:right w:w="108" w:type="dxa"/>
            </w:tcMar>
          </w:tcPr>
          <w:p w14:paraId="3FC195E7" w14:textId="1048208E" w:rsidR="00313EC8" w:rsidRDefault="00313EC8" w:rsidP="4644E7B5">
            <w:pPr>
              <w:spacing w:before="40" w:after="40"/>
              <w:ind w:left="-20" w:right="-20"/>
            </w:pPr>
            <w:r w:rsidRPr="4644E7B5">
              <w:rPr>
                <w:i/>
                <w:iCs/>
                <w:sz w:val="22"/>
                <w:szCs w:val="22"/>
              </w:rPr>
              <w:t xml:space="preserve">A regulatory entity or government body with responsibility for regulating certain activities, e.g., for activities </w:t>
            </w:r>
            <w:r w:rsidRPr="00885A49">
              <w:rPr>
                <w:i/>
                <w:iCs/>
                <w:color w:val="000000" w:themeColor="text1"/>
                <w:sz w:val="22"/>
                <w:szCs w:val="22"/>
              </w:rPr>
              <w:t xml:space="preserve">with EGD-LMOs, a regulator may have responsibility </w:t>
            </w:r>
            <w:r w:rsidRPr="4644E7B5">
              <w:rPr>
                <w:i/>
                <w:iCs/>
                <w:sz w:val="22"/>
                <w:szCs w:val="22"/>
              </w:rPr>
              <w:t xml:space="preserve">for issuing regulatory approvals and authorisations, monitoring compliance, and enforcement of regulatory conditions.  </w:t>
            </w:r>
          </w:p>
        </w:tc>
        <w:tc>
          <w:tcPr>
            <w:tcW w:w="2742" w:type="dxa"/>
            <w:tcMar>
              <w:left w:w="108" w:type="dxa"/>
              <w:right w:w="108" w:type="dxa"/>
            </w:tcMar>
          </w:tcPr>
          <w:p w14:paraId="61702875" w14:textId="4F4D4E36" w:rsidR="00313EC8" w:rsidRDefault="00313EC8" w:rsidP="4644E7B5">
            <w:pPr>
              <w:spacing w:before="40" w:after="40"/>
              <w:ind w:left="-20" w:right="-20"/>
            </w:pPr>
            <w:r w:rsidRPr="4644E7B5">
              <w:rPr>
                <w:sz w:val="22"/>
                <w:szCs w:val="22"/>
              </w:rPr>
              <w:t>N/A</w:t>
            </w:r>
          </w:p>
        </w:tc>
      </w:tr>
      <w:tr w:rsidR="4644E7B5" w14:paraId="16AFAB4A" w14:textId="77777777" w:rsidTr="00FD23CF">
        <w:trPr>
          <w:trHeight w:val="300"/>
        </w:trPr>
        <w:tc>
          <w:tcPr>
            <w:tcW w:w="395" w:type="dxa"/>
            <w:vMerge w:val="restart"/>
            <w:tcMar>
              <w:left w:w="108" w:type="dxa"/>
              <w:right w:w="108" w:type="dxa"/>
            </w:tcMar>
          </w:tcPr>
          <w:p w14:paraId="29B207B5" w14:textId="290CCEA5" w:rsidR="4644E7B5" w:rsidRDefault="4644E7B5"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7A2FDA02" w14:textId="41C37C85" w:rsidR="4644E7B5" w:rsidRDefault="4644E7B5" w:rsidP="4644E7B5">
            <w:pPr>
              <w:spacing w:before="40" w:after="40"/>
              <w:ind w:left="-20" w:right="-20"/>
            </w:pPr>
            <w:r w:rsidRPr="4644E7B5">
              <w:rPr>
                <w:i/>
                <w:iCs/>
                <w:sz w:val="22"/>
                <w:szCs w:val="22"/>
              </w:rPr>
              <w:t xml:space="preserve">Risk </w:t>
            </w:r>
          </w:p>
        </w:tc>
        <w:tc>
          <w:tcPr>
            <w:tcW w:w="3610" w:type="dxa"/>
            <w:tcMar>
              <w:left w:w="108" w:type="dxa"/>
              <w:right w:w="108" w:type="dxa"/>
            </w:tcMar>
          </w:tcPr>
          <w:p w14:paraId="7D2EB242" w14:textId="7410A4D1" w:rsidR="4644E7B5" w:rsidRDefault="4644E7B5" w:rsidP="4644E7B5">
            <w:pPr>
              <w:spacing w:before="40" w:after="40"/>
              <w:ind w:left="-20" w:right="-20"/>
            </w:pPr>
            <w:r w:rsidRPr="4644E7B5">
              <w:rPr>
                <w:i/>
                <w:iCs/>
                <w:sz w:val="22"/>
                <w:szCs w:val="22"/>
              </w:rPr>
              <w:t xml:space="preserve">The likelihood of a </w:t>
            </w:r>
            <w:r w:rsidRPr="4644E7B5">
              <w:rPr>
                <w:i/>
                <w:iCs/>
                <w:color w:val="0070C0"/>
                <w:sz w:val="22"/>
                <w:szCs w:val="22"/>
              </w:rPr>
              <w:t xml:space="preserve">hazard </w:t>
            </w:r>
            <w:r w:rsidRPr="4644E7B5">
              <w:rPr>
                <w:i/>
                <w:iCs/>
                <w:sz w:val="22"/>
                <w:szCs w:val="22"/>
              </w:rPr>
              <w:t xml:space="preserve">causing </w:t>
            </w:r>
            <w:r w:rsidRPr="4644E7B5">
              <w:rPr>
                <w:i/>
                <w:iCs/>
                <w:color w:val="0070C0"/>
                <w:sz w:val="22"/>
                <w:szCs w:val="22"/>
              </w:rPr>
              <w:t>harm.</w:t>
            </w:r>
          </w:p>
        </w:tc>
        <w:tc>
          <w:tcPr>
            <w:tcW w:w="2742" w:type="dxa"/>
            <w:vMerge w:val="restart"/>
            <w:tcMar>
              <w:left w:w="108" w:type="dxa"/>
              <w:right w:w="108" w:type="dxa"/>
            </w:tcMar>
          </w:tcPr>
          <w:p w14:paraId="6175445D" w14:textId="1A062EBA" w:rsidR="4644E7B5" w:rsidRDefault="00CF65F8" w:rsidP="4644E7B5">
            <w:pPr>
              <w:spacing w:before="40" w:after="40"/>
              <w:ind w:left="-20" w:right="-20"/>
            </w:pPr>
            <w:r>
              <w:rPr>
                <w:sz w:val="22"/>
                <w:szCs w:val="22"/>
              </w:rPr>
              <w:t>EFSA, 2016</w:t>
            </w:r>
            <w:r w:rsidR="005E734F">
              <w:rPr>
                <w:sz w:val="22"/>
                <w:szCs w:val="22"/>
              </w:rPr>
              <w:t>b</w:t>
            </w:r>
          </w:p>
        </w:tc>
      </w:tr>
      <w:tr w:rsidR="4644E7B5" w14:paraId="2696CD0E" w14:textId="77777777" w:rsidTr="00FD23CF">
        <w:trPr>
          <w:trHeight w:val="300"/>
        </w:trPr>
        <w:tc>
          <w:tcPr>
            <w:tcW w:w="395" w:type="dxa"/>
            <w:vMerge/>
            <w:vAlign w:val="center"/>
          </w:tcPr>
          <w:p w14:paraId="3950C79D" w14:textId="77777777" w:rsidR="00D72B06" w:rsidRDefault="00D72B06"/>
        </w:tc>
        <w:tc>
          <w:tcPr>
            <w:tcW w:w="2331" w:type="dxa"/>
            <w:vMerge/>
            <w:vAlign w:val="center"/>
          </w:tcPr>
          <w:p w14:paraId="068AAD17" w14:textId="77777777" w:rsidR="00D72B06" w:rsidRDefault="00D72B06"/>
        </w:tc>
        <w:tc>
          <w:tcPr>
            <w:tcW w:w="3610" w:type="dxa"/>
            <w:tcMar>
              <w:left w:w="108" w:type="dxa"/>
              <w:right w:w="108" w:type="dxa"/>
            </w:tcMar>
          </w:tcPr>
          <w:p w14:paraId="57DB2030" w14:textId="02B685C7" w:rsidR="4644E7B5" w:rsidRDefault="4644E7B5" w:rsidP="4644E7B5">
            <w:pPr>
              <w:spacing w:before="40" w:after="40"/>
              <w:ind w:left="-20" w:right="-20"/>
            </w:pPr>
            <w:r w:rsidRPr="4644E7B5">
              <w:rPr>
                <w:i/>
                <w:iCs/>
                <w:color w:val="000000" w:themeColor="text1"/>
                <w:sz w:val="22"/>
                <w:szCs w:val="22"/>
              </w:rPr>
              <w:t xml:space="preserve">Related definitions: </w:t>
            </w:r>
            <w:r w:rsidRPr="4644E7B5">
              <w:rPr>
                <w:i/>
                <w:iCs/>
                <w:color w:val="0070C0"/>
                <w:sz w:val="22"/>
                <w:szCs w:val="22"/>
              </w:rPr>
              <w:t>harm</w:t>
            </w:r>
            <w:r w:rsidRPr="4644E7B5">
              <w:rPr>
                <w:i/>
                <w:iCs/>
                <w:sz w:val="22"/>
                <w:szCs w:val="22"/>
              </w:rPr>
              <w:t xml:space="preserve">, </w:t>
            </w:r>
            <w:r w:rsidRPr="4644E7B5">
              <w:rPr>
                <w:i/>
                <w:iCs/>
                <w:color w:val="0070C0"/>
                <w:sz w:val="22"/>
                <w:szCs w:val="22"/>
              </w:rPr>
              <w:t>hazard</w:t>
            </w:r>
          </w:p>
        </w:tc>
        <w:tc>
          <w:tcPr>
            <w:tcW w:w="2742" w:type="dxa"/>
            <w:vMerge/>
            <w:vAlign w:val="center"/>
          </w:tcPr>
          <w:p w14:paraId="5A4BFF8A" w14:textId="77777777" w:rsidR="00D72B06" w:rsidRDefault="00D72B06"/>
        </w:tc>
      </w:tr>
      <w:tr w:rsidR="4644E7B5" w14:paraId="03F8A068" w14:textId="77777777" w:rsidTr="00FD23CF">
        <w:trPr>
          <w:trHeight w:val="300"/>
        </w:trPr>
        <w:tc>
          <w:tcPr>
            <w:tcW w:w="395" w:type="dxa"/>
            <w:vMerge w:val="restart"/>
            <w:tcMar>
              <w:left w:w="108" w:type="dxa"/>
              <w:right w:w="108" w:type="dxa"/>
            </w:tcMar>
          </w:tcPr>
          <w:p w14:paraId="343946E1" w14:textId="6A91B2F6" w:rsidR="4644E7B5" w:rsidRDefault="4644E7B5" w:rsidP="4644E7B5">
            <w:pPr>
              <w:spacing w:before="40" w:after="40"/>
              <w:ind w:left="-20" w:right="-20"/>
              <w:rPr>
                <w:i/>
                <w:iCs/>
                <w:sz w:val="22"/>
                <w:szCs w:val="22"/>
                <w:highlight w:val="green"/>
              </w:rPr>
            </w:pPr>
          </w:p>
        </w:tc>
        <w:tc>
          <w:tcPr>
            <w:tcW w:w="2331" w:type="dxa"/>
            <w:vMerge w:val="restart"/>
            <w:tcMar>
              <w:left w:w="108" w:type="dxa"/>
              <w:right w:w="108" w:type="dxa"/>
            </w:tcMar>
          </w:tcPr>
          <w:p w14:paraId="4F77E9BF" w14:textId="321D0201" w:rsidR="4644E7B5" w:rsidRDefault="4644E7B5" w:rsidP="4644E7B5">
            <w:pPr>
              <w:spacing w:before="40" w:after="40"/>
              <w:ind w:left="-20" w:right="-20"/>
            </w:pPr>
            <w:r w:rsidRPr="4644E7B5">
              <w:rPr>
                <w:i/>
                <w:iCs/>
                <w:sz w:val="22"/>
                <w:szCs w:val="22"/>
              </w:rPr>
              <w:t>Risk assessment</w:t>
            </w:r>
          </w:p>
        </w:tc>
        <w:tc>
          <w:tcPr>
            <w:tcW w:w="3610" w:type="dxa"/>
            <w:tcMar>
              <w:left w:w="108" w:type="dxa"/>
              <w:right w:w="108" w:type="dxa"/>
            </w:tcMar>
          </w:tcPr>
          <w:p w14:paraId="243FB547" w14:textId="545649DD" w:rsidR="4644E7B5" w:rsidRDefault="4644E7B5" w:rsidP="4644E7B5">
            <w:pPr>
              <w:spacing w:before="40" w:after="40"/>
              <w:ind w:left="-20" w:right="-20"/>
            </w:pPr>
            <w:r w:rsidRPr="4644E7B5">
              <w:rPr>
                <w:i/>
                <w:iCs/>
                <w:sz w:val="22"/>
                <w:szCs w:val="22"/>
              </w:rPr>
              <w:t xml:space="preserve">A process that evaluates the potential </w:t>
            </w:r>
            <w:r w:rsidRPr="4644E7B5">
              <w:rPr>
                <w:i/>
                <w:iCs/>
                <w:color w:val="0070C0"/>
                <w:sz w:val="22"/>
                <w:szCs w:val="22"/>
              </w:rPr>
              <w:t>risks</w:t>
            </w:r>
            <w:r w:rsidRPr="4644E7B5">
              <w:rPr>
                <w:i/>
                <w:iCs/>
                <w:sz w:val="22"/>
                <w:szCs w:val="22"/>
              </w:rPr>
              <w:t xml:space="preserve"> associated with certain </w:t>
            </w:r>
            <w:r w:rsidRPr="4644E7B5">
              <w:rPr>
                <w:i/>
                <w:iCs/>
                <w:color w:val="0070C0"/>
                <w:sz w:val="22"/>
                <w:szCs w:val="22"/>
              </w:rPr>
              <w:t>hazards</w:t>
            </w:r>
            <w:r w:rsidRPr="4644E7B5">
              <w:rPr>
                <w:i/>
                <w:iCs/>
                <w:sz w:val="22"/>
                <w:szCs w:val="22"/>
              </w:rPr>
              <w:t xml:space="preserve">. It involves four steps: </w:t>
            </w:r>
            <w:r w:rsidRPr="4644E7B5">
              <w:rPr>
                <w:i/>
                <w:iCs/>
                <w:color w:val="0070C0"/>
                <w:sz w:val="22"/>
                <w:szCs w:val="22"/>
              </w:rPr>
              <w:t>hazard identification</w:t>
            </w:r>
            <w:r w:rsidRPr="4644E7B5">
              <w:rPr>
                <w:i/>
                <w:iCs/>
                <w:sz w:val="22"/>
                <w:szCs w:val="22"/>
              </w:rPr>
              <w:t xml:space="preserve">, hazard characterisation, exposure assessment, and </w:t>
            </w:r>
            <w:r w:rsidRPr="4644E7B5">
              <w:rPr>
                <w:i/>
                <w:iCs/>
                <w:color w:val="0070C0"/>
                <w:sz w:val="22"/>
                <w:szCs w:val="22"/>
              </w:rPr>
              <w:t>risk characterisation.</w:t>
            </w:r>
          </w:p>
        </w:tc>
        <w:tc>
          <w:tcPr>
            <w:tcW w:w="2742" w:type="dxa"/>
            <w:vMerge w:val="restart"/>
            <w:tcMar>
              <w:left w:w="108" w:type="dxa"/>
              <w:right w:w="108" w:type="dxa"/>
            </w:tcMar>
          </w:tcPr>
          <w:p w14:paraId="1EC40E47" w14:textId="4EEFA8B9" w:rsidR="4644E7B5" w:rsidRDefault="00457184" w:rsidP="4644E7B5">
            <w:pPr>
              <w:spacing w:before="40" w:after="40"/>
              <w:ind w:left="-20" w:right="-20"/>
            </w:pPr>
            <w:r w:rsidRPr="00802120">
              <w:rPr>
                <w:sz w:val="22"/>
                <w:szCs w:val="22"/>
              </w:rPr>
              <w:t>EFSA, 2016</w:t>
            </w:r>
            <w:r w:rsidR="005E734F">
              <w:rPr>
                <w:sz w:val="22"/>
                <w:szCs w:val="22"/>
              </w:rPr>
              <w:t>a</w:t>
            </w:r>
            <w:r w:rsidRPr="00802120">
              <w:rPr>
                <w:sz w:val="22"/>
                <w:szCs w:val="22"/>
              </w:rPr>
              <w:t xml:space="preserve">; </w:t>
            </w:r>
            <w:r w:rsidR="00192075" w:rsidRPr="00802120">
              <w:rPr>
                <w:sz w:val="22"/>
                <w:szCs w:val="22"/>
              </w:rPr>
              <w:t>World Health Organisation</w:t>
            </w:r>
            <w:r w:rsidR="4644E7B5" w:rsidRPr="00802120">
              <w:rPr>
                <w:sz w:val="22"/>
                <w:szCs w:val="22"/>
              </w:rPr>
              <w:t xml:space="preserve"> 2021</w:t>
            </w:r>
            <w:r w:rsidR="00831FDE" w:rsidRPr="00802120">
              <w:rPr>
                <w:sz w:val="22"/>
                <w:szCs w:val="22"/>
              </w:rPr>
              <w:t>b</w:t>
            </w:r>
          </w:p>
          <w:p w14:paraId="7280CE19" w14:textId="703885DE" w:rsidR="4644E7B5" w:rsidRDefault="4644E7B5" w:rsidP="4644E7B5">
            <w:pPr>
              <w:spacing w:before="40" w:after="40"/>
              <w:ind w:left="-20" w:right="-20"/>
            </w:pPr>
            <w:r w:rsidRPr="4644E7B5">
              <w:rPr>
                <w:sz w:val="22"/>
                <w:szCs w:val="22"/>
              </w:rPr>
              <w:t xml:space="preserve"> </w:t>
            </w:r>
          </w:p>
        </w:tc>
      </w:tr>
      <w:tr w:rsidR="4644E7B5" w14:paraId="782D1CBA" w14:textId="77777777" w:rsidTr="00FD23CF">
        <w:trPr>
          <w:trHeight w:val="300"/>
        </w:trPr>
        <w:tc>
          <w:tcPr>
            <w:tcW w:w="395" w:type="dxa"/>
            <w:vMerge/>
            <w:vAlign w:val="center"/>
          </w:tcPr>
          <w:p w14:paraId="42A8D0F5" w14:textId="77777777" w:rsidR="00D72B06" w:rsidRDefault="00D72B06"/>
        </w:tc>
        <w:tc>
          <w:tcPr>
            <w:tcW w:w="2331" w:type="dxa"/>
            <w:vMerge/>
            <w:vAlign w:val="center"/>
          </w:tcPr>
          <w:p w14:paraId="0FDC9E6F" w14:textId="77777777" w:rsidR="00D72B06" w:rsidRDefault="00D72B06"/>
        </w:tc>
        <w:tc>
          <w:tcPr>
            <w:tcW w:w="3610" w:type="dxa"/>
            <w:tcMar>
              <w:left w:w="108" w:type="dxa"/>
              <w:right w:w="108" w:type="dxa"/>
            </w:tcMar>
          </w:tcPr>
          <w:p w14:paraId="27AA0FF1" w14:textId="006F871F" w:rsidR="4644E7B5" w:rsidRDefault="4644E7B5" w:rsidP="4644E7B5">
            <w:pPr>
              <w:spacing w:before="40" w:after="40"/>
              <w:ind w:left="-20" w:right="-20"/>
            </w:pPr>
            <w:r w:rsidRPr="4644E7B5">
              <w:rPr>
                <w:i/>
                <w:iCs/>
                <w:color w:val="000000" w:themeColor="text1"/>
                <w:sz w:val="22"/>
                <w:szCs w:val="22"/>
              </w:rPr>
              <w:t xml:space="preserve">Related definitions: </w:t>
            </w:r>
            <w:r w:rsidRPr="4644E7B5">
              <w:rPr>
                <w:i/>
                <w:iCs/>
                <w:color w:val="0070C0"/>
                <w:sz w:val="22"/>
                <w:szCs w:val="22"/>
              </w:rPr>
              <w:t>hazard</w:t>
            </w:r>
            <w:r w:rsidRPr="4644E7B5">
              <w:rPr>
                <w:i/>
                <w:iCs/>
                <w:sz w:val="22"/>
                <w:szCs w:val="22"/>
              </w:rPr>
              <w:t>,</w:t>
            </w:r>
            <w:r w:rsidRPr="4644E7B5">
              <w:rPr>
                <w:i/>
                <w:iCs/>
              </w:rPr>
              <w:t xml:space="preserve"> </w:t>
            </w:r>
            <w:r w:rsidRPr="4644E7B5">
              <w:rPr>
                <w:i/>
                <w:iCs/>
                <w:color w:val="0070C0"/>
                <w:sz w:val="22"/>
                <w:szCs w:val="22"/>
              </w:rPr>
              <w:t>hazard identification</w:t>
            </w:r>
            <w:r w:rsidRPr="4644E7B5">
              <w:rPr>
                <w:i/>
                <w:iCs/>
                <w:sz w:val="22"/>
                <w:szCs w:val="22"/>
              </w:rPr>
              <w:t xml:space="preserve">, </w:t>
            </w:r>
            <w:r w:rsidRPr="4644E7B5">
              <w:rPr>
                <w:i/>
                <w:iCs/>
                <w:color w:val="0070C0"/>
                <w:sz w:val="22"/>
                <w:szCs w:val="22"/>
              </w:rPr>
              <w:t>risk characterisation</w:t>
            </w:r>
          </w:p>
        </w:tc>
        <w:tc>
          <w:tcPr>
            <w:tcW w:w="2742" w:type="dxa"/>
            <w:vMerge/>
            <w:vAlign w:val="center"/>
          </w:tcPr>
          <w:p w14:paraId="5C050AA9" w14:textId="77777777" w:rsidR="00D72B06" w:rsidRDefault="00D72B06"/>
        </w:tc>
      </w:tr>
      <w:tr w:rsidR="4644E7B5" w14:paraId="35F7B59C" w14:textId="77777777" w:rsidTr="00FD23CF">
        <w:trPr>
          <w:trHeight w:val="300"/>
        </w:trPr>
        <w:tc>
          <w:tcPr>
            <w:tcW w:w="395" w:type="dxa"/>
            <w:vMerge w:val="restart"/>
            <w:tcMar>
              <w:left w:w="108" w:type="dxa"/>
              <w:right w:w="108" w:type="dxa"/>
            </w:tcMar>
          </w:tcPr>
          <w:p w14:paraId="5F0B81FC" w14:textId="440D32E9" w:rsidR="4644E7B5" w:rsidRDefault="4644E7B5"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0810EC14" w14:textId="67225E2A" w:rsidR="4644E7B5" w:rsidRDefault="4644E7B5" w:rsidP="4644E7B5">
            <w:pPr>
              <w:spacing w:before="40" w:after="40"/>
              <w:ind w:left="-20" w:right="-20"/>
            </w:pPr>
            <w:r w:rsidRPr="4644E7B5">
              <w:rPr>
                <w:i/>
                <w:iCs/>
                <w:sz w:val="22"/>
                <w:szCs w:val="22"/>
              </w:rPr>
              <w:t>Risk assessor</w:t>
            </w:r>
          </w:p>
        </w:tc>
        <w:tc>
          <w:tcPr>
            <w:tcW w:w="3610" w:type="dxa"/>
            <w:tcMar>
              <w:left w:w="108" w:type="dxa"/>
              <w:right w:w="108" w:type="dxa"/>
            </w:tcMar>
          </w:tcPr>
          <w:p w14:paraId="4DA65B5E" w14:textId="62CCBEBE" w:rsidR="4644E7B5" w:rsidRDefault="4644E7B5" w:rsidP="4644E7B5">
            <w:pPr>
              <w:spacing w:before="40" w:after="40"/>
              <w:ind w:left="-20" w:right="-20"/>
            </w:pPr>
            <w:r w:rsidRPr="4644E7B5">
              <w:rPr>
                <w:i/>
                <w:iCs/>
                <w:sz w:val="22"/>
                <w:szCs w:val="22"/>
              </w:rPr>
              <w:t xml:space="preserve">The entity that conducts the </w:t>
            </w:r>
            <w:r w:rsidRPr="4644E7B5">
              <w:rPr>
                <w:i/>
                <w:iCs/>
                <w:color w:val="0070C0"/>
                <w:sz w:val="22"/>
                <w:szCs w:val="22"/>
              </w:rPr>
              <w:t xml:space="preserve">risk assessment </w:t>
            </w:r>
            <w:r w:rsidRPr="4644E7B5">
              <w:rPr>
                <w:i/>
                <w:iCs/>
                <w:sz w:val="22"/>
                <w:szCs w:val="22"/>
              </w:rPr>
              <w:t xml:space="preserve">e.g., for an </w:t>
            </w:r>
            <w:r w:rsidRPr="008E3066">
              <w:rPr>
                <w:i/>
                <w:iCs/>
                <w:color w:val="000000" w:themeColor="text1"/>
                <w:sz w:val="22"/>
                <w:szCs w:val="22"/>
              </w:rPr>
              <w:t xml:space="preserve">EGD-LMO </w:t>
            </w:r>
            <w:r w:rsidRPr="4644E7B5">
              <w:rPr>
                <w:i/>
                <w:iCs/>
                <w:sz w:val="22"/>
                <w:szCs w:val="22"/>
              </w:rPr>
              <w:t xml:space="preserve">regulatory application, a </w:t>
            </w:r>
            <w:r w:rsidRPr="4644E7B5">
              <w:rPr>
                <w:i/>
                <w:iCs/>
                <w:color w:val="0070C0"/>
                <w:sz w:val="22"/>
                <w:szCs w:val="22"/>
              </w:rPr>
              <w:t xml:space="preserve">risk assessor </w:t>
            </w:r>
            <w:r w:rsidRPr="4644E7B5">
              <w:rPr>
                <w:i/>
                <w:iCs/>
                <w:sz w:val="22"/>
                <w:szCs w:val="22"/>
              </w:rPr>
              <w:t xml:space="preserve">would review the scientific data and information submitted by the </w:t>
            </w:r>
            <w:r w:rsidRPr="4644E7B5">
              <w:rPr>
                <w:i/>
                <w:iCs/>
                <w:color w:val="0070C0"/>
                <w:sz w:val="22"/>
                <w:szCs w:val="22"/>
              </w:rPr>
              <w:t xml:space="preserve">applicant </w:t>
            </w:r>
            <w:r w:rsidRPr="4644E7B5">
              <w:rPr>
                <w:i/>
                <w:iCs/>
                <w:sz w:val="22"/>
                <w:szCs w:val="22"/>
              </w:rPr>
              <w:lastRenderedPageBreak/>
              <w:t xml:space="preserve">to evaluate the </w:t>
            </w:r>
            <w:r w:rsidRPr="4644E7B5">
              <w:rPr>
                <w:i/>
                <w:iCs/>
                <w:color w:val="0070C0"/>
                <w:sz w:val="22"/>
                <w:szCs w:val="22"/>
              </w:rPr>
              <w:t>risks</w:t>
            </w:r>
            <w:r w:rsidRPr="4644E7B5">
              <w:rPr>
                <w:i/>
                <w:iCs/>
                <w:sz w:val="22"/>
                <w:szCs w:val="22"/>
              </w:rPr>
              <w:t xml:space="preserve"> associated with the proposed regulated activity and may make recommendations for </w:t>
            </w:r>
            <w:r w:rsidRPr="4644E7B5">
              <w:rPr>
                <w:i/>
                <w:iCs/>
                <w:color w:val="0070C0"/>
                <w:sz w:val="22"/>
                <w:szCs w:val="22"/>
              </w:rPr>
              <w:t>risk management</w:t>
            </w:r>
            <w:r w:rsidRPr="4644E7B5">
              <w:rPr>
                <w:i/>
                <w:iCs/>
                <w:sz w:val="22"/>
                <w:szCs w:val="22"/>
              </w:rPr>
              <w:t>.</w:t>
            </w:r>
          </w:p>
        </w:tc>
        <w:tc>
          <w:tcPr>
            <w:tcW w:w="2742" w:type="dxa"/>
            <w:vMerge w:val="restart"/>
            <w:tcMar>
              <w:left w:w="108" w:type="dxa"/>
              <w:right w:w="108" w:type="dxa"/>
            </w:tcMar>
          </w:tcPr>
          <w:p w14:paraId="6472F480" w14:textId="7CFD418C" w:rsidR="4644E7B5" w:rsidRDefault="4644E7B5" w:rsidP="4644E7B5">
            <w:pPr>
              <w:spacing w:before="40" w:after="40"/>
              <w:ind w:left="-20" w:right="-20"/>
            </w:pPr>
            <w:r w:rsidRPr="4644E7B5">
              <w:rPr>
                <w:sz w:val="22"/>
                <w:szCs w:val="22"/>
              </w:rPr>
              <w:lastRenderedPageBreak/>
              <w:t>N/A</w:t>
            </w:r>
          </w:p>
        </w:tc>
      </w:tr>
      <w:tr w:rsidR="4644E7B5" w14:paraId="4127FF1A" w14:textId="77777777" w:rsidTr="00FD23CF">
        <w:trPr>
          <w:trHeight w:val="300"/>
        </w:trPr>
        <w:tc>
          <w:tcPr>
            <w:tcW w:w="395" w:type="dxa"/>
            <w:vMerge/>
            <w:vAlign w:val="center"/>
          </w:tcPr>
          <w:p w14:paraId="0933419D" w14:textId="77777777" w:rsidR="00D72B06" w:rsidRDefault="00D72B06"/>
        </w:tc>
        <w:tc>
          <w:tcPr>
            <w:tcW w:w="2331" w:type="dxa"/>
            <w:vMerge/>
            <w:vAlign w:val="center"/>
          </w:tcPr>
          <w:p w14:paraId="52DA7ECF" w14:textId="77777777" w:rsidR="00D72B06" w:rsidRDefault="00D72B06"/>
        </w:tc>
        <w:tc>
          <w:tcPr>
            <w:tcW w:w="3610" w:type="dxa"/>
            <w:tcMar>
              <w:left w:w="108" w:type="dxa"/>
              <w:right w:w="108" w:type="dxa"/>
            </w:tcMar>
          </w:tcPr>
          <w:p w14:paraId="457A9635" w14:textId="5C28260C" w:rsidR="4644E7B5" w:rsidRDefault="4644E7B5" w:rsidP="4644E7B5">
            <w:pPr>
              <w:spacing w:before="40" w:after="40"/>
              <w:ind w:left="-20" w:right="-20"/>
            </w:pPr>
            <w:r w:rsidRPr="4644E7B5">
              <w:rPr>
                <w:i/>
                <w:iCs/>
                <w:color w:val="000000" w:themeColor="text1"/>
                <w:sz w:val="22"/>
                <w:szCs w:val="22"/>
              </w:rPr>
              <w:t xml:space="preserve">Related definitions: </w:t>
            </w:r>
            <w:r w:rsidRPr="4644E7B5">
              <w:rPr>
                <w:i/>
                <w:iCs/>
                <w:color w:val="0070C0"/>
                <w:sz w:val="22"/>
                <w:szCs w:val="22"/>
              </w:rPr>
              <w:t>applicant</w:t>
            </w:r>
            <w:r w:rsidRPr="4644E7B5">
              <w:rPr>
                <w:i/>
                <w:iCs/>
                <w:color w:val="000000" w:themeColor="text1"/>
                <w:sz w:val="22"/>
                <w:szCs w:val="22"/>
              </w:rPr>
              <w:t xml:space="preserve">, </w:t>
            </w:r>
            <w:r w:rsidRPr="4644E7B5">
              <w:rPr>
                <w:i/>
                <w:iCs/>
                <w:color w:val="0070C0"/>
                <w:sz w:val="22"/>
                <w:szCs w:val="22"/>
              </w:rPr>
              <w:t>risk</w:t>
            </w:r>
            <w:r w:rsidRPr="4644E7B5">
              <w:rPr>
                <w:i/>
                <w:iCs/>
                <w:sz w:val="22"/>
                <w:szCs w:val="22"/>
              </w:rPr>
              <w:t xml:space="preserve">, </w:t>
            </w:r>
            <w:r w:rsidRPr="4644E7B5">
              <w:rPr>
                <w:i/>
                <w:iCs/>
                <w:color w:val="0070C0"/>
                <w:sz w:val="22"/>
                <w:szCs w:val="22"/>
              </w:rPr>
              <w:t>risk assessment</w:t>
            </w:r>
            <w:r w:rsidRPr="4644E7B5">
              <w:rPr>
                <w:i/>
                <w:iCs/>
                <w:sz w:val="22"/>
                <w:szCs w:val="22"/>
              </w:rPr>
              <w:t>,</w:t>
            </w:r>
            <w:r w:rsidRPr="4644E7B5">
              <w:rPr>
                <w:i/>
                <w:iCs/>
                <w:color w:val="0070C0"/>
                <w:sz w:val="22"/>
                <w:szCs w:val="22"/>
              </w:rPr>
              <w:t xml:space="preserve"> risk management</w:t>
            </w:r>
          </w:p>
        </w:tc>
        <w:tc>
          <w:tcPr>
            <w:tcW w:w="2742" w:type="dxa"/>
            <w:vMerge/>
            <w:vAlign w:val="center"/>
          </w:tcPr>
          <w:p w14:paraId="191CBE10" w14:textId="77777777" w:rsidR="00D72B06" w:rsidRDefault="00D72B06"/>
        </w:tc>
      </w:tr>
      <w:tr w:rsidR="4644E7B5" w14:paraId="770D3407" w14:textId="77777777" w:rsidTr="00FD23CF">
        <w:trPr>
          <w:trHeight w:val="300"/>
        </w:trPr>
        <w:tc>
          <w:tcPr>
            <w:tcW w:w="395" w:type="dxa"/>
            <w:vMerge w:val="restart"/>
            <w:tcMar>
              <w:left w:w="108" w:type="dxa"/>
              <w:right w:w="108" w:type="dxa"/>
            </w:tcMar>
          </w:tcPr>
          <w:p w14:paraId="714D8F61" w14:textId="78F2FAB3" w:rsidR="4644E7B5" w:rsidRDefault="4644E7B5"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3CA050FF" w14:textId="12D14D97" w:rsidR="4644E7B5" w:rsidRDefault="4644E7B5" w:rsidP="4644E7B5">
            <w:pPr>
              <w:spacing w:before="40" w:after="40"/>
              <w:ind w:left="-20" w:right="-20"/>
            </w:pPr>
            <w:r w:rsidRPr="4644E7B5">
              <w:rPr>
                <w:i/>
                <w:iCs/>
                <w:sz w:val="22"/>
                <w:szCs w:val="22"/>
              </w:rPr>
              <w:t>Risk characterization</w:t>
            </w:r>
          </w:p>
        </w:tc>
        <w:tc>
          <w:tcPr>
            <w:tcW w:w="3610" w:type="dxa"/>
            <w:tcMar>
              <w:left w:w="108" w:type="dxa"/>
              <w:right w:w="108" w:type="dxa"/>
            </w:tcMar>
          </w:tcPr>
          <w:p w14:paraId="27FACE07" w14:textId="3A2A1B29" w:rsidR="4644E7B5" w:rsidRDefault="4644E7B5" w:rsidP="4644E7B5">
            <w:pPr>
              <w:spacing w:before="40" w:after="40"/>
              <w:ind w:left="-20" w:right="-20"/>
            </w:pPr>
            <w:r w:rsidRPr="4644E7B5">
              <w:rPr>
                <w:i/>
                <w:iCs/>
                <w:color w:val="000000" w:themeColor="text1"/>
                <w:sz w:val="22"/>
                <w:szCs w:val="22"/>
              </w:rPr>
              <w:t xml:space="preserve">The final step of the </w:t>
            </w:r>
            <w:r w:rsidRPr="4644E7B5">
              <w:rPr>
                <w:i/>
                <w:iCs/>
                <w:color w:val="0070C0"/>
                <w:sz w:val="22"/>
                <w:szCs w:val="22"/>
              </w:rPr>
              <w:t xml:space="preserve">risk assessment </w:t>
            </w:r>
            <w:r w:rsidRPr="4644E7B5">
              <w:rPr>
                <w:i/>
                <w:iCs/>
                <w:sz w:val="22"/>
                <w:szCs w:val="22"/>
              </w:rPr>
              <w:t xml:space="preserve">process, </w:t>
            </w:r>
            <w:r w:rsidRPr="4644E7B5">
              <w:rPr>
                <w:i/>
                <w:iCs/>
                <w:color w:val="000000" w:themeColor="text1"/>
                <w:sz w:val="22"/>
                <w:szCs w:val="22"/>
              </w:rPr>
              <w:t xml:space="preserve">with estimation of the overall </w:t>
            </w:r>
            <w:r w:rsidRPr="4644E7B5">
              <w:rPr>
                <w:i/>
                <w:iCs/>
                <w:color w:val="0070C0"/>
                <w:sz w:val="22"/>
                <w:szCs w:val="22"/>
              </w:rPr>
              <w:t>risk</w:t>
            </w:r>
            <w:r w:rsidRPr="4644E7B5">
              <w:rPr>
                <w:i/>
                <w:iCs/>
                <w:color w:val="000000" w:themeColor="text1"/>
                <w:sz w:val="22"/>
                <w:szCs w:val="22"/>
              </w:rPr>
              <w:t xml:space="preserve"> posed to </w:t>
            </w:r>
            <w:r w:rsidRPr="4644E7B5">
              <w:rPr>
                <w:i/>
                <w:iCs/>
                <w:color w:val="0070C0"/>
                <w:sz w:val="22"/>
                <w:szCs w:val="22"/>
              </w:rPr>
              <w:t xml:space="preserve">protection goals </w:t>
            </w:r>
            <w:r w:rsidRPr="4644E7B5">
              <w:rPr>
                <w:i/>
                <w:iCs/>
                <w:color w:val="000000" w:themeColor="text1"/>
                <w:sz w:val="22"/>
                <w:szCs w:val="22"/>
              </w:rPr>
              <w:t>based on the likelihood and consequences of adverse effects being realised.</w:t>
            </w:r>
          </w:p>
        </w:tc>
        <w:tc>
          <w:tcPr>
            <w:tcW w:w="2742" w:type="dxa"/>
            <w:vMerge w:val="restart"/>
            <w:tcMar>
              <w:left w:w="108" w:type="dxa"/>
              <w:right w:w="108" w:type="dxa"/>
            </w:tcMar>
          </w:tcPr>
          <w:p w14:paraId="59F145B2" w14:textId="36631534" w:rsidR="4644E7B5" w:rsidRDefault="4644E7B5" w:rsidP="4644E7B5">
            <w:pPr>
              <w:spacing w:before="40" w:after="40"/>
              <w:ind w:left="-20" w:right="-20"/>
            </w:pPr>
            <w:r w:rsidRPr="4644E7B5">
              <w:rPr>
                <w:sz w:val="22"/>
                <w:szCs w:val="22"/>
              </w:rPr>
              <w:t xml:space="preserve">Adapted from: </w:t>
            </w:r>
            <w:r w:rsidR="00192075" w:rsidRPr="00457184">
              <w:rPr>
                <w:color w:val="000000" w:themeColor="text1"/>
                <w:sz w:val="22"/>
                <w:szCs w:val="22"/>
              </w:rPr>
              <w:t>World Health Organisation</w:t>
            </w:r>
            <w:r w:rsidR="00BE7765" w:rsidRPr="00457184">
              <w:rPr>
                <w:color w:val="000000" w:themeColor="text1"/>
                <w:sz w:val="22"/>
                <w:szCs w:val="22"/>
              </w:rPr>
              <w:t>,</w:t>
            </w:r>
            <w:r w:rsidRPr="00457184">
              <w:rPr>
                <w:color w:val="000000" w:themeColor="text1"/>
                <w:sz w:val="22"/>
                <w:szCs w:val="22"/>
              </w:rPr>
              <w:t xml:space="preserve"> 2021</w:t>
            </w:r>
            <w:r w:rsidR="005E734F">
              <w:rPr>
                <w:color w:val="000000" w:themeColor="text1"/>
                <w:sz w:val="22"/>
                <w:szCs w:val="22"/>
              </w:rPr>
              <w:t>b</w:t>
            </w:r>
          </w:p>
        </w:tc>
      </w:tr>
      <w:tr w:rsidR="4644E7B5" w14:paraId="32FAC70A" w14:textId="77777777" w:rsidTr="00FD23CF">
        <w:trPr>
          <w:trHeight w:val="300"/>
        </w:trPr>
        <w:tc>
          <w:tcPr>
            <w:tcW w:w="395" w:type="dxa"/>
            <w:vMerge/>
            <w:vAlign w:val="center"/>
          </w:tcPr>
          <w:p w14:paraId="4A6143B8" w14:textId="77777777" w:rsidR="00D72B06" w:rsidRDefault="00D72B06"/>
        </w:tc>
        <w:tc>
          <w:tcPr>
            <w:tcW w:w="2331" w:type="dxa"/>
            <w:vMerge/>
            <w:vAlign w:val="center"/>
          </w:tcPr>
          <w:p w14:paraId="4DBFCC47" w14:textId="77777777" w:rsidR="00D72B06" w:rsidRDefault="00D72B06"/>
        </w:tc>
        <w:tc>
          <w:tcPr>
            <w:tcW w:w="3610" w:type="dxa"/>
            <w:tcMar>
              <w:left w:w="108" w:type="dxa"/>
              <w:right w:w="108" w:type="dxa"/>
            </w:tcMar>
          </w:tcPr>
          <w:p w14:paraId="171EEE2B" w14:textId="73861D49" w:rsidR="4644E7B5" w:rsidRDefault="4644E7B5" w:rsidP="4644E7B5">
            <w:pPr>
              <w:spacing w:before="40" w:after="40"/>
              <w:ind w:left="-20" w:right="-20"/>
            </w:pPr>
            <w:r w:rsidRPr="4644E7B5">
              <w:rPr>
                <w:i/>
                <w:iCs/>
                <w:color w:val="000000" w:themeColor="text1"/>
                <w:sz w:val="22"/>
                <w:szCs w:val="22"/>
              </w:rPr>
              <w:t xml:space="preserve">Related definitions: </w:t>
            </w:r>
            <w:r w:rsidRPr="4644E7B5">
              <w:rPr>
                <w:i/>
                <w:iCs/>
                <w:color w:val="0070C0"/>
                <w:sz w:val="22"/>
                <w:szCs w:val="22"/>
              </w:rPr>
              <w:t>protection goals</w:t>
            </w:r>
            <w:r w:rsidRPr="4644E7B5">
              <w:rPr>
                <w:i/>
                <w:iCs/>
                <w:sz w:val="22"/>
                <w:szCs w:val="22"/>
              </w:rPr>
              <w:t>,</w:t>
            </w:r>
            <w:r w:rsidRPr="4644E7B5">
              <w:rPr>
                <w:i/>
                <w:iCs/>
                <w:color w:val="0070C0"/>
                <w:sz w:val="22"/>
                <w:szCs w:val="22"/>
              </w:rPr>
              <w:t xml:space="preserve"> risk</w:t>
            </w:r>
            <w:r w:rsidRPr="4644E7B5">
              <w:rPr>
                <w:i/>
                <w:iCs/>
                <w:sz w:val="22"/>
                <w:szCs w:val="22"/>
              </w:rPr>
              <w:t xml:space="preserve">, </w:t>
            </w:r>
            <w:r w:rsidRPr="4644E7B5">
              <w:rPr>
                <w:i/>
                <w:iCs/>
                <w:color w:val="0070C0"/>
                <w:sz w:val="22"/>
                <w:szCs w:val="22"/>
              </w:rPr>
              <w:t>risk assessment</w:t>
            </w:r>
          </w:p>
        </w:tc>
        <w:tc>
          <w:tcPr>
            <w:tcW w:w="2742" w:type="dxa"/>
            <w:vMerge/>
            <w:vAlign w:val="center"/>
          </w:tcPr>
          <w:p w14:paraId="602055EC" w14:textId="77777777" w:rsidR="00D72B06" w:rsidRDefault="00D72B06"/>
        </w:tc>
      </w:tr>
      <w:tr w:rsidR="4644E7B5" w14:paraId="12C9A4AF" w14:textId="77777777" w:rsidTr="00FD23CF">
        <w:trPr>
          <w:trHeight w:val="300"/>
        </w:trPr>
        <w:tc>
          <w:tcPr>
            <w:tcW w:w="395" w:type="dxa"/>
            <w:vMerge w:val="restart"/>
            <w:tcMar>
              <w:left w:w="108" w:type="dxa"/>
              <w:right w:w="108" w:type="dxa"/>
            </w:tcMar>
          </w:tcPr>
          <w:p w14:paraId="5B085157" w14:textId="20E4E9E2" w:rsidR="4644E7B5" w:rsidRDefault="4644E7B5"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0FD403C3" w14:textId="2B01988B" w:rsidR="4644E7B5" w:rsidRDefault="4644E7B5" w:rsidP="4644E7B5">
            <w:pPr>
              <w:spacing w:before="40" w:after="40"/>
              <w:ind w:left="-20" w:right="-20"/>
            </w:pPr>
            <w:r w:rsidRPr="4644E7B5">
              <w:rPr>
                <w:i/>
                <w:iCs/>
                <w:sz w:val="22"/>
                <w:szCs w:val="22"/>
              </w:rPr>
              <w:t>Risk hypothesis</w:t>
            </w:r>
          </w:p>
        </w:tc>
        <w:tc>
          <w:tcPr>
            <w:tcW w:w="3610" w:type="dxa"/>
            <w:tcMar>
              <w:left w:w="108" w:type="dxa"/>
              <w:right w:w="108" w:type="dxa"/>
            </w:tcMar>
          </w:tcPr>
          <w:p w14:paraId="469E8358" w14:textId="62500E42" w:rsidR="4644E7B5" w:rsidRDefault="4644E7B5" w:rsidP="4644E7B5">
            <w:pPr>
              <w:spacing w:before="40" w:after="40"/>
              <w:ind w:left="-20" w:right="-20"/>
            </w:pPr>
            <w:r w:rsidRPr="4644E7B5">
              <w:rPr>
                <w:i/>
                <w:iCs/>
                <w:color w:val="000000" w:themeColor="text1"/>
                <w:sz w:val="22"/>
                <w:szCs w:val="22"/>
              </w:rPr>
              <w:t xml:space="preserve">For each postulated </w:t>
            </w:r>
            <w:r w:rsidRPr="4644E7B5">
              <w:rPr>
                <w:i/>
                <w:iCs/>
                <w:color w:val="0070C0"/>
                <w:sz w:val="22"/>
                <w:szCs w:val="22"/>
              </w:rPr>
              <w:t xml:space="preserve">pathway to </w:t>
            </w:r>
            <w:proofErr w:type="gramStart"/>
            <w:r w:rsidRPr="4644E7B5">
              <w:rPr>
                <w:i/>
                <w:iCs/>
                <w:color w:val="0070C0"/>
                <w:sz w:val="22"/>
                <w:szCs w:val="22"/>
              </w:rPr>
              <w:t>harm</w:t>
            </w:r>
            <w:r w:rsidRPr="4644E7B5">
              <w:rPr>
                <w:i/>
                <w:iCs/>
                <w:color w:val="000000" w:themeColor="text1"/>
                <w:sz w:val="22"/>
                <w:szCs w:val="22"/>
              </w:rPr>
              <w:t>,  corresponding</w:t>
            </w:r>
            <w:proofErr w:type="gramEnd"/>
            <w:r w:rsidRPr="4644E7B5">
              <w:rPr>
                <w:i/>
                <w:iCs/>
                <w:color w:val="000000" w:themeColor="text1"/>
                <w:sz w:val="22"/>
                <w:szCs w:val="22"/>
              </w:rPr>
              <w:t xml:space="preserve"> </w:t>
            </w:r>
            <w:r w:rsidRPr="4644E7B5">
              <w:rPr>
                <w:i/>
                <w:iCs/>
                <w:color w:val="0070C0"/>
                <w:sz w:val="22"/>
                <w:szCs w:val="22"/>
              </w:rPr>
              <w:t xml:space="preserve">risk hypotheses </w:t>
            </w:r>
            <w:r w:rsidRPr="00293B80">
              <w:rPr>
                <w:i/>
                <w:iCs/>
                <w:color w:val="000000" w:themeColor="text1"/>
                <w:sz w:val="22"/>
                <w:szCs w:val="22"/>
              </w:rPr>
              <w:t>are</w:t>
            </w:r>
            <w:r w:rsidRPr="4644E7B5">
              <w:rPr>
                <w:i/>
                <w:iCs/>
                <w:color w:val="000000" w:themeColor="text1"/>
                <w:sz w:val="22"/>
                <w:szCs w:val="22"/>
              </w:rPr>
              <w:t xml:space="preserve"> formulated that will enable the </w:t>
            </w:r>
            <w:r w:rsidRPr="4644E7B5">
              <w:rPr>
                <w:i/>
                <w:iCs/>
                <w:color w:val="0070C0"/>
                <w:sz w:val="22"/>
                <w:szCs w:val="22"/>
              </w:rPr>
              <w:t xml:space="preserve">risk assessor </w:t>
            </w:r>
            <w:r w:rsidRPr="4644E7B5">
              <w:rPr>
                <w:i/>
                <w:iCs/>
                <w:color w:val="000000" w:themeColor="text1"/>
                <w:sz w:val="22"/>
                <w:szCs w:val="22"/>
              </w:rPr>
              <w:t>to determine whether the pathway is likely to occur.</w:t>
            </w:r>
          </w:p>
        </w:tc>
        <w:tc>
          <w:tcPr>
            <w:tcW w:w="2742" w:type="dxa"/>
            <w:vMerge w:val="restart"/>
            <w:tcMar>
              <w:left w:w="108" w:type="dxa"/>
              <w:right w:w="108" w:type="dxa"/>
            </w:tcMar>
          </w:tcPr>
          <w:p w14:paraId="48EBE0D6" w14:textId="14FBE15E" w:rsidR="4644E7B5" w:rsidRDefault="4644E7B5" w:rsidP="4644E7B5">
            <w:pPr>
              <w:spacing w:before="40" w:after="40"/>
              <w:ind w:left="-20" w:right="-20"/>
            </w:pPr>
            <w:r w:rsidRPr="4644E7B5">
              <w:rPr>
                <w:sz w:val="22"/>
                <w:szCs w:val="22"/>
              </w:rPr>
              <w:t xml:space="preserve">Adapted from: </w:t>
            </w:r>
            <w:r w:rsidRPr="00457184">
              <w:rPr>
                <w:sz w:val="22"/>
                <w:szCs w:val="22"/>
              </w:rPr>
              <w:t>OECD</w:t>
            </w:r>
            <w:r w:rsidR="00BE7765" w:rsidRPr="00457184">
              <w:rPr>
                <w:sz w:val="22"/>
                <w:szCs w:val="22"/>
              </w:rPr>
              <w:t>,</w:t>
            </w:r>
            <w:r w:rsidRPr="00457184">
              <w:rPr>
                <w:sz w:val="22"/>
                <w:szCs w:val="22"/>
              </w:rPr>
              <w:t xml:space="preserve"> 2023</w:t>
            </w:r>
          </w:p>
        </w:tc>
      </w:tr>
      <w:tr w:rsidR="4644E7B5" w14:paraId="496C8BD3" w14:textId="77777777" w:rsidTr="00FD23CF">
        <w:trPr>
          <w:trHeight w:val="300"/>
        </w:trPr>
        <w:tc>
          <w:tcPr>
            <w:tcW w:w="395" w:type="dxa"/>
            <w:vMerge/>
            <w:vAlign w:val="center"/>
          </w:tcPr>
          <w:p w14:paraId="59E64152" w14:textId="77777777" w:rsidR="00D72B06" w:rsidRDefault="00D72B06"/>
        </w:tc>
        <w:tc>
          <w:tcPr>
            <w:tcW w:w="2331" w:type="dxa"/>
            <w:vMerge/>
            <w:vAlign w:val="center"/>
          </w:tcPr>
          <w:p w14:paraId="481BEDAA" w14:textId="77777777" w:rsidR="00D72B06" w:rsidRDefault="00D72B06"/>
        </w:tc>
        <w:tc>
          <w:tcPr>
            <w:tcW w:w="3610" w:type="dxa"/>
            <w:tcMar>
              <w:left w:w="108" w:type="dxa"/>
              <w:right w:w="108" w:type="dxa"/>
            </w:tcMar>
          </w:tcPr>
          <w:p w14:paraId="0074C485" w14:textId="0E8602B9" w:rsidR="4644E7B5" w:rsidRDefault="4644E7B5" w:rsidP="4644E7B5">
            <w:pPr>
              <w:spacing w:before="40" w:after="40"/>
              <w:ind w:left="-20" w:right="-20"/>
            </w:pPr>
            <w:r w:rsidRPr="4644E7B5">
              <w:rPr>
                <w:i/>
                <w:iCs/>
                <w:color w:val="000000" w:themeColor="text1"/>
                <w:sz w:val="22"/>
                <w:szCs w:val="22"/>
              </w:rPr>
              <w:t xml:space="preserve">Related definitions: </w:t>
            </w:r>
            <w:r w:rsidRPr="4644E7B5">
              <w:rPr>
                <w:i/>
                <w:iCs/>
                <w:color w:val="0070C0"/>
                <w:sz w:val="22"/>
                <w:szCs w:val="22"/>
              </w:rPr>
              <w:t>pathway to harm</w:t>
            </w:r>
            <w:r w:rsidRPr="4644E7B5">
              <w:rPr>
                <w:i/>
                <w:iCs/>
                <w:sz w:val="22"/>
                <w:szCs w:val="22"/>
              </w:rPr>
              <w:t>,</w:t>
            </w:r>
            <w:r w:rsidRPr="4644E7B5">
              <w:rPr>
                <w:i/>
                <w:iCs/>
                <w:color w:val="0070C0"/>
                <w:sz w:val="22"/>
                <w:szCs w:val="22"/>
              </w:rPr>
              <w:t xml:space="preserve"> risk assessor</w:t>
            </w:r>
          </w:p>
        </w:tc>
        <w:tc>
          <w:tcPr>
            <w:tcW w:w="2742" w:type="dxa"/>
            <w:vMerge/>
            <w:vAlign w:val="center"/>
          </w:tcPr>
          <w:p w14:paraId="67FC993E" w14:textId="77777777" w:rsidR="00D72B06" w:rsidRDefault="00D72B06"/>
        </w:tc>
      </w:tr>
      <w:tr w:rsidR="4644E7B5" w14:paraId="2402D200" w14:textId="77777777" w:rsidTr="00FD23CF">
        <w:trPr>
          <w:trHeight w:val="300"/>
        </w:trPr>
        <w:tc>
          <w:tcPr>
            <w:tcW w:w="395" w:type="dxa"/>
            <w:vMerge w:val="restart"/>
            <w:tcMar>
              <w:left w:w="108" w:type="dxa"/>
              <w:right w:w="108" w:type="dxa"/>
            </w:tcMar>
          </w:tcPr>
          <w:p w14:paraId="29558B5D" w14:textId="700D8DCD" w:rsidR="4644E7B5" w:rsidRDefault="4644E7B5"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25D2E6BC" w14:textId="36AEDEC3" w:rsidR="4644E7B5" w:rsidRDefault="4644E7B5" w:rsidP="4644E7B5">
            <w:pPr>
              <w:spacing w:before="40" w:after="40"/>
              <w:ind w:left="-20" w:right="-20"/>
            </w:pPr>
            <w:r w:rsidRPr="4644E7B5">
              <w:rPr>
                <w:i/>
                <w:iCs/>
                <w:sz w:val="22"/>
                <w:szCs w:val="22"/>
              </w:rPr>
              <w:t>Risk management</w:t>
            </w:r>
          </w:p>
        </w:tc>
        <w:tc>
          <w:tcPr>
            <w:tcW w:w="3610" w:type="dxa"/>
            <w:tcMar>
              <w:left w:w="108" w:type="dxa"/>
              <w:right w:w="108" w:type="dxa"/>
            </w:tcMar>
          </w:tcPr>
          <w:p w14:paraId="2210FCE6" w14:textId="15709BB6" w:rsidR="4644E7B5" w:rsidRDefault="4644E7B5" w:rsidP="4644E7B5">
            <w:pPr>
              <w:spacing w:before="40" w:after="40"/>
              <w:ind w:left="-20" w:right="-20"/>
            </w:pPr>
            <w:r w:rsidRPr="4644E7B5">
              <w:rPr>
                <w:i/>
                <w:iCs/>
                <w:sz w:val="22"/>
                <w:szCs w:val="22"/>
              </w:rPr>
              <w:t xml:space="preserve">The management of </w:t>
            </w:r>
            <w:r w:rsidRPr="4644E7B5">
              <w:rPr>
                <w:i/>
                <w:iCs/>
                <w:color w:val="0070C0"/>
                <w:sz w:val="22"/>
                <w:szCs w:val="22"/>
              </w:rPr>
              <w:t>risks</w:t>
            </w:r>
            <w:r w:rsidRPr="4644E7B5">
              <w:rPr>
                <w:i/>
                <w:iCs/>
                <w:sz w:val="22"/>
                <w:szCs w:val="22"/>
              </w:rPr>
              <w:t xml:space="preserve"> identified by the </w:t>
            </w:r>
            <w:r w:rsidRPr="4644E7B5">
              <w:rPr>
                <w:i/>
                <w:iCs/>
                <w:color w:val="0070C0"/>
                <w:sz w:val="22"/>
                <w:szCs w:val="22"/>
              </w:rPr>
              <w:t xml:space="preserve">risk assessment </w:t>
            </w:r>
            <w:r w:rsidRPr="4644E7B5">
              <w:rPr>
                <w:i/>
                <w:iCs/>
                <w:sz w:val="22"/>
                <w:szCs w:val="22"/>
              </w:rPr>
              <w:t xml:space="preserve">through the implementation of appropriate measures for reducing </w:t>
            </w:r>
            <w:r w:rsidRPr="4644E7B5">
              <w:rPr>
                <w:i/>
                <w:iCs/>
                <w:color w:val="0070C0"/>
                <w:sz w:val="22"/>
                <w:szCs w:val="22"/>
              </w:rPr>
              <w:t xml:space="preserve">risk </w:t>
            </w:r>
            <w:r w:rsidRPr="4644E7B5">
              <w:rPr>
                <w:i/>
                <w:iCs/>
                <w:sz w:val="22"/>
                <w:szCs w:val="22"/>
              </w:rPr>
              <w:t>to an acceptable level.</w:t>
            </w:r>
          </w:p>
        </w:tc>
        <w:tc>
          <w:tcPr>
            <w:tcW w:w="2742" w:type="dxa"/>
            <w:vMerge w:val="restart"/>
            <w:tcMar>
              <w:left w:w="108" w:type="dxa"/>
              <w:right w:w="108" w:type="dxa"/>
            </w:tcMar>
          </w:tcPr>
          <w:p w14:paraId="29DE012E" w14:textId="2917AD31" w:rsidR="4644E7B5" w:rsidRDefault="4644E7B5" w:rsidP="4644E7B5">
            <w:pPr>
              <w:spacing w:before="40" w:after="40"/>
              <w:ind w:left="-20" w:right="-20"/>
            </w:pPr>
            <w:r w:rsidRPr="0056694C">
              <w:rPr>
                <w:color w:val="000000" w:themeColor="text1"/>
                <w:sz w:val="22"/>
                <w:szCs w:val="22"/>
              </w:rPr>
              <w:t xml:space="preserve">Adapted from: </w:t>
            </w:r>
            <w:r w:rsidR="00457184" w:rsidRPr="0056694C">
              <w:rPr>
                <w:color w:val="000000" w:themeColor="text1"/>
                <w:sz w:val="22"/>
                <w:szCs w:val="22"/>
              </w:rPr>
              <w:t xml:space="preserve">EFSA, 2016; </w:t>
            </w:r>
            <w:r w:rsidR="00192075" w:rsidRPr="0056694C">
              <w:rPr>
                <w:color w:val="000000" w:themeColor="text1"/>
                <w:sz w:val="22"/>
                <w:szCs w:val="22"/>
              </w:rPr>
              <w:t>World Health Organisation</w:t>
            </w:r>
            <w:r w:rsidR="00BE7765" w:rsidRPr="0056694C">
              <w:rPr>
                <w:color w:val="000000" w:themeColor="text1"/>
                <w:sz w:val="22"/>
                <w:szCs w:val="22"/>
              </w:rPr>
              <w:t>,</w:t>
            </w:r>
            <w:r w:rsidRPr="0056694C">
              <w:rPr>
                <w:color w:val="000000" w:themeColor="text1"/>
                <w:sz w:val="22"/>
                <w:szCs w:val="22"/>
              </w:rPr>
              <w:t xml:space="preserve"> 2021</w:t>
            </w:r>
            <w:r w:rsidR="00C83F5A" w:rsidRPr="0056694C">
              <w:rPr>
                <w:color w:val="000000" w:themeColor="text1"/>
                <w:sz w:val="22"/>
                <w:szCs w:val="22"/>
              </w:rPr>
              <w:t>b</w:t>
            </w:r>
          </w:p>
        </w:tc>
      </w:tr>
      <w:tr w:rsidR="4644E7B5" w14:paraId="56339977" w14:textId="77777777" w:rsidTr="00FD23CF">
        <w:trPr>
          <w:trHeight w:val="300"/>
        </w:trPr>
        <w:tc>
          <w:tcPr>
            <w:tcW w:w="395" w:type="dxa"/>
            <w:vMerge/>
            <w:vAlign w:val="center"/>
          </w:tcPr>
          <w:p w14:paraId="5B874D25" w14:textId="77777777" w:rsidR="00D72B06" w:rsidRDefault="00D72B06"/>
        </w:tc>
        <w:tc>
          <w:tcPr>
            <w:tcW w:w="2331" w:type="dxa"/>
            <w:vMerge/>
            <w:vAlign w:val="center"/>
          </w:tcPr>
          <w:p w14:paraId="0E1FC136" w14:textId="77777777" w:rsidR="00D72B06" w:rsidRDefault="00D72B06"/>
        </w:tc>
        <w:tc>
          <w:tcPr>
            <w:tcW w:w="3610" w:type="dxa"/>
            <w:tcMar>
              <w:left w:w="108" w:type="dxa"/>
              <w:right w:w="108" w:type="dxa"/>
            </w:tcMar>
          </w:tcPr>
          <w:p w14:paraId="6D28F64E" w14:textId="21A7104F" w:rsidR="4644E7B5" w:rsidRDefault="4644E7B5" w:rsidP="4644E7B5">
            <w:pPr>
              <w:spacing w:before="40" w:after="40"/>
              <w:ind w:left="-20" w:right="-20"/>
            </w:pPr>
            <w:r w:rsidRPr="4644E7B5">
              <w:rPr>
                <w:i/>
                <w:iCs/>
                <w:color w:val="000000" w:themeColor="text1"/>
                <w:sz w:val="22"/>
                <w:szCs w:val="22"/>
              </w:rPr>
              <w:t>Related definitions:</w:t>
            </w:r>
            <w:r w:rsidRPr="4644E7B5">
              <w:rPr>
                <w:i/>
                <w:iCs/>
                <w:color w:val="0070C0"/>
                <w:sz w:val="22"/>
                <w:szCs w:val="22"/>
              </w:rPr>
              <w:t xml:space="preserve"> risk</w:t>
            </w:r>
            <w:r w:rsidRPr="4644E7B5">
              <w:rPr>
                <w:i/>
                <w:iCs/>
                <w:sz w:val="22"/>
                <w:szCs w:val="22"/>
              </w:rPr>
              <w:t xml:space="preserve">, </w:t>
            </w:r>
            <w:r w:rsidRPr="4644E7B5">
              <w:rPr>
                <w:i/>
                <w:iCs/>
                <w:color w:val="0070C0"/>
                <w:sz w:val="22"/>
                <w:szCs w:val="22"/>
              </w:rPr>
              <w:t>risk assessment</w:t>
            </w:r>
          </w:p>
        </w:tc>
        <w:tc>
          <w:tcPr>
            <w:tcW w:w="2742" w:type="dxa"/>
            <w:vMerge/>
            <w:vAlign w:val="center"/>
          </w:tcPr>
          <w:p w14:paraId="42F39A96" w14:textId="77777777" w:rsidR="00D72B06" w:rsidRDefault="00D72B06"/>
        </w:tc>
      </w:tr>
      <w:tr w:rsidR="4644E7B5" w14:paraId="6C22053C" w14:textId="77777777" w:rsidTr="00FD23CF">
        <w:trPr>
          <w:trHeight w:val="300"/>
        </w:trPr>
        <w:tc>
          <w:tcPr>
            <w:tcW w:w="395" w:type="dxa"/>
            <w:vMerge w:val="restart"/>
            <w:tcMar>
              <w:left w:w="108" w:type="dxa"/>
              <w:right w:w="108" w:type="dxa"/>
            </w:tcMar>
          </w:tcPr>
          <w:p w14:paraId="3DA6F42D" w14:textId="1F9DDD2E" w:rsidR="4644E7B5" w:rsidRDefault="4644E7B5" w:rsidP="4644E7B5">
            <w:pPr>
              <w:spacing w:before="40" w:after="40"/>
              <w:ind w:left="-20" w:right="-20"/>
            </w:pPr>
            <w:r w:rsidRPr="4644E7B5">
              <w:rPr>
                <w:sz w:val="22"/>
                <w:szCs w:val="22"/>
              </w:rPr>
              <w:t xml:space="preserve"> </w:t>
            </w:r>
          </w:p>
        </w:tc>
        <w:tc>
          <w:tcPr>
            <w:tcW w:w="2331" w:type="dxa"/>
            <w:vMerge w:val="restart"/>
            <w:tcMar>
              <w:left w:w="108" w:type="dxa"/>
              <w:right w:w="108" w:type="dxa"/>
            </w:tcMar>
          </w:tcPr>
          <w:p w14:paraId="4D6278BE" w14:textId="3B58E984" w:rsidR="4644E7B5" w:rsidRDefault="4644E7B5" w:rsidP="4644E7B5">
            <w:pPr>
              <w:spacing w:before="40" w:after="40"/>
              <w:ind w:left="-20" w:right="-20"/>
            </w:pPr>
            <w:r w:rsidRPr="4644E7B5">
              <w:rPr>
                <w:i/>
                <w:iCs/>
                <w:sz w:val="22"/>
                <w:szCs w:val="22"/>
              </w:rPr>
              <w:t>Risk manager</w:t>
            </w:r>
          </w:p>
        </w:tc>
        <w:tc>
          <w:tcPr>
            <w:tcW w:w="3610" w:type="dxa"/>
            <w:tcMar>
              <w:left w:w="108" w:type="dxa"/>
              <w:right w:w="108" w:type="dxa"/>
            </w:tcMar>
          </w:tcPr>
          <w:p w14:paraId="6A232CCE" w14:textId="58E225DD" w:rsidR="4644E7B5" w:rsidRDefault="4644E7B5" w:rsidP="4644E7B5">
            <w:pPr>
              <w:spacing w:before="40" w:after="40"/>
              <w:ind w:left="-20" w:right="-20"/>
            </w:pPr>
            <w:r w:rsidRPr="4644E7B5">
              <w:rPr>
                <w:i/>
                <w:iCs/>
                <w:sz w:val="22"/>
                <w:szCs w:val="22"/>
              </w:rPr>
              <w:t xml:space="preserve">The entity that defines and/or implements </w:t>
            </w:r>
            <w:r w:rsidRPr="4644E7B5">
              <w:rPr>
                <w:i/>
                <w:iCs/>
                <w:color w:val="0070C0"/>
                <w:sz w:val="22"/>
                <w:szCs w:val="22"/>
              </w:rPr>
              <w:t xml:space="preserve">risk management </w:t>
            </w:r>
            <w:r w:rsidRPr="4644E7B5">
              <w:rPr>
                <w:i/>
                <w:iCs/>
                <w:sz w:val="22"/>
                <w:szCs w:val="22"/>
              </w:rPr>
              <w:t xml:space="preserve">measures. In certain jurisdictions, e.g., the European Union, the </w:t>
            </w:r>
            <w:r w:rsidRPr="4644E7B5">
              <w:rPr>
                <w:i/>
                <w:iCs/>
                <w:color w:val="0070C0"/>
                <w:sz w:val="22"/>
                <w:szCs w:val="22"/>
              </w:rPr>
              <w:t xml:space="preserve">risk manager </w:t>
            </w:r>
          </w:p>
          <w:p w14:paraId="046249C7" w14:textId="7BE29904" w:rsidR="4644E7B5" w:rsidRDefault="4644E7B5" w:rsidP="4644E7B5">
            <w:pPr>
              <w:spacing w:before="40" w:after="40"/>
              <w:ind w:left="-20" w:right="-20"/>
            </w:pPr>
            <w:r w:rsidRPr="4644E7B5">
              <w:rPr>
                <w:i/>
                <w:iCs/>
                <w:sz w:val="22"/>
                <w:szCs w:val="22"/>
              </w:rPr>
              <w:t xml:space="preserve">makes regulatory decisions (see also </w:t>
            </w:r>
            <w:r w:rsidRPr="4644E7B5">
              <w:rPr>
                <w:i/>
                <w:iCs/>
                <w:color w:val="0070C0"/>
                <w:sz w:val="22"/>
                <w:szCs w:val="22"/>
              </w:rPr>
              <w:t>regulator</w:t>
            </w:r>
            <w:r w:rsidRPr="4644E7B5">
              <w:rPr>
                <w:i/>
                <w:iCs/>
                <w:sz w:val="22"/>
                <w:szCs w:val="22"/>
              </w:rPr>
              <w:t>).</w:t>
            </w:r>
          </w:p>
        </w:tc>
        <w:tc>
          <w:tcPr>
            <w:tcW w:w="2742" w:type="dxa"/>
            <w:vMerge w:val="restart"/>
            <w:tcMar>
              <w:left w:w="108" w:type="dxa"/>
              <w:right w:w="108" w:type="dxa"/>
            </w:tcMar>
          </w:tcPr>
          <w:p w14:paraId="4A58FD08" w14:textId="23D5C3E1" w:rsidR="4644E7B5" w:rsidRDefault="4644E7B5" w:rsidP="4644E7B5">
            <w:pPr>
              <w:spacing w:before="40" w:after="40"/>
              <w:ind w:left="-20" w:right="-20"/>
            </w:pPr>
            <w:r w:rsidRPr="4644E7B5">
              <w:rPr>
                <w:sz w:val="22"/>
                <w:szCs w:val="22"/>
              </w:rPr>
              <w:t xml:space="preserve"> </w:t>
            </w:r>
          </w:p>
        </w:tc>
      </w:tr>
      <w:tr w:rsidR="4644E7B5" w14:paraId="411176F6" w14:textId="77777777" w:rsidTr="00FD23CF">
        <w:trPr>
          <w:trHeight w:val="300"/>
        </w:trPr>
        <w:tc>
          <w:tcPr>
            <w:tcW w:w="395" w:type="dxa"/>
            <w:vMerge/>
            <w:vAlign w:val="center"/>
          </w:tcPr>
          <w:p w14:paraId="63E8B1B3" w14:textId="77777777" w:rsidR="00D72B06" w:rsidRDefault="00D72B06"/>
        </w:tc>
        <w:tc>
          <w:tcPr>
            <w:tcW w:w="2331" w:type="dxa"/>
            <w:vMerge/>
            <w:vAlign w:val="center"/>
          </w:tcPr>
          <w:p w14:paraId="332080CF" w14:textId="77777777" w:rsidR="00D72B06" w:rsidRDefault="00D72B06"/>
        </w:tc>
        <w:tc>
          <w:tcPr>
            <w:tcW w:w="3610" w:type="dxa"/>
            <w:tcMar>
              <w:left w:w="108" w:type="dxa"/>
              <w:right w:w="108" w:type="dxa"/>
            </w:tcMar>
          </w:tcPr>
          <w:p w14:paraId="24FEF08E" w14:textId="25DE91DA" w:rsidR="4644E7B5" w:rsidRDefault="4644E7B5" w:rsidP="4644E7B5">
            <w:pPr>
              <w:spacing w:before="40" w:after="40"/>
              <w:ind w:left="-20" w:right="-20"/>
            </w:pPr>
            <w:r w:rsidRPr="4644E7B5">
              <w:rPr>
                <w:i/>
                <w:iCs/>
                <w:color w:val="000000" w:themeColor="text1"/>
                <w:sz w:val="22"/>
                <w:szCs w:val="22"/>
              </w:rPr>
              <w:t>Related definitions:</w:t>
            </w:r>
            <w:r w:rsidRPr="4644E7B5">
              <w:rPr>
                <w:i/>
                <w:iCs/>
                <w:color w:val="0070C0"/>
                <w:sz w:val="22"/>
                <w:szCs w:val="22"/>
              </w:rPr>
              <w:t xml:space="preserve"> regulator</w:t>
            </w:r>
            <w:r w:rsidRPr="4644E7B5">
              <w:rPr>
                <w:i/>
                <w:iCs/>
                <w:sz w:val="22"/>
                <w:szCs w:val="22"/>
              </w:rPr>
              <w:t xml:space="preserve">, </w:t>
            </w:r>
            <w:r w:rsidRPr="4644E7B5">
              <w:rPr>
                <w:i/>
                <w:iCs/>
                <w:color w:val="0070C0"/>
                <w:sz w:val="22"/>
                <w:szCs w:val="22"/>
              </w:rPr>
              <w:t>risk management</w:t>
            </w:r>
          </w:p>
        </w:tc>
        <w:tc>
          <w:tcPr>
            <w:tcW w:w="2742" w:type="dxa"/>
            <w:vMerge/>
            <w:vAlign w:val="center"/>
          </w:tcPr>
          <w:p w14:paraId="5DB64192" w14:textId="77777777" w:rsidR="00D72B06" w:rsidRDefault="00D72B06"/>
        </w:tc>
      </w:tr>
      <w:tr w:rsidR="4644E7B5" w14:paraId="4B86B831" w14:textId="77777777" w:rsidTr="00FD23CF">
        <w:trPr>
          <w:trHeight w:val="300"/>
        </w:trPr>
        <w:tc>
          <w:tcPr>
            <w:tcW w:w="395" w:type="dxa"/>
            <w:tcMar>
              <w:left w:w="108" w:type="dxa"/>
              <w:right w:w="108" w:type="dxa"/>
            </w:tcMar>
          </w:tcPr>
          <w:p w14:paraId="43FB36CE" w14:textId="17851A61" w:rsidR="4644E7B5" w:rsidRDefault="4644E7B5" w:rsidP="4644E7B5">
            <w:pPr>
              <w:spacing w:before="40" w:after="40"/>
              <w:ind w:left="-20" w:right="-20"/>
              <w:rPr>
                <w:sz w:val="22"/>
                <w:szCs w:val="22"/>
                <w:highlight w:val="yellow"/>
              </w:rPr>
            </w:pPr>
          </w:p>
        </w:tc>
        <w:tc>
          <w:tcPr>
            <w:tcW w:w="2331" w:type="dxa"/>
            <w:tcMar>
              <w:left w:w="108" w:type="dxa"/>
              <w:right w:w="108" w:type="dxa"/>
            </w:tcMar>
          </w:tcPr>
          <w:p w14:paraId="7F8F5D6A" w14:textId="24A3AF1D" w:rsidR="4644E7B5" w:rsidRDefault="4644E7B5" w:rsidP="4644E7B5">
            <w:pPr>
              <w:spacing w:before="40" w:after="40"/>
              <w:ind w:left="-20" w:right="-20"/>
            </w:pPr>
            <w:r w:rsidRPr="4644E7B5">
              <w:rPr>
                <w:i/>
                <w:iCs/>
                <w:sz w:val="22"/>
                <w:szCs w:val="22"/>
              </w:rPr>
              <w:t>Signal</w:t>
            </w:r>
          </w:p>
        </w:tc>
        <w:tc>
          <w:tcPr>
            <w:tcW w:w="3610" w:type="dxa"/>
            <w:tcMar>
              <w:left w:w="108" w:type="dxa"/>
              <w:right w:w="108" w:type="dxa"/>
            </w:tcMar>
          </w:tcPr>
          <w:p w14:paraId="149060EF" w14:textId="6A89325E" w:rsidR="4644E7B5" w:rsidRDefault="4644E7B5" w:rsidP="4644E7B5">
            <w:pPr>
              <w:spacing w:before="40" w:after="40"/>
              <w:ind w:left="-20" w:right="-20"/>
            </w:pPr>
            <w:r w:rsidRPr="4644E7B5">
              <w:rPr>
                <w:i/>
                <w:iCs/>
                <w:sz w:val="22"/>
                <w:szCs w:val="22"/>
              </w:rPr>
              <w:t>A measurable change in an indicator or parameter of interest that can be linked to an adverse change in the environment</w:t>
            </w:r>
          </w:p>
        </w:tc>
        <w:tc>
          <w:tcPr>
            <w:tcW w:w="2742" w:type="dxa"/>
            <w:tcMar>
              <w:left w:w="108" w:type="dxa"/>
              <w:right w:w="108" w:type="dxa"/>
            </w:tcMar>
          </w:tcPr>
          <w:p w14:paraId="545C617F" w14:textId="0B8037A4" w:rsidR="4644E7B5" w:rsidRDefault="4644E7B5" w:rsidP="4644E7B5">
            <w:pPr>
              <w:spacing w:before="40" w:after="40"/>
              <w:ind w:left="-20" w:right="-20"/>
            </w:pPr>
            <w:r w:rsidRPr="4644E7B5">
              <w:rPr>
                <w:sz w:val="22"/>
                <w:szCs w:val="22"/>
              </w:rPr>
              <w:t>Adapted from</w:t>
            </w:r>
            <w:r w:rsidR="00192075">
              <w:rPr>
                <w:sz w:val="22"/>
                <w:szCs w:val="22"/>
              </w:rPr>
              <w:t>:</w:t>
            </w:r>
            <w:r w:rsidRPr="4644E7B5">
              <w:rPr>
                <w:sz w:val="22"/>
                <w:szCs w:val="22"/>
              </w:rPr>
              <w:t xml:space="preserve"> </w:t>
            </w:r>
            <w:proofErr w:type="spellStart"/>
            <w:r w:rsidRPr="00457184">
              <w:rPr>
                <w:sz w:val="22"/>
                <w:szCs w:val="22"/>
              </w:rPr>
              <w:t>Tofelde</w:t>
            </w:r>
            <w:proofErr w:type="spellEnd"/>
            <w:r w:rsidRPr="00457184">
              <w:rPr>
                <w:sz w:val="22"/>
                <w:szCs w:val="22"/>
              </w:rPr>
              <w:t xml:space="preserve"> and others, 2021</w:t>
            </w:r>
          </w:p>
        </w:tc>
      </w:tr>
      <w:tr w:rsidR="00293B80" w14:paraId="43B0F5EF" w14:textId="77777777" w:rsidTr="00FD23CF">
        <w:trPr>
          <w:trHeight w:val="1402"/>
        </w:trPr>
        <w:tc>
          <w:tcPr>
            <w:tcW w:w="395" w:type="dxa"/>
            <w:tcMar>
              <w:left w:w="108" w:type="dxa"/>
              <w:right w:w="108" w:type="dxa"/>
            </w:tcMar>
          </w:tcPr>
          <w:p w14:paraId="32FC41B2" w14:textId="40816EC4" w:rsidR="00293B80" w:rsidRDefault="00293B80" w:rsidP="001335CB">
            <w:pPr>
              <w:pStyle w:val="Heading3"/>
            </w:pPr>
            <w:r w:rsidRPr="4644E7B5">
              <w:rPr>
                <w:sz w:val="22"/>
                <w:szCs w:val="22"/>
              </w:rPr>
              <w:lastRenderedPageBreak/>
              <w:t xml:space="preserve"> </w:t>
            </w:r>
          </w:p>
        </w:tc>
        <w:tc>
          <w:tcPr>
            <w:tcW w:w="2331" w:type="dxa"/>
            <w:tcMar>
              <w:left w:w="108" w:type="dxa"/>
              <w:right w:w="108" w:type="dxa"/>
            </w:tcMar>
          </w:tcPr>
          <w:p w14:paraId="1E97FD2C" w14:textId="11C10ED4" w:rsidR="00293B80" w:rsidRDefault="00293B80" w:rsidP="00064D1C">
            <w:pPr>
              <w:spacing w:before="40" w:after="40"/>
              <w:ind w:left="-20" w:right="-20"/>
            </w:pPr>
            <w:r w:rsidRPr="4644E7B5">
              <w:rPr>
                <w:i/>
                <w:iCs/>
                <w:sz w:val="22"/>
                <w:szCs w:val="22"/>
              </w:rPr>
              <w:t>Target population</w:t>
            </w:r>
          </w:p>
        </w:tc>
        <w:tc>
          <w:tcPr>
            <w:tcW w:w="3610" w:type="dxa"/>
            <w:tcMar>
              <w:left w:w="108" w:type="dxa"/>
              <w:right w:w="108" w:type="dxa"/>
            </w:tcMar>
          </w:tcPr>
          <w:p w14:paraId="1D83CCD4" w14:textId="7290B2A1" w:rsidR="00293B80" w:rsidRPr="00064D1C" w:rsidRDefault="00293B80" w:rsidP="001335CB">
            <w:pPr>
              <w:pStyle w:val="Heading3"/>
              <w:rPr>
                <w:rFonts w:ascii="Times New Roman" w:eastAsia="Times New Roman" w:hAnsi="Times New Roman" w:cs="Times New Roman"/>
                <w:i/>
                <w:iCs/>
                <w:color w:val="auto"/>
                <w:sz w:val="22"/>
                <w:szCs w:val="22"/>
                <w:lang w:val="en-GB"/>
              </w:rPr>
            </w:pPr>
            <w:bookmarkStart w:id="165" w:name="_Toc161220540"/>
            <w:r w:rsidRPr="00064D1C">
              <w:rPr>
                <w:rFonts w:ascii="Times New Roman" w:eastAsia="Times New Roman" w:hAnsi="Times New Roman" w:cs="Times New Roman"/>
                <w:i/>
                <w:iCs/>
                <w:color w:val="auto"/>
                <w:sz w:val="22"/>
                <w:szCs w:val="22"/>
                <w:lang w:val="en-GB"/>
              </w:rPr>
              <w:t>An individual population or interbreeding populations of the target organism on which the specifically designed characteristics of the EGD-LMO are intended to act.</w:t>
            </w:r>
            <w:bookmarkEnd w:id="165"/>
          </w:p>
        </w:tc>
        <w:tc>
          <w:tcPr>
            <w:tcW w:w="2742" w:type="dxa"/>
            <w:tcMar>
              <w:left w:w="108" w:type="dxa"/>
              <w:right w:w="108" w:type="dxa"/>
            </w:tcMar>
          </w:tcPr>
          <w:p w14:paraId="68C3CBA4" w14:textId="36413665" w:rsidR="00293B80" w:rsidRPr="004B0508" w:rsidRDefault="00293B80" w:rsidP="001335CB">
            <w:pPr>
              <w:pStyle w:val="Heading3"/>
              <w:rPr>
                <w:rFonts w:ascii="Times New Roman" w:eastAsia="Times New Roman" w:hAnsi="Times New Roman" w:cs="Times New Roman"/>
                <w:color w:val="000000" w:themeColor="text1"/>
                <w:sz w:val="22"/>
                <w:szCs w:val="22"/>
                <w:lang w:val="en-GB"/>
              </w:rPr>
            </w:pPr>
            <w:bookmarkStart w:id="166" w:name="_Toc161220541"/>
            <w:r w:rsidRPr="004B0508">
              <w:rPr>
                <w:rFonts w:ascii="Times New Roman" w:eastAsia="Times New Roman" w:hAnsi="Times New Roman" w:cs="Times New Roman"/>
                <w:color w:val="000000" w:themeColor="text1"/>
                <w:sz w:val="22"/>
                <w:szCs w:val="22"/>
                <w:lang w:val="en-GB"/>
              </w:rPr>
              <w:t>Adapted from:</w:t>
            </w:r>
            <w:bookmarkStart w:id="167" w:name="_Toc161220542"/>
            <w:bookmarkEnd w:id="166"/>
            <w:r w:rsidR="00457184" w:rsidRPr="004B0508">
              <w:rPr>
                <w:rFonts w:ascii="Times New Roman" w:eastAsia="Times New Roman" w:hAnsi="Times New Roman" w:cs="Times New Roman"/>
                <w:color w:val="000000" w:themeColor="text1"/>
                <w:sz w:val="22"/>
                <w:szCs w:val="22"/>
                <w:lang w:val="en-GB"/>
              </w:rPr>
              <w:t xml:space="preserve"> </w:t>
            </w:r>
            <w:r w:rsidR="00192075" w:rsidRPr="004B0508">
              <w:rPr>
                <w:rFonts w:ascii="Times New Roman" w:hAnsi="Times New Roman" w:cs="Times New Roman"/>
                <w:color w:val="000000" w:themeColor="text1"/>
                <w:sz w:val="22"/>
                <w:szCs w:val="22"/>
              </w:rPr>
              <w:t xml:space="preserve">World Health </w:t>
            </w:r>
            <w:proofErr w:type="spellStart"/>
            <w:r w:rsidR="00192075" w:rsidRPr="004B0508">
              <w:rPr>
                <w:rFonts w:ascii="Times New Roman" w:hAnsi="Times New Roman" w:cs="Times New Roman"/>
                <w:color w:val="000000" w:themeColor="text1"/>
                <w:sz w:val="22"/>
                <w:szCs w:val="22"/>
              </w:rPr>
              <w:t>Organisation</w:t>
            </w:r>
            <w:proofErr w:type="spellEnd"/>
            <w:r w:rsidR="00192075" w:rsidRPr="004B0508">
              <w:rPr>
                <w:rFonts w:ascii="Times New Roman" w:eastAsia="Times New Roman" w:hAnsi="Times New Roman" w:cs="Times New Roman"/>
                <w:color w:val="000000" w:themeColor="text1"/>
                <w:sz w:val="22"/>
                <w:szCs w:val="22"/>
                <w:lang w:val="en-GB"/>
              </w:rPr>
              <w:t>,</w:t>
            </w:r>
            <w:r w:rsidRPr="004B0508">
              <w:rPr>
                <w:rFonts w:ascii="Times New Roman" w:eastAsia="Times New Roman" w:hAnsi="Times New Roman" w:cs="Times New Roman"/>
                <w:color w:val="000000" w:themeColor="text1"/>
                <w:sz w:val="22"/>
                <w:szCs w:val="22"/>
                <w:lang w:val="en-GB"/>
              </w:rPr>
              <w:t xml:space="preserve"> 2021</w:t>
            </w:r>
            <w:r w:rsidR="004B0508" w:rsidRPr="004B0508">
              <w:rPr>
                <w:rFonts w:ascii="Times New Roman" w:eastAsia="Times New Roman" w:hAnsi="Times New Roman" w:cs="Times New Roman"/>
                <w:color w:val="000000" w:themeColor="text1"/>
                <w:sz w:val="22"/>
                <w:szCs w:val="22"/>
                <w:lang w:val="en-GB"/>
              </w:rPr>
              <w:t>b</w:t>
            </w:r>
            <w:r w:rsidR="00192075" w:rsidRPr="004B0508">
              <w:rPr>
                <w:rFonts w:ascii="Times New Roman" w:eastAsia="Times New Roman" w:hAnsi="Times New Roman" w:cs="Times New Roman"/>
                <w:color w:val="000000" w:themeColor="text1"/>
                <w:sz w:val="22"/>
                <w:szCs w:val="22"/>
                <w:lang w:val="en-GB"/>
              </w:rPr>
              <w:t>;</w:t>
            </w:r>
            <w:r w:rsidRPr="004B0508">
              <w:rPr>
                <w:rFonts w:ascii="Times New Roman" w:eastAsia="Times New Roman" w:hAnsi="Times New Roman" w:cs="Times New Roman"/>
                <w:color w:val="000000" w:themeColor="text1"/>
                <w:sz w:val="22"/>
                <w:szCs w:val="22"/>
                <w:lang w:val="en-GB"/>
              </w:rPr>
              <w:t xml:space="preserve"> EFSA</w:t>
            </w:r>
            <w:r w:rsidR="00E54237" w:rsidRPr="004B0508">
              <w:rPr>
                <w:rFonts w:ascii="Times New Roman" w:eastAsia="Times New Roman" w:hAnsi="Times New Roman" w:cs="Times New Roman"/>
                <w:color w:val="000000" w:themeColor="text1"/>
                <w:sz w:val="22"/>
                <w:szCs w:val="22"/>
                <w:lang w:val="en-GB"/>
              </w:rPr>
              <w:t>, 2016</w:t>
            </w:r>
            <w:r w:rsidR="004B0508" w:rsidRPr="004B0508">
              <w:rPr>
                <w:rFonts w:ascii="Times New Roman" w:eastAsia="Times New Roman" w:hAnsi="Times New Roman" w:cs="Times New Roman"/>
                <w:color w:val="000000" w:themeColor="text1"/>
                <w:sz w:val="22"/>
                <w:szCs w:val="22"/>
                <w:lang w:val="en-GB"/>
              </w:rPr>
              <w:t>a</w:t>
            </w:r>
            <w:r w:rsidR="005B523A" w:rsidRPr="004B0508">
              <w:rPr>
                <w:rFonts w:ascii="Times New Roman" w:eastAsia="Times New Roman" w:hAnsi="Times New Roman" w:cs="Times New Roman"/>
                <w:color w:val="000000" w:themeColor="text1"/>
                <w:sz w:val="22"/>
                <w:szCs w:val="22"/>
                <w:lang w:val="en-GB"/>
              </w:rPr>
              <w:t xml:space="preserve">; Connolly and others, </w:t>
            </w:r>
            <w:proofErr w:type="gramStart"/>
            <w:r w:rsidR="005B523A" w:rsidRPr="004B0508">
              <w:rPr>
                <w:rFonts w:ascii="Times New Roman" w:eastAsia="Times New Roman" w:hAnsi="Times New Roman" w:cs="Times New Roman"/>
                <w:color w:val="000000" w:themeColor="text1"/>
                <w:sz w:val="22"/>
                <w:szCs w:val="22"/>
                <w:lang w:val="en-GB"/>
              </w:rPr>
              <w:t>2023</w:t>
            </w:r>
            <w:r w:rsidR="00583E7F" w:rsidRPr="004B0508">
              <w:rPr>
                <w:rFonts w:ascii="Times New Roman" w:eastAsia="Times New Roman" w:hAnsi="Times New Roman" w:cs="Times New Roman"/>
                <w:color w:val="000000" w:themeColor="text1"/>
                <w:sz w:val="22"/>
                <w:szCs w:val="22"/>
                <w:lang w:val="en-GB"/>
              </w:rPr>
              <w:t>b</w:t>
            </w:r>
            <w:bookmarkEnd w:id="167"/>
            <w:proofErr w:type="gramEnd"/>
            <w:r w:rsidRPr="004B0508">
              <w:rPr>
                <w:rFonts w:ascii="Times New Roman" w:eastAsia="Times New Roman" w:hAnsi="Times New Roman" w:cs="Times New Roman"/>
                <w:color w:val="000000" w:themeColor="text1"/>
                <w:sz w:val="22"/>
                <w:szCs w:val="22"/>
                <w:lang w:val="en-GB"/>
              </w:rPr>
              <w:t xml:space="preserve"> </w:t>
            </w:r>
          </w:p>
          <w:p w14:paraId="585056AE" w14:textId="75A95563" w:rsidR="00293B80" w:rsidRPr="00457184" w:rsidRDefault="00293B80" w:rsidP="001335CB">
            <w:pPr>
              <w:pStyle w:val="Heading3"/>
              <w:rPr>
                <w:color w:val="000000" w:themeColor="text1"/>
                <w:highlight w:val="red"/>
              </w:rPr>
            </w:pPr>
          </w:p>
        </w:tc>
      </w:tr>
      <w:tr w:rsidR="4644E7B5" w14:paraId="1D7EBCD9" w14:textId="77777777" w:rsidTr="00FD23CF">
        <w:trPr>
          <w:trHeight w:val="300"/>
        </w:trPr>
        <w:tc>
          <w:tcPr>
            <w:tcW w:w="395" w:type="dxa"/>
            <w:tcMar>
              <w:left w:w="108" w:type="dxa"/>
              <w:right w:w="108" w:type="dxa"/>
            </w:tcMar>
          </w:tcPr>
          <w:p w14:paraId="0E5CDEAE" w14:textId="0B845F8E" w:rsidR="4644E7B5" w:rsidRDefault="4644E7B5" w:rsidP="4644E7B5">
            <w:pPr>
              <w:spacing w:before="40" w:after="40"/>
              <w:ind w:left="-20" w:right="-20"/>
            </w:pPr>
            <w:r w:rsidRPr="4644E7B5">
              <w:rPr>
                <w:sz w:val="22"/>
                <w:szCs w:val="22"/>
              </w:rPr>
              <w:t xml:space="preserve"> </w:t>
            </w:r>
          </w:p>
        </w:tc>
        <w:tc>
          <w:tcPr>
            <w:tcW w:w="2331" w:type="dxa"/>
            <w:tcMar>
              <w:left w:w="108" w:type="dxa"/>
              <w:right w:w="108" w:type="dxa"/>
            </w:tcMar>
          </w:tcPr>
          <w:p w14:paraId="36320E18" w14:textId="7116C0B2" w:rsidR="4644E7B5" w:rsidRDefault="4644E7B5" w:rsidP="4644E7B5">
            <w:pPr>
              <w:spacing w:before="40" w:after="40"/>
              <w:ind w:left="-20" w:right="-20"/>
            </w:pPr>
            <w:r w:rsidRPr="4644E7B5">
              <w:rPr>
                <w:i/>
                <w:iCs/>
                <w:sz w:val="22"/>
                <w:szCs w:val="22"/>
              </w:rPr>
              <w:t>Vector</w:t>
            </w:r>
          </w:p>
        </w:tc>
        <w:tc>
          <w:tcPr>
            <w:tcW w:w="3610" w:type="dxa"/>
            <w:tcMar>
              <w:left w:w="108" w:type="dxa"/>
              <w:right w:w="108" w:type="dxa"/>
            </w:tcMar>
          </w:tcPr>
          <w:p w14:paraId="3FE90EFA" w14:textId="0D771677" w:rsidR="4644E7B5" w:rsidRDefault="4644E7B5" w:rsidP="4644E7B5">
            <w:pPr>
              <w:spacing w:before="40" w:after="40"/>
              <w:ind w:left="-20" w:right="-20"/>
            </w:pPr>
            <w:r w:rsidRPr="4644E7B5">
              <w:rPr>
                <w:i/>
                <w:iCs/>
                <w:color w:val="000000" w:themeColor="text1"/>
                <w:sz w:val="22"/>
                <w:szCs w:val="22"/>
              </w:rPr>
              <w:t>Agent which carries and transmits an infectious pathogen into another living organism.</w:t>
            </w:r>
          </w:p>
        </w:tc>
        <w:tc>
          <w:tcPr>
            <w:tcW w:w="2742" w:type="dxa"/>
            <w:tcMar>
              <w:left w:w="108" w:type="dxa"/>
              <w:right w:w="108" w:type="dxa"/>
            </w:tcMar>
          </w:tcPr>
          <w:p w14:paraId="22B68793" w14:textId="44DB870F" w:rsidR="4644E7B5" w:rsidRPr="00457184" w:rsidRDefault="4644E7B5" w:rsidP="4644E7B5">
            <w:pPr>
              <w:spacing w:before="40" w:after="40"/>
              <w:ind w:left="-20" w:right="-20"/>
              <w:rPr>
                <w:color w:val="000000" w:themeColor="text1"/>
                <w:highlight w:val="red"/>
              </w:rPr>
            </w:pPr>
            <w:r w:rsidRPr="009D39B3">
              <w:rPr>
                <w:color w:val="000000" w:themeColor="text1"/>
                <w:sz w:val="22"/>
                <w:szCs w:val="22"/>
              </w:rPr>
              <w:t>Adapted from</w:t>
            </w:r>
            <w:r w:rsidR="00192075" w:rsidRPr="009D39B3">
              <w:rPr>
                <w:color w:val="000000" w:themeColor="text1"/>
                <w:sz w:val="22"/>
                <w:szCs w:val="22"/>
              </w:rPr>
              <w:t>:</w:t>
            </w:r>
            <w:r w:rsidRPr="009D39B3">
              <w:rPr>
                <w:color w:val="000000" w:themeColor="text1"/>
                <w:sz w:val="22"/>
                <w:szCs w:val="22"/>
              </w:rPr>
              <w:t xml:space="preserve"> World Health Organisation</w:t>
            </w:r>
            <w:r w:rsidR="00192075" w:rsidRPr="009D39B3">
              <w:rPr>
                <w:color w:val="000000" w:themeColor="text1"/>
                <w:sz w:val="22"/>
                <w:szCs w:val="22"/>
              </w:rPr>
              <w:t xml:space="preserve">, </w:t>
            </w:r>
            <w:r w:rsidRPr="009D39B3">
              <w:rPr>
                <w:color w:val="000000" w:themeColor="text1"/>
                <w:sz w:val="22"/>
                <w:szCs w:val="22"/>
              </w:rPr>
              <w:t>2020</w:t>
            </w:r>
          </w:p>
        </w:tc>
      </w:tr>
    </w:tbl>
    <w:p w14:paraId="54D33CB5" w14:textId="12DF3577" w:rsidR="0A676C0A" w:rsidRDefault="0A676C0A" w:rsidP="4644E7B5">
      <w:pPr>
        <w:spacing w:line="276" w:lineRule="auto"/>
        <w:ind w:left="-20" w:right="-20"/>
        <w:jc w:val="center"/>
      </w:pPr>
      <w:r w:rsidRPr="4644E7B5">
        <w:rPr>
          <w:rFonts w:ascii="Times New Roman" w:eastAsia="Times New Roman" w:hAnsi="Times New Roman" w:cs="Times New Roman"/>
        </w:rPr>
        <w:t>_________</w:t>
      </w:r>
    </w:p>
    <w:sectPr w:rsidR="0A676C0A" w:rsidSect="003724BD">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59549" w14:textId="77777777" w:rsidR="003724BD" w:rsidRDefault="003724BD">
      <w:pPr>
        <w:spacing w:after="0" w:line="240" w:lineRule="auto"/>
      </w:pPr>
      <w:r>
        <w:separator/>
      </w:r>
    </w:p>
  </w:endnote>
  <w:endnote w:type="continuationSeparator" w:id="0">
    <w:p w14:paraId="58739039" w14:textId="77777777" w:rsidR="003724BD" w:rsidRDefault="003724BD">
      <w:pPr>
        <w:spacing w:after="0" w:line="240" w:lineRule="auto"/>
      </w:pPr>
      <w:r>
        <w:continuationSeparator/>
      </w:r>
    </w:p>
  </w:endnote>
  <w:endnote w:type="continuationNotice" w:id="1">
    <w:p w14:paraId="55D90D5B" w14:textId="77777777" w:rsidR="003724BD" w:rsidRDefault="003724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radeGothicLT-Light">
    <w:altName w:val="Calibri"/>
    <w:panose1 w:val="00000000000000000000"/>
    <w:charset w:val="4D"/>
    <w:family w:val="auto"/>
    <w:notTrueType/>
    <w:pitch w:val="default"/>
    <w:sig w:usb0="00000003" w:usb1="00000000" w:usb2="00000000" w:usb3="00000000" w:csb0="00000001" w:csb1="00000000"/>
  </w:font>
  <w:font w:name="Proxima Nova">
    <w:altName w:val="Tahoma"/>
    <w:panose1 w:val="00000000000000000000"/>
    <w:charset w:val="00"/>
    <w:family w:val="auto"/>
    <w:notTrueType/>
    <w:pitch w:val="variable"/>
    <w:sig w:usb0="20000287" w:usb1="00000001" w:usb2="00000000" w:usb3="00000000" w:csb0="0000019F" w:csb1="00000000"/>
  </w:font>
  <w:font w:name="Museo Slab 900">
    <w:altName w:val="Cambria"/>
    <w:panose1 w:val="00000000000000000000"/>
    <w:charset w:val="00"/>
    <w:family w:val="roman"/>
    <w:notTrueType/>
    <w:pitch w:val="default"/>
    <w:sig w:usb0="00000003" w:usb1="00000000" w:usb2="00000000" w:usb3="00000000" w:csb0="00000001" w:csb1="00000000"/>
  </w:font>
  <w:font w:name="Proxima Nova Extrabold">
    <w:altName w:val="Tahoma"/>
    <w:panose1 w:val="00000000000000000000"/>
    <w:charset w:val="00"/>
    <w:family w:val="auto"/>
    <w:notTrueType/>
    <w:pitch w:val="variable"/>
    <w:sig w:usb0="2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0474034"/>
      <w:docPartObj>
        <w:docPartGallery w:val="Page Numbers (Top of Page)"/>
        <w:docPartUnique/>
      </w:docPartObj>
    </w:sdtPr>
    <w:sdtEndPr/>
    <w:sdtContent>
      <w:p w14:paraId="3F6FF930" w14:textId="257A2B2D" w:rsidR="003C23E6" w:rsidRDefault="0012045E" w:rsidP="006002CC">
        <w:pPr>
          <w:pStyle w:val="Footer"/>
          <w:jc w:val="left"/>
        </w:pPr>
        <w:r w:rsidRPr="006002CC">
          <w:rPr>
            <w:rFonts w:ascii="Times New Roman" w:hAnsi="Times New Roman"/>
            <w:sz w:val="20"/>
            <w:szCs w:val="20"/>
          </w:rPr>
          <w:fldChar w:fldCharType="begin"/>
        </w:r>
        <w:r w:rsidRPr="006002CC">
          <w:rPr>
            <w:rFonts w:ascii="Times New Roman" w:hAnsi="Times New Roman"/>
            <w:sz w:val="20"/>
            <w:szCs w:val="20"/>
          </w:rPr>
          <w:instrText xml:space="preserve"> PAGE </w:instrText>
        </w:r>
        <w:r w:rsidRPr="006002CC">
          <w:rPr>
            <w:rFonts w:ascii="Times New Roman" w:hAnsi="Times New Roman"/>
            <w:sz w:val="20"/>
            <w:szCs w:val="20"/>
          </w:rPr>
          <w:fldChar w:fldCharType="separate"/>
        </w:r>
        <w:r w:rsidRPr="006002CC">
          <w:rPr>
            <w:rFonts w:ascii="Times New Roman" w:hAnsi="Times New Roman"/>
            <w:sz w:val="20"/>
            <w:szCs w:val="20"/>
          </w:rPr>
          <w:t>3</w:t>
        </w:r>
        <w:r w:rsidRPr="006002CC">
          <w:rPr>
            <w:rFonts w:ascii="Times New Roman" w:hAnsi="Times New Roman"/>
            <w:sz w:val="20"/>
            <w:szCs w:val="20"/>
          </w:rPr>
          <w:fldChar w:fldCharType="end"/>
        </w:r>
        <w:r w:rsidRPr="006002CC">
          <w:rPr>
            <w:rFonts w:ascii="Times New Roman" w:hAnsi="Times New Roman"/>
            <w:sz w:val="20"/>
            <w:szCs w:val="20"/>
          </w:rPr>
          <w:t>/</w:t>
        </w:r>
        <w:r w:rsidRPr="006002CC">
          <w:rPr>
            <w:rFonts w:ascii="Times New Roman" w:hAnsi="Times New Roman"/>
            <w:sz w:val="20"/>
            <w:szCs w:val="20"/>
          </w:rPr>
          <w:fldChar w:fldCharType="begin"/>
        </w:r>
        <w:r w:rsidRPr="006002CC">
          <w:rPr>
            <w:rFonts w:ascii="Times New Roman" w:hAnsi="Times New Roman"/>
            <w:sz w:val="20"/>
            <w:szCs w:val="20"/>
          </w:rPr>
          <w:instrText xml:space="preserve"> NUMPAGES  </w:instrText>
        </w:r>
        <w:r w:rsidRPr="006002CC">
          <w:rPr>
            <w:rFonts w:ascii="Times New Roman" w:hAnsi="Times New Roman"/>
            <w:sz w:val="20"/>
            <w:szCs w:val="20"/>
          </w:rPr>
          <w:fldChar w:fldCharType="separate"/>
        </w:r>
        <w:r w:rsidRPr="006002CC">
          <w:rPr>
            <w:rFonts w:ascii="Times New Roman" w:hAnsi="Times New Roman"/>
            <w:sz w:val="20"/>
            <w:szCs w:val="20"/>
          </w:rPr>
          <w:t>6</w:t>
        </w:r>
        <w:r w:rsidRPr="006002CC">
          <w:rPr>
            <w:rFonts w:ascii="Times New Roman" w:hAnsi="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722426"/>
      <w:docPartObj>
        <w:docPartGallery w:val="Page Numbers (Top of Page)"/>
        <w:docPartUnique/>
      </w:docPartObj>
    </w:sdtPr>
    <w:sdtEndPr>
      <w:rPr>
        <w:rFonts w:ascii="Times New Roman" w:hAnsi="Times New Roman"/>
      </w:rPr>
    </w:sdtEndPr>
    <w:sdtContent>
      <w:p w14:paraId="7DEB60CB" w14:textId="5591D8B0" w:rsidR="007217DF" w:rsidRPr="006002CC" w:rsidRDefault="0012045E" w:rsidP="00A66BC4">
        <w:pPr>
          <w:pStyle w:val="Footer"/>
          <w:jc w:val="right"/>
          <w:rPr>
            <w:rFonts w:ascii="Times New Roman" w:hAnsi="Times New Roman"/>
          </w:rPr>
        </w:pPr>
        <w:r w:rsidRPr="006002CC">
          <w:rPr>
            <w:rFonts w:ascii="Times New Roman" w:hAnsi="Times New Roman"/>
            <w:sz w:val="20"/>
            <w:szCs w:val="20"/>
          </w:rPr>
          <w:fldChar w:fldCharType="begin"/>
        </w:r>
        <w:r w:rsidRPr="006002CC">
          <w:rPr>
            <w:rFonts w:ascii="Times New Roman" w:hAnsi="Times New Roman"/>
            <w:sz w:val="20"/>
            <w:szCs w:val="20"/>
          </w:rPr>
          <w:instrText xml:space="preserve"> PAGE </w:instrText>
        </w:r>
        <w:r w:rsidRPr="006002CC">
          <w:rPr>
            <w:rFonts w:ascii="Times New Roman" w:hAnsi="Times New Roman"/>
            <w:sz w:val="20"/>
            <w:szCs w:val="20"/>
          </w:rPr>
          <w:fldChar w:fldCharType="separate"/>
        </w:r>
        <w:r w:rsidRPr="006002CC">
          <w:rPr>
            <w:rFonts w:ascii="Times New Roman" w:hAnsi="Times New Roman"/>
            <w:sz w:val="20"/>
            <w:szCs w:val="20"/>
          </w:rPr>
          <w:t>3</w:t>
        </w:r>
        <w:r w:rsidRPr="006002CC">
          <w:rPr>
            <w:rFonts w:ascii="Times New Roman" w:hAnsi="Times New Roman"/>
            <w:sz w:val="20"/>
            <w:szCs w:val="20"/>
          </w:rPr>
          <w:fldChar w:fldCharType="end"/>
        </w:r>
        <w:r w:rsidRPr="006002CC">
          <w:rPr>
            <w:rFonts w:ascii="Times New Roman" w:hAnsi="Times New Roman"/>
            <w:sz w:val="20"/>
            <w:szCs w:val="20"/>
          </w:rPr>
          <w:t>/</w:t>
        </w:r>
        <w:r w:rsidRPr="006002CC">
          <w:rPr>
            <w:rFonts w:ascii="Times New Roman" w:hAnsi="Times New Roman"/>
            <w:sz w:val="20"/>
            <w:szCs w:val="20"/>
          </w:rPr>
          <w:fldChar w:fldCharType="begin"/>
        </w:r>
        <w:r w:rsidRPr="006002CC">
          <w:rPr>
            <w:rFonts w:ascii="Times New Roman" w:hAnsi="Times New Roman"/>
            <w:sz w:val="20"/>
            <w:szCs w:val="20"/>
          </w:rPr>
          <w:instrText xml:space="preserve"> NUMPAGES  </w:instrText>
        </w:r>
        <w:r w:rsidRPr="006002CC">
          <w:rPr>
            <w:rFonts w:ascii="Times New Roman" w:hAnsi="Times New Roman"/>
            <w:sz w:val="20"/>
            <w:szCs w:val="20"/>
          </w:rPr>
          <w:fldChar w:fldCharType="separate"/>
        </w:r>
        <w:r w:rsidRPr="006002CC">
          <w:rPr>
            <w:rFonts w:ascii="Times New Roman" w:hAnsi="Times New Roman"/>
            <w:sz w:val="20"/>
            <w:szCs w:val="20"/>
          </w:rPr>
          <w:t>6</w:t>
        </w:r>
        <w:r w:rsidRPr="006002CC">
          <w:rPr>
            <w:rFonts w:ascii="Times New Roman" w:hAnsi="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45EA9" w14:textId="77777777" w:rsidR="003724BD" w:rsidRDefault="003724BD">
      <w:pPr>
        <w:spacing w:after="0" w:line="240" w:lineRule="auto"/>
      </w:pPr>
      <w:r>
        <w:separator/>
      </w:r>
    </w:p>
  </w:footnote>
  <w:footnote w:type="continuationSeparator" w:id="0">
    <w:p w14:paraId="6F61D946" w14:textId="77777777" w:rsidR="003724BD" w:rsidRDefault="003724BD">
      <w:pPr>
        <w:spacing w:after="0" w:line="240" w:lineRule="auto"/>
      </w:pPr>
      <w:r>
        <w:continuationSeparator/>
      </w:r>
    </w:p>
  </w:footnote>
  <w:footnote w:type="continuationNotice" w:id="1">
    <w:p w14:paraId="054CD929" w14:textId="77777777" w:rsidR="003724BD" w:rsidRDefault="003724BD">
      <w:pPr>
        <w:spacing w:after="0" w:line="240" w:lineRule="auto"/>
      </w:pPr>
    </w:p>
  </w:footnote>
  <w:footnote w:id="2">
    <w:p w14:paraId="68A01A4A" w14:textId="77777777" w:rsidR="00CB1042" w:rsidRPr="00A96B21" w:rsidRDefault="00CB1042" w:rsidP="00CB1042">
      <w:pPr>
        <w:pStyle w:val="Footnote"/>
      </w:pPr>
      <w:r>
        <w:rPr>
          <w:rStyle w:val="FootnoteReference"/>
          <w:rFonts w:eastAsia="Arial"/>
        </w:rPr>
        <w:t>*</w:t>
      </w:r>
      <w:r>
        <w:t xml:space="preserve"> </w:t>
      </w:r>
      <w:r w:rsidRPr="00A96B21">
        <w:t>CBD/</w:t>
      </w:r>
      <w:r>
        <w:t>SBSTTA/26/1.</w:t>
      </w:r>
    </w:p>
  </w:footnote>
  <w:footnote w:id="3">
    <w:p w14:paraId="7DB4E2E7" w14:textId="77777777" w:rsidR="00D42051" w:rsidRPr="00EB306B" w:rsidRDefault="00D42051" w:rsidP="00DD7AFB">
      <w:pPr>
        <w:pStyle w:val="FootnoteText"/>
        <w:spacing w:before="0" w:after="0"/>
        <w:rPr>
          <w:rFonts w:ascii="Times New Roman" w:hAnsi="Times New Roman"/>
          <w:sz w:val="18"/>
          <w:szCs w:val="18"/>
          <w:lang w:val="it-IT"/>
        </w:rPr>
      </w:pPr>
      <w:r w:rsidRPr="004760E1">
        <w:rPr>
          <w:rStyle w:val="FootnoteReference"/>
          <w:rFonts w:ascii="Times New Roman" w:hAnsi="Times New Roman"/>
          <w:sz w:val="18"/>
          <w:szCs w:val="18"/>
        </w:rPr>
        <w:footnoteRef/>
      </w:r>
      <w:r w:rsidRPr="00EB306B">
        <w:rPr>
          <w:rFonts w:ascii="Times New Roman" w:hAnsi="Times New Roman"/>
          <w:sz w:val="18"/>
          <w:szCs w:val="18"/>
          <w:lang w:val="it-IT"/>
        </w:rPr>
        <w:t xml:space="preserve"> </w:t>
      </w:r>
      <w:r w:rsidRPr="00EB306B">
        <w:rPr>
          <w:rFonts w:ascii="Times New Roman" w:hAnsi="Times New Roman"/>
          <w:bCs/>
          <w:sz w:val="18"/>
          <w:lang w:val="it-IT"/>
        </w:rPr>
        <w:t>Decision CP-10/10: https://www.cbd.int/doc/decisions/cp-mop-10/cp-mop-10-dec-10-en.pdf</w:t>
      </w:r>
      <w:r w:rsidRPr="00EB306B">
        <w:rPr>
          <w:rFonts w:ascii="Times New Roman" w:hAnsi="Times New Roman"/>
          <w:sz w:val="16"/>
          <w:szCs w:val="18"/>
          <w:lang w:val="it-IT"/>
        </w:rPr>
        <w:t xml:space="preserve"> </w:t>
      </w:r>
    </w:p>
  </w:footnote>
  <w:footnote w:id="4">
    <w:p w14:paraId="1F71AF5B" w14:textId="77777777" w:rsidR="00D42051" w:rsidRPr="004760E1" w:rsidRDefault="00D42051" w:rsidP="00DD7AFB">
      <w:pPr>
        <w:pStyle w:val="FootnoteText"/>
        <w:spacing w:before="0" w:after="0"/>
        <w:rPr>
          <w:rFonts w:ascii="Times New Roman" w:hAnsi="Times New Roman"/>
          <w:sz w:val="18"/>
          <w:szCs w:val="18"/>
          <w:lang w:val="en-GB"/>
        </w:rPr>
      </w:pPr>
      <w:r w:rsidRPr="004760E1">
        <w:rPr>
          <w:rStyle w:val="FootnoteReference"/>
          <w:rFonts w:ascii="Times New Roman" w:hAnsi="Times New Roman"/>
          <w:sz w:val="18"/>
          <w:szCs w:val="18"/>
        </w:rPr>
        <w:footnoteRef/>
      </w:r>
      <w:r w:rsidRPr="004760E1">
        <w:rPr>
          <w:rFonts w:ascii="Times New Roman" w:hAnsi="Times New Roman"/>
          <w:sz w:val="18"/>
          <w:szCs w:val="18"/>
        </w:rPr>
        <w:t xml:space="preserve"> The Cartagena Protocol on Biosafety 2003. </w:t>
      </w:r>
      <w:hyperlink r:id="rId1" w:tooltip="https://bch.cbd.int/protocol/" w:history="1">
        <w:r w:rsidRPr="004760E1">
          <w:rPr>
            <w:rStyle w:val="Hyperlink"/>
            <w:rFonts w:ascii="Times New Roman" w:hAnsi="Times New Roman"/>
            <w:color w:val="auto"/>
            <w:sz w:val="18"/>
            <w:szCs w:val="18"/>
          </w:rPr>
          <w:t>https://bch.cbd.int/protocol/</w:t>
        </w:r>
      </w:hyperlink>
      <w:r w:rsidRPr="004760E1">
        <w:rPr>
          <w:rFonts w:ascii="Times New Roman" w:hAnsi="Times New Roman"/>
          <w:sz w:val="18"/>
          <w:szCs w:val="18"/>
        </w:rPr>
        <w:t xml:space="preserve">. </w:t>
      </w:r>
    </w:p>
  </w:footnote>
  <w:footnote w:id="5">
    <w:p w14:paraId="6760FE36" w14:textId="77777777" w:rsidR="00D42051" w:rsidRPr="004760E1" w:rsidRDefault="00D42051" w:rsidP="00DD7AFB">
      <w:pPr>
        <w:pStyle w:val="FootnoteText"/>
        <w:spacing w:before="0" w:after="0"/>
        <w:rPr>
          <w:rStyle w:val="FootnoteReference"/>
          <w:rFonts w:ascii="Times New Roman" w:hAnsi="Times New Roman"/>
          <w:sz w:val="18"/>
          <w:szCs w:val="18"/>
          <w:highlight w:val="yellow"/>
        </w:rPr>
      </w:pPr>
      <w:r w:rsidRPr="004760E1">
        <w:rPr>
          <w:rStyle w:val="FootnoteReference"/>
          <w:rFonts w:eastAsia="Times New Roman"/>
        </w:rPr>
        <w:footnoteRef/>
      </w:r>
      <w:r w:rsidRPr="004760E1">
        <w:rPr>
          <w:rFonts w:ascii="Times New Roman" w:eastAsia="Times New Roman" w:hAnsi="Times New Roman"/>
          <w:sz w:val="18"/>
          <w:szCs w:val="18"/>
        </w:rPr>
        <w:t xml:space="preserve"> See decisions BS-IV/11 BS-V/12, on risk assessment and risk management, of the </w:t>
      </w:r>
      <w:r w:rsidRPr="004760E1">
        <w:rPr>
          <w:rFonts w:ascii="Times New Roman" w:eastAsia="Times New Roman" w:hAnsi="Times New Roman"/>
          <w:sz w:val="18"/>
          <w:szCs w:val="18"/>
          <w:lang w:val="en-GB"/>
        </w:rPr>
        <w:t>Conference of the Parties serving as a meeting of the Parties to the Cartagena Protocol,</w:t>
      </w:r>
      <w:r w:rsidRPr="004760E1">
        <w:rPr>
          <w:rFonts w:ascii="Times New Roman" w:eastAsia="Times New Roman" w:hAnsi="Times New Roman"/>
          <w:sz w:val="18"/>
          <w:szCs w:val="18"/>
        </w:rPr>
        <w:t xml:space="preserve"> which support the drafting of and describe the objectives of the guidance on risk assessment of living modified organisms and monitoring in the context of risk assessment.</w:t>
      </w:r>
    </w:p>
  </w:footnote>
  <w:footnote w:id="6">
    <w:p w14:paraId="3E5843D3" w14:textId="6F326A71" w:rsidR="007431AF" w:rsidRDefault="007431AF">
      <w:pPr>
        <w:pStyle w:val="FootnoteText"/>
      </w:pPr>
      <w:r>
        <w:rPr>
          <w:rStyle w:val="FootnoteReference"/>
        </w:rPr>
        <w:footnoteRef/>
      </w:r>
      <w:r>
        <w:t xml:space="preserve"> </w:t>
      </w:r>
      <w:r w:rsidRPr="00A10BDE">
        <w:rPr>
          <w:rFonts w:ascii="Times New Roman" w:hAnsi="Times New Roman"/>
        </w:rPr>
        <w:t>Anal</w:t>
      </w:r>
      <w:r w:rsidR="002E5B74" w:rsidRPr="00A10BDE">
        <w:rPr>
          <w:rFonts w:ascii="Times New Roman" w:hAnsi="Times New Roman"/>
        </w:rPr>
        <w:t>ogous gene drive systems have</w:t>
      </w:r>
      <w:r w:rsidR="007D26D3" w:rsidRPr="00A10BDE">
        <w:rPr>
          <w:rFonts w:ascii="Times New Roman" w:hAnsi="Times New Roman"/>
        </w:rPr>
        <w:t xml:space="preserve"> </w:t>
      </w:r>
      <w:r w:rsidR="007D26D3" w:rsidRPr="00BB16F9">
        <w:rPr>
          <w:rFonts w:ascii="Times New Roman" w:hAnsi="Times New Roman"/>
        </w:rPr>
        <w:t>also</w:t>
      </w:r>
      <w:r w:rsidR="002E5B74" w:rsidRPr="00BB16F9">
        <w:rPr>
          <w:rFonts w:ascii="Times New Roman" w:hAnsi="Times New Roman"/>
        </w:rPr>
        <w:t xml:space="preserve"> been developed in </w:t>
      </w:r>
      <w:r w:rsidR="00334D8A" w:rsidRPr="00696A75">
        <w:rPr>
          <w:rFonts w:ascii="Times New Roman" w:hAnsi="Times New Roman"/>
          <w:color w:val="000000" w:themeColor="text1"/>
        </w:rPr>
        <w:t>a</w:t>
      </w:r>
      <w:r w:rsidR="002E5B74" w:rsidRPr="00BB16F9">
        <w:rPr>
          <w:rFonts w:ascii="Times New Roman" w:hAnsi="Times New Roman"/>
        </w:rPr>
        <w:t xml:space="preserve">sexually reproducing bacteria with a view, for example, to control </w:t>
      </w:r>
      <w:r w:rsidR="00614869" w:rsidRPr="00BB16F9">
        <w:rPr>
          <w:rFonts w:ascii="Times New Roman" w:hAnsi="Times New Roman"/>
        </w:rPr>
        <w:t>antimicrobial resistance (</w:t>
      </w:r>
      <w:r w:rsidR="00614869" w:rsidRPr="0013160B">
        <w:rPr>
          <w:rFonts w:ascii="Times New Roman" w:hAnsi="Times New Roman"/>
        </w:rPr>
        <w:t>Valderrama and others, 2019).</w:t>
      </w:r>
    </w:p>
  </w:footnote>
  <w:footnote w:id="7">
    <w:p w14:paraId="557CFF5C" w14:textId="14FF9109" w:rsidR="00D972C7" w:rsidRDefault="0013160B" w:rsidP="00D972C7">
      <w:pPr>
        <w:pStyle w:val="FootnoteText"/>
        <w:spacing w:before="0" w:after="0"/>
        <w:jc w:val="left"/>
      </w:pPr>
      <w:r>
        <w:rPr>
          <w:rFonts w:ascii="Times New Roman" w:hAnsi="Times New Roman"/>
          <w:sz w:val="18"/>
          <w:szCs w:val="18"/>
          <w:vertAlign w:val="superscript"/>
          <w:lang w:val="en-GB"/>
        </w:rPr>
        <w:t>5</w:t>
      </w:r>
      <w:r w:rsidR="00D972C7" w:rsidRPr="003F5BB3">
        <w:rPr>
          <w:rFonts w:ascii="Times New Roman" w:hAnsi="Times New Roman"/>
          <w:sz w:val="18"/>
          <w:szCs w:val="18"/>
          <w:lang w:val="en-GB"/>
        </w:rPr>
        <w:t xml:space="preserve"> </w:t>
      </w:r>
      <w:r w:rsidR="00D972C7" w:rsidRPr="00882A56">
        <w:rPr>
          <w:rFonts w:ascii="Times New Roman" w:hAnsi="Times New Roman"/>
          <w:sz w:val="18"/>
          <w:szCs w:val="18"/>
          <w:lang w:val="en-GB"/>
        </w:rPr>
        <w:t xml:space="preserve">Guidance on risk assessment of living modified organisms and monitoring in the context of risk assessment, UNEP/CBD/BS/COP-MOP/8/8/Add.1., 14 September 2016. </w:t>
      </w:r>
      <w:hyperlink r:id="rId2" w:history="1">
        <w:r w:rsidR="00D972C7" w:rsidRPr="00B91A5E">
          <w:rPr>
            <w:rStyle w:val="Hyperlink"/>
            <w:rFonts w:ascii="Times New Roman" w:hAnsi="Times New Roman"/>
            <w:sz w:val="18"/>
            <w:szCs w:val="18"/>
            <w:lang w:val="en-GB"/>
          </w:rPr>
          <w:t>www.cbd.int/doc/meetings/bs/mop-08/official/bs-mop-08-08-add1-en.pdf</w:t>
        </w:r>
      </w:hyperlink>
      <w:r w:rsidR="00D972C7" w:rsidRPr="00882A56">
        <w:rPr>
          <w:rFonts w:ascii="Times New Roman" w:hAnsi="Times New Roman"/>
          <w:sz w:val="18"/>
          <w:szCs w:val="18"/>
          <w:lang w:val="en-GB"/>
        </w:rPr>
        <w:t>.</w:t>
      </w:r>
    </w:p>
  </w:footnote>
  <w:footnote w:id="8">
    <w:p w14:paraId="34B46FEF" w14:textId="77777777" w:rsidR="00BC5DCA" w:rsidRDefault="00BC5DCA" w:rsidP="00BC5DCA">
      <w:pPr>
        <w:pStyle w:val="FootnoteText"/>
        <w:spacing w:before="0" w:after="0"/>
        <w:jc w:val="left"/>
      </w:pPr>
      <w:r>
        <w:rPr>
          <w:rFonts w:ascii="Times New Roman" w:hAnsi="Times New Roman"/>
          <w:sz w:val="18"/>
          <w:szCs w:val="18"/>
          <w:vertAlign w:val="superscript"/>
          <w:lang w:val="en-GB"/>
        </w:rPr>
        <w:footnoteRef/>
      </w:r>
      <w:r>
        <w:rPr>
          <w:rFonts w:ascii="Times New Roman" w:hAnsi="Times New Roman"/>
          <w:sz w:val="18"/>
          <w:szCs w:val="18"/>
          <w:lang w:val="en-GB"/>
        </w:rPr>
        <w:t xml:space="preserve"> Also termed: general protection goals or generic endpoints.</w:t>
      </w:r>
    </w:p>
  </w:footnote>
  <w:footnote w:id="9">
    <w:p w14:paraId="1E1D581C" w14:textId="59AC0B88" w:rsidR="0036381A" w:rsidRPr="0036381A" w:rsidRDefault="0036381A">
      <w:pPr>
        <w:pStyle w:val="FootnoteText"/>
        <w:rPr>
          <w:rFonts w:ascii="Times" w:hAnsi="Times" w:cs="Times"/>
          <w:lang w:val="en-CA"/>
        </w:rPr>
      </w:pPr>
      <w:r w:rsidRPr="0036381A">
        <w:rPr>
          <w:rStyle w:val="FootnoteReference"/>
          <w:rFonts w:ascii="Times" w:hAnsi="Times" w:cs="Times"/>
        </w:rPr>
        <w:footnoteRef/>
      </w:r>
      <w:r w:rsidRPr="0036381A">
        <w:rPr>
          <w:rFonts w:ascii="Times" w:hAnsi="Times" w:cs="Times"/>
        </w:rPr>
        <w:t xml:space="preserve"> </w:t>
      </w:r>
      <w:r w:rsidRPr="007A10A0">
        <w:rPr>
          <w:rFonts w:ascii="Times New Roman" w:hAnsi="Times New Roman"/>
          <w:sz w:val="18"/>
          <w:szCs w:val="18"/>
        </w:rPr>
        <w:t>CBD/CP/RA/AHTEG/2020/1/4</w:t>
      </w:r>
    </w:p>
  </w:footnote>
  <w:footnote w:id="10">
    <w:p w14:paraId="62AB2427" w14:textId="388C7788" w:rsidR="0052464F" w:rsidRPr="00C4297C" w:rsidRDefault="0052464F">
      <w:pPr>
        <w:pStyle w:val="FootnoteText"/>
        <w:rPr>
          <w:rFonts w:ascii="Times" w:hAnsi="Times" w:cs="Times"/>
          <w:sz w:val="18"/>
          <w:szCs w:val="18"/>
          <w:lang w:val="en-CA"/>
        </w:rPr>
      </w:pPr>
      <w:r w:rsidRPr="00C4297C">
        <w:rPr>
          <w:rStyle w:val="FootnoteReference"/>
          <w:rFonts w:ascii="Times" w:hAnsi="Times" w:cs="Times"/>
          <w:sz w:val="18"/>
          <w:szCs w:val="18"/>
        </w:rPr>
        <w:footnoteRef/>
      </w:r>
      <w:r w:rsidRPr="00C4297C">
        <w:rPr>
          <w:rFonts w:ascii="Times" w:hAnsi="Times" w:cs="Times"/>
          <w:sz w:val="18"/>
          <w:szCs w:val="18"/>
        </w:rPr>
        <w:t xml:space="preserve"> </w:t>
      </w:r>
      <w:r w:rsidRPr="00C4297C">
        <w:rPr>
          <w:rStyle w:val="ui-provider"/>
          <w:rFonts w:ascii="Times" w:hAnsi="Times" w:cs="Times"/>
          <w:sz w:val="18"/>
          <w:szCs w:val="18"/>
        </w:rPr>
        <w:t>(CBD/CP/RA/AHTEG/2020/1/4)</w:t>
      </w:r>
    </w:p>
  </w:footnote>
  <w:footnote w:id="11">
    <w:p w14:paraId="7BD3BB6B" w14:textId="71FEFB7B" w:rsidR="0052464F" w:rsidRPr="006450BD" w:rsidRDefault="0052464F">
      <w:pPr>
        <w:pStyle w:val="FootnoteText"/>
        <w:rPr>
          <w:rFonts w:ascii="Times" w:hAnsi="Times" w:cs="Times"/>
          <w:lang w:val="en-CA"/>
        </w:rPr>
      </w:pPr>
      <w:r w:rsidRPr="00C4297C">
        <w:rPr>
          <w:rStyle w:val="FootnoteReference"/>
          <w:rFonts w:ascii="Times" w:hAnsi="Times" w:cs="Times"/>
          <w:sz w:val="18"/>
          <w:szCs w:val="18"/>
        </w:rPr>
        <w:footnoteRef/>
      </w:r>
      <w:r w:rsidRPr="00C4297C">
        <w:rPr>
          <w:rFonts w:ascii="Times" w:hAnsi="Times" w:cs="Times"/>
          <w:sz w:val="18"/>
          <w:szCs w:val="18"/>
        </w:rPr>
        <w:t xml:space="preserve"> </w:t>
      </w:r>
      <w:r w:rsidRPr="00C4297C">
        <w:rPr>
          <w:rStyle w:val="ui-provider"/>
          <w:rFonts w:ascii="Times" w:hAnsi="Times" w:cs="Times"/>
          <w:sz w:val="18"/>
          <w:szCs w:val="18"/>
        </w:rPr>
        <w:t>(CBD/CP/RA/AHTEG/2020/1/4)</w:t>
      </w:r>
    </w:p>
  </w:footnote>
  <w:footnote w:id="12">
    <w:p w14:paraId="73581389" w14:textId="0BB1FB83" w:rsidR="4644E7B5" w:rsidRPr="00C61AA8" w:rsidRDefault="4644E7B5" w:rsidP="4644E7B5">
      <w:pPr>
        <w:spacing w:before="40" w:after="40"/>
        <w:ind w:left="-20" w:right="-20"/>
        <w:rPr>
          <w:rFonts w:ascii="Times" w:eastAsia="Times" w:hAnsi="Times" w:cs="Times"/>
          <w:sz w:val="18"/>
          <w:szCs w:val="18"/>
          <w:lang w:val="en-AU"/>
        </w:rPr>
      </w:pPr>
      <w:r w:rsidRPr="00C61AA8">
        <w:rPr>
          <w:rFonts w:ascii="Times" w:eastAsia="Times" w:hAnsi="Times" w:cs="Times"/>
          <w:sz w:val="18"/>
          <w:szCs w:val="18"/>
          <w:vertAlign w:val="superscript"/>
        </w:rPr>
        <w:footnoteRef/>
      </w:r>
      <w:r w:rsidRPr="00C61AA8">
        <w:rPr>
          <w:rFonts w:ascii="Times" w:eastAsia="Times" w:hAnsi="Times" w:cs="Times"/>
          <w:sz w:val="18"/>
          <w:szCs w:val="18"/>
        </w:rPr>
        <w:t xml:space="preserve"> </w:t>
      </w:r>
      <w:r w:rsidRPr="00C4297C">
        <w:rPr>
          <w:rFonts w:ascii="Times" w:eastAsia="Times" w:hAnsi="Times" w:cs="Times"/>
          <w:sz w:val="18"/>
          <w:szCs w:val="18"/>
          <w:lang w:val="en-AU"/>
        </w:rPr>
        <w:t>An outcome of a release of a suppression drive predicted by modelling whereby wild type individuals recolonise an area where the drive has locally eliminated the population</w:t>
      </w:r>
      <w:r w:rsidRPr="00C61AA8">
        <w:rPr>
          <w:rFonts w:ascii="Times" w:eastAsia="Times" w:hAnsi="Times" w:cs="Times"/>
          <w:sz w:val="18"/>
          <w:szCs w:val="18"/>
          <w:lang w:val="en-AU"/>
        </w:rPr>
        <w:t xml:space="preserve"> (Champer </w:t>
      </w:r>
      <w:r w:rsidR="00BB693E" w:rsidRPr="00C61AA8">
        <w:rPr>
          <w:rFonts w:ascii="Times" w:eastAsia="Times" w:hAnsi="Times" w:cs="Times"/>
          <w:sz w:val="18"/>
          <w:szCs w:val="18"/>
          <w:lang w:val="en-AU"/>
        </w:rPr>
        <w:t>and others,</w:t>
      </w:r>
      <w:r w:rsidRPr="00C61AA8">
        <w:rPr>
          <w:rFonts w:ascii="Times" w:eastAsia="Times" w:hAnsi="Times" w:cs="Times"/>
          <w:sz w:val="18"/>
          <w:szCs w:val="18"/>
          <w:lang w:val="en-AU"/>
        </w:rPr>
        <w:t xml:space="preserve"> 202</w:t>
      </w:r>
      <w:r w:rsidR="00601B3F" w:rsidRPr="00C61AA8">
        <w:rPr>
          <w:rFonts w:ascii="Times" w:eastAsia="Times" w:hAnsi="Times" w:cs="Times"/>
          <w:sz w:val="18"/>
          <w:szCs w:val="18"/>
          <w:lang w:val="en-AU"/>
        </w:rPr>
        <w:t>1</w:t>
      </w:r>
      <w:r w:rsidRPr="00C61AA8">
        <w:rPr>
          <w:rFonts w:ascii="Times" w:eastAsia="Times" w:hAnsi="Times" w:cs="Times"/>
          <w:sz w:val="18"/>
          <w:szCs w:val="18"/>
          <w:lang w:val="en-AU"/>
        </w:rPr>
        <w:t>).</w:t>
      </w:r>
    </w:p>
  </w:footnote>
  <w:footnote w:id="13">
    <w:p w14:paraId="3A286088" w14:textId="77777777" w:rsidR="00D42051" w:rsidRDefault="00D42051">
      <w:pPr>
        <w:pStyle w:val="FootnoteText"/>
        <w:spacing w:before="0" w:after="0"/>
        <w:jc w:val="left"/>
        <w:rPr>
          <w:rFonts w:ascii="Times New Roman" w:hAnsi="Times New Roman"/>
          <w:sz w:val="18"/>
          <w:szCs w:val="18"/>
          <w:lang w:val="en-GB"/>
        </w:rPr>
      </w:pPr>
      <w:r>
        <w:rPr>
          <w:rFonts w:ascii="Times New Roman" w:hAnsi="Times New Roman"/>
          <w:sz w:val="18"/>
          <w:szCs w:val="18"/>
          <w:vertAlign w:val="superscript"/>
          <w:lang w:val="en-GB"/>
        </w:rPr>
        <w:footnoteRef/>
      </w:r>
      <w:r>
        <w:rPr>
          <w:rFonts w:ascii="Times New Roman" w:hAnsi="Times New Roman"/>
          <w:sz w:val="18"/>
          <w:szCs w:val="18"/>
          <w:lang w:val="en-GB"/>
        </w:rPr>
        <w:t xml:space="preserve"> Also termed: adverse outcome pathways.</w:t>
      </w:r>
    </w:p>
  </w:footnote>
  <w:footnote w:id="14">
    <w:p w14:paraId="132FC6D0" w14:textId="77777777" w:rsidR="0097465E" w:rsidRPr="004760E1" w:rsidRDefault="0097465E" w:rsidP="0097465E">
      <w:pPr>
        <w:pStyle w:val="FootnoteText"/>
        <w:spacing w:before="0" w:after="0"/>
        <w:jc w:val="left"/>
        <w:rPr>
          <w:rFonts w:ascii="Times New Roman" w:hAnsi="Times New Roman"/>
          <w:sz w:val="18"/>
          <w:szCs w:val="18"/>
          <w:lang w:val="en-GB"/>
        </w:rPr>
      </w:pPr>
      <w:r w:rsidRPr="004760E1">
        <w:rPr>
          <w:rStyle w:val="FootnoteReference"/>
          <w:rFonts w:ascii="Times New Roman" w:hAnsi="Times New Roman"/>
          <w:sz w:val="18"/>
          <w:szCs w:val="18"/>
        </w:rPr>
        <w:footnoteRef/>
      </w:r>
      <w:r w:rsidRPr="004760E1">
        <w:rPr>
          <w:rFonts w:ascii="Times New Roman" w:hAnsi="Times New Roman"/>
          <w:sz w:val="18"/>
          <w:szCs w:val="18"/>
        </w:rPr>
        <w:t xml:space="preserve"> The Convention on Biological Diversity 1992, annex I. Identification and monitoring </w:t>
      </w:r>
      <w:hyperlink r:id="rId3" w:history="1">
        <w:r w:rsidRPr="004760E1">
          <w:rPr>
            <w:rStyle w:val="Hyperlink"/>
            <w:rFonts w:ascii="Times New Roman" w:hAnsi="Times New Roman"/>
            <w:color w:val="auto"/>
            <w:sz w:val="18"/>
            <w:szCs w:val="18"/>
          </w:rPr>
          <w:t>www.cbd.int/convention/articles/?a=cbd-a1</w:t>
        </w:r>
      </w:hyperlink>
      <w:r w:rsidRPr="004760E1">
        <w:rPr>
          <w:rFonts w:ascii="Times New Roman" w:hAnsi="Times New Roman"/>
          <w:sz w:val="18"/>
          <w:szCs w:val="18"/>
        </w:rPr>
        <w:t xml:space="preserve">. </w:t>
      </w:r>
    </w:p>
  </w:footnote>
  <w:footnote w:id="15">
    <w:p w14:paraId="05E69E7E" w14:textId="0F160129" w:rsidR="00D42051" w:rsidRDefault="00D42051">
      <w:pPr>
        <w:spacing w:after="0" w:line="240" w:lineRule="auto"/>
        <w:rPr>
          <w:rFonts w:ascii="Tahoma" w:hAnsi="Tahoma" w:cs="Tahoma"/>
          <w:sz w:val="16"/>
          <w:szCs w:val="16"/>
        </w:rPr>
      </w:pPr>
      <w:r>
        <w:rPr>
          <w:rFonts w:ascii="Times New Roman" w:hAnsi="Times New Roman" w:cs="Times New Roman"/>
          <w:sz w:val="18"/>
          <w:szCs w:val="18"/>
          <w:vertAlign w:val="superscript"/>
          <w:lang w:val="en-US"/>
        </w:rPr>
        <w:footnoteRef/>
      </w:r>
      <w:r>
        <w:rPr>
          <w:rFonts w:ascii="Times New Roman" w:hAnsi="Times New Roman" w:cs="Times New Roman"/>
          <w:sz w:val="18"/>
          <w:szCs w:val="18"/>
          <w:vertAlign w:val="superscript"/>
          <w:lang w:val="en-US"/>
        </w:rPr>
        <w:t xml:space="preserve"> </w:t>
      </w:r>
      <w:r>
        <w:rPr>
          <w:rFonts w:ascii="Times New Roman" w:hAnsi="Times New Roman" w:cs="Times New Roman"/>
          <w:sz w:val="18"/>
          <w:szCs w:val="18"/>
          <w:lang w:val="en-US"/>
        </w:rPr>
        <w:t>Also termed: adverse outcome pathwa</w:t>
      </w:r>
      <w:r w:rsidR="0067796C">
        <w:rPr>
          <w:rFonts w:ascii="Times New Roman" w:hAnsi="Times New Roman" w:cs="Times New Roman"/>
          <w:sz w:val="18"/>
          <w:szCs w:val="18"/>
          <w:lang w:val="en-US"/>
        </w:rPr>
        <w:t>y</w:t>
      </w:r>
      <w:r>
        <w:rPr>
          <w:rFonts w:ascii="Times New Roman" w:hAnsi="Times New Roman" w:cs="Times New Roman"/>
          <w:sz w:val="18"/>
          <w:szCs w:val="18"/>
          <w:lang w:val="en-US"/>
        </w:rPr>
        <w:t>. A pathway to harm is a causal or conditional chain of events that need to occur for a harm to be realized.</w:t>
      </w:r>
    </w:p>
  </w:footnote>
  <w:footnote w:id="16">
    <w:p w14:paraId="46C2782D" w14:textId="10064B9F" w:rsidR="0013160B" w:rsidRDefault="0013160B">
      <w:pPr>
        <w:pStyle w:val="FootnoteText"/>
      </w:pPr>
      <w:r>
        <w:rPr>
          <w:rStyle w:val="FootnoteReference"/>
        </w:rPr>
        <w:footnoteRef/>
      </w:r>
      <w:r>
        <w:t xml:space="preserve"> </w:t>
      </w:r>
      <w:r w:rsidRPr="00882A56">
        <w:rPr>
          <w:rFonts w:ascii="Times New Roman" w:hAnsi="Times New Roman"/>
          <w:sz w:val="18"/>
          <w:szCs w:val="18"/>
          <w:lang w:val="en-GB"/>
        </w:rPr>
        <w:t xml:space="preserve">Guidance on risk assessment of living modified organisms and monitoring in the context of risk assessment, UNEP/CBD/BS/COP-MOP/8/8/Add.1., 14 September 2016. </w:t>
      </w:r>
      <w:hyperlink r:id="rId4" w:history="1">
        <w:r w:rsidRPr="00B91A5E">
          <w:rPr>
            <w:rStyle w:val="Hyperlink"/>
            <w:rFonts w:ascii="Times New Roman" w:hAnsi="Times New Roman"/>
            <w:sz w:val="18"/>
            <w:szCs w:val="18"/>
            <w:lang w:val="en-GB"/>
          </w:rPr>
          <w:t>www.cbd.int/doc/meetings/bs/mop-08/official/bs-mop-08-08-add1-en.pdf</w:t>
        </w:r>
      </w:hyperlink>
      <w:r w:rsidRPr="00882A56">
        <w:rPr>
          <w:rFonts w:ascii="Times New Roman" w:hAnsi="Times New Roman"/>
          <w:sz w:val="18"/>
          <w:szCs w:val="18"/>
          <w:lang w:val="en-GB"/>
        </w:rPr>
        <w:t>.</w:t>
      </w:r>
    </w:p>
  </w:footnote>
  <w:footnote w:id="17">
    <w:p w14:paraId="574D60E1" w14:textId="5D63A4A2" w:rsidR="00713833" w:rsidRPr="00713833" w:rsidRDefault="00713833">
      <w:pPr>
        <w:pStyle w:val="FootnoteText"/>
        <w:rPr>
          <w:rFonts w:ascii="Times New Roman" w:hAnsi="Times New Roman"/>
        </w:rPr>
      </w:pPr>
      <w:r w:rsidRPr="00713833">
        <w:rPr>
          <w:rStyle w:val="FootnoteReference"/>
          <w:rFonts w:ascii="Times New Roman" w:hAnsi="Times New Roman"/>
        </w:rPr>
        <w:footnoteRef/>
      </w:r>
      <w:r w:rsidRPr="00713833">
        <w:rPr>
          <w:rFonts w:ascii="Times New Roman" w:hAnsi="Times New Roman"/>
        </w:rPr>
        <w:t xml:space="preserve"> </w:t>
      </w:r>
      <w:r w:rsidRPr="009E6578">
        <w:rPr>
          <w:rFonts w:ascii="Times New Roman" w:hAnsi="Times New Roman"/>
        </w:rPr>
        <w:t>Adapted from Foster and Walker (2019</w:t>
      </w:r>
      <w:r w:rsidRPr="00713833">
        <w:rPr>
          <w:rFonts w:ascii="Times New Roman" w:hAnsi="Times New Roman"/>
        </w:rPr>
        <w:t>)</w:t>
      </w:r>
      <w:r w:rsidR="00C20A58">
        <w:rPr>
          <w:rFonts w:ascii="Times New Roman" w:hAnsi="Times New Roman"/>
        </w:rPr>
        <w:t>.</w:t>
      </w:r>
    </w:p>
  </w:footnote>
  <w:footnote w:id="18">
    <w:p w14:paraId="02903098" w14:textId="58742D50" w:rsidR="00F168AD" w:rsidRPr="00F168AD" w:rsidRDefault="00F168AD">
      <w:pPr>
        <w:pStyle w:val="FootnoteText"/>
        <w:rPr>
          <w:rFonts w:ascii="Times New Roman" w:hAnsi="Times New Roman"/>
        </w:rPr>
      </w:pPr>
      <w:r w:rsidRPr="00F168AD">
        <w:rPr>
          <w:rStyle w:val="FootnoteReference"/>
          <w:rFonts w:ascii="Times New Roman" w:hAnsi="Times New Roman"/>
        </w:rPr>
        <w:footnoteRef/>
      </w:r>
      <w:r w:rsidRPr="00F168AD">
        <w:rPr>
          <w:rFonts w:ascii="Times New Roman" w:hAnsi="Times New Roman"/>
        </w:rPr>
        <w:t xml:space="preserve"> </w:t>
      </w:r>
      <w:r w:rsidR="009F5F52">
        <w:rPr>
          <w:rFonts w:ascii="Times New Roman" w:hAnsi="Times New Roman"/>
        </w:rPr>
        <w:t>This list of terms is meant to assist the reader and does not constitute definitions</w:t>
      </w:r>
      <w:r w:rsidR="007531AE">
        <w:rPr>
          <w:rFonts w:ascii="Times New Roman" w:hAnsi="Times New Roman"/>
        </w:rPr>
        <w:t xml:space="preserve"> or a glossary of terms</w:t>
      </w:r>
      <w:r w:rsidR="009F5F52">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23089" w14:textId="47150E1E" w:rsidR="005D2A11" w:rsidRPr="005D2A11" w:rsidRDefault="00E569E8" w:rsidP="00A60428">
    <w:pPr>
      <w:pStyle w:val="Header"/>
      <w:pBdr>
        <w:bottom w:val="single" w:sz="4" w:space="1" w:color="auto"/>
      </w:pBdr>
      <w:ind w:right="360"/>
      <w:jc w:val="left"/>
      <w:rPr>
        <w:rFonts w:ascii="Times New Roman" w:hAnsi="Times New Roman"/>
        <w:bCs/>
        <w:iCs/>
        <w:sz w:val="20"/>
        <w:szCs w:val="20"/>
      </w:rPr>
    </w:pPr>
    <w:r>
      <w:rPr>
        <w:rFonts w:ascii="Times New Roman" w:hAnsi="Times New Roman"/>
        <w:bCs/>
        <w:iCs/>
        <w:sz w:val="20"/>
        <w:szCs w:val="20"/>
      </w:rPr>
      <w:t>CBD/SBSTTA/26/5/Add.1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8AB00" w14:textId="229806AB" w:rsidR="00627BDE" w:rsidRPr="00D352E2" w:rsidRDefault="00A43F0E" w:rsidP="005D2A11">
    <w:pPr>
      <w:pStyle w:val="Header"/>
      <w:pBdr>
        <w:bottom w:val="single" w:sz="4" w:space="1" w:color="auto"/>
      </w:pBdr>
      <w:ind w:right="360"/>
      <w:jc w:val="right"/>
      <w:rPr>
        <w:rFonts w:ascii="Times New Roman" w:hAnsi="Times New Roman"/>
        <w:bCs/>
        <w:iCs/>
        <w:sz w:val="20"/>
        <w:szCs w:val="20"/>
      </w:rPr>
    </w:pPr>
    <w:r>
      <w:rPr>
        <w:rFonts w:ascii="Times New Roman" w:hAnsi="Times New Roman"/>
        <w:bCs/>
        <w:iCs/>
        <w:sz w:val="20"/>
        <w:szCs w:val="20"/>
      </w:rPr>
      <w:t>CBD/SBSTTA/26/</w:t>
    </w:r>
    <w:r w:rsidR="00E569E8">
      <w:rPr>
        <w:rFonts w:ascii="Times New Roman" w:hAnsi="Times New Roman"/>
        <w:bCs/>
        <w:iCs/>
        <w:sz w:val="20"/>
        <w:szCs w:val="20"/>
      </w:rPr>
      <w:t>5/Add.1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2F9AA" w14:textId="094DFA86" w:rsidR="00C37194" w:rsidRPr="00FD328D" w:rsidRDefault="0024211D" w:rsidP="0024211D">
    <w:pPr>
      <w:pStyle w:val="Header"/>
      <w:pBdr>
        <w:bottom w:val="single" w:sz="4" w:space="1" w:color="auto"/>
      </w:pBdr>
      <w:spacing w:before="0"/>
      <w:ind w:right="360"/>
      <w:jc w:val="left"/>
      <w:rPr>
        <w:rFonts w:ascii="Times New Roman" w:hAnsi="Times New Roman"/>
        <w:bCs/>
        <w:iCs/>
        <w:sz w:val="20"/>
        <w:szCs w:val="20"/>
      </w:rPr>
    </w:pPr>
    <w:r>
      <w:rPr>
        <w:rFonts w:ascii="Times New Roman" w:hAnsi="Times New Roman"/>
        <w:bCs/>
        <w:iCs/>
        <w:sz w:val="20"/>
        <w:szCs w:val="20"/>
      </w:rPr>
      <w:t>CBD/SBSTTA/26/5/Add.1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B40D8" w14:textId="0D168EB5" w:rsidR="00C37194" w:rsidRPr="006A349B" w:rsidRDefault="0024211D" w:rsidP="0024211D">
    <w:pPr>
      <w:pStyle w:val="Header"/>
      <w:pBdr>
        <w:bottom w:val="single" w:sz="4" w:space="1" w:color="auto"/>
      </w:pBdr>
      <w:spacing w:before="0"/>
      <w:ind w:right="95"/>
      <w:jc w:val="right"/>
      <w:rPr>
        <w:rFonts w:ascii="Times New Roman" w:hAnsi="Times New Roman"/>
        <w:bCs/>
        <w:iCs/>
        <w:sz w:val="20"/>
        <w:szCs w:val="20"/>
      </w:rPr>
    </w:pPr>
    <w:r>
      <w:rPr>
        <w:rFonts w:ascii="Times New Roman" w:hAnsi="Times New Roman"/>
        <w:bCs/>
        <w:iCs/>
        <w:sz w:val="20"/>
        <w:szCs w:val="20"/>
      </w:rPr>
      <w:t>CBD/SBSTTA/26/5/Add.1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24BF7"/>
    <w:multiLevelType w:val="hybridMultilevel"/>
    <w:tmpl w:val="2C0E58DE"/>
    <w:lvl w:ilvl="0" w:tplc="8F009350">
      <w:start w:val="1"/>
      <w:numFmt w:val="bullet"/>
      <w:lvlText w:val="·"/>
      <w:lvlJc w:val="left"/>
      <w:pPr>
        <w:ind w:left="709" w:hanging="360"/>
      </w:pPr>
      <w:rPr>
        <w:rFonts w:ascii="Symbol" w:eastAsia="Symbol" w:hAnsi="Symbol" w:cs="Symbol" w:hint="default"/>
      </w:rPr>
    </w:lvl>
    <w:lvl w:ilvl="1" w:tplc="D592FE02">
      <w:start w:val="1"/>
      <w:numFmt w:val="bullet"/>
      <w:lvlText w:val="o"/>
      <w:lvlJc w:val="left"/>
      <w:pPr>
        <w:ind w:left="1429" w:hanging="360"/>
      </w:pPr>
      <w:rPr>
        <w:rFonts w:ascii="Courier New" w:eastAsia="Courier New" w:hAnsi="Courier New" w:cs="Courier New" w:hint="default"/>
      </w:rPr>
    </w:lvl>
    <w:lvl w:ilvl="2" w:tplc="461AD588">
      <w:start w:val="1"/>
      <w:numFmt w:val="bullet"/>
      <w:lvlText w:val="§"/>
      <w:lvlJc w:val="left"/>
      <w:pPr>
        <w:ind w:left="2149" w:hanging="360"/>
      </w:pPr>
      <w:rPr>
        <w:rFonts w:ascii="Wingdings" w:eastAsia="Wingdings" w:hAnsi="Wingdings" w:cs="Wingdings" w:hint="default"/>
      </w:rPr>
    </w:lvl>
    <w:lvl w:ilvl="3" w:tplc="70DC4782">
      <w:start w:val="1"/>
      <w:numFmt w:val="bullet"/>
      <w:lvlText w:val="·"/>
      <w:lvlJc w:val="left"/>
      <w:pPr>
        <w:ind w:left="2869" w:hanging="360"/>
      </w:pPr>
      <w:rPr>
        <w:rFonts w:ascii="Symbol" w:eastAsia="Symbol" w:hAnsi="Symbol" w:cs="Symbol" w:hint="default"/>
      </w:rPr>
    </w:lvl>
    <w:lvl w:ilvl="4" w:tplc="9B98C0FA">
      <w:start w:val="1"/>
      <w:numFmt w:val="bullet"/>
      <w:lvlText w:val="o"/>
      <w:lvlJc w:val="left"/>
      <w:pPr>
        <w:ind w:left="3589" w:hanging="360"/>
      </w:pPr>
      <w:rPr>
        <w:rFonts w:ascii="Courier New" w:eastAsia="Courier New" w:hAnsi="Courier New" w:cs="Courier New" w:hint="default"/>
      </w:rPr>
    </w:lvl>
    <w:lvl w:ilvl="5" w:tplc="C776B74A">
      <w:start w:val="1"/>
      <w:numFmt w:val="bullet"/>
      <w:lvlText w:val="§"/>
      <w:lvlJc w:val="left"/>
      <w:pPr>
        <w:ind w:left="4309" w:hanging="360"/>
      </w:pPr>
      <w:rPr>
        <w:rFonts w:ascii="Wingdings" w:eastAsia="Wingdings" w:hAnsi="Wingdings" w:cs="Wingdings" w:hint="default"/>
      </w:rPr>
    </w:lvl>
    <w:lvl w:ilvl="6" w:tplc="322898E6">
      <w:start w:val="1"/>
      <w:numFmt w:val="bullet"/>
      <w:lvlText w:val="·"/>
      <w:lvlJc w:val="left"/>
      <w:pPr>
        <w:ind w:left="5029" w:hanging="360"/>
      </w:pPr>
      <w:rPr>
        <w:rFonts w:ascii="Symbol" w:eastAsia="Symbol" w:hAnsi="Symbol" w:cs="Symbol" w:hint="default"/>
      </w:rPr>
    </w:lvl>
    <w:lvl w:ilvl="7" w:tplc="3DF07544">
      <w:start w:val="1"/>
      <w:numFmt w:val="bullet"/>
      <w:lvlText w:val="o"/>
      <w:lvlJc w:val="left"/>
      <w:pPr>
        <w:ind w:left="5749" w:hanging="360"/>
      </w:pPr>
      <w:rPr>
        <w:rFonts w:ascii="Courier New" w:eastAsia="Courier New" w:hAnsi="Courier New" w:cs="Courier New" w:hint="default"/>
      </w:rPr>
    </w:lvl>
    <w:lvl w:ilvl="8" w:tplc="37E46E54">
      <w:start w:val="1"/>
      <w:numFmt w:val="bullet"/>
      <w:lvlText w:val="§"/>
      <w:lvlJc w:val="left"/>
      <w:pPr>
        <w:ind w:left="6469" w:hanging="360"/>
      </w:pPr>
      <w:rPr>
        <w:rFonts w:ascii="Wingdings" w:eastAsia="Wingdings" w:hAnsi="Wingdings" w:cs="Wingdings" w:hint="default"/>
      </w:rPr>
    </w:lvl>
  </w:abstractNum>
  <w:abstractNum w:abstractNumId="1" w15:restartNumberingAfterBreak="0">
    <w:nsid w:val="01E23F41"/>
    <w:multiLevelType w:val="hybridMultilevel"/>
    <w:tmpl w:val="5F06FEA0"/>
    <w:lvl w:ilvl="0" w:tplc="EC4A9042">
      <w:start w:val="1"/>
      <w:numFmt w:val="bullet"/>
      <w:lvlText w:val="·"/>
      <w:lvlJc w:val="left"/>
      <w:pPr>
        <w:ind w:left="1080" w:hanging="360"/>
      </w:pPr>
      <w:rPr>
        <w:rFonts w:ascii="Symbol" w:hAnsi="Symbol" w:hint="default"/>
      </w:rPr>
    </w:lvl>
    <w:lvl w:ilvl="1" w:tplc="D20A45F8">
      <w:start w:val="1"/>
      <w:numFmt w:val="bullet"/>
      <w:lvlText w:val="o"/>
      <w:lvlJc w:val="left"/>
      <w:pPr>
        <w:ind w:left="1800" w:hanging="360"/>
      </w:pPr>
      <w:rPr>
        <w:rFonts w:ascii="Courier New" w:hAnsi="Courier New" w:hint="default"/>
      </w:rPr>
    </w:lvl>
    <w:lvl w:ilvl="2" w:tplc="BB14A13E">
      <w:start w:val="1"/>
      <w:numFmt w:val="bullet"/>
      <w:lvlText w:val=""/>
      <w:lvlJc w:val="left"/>
      <w:pPr>
        <w:ind w:left="2520" w:hanging="360"/>
      </w:pPr>
      <w:rPr>
        <w:rFonts w:ascii="Wingdings" w:hAnsi="Wingdings" w:hint="default"/>
      </w:rPr>
    </w:lvl>
    <w:lvl w:ilvl="3" w:tplc="75C2014A">
      <w:start w:val="1"/>
      <w:numFmt w:val="bullet"/>
      <w:lvlText w:val=""/>
      <w:lvlJc w:val="left"/>
      <w:pPr>
        <w:ind w:left="3240" w:hanging="360"/>
      </w:pPr>
      <w:rPr>
        <w:rFonts w:ascii="Symbol" w:hAnsi="Symbol" w:hint="default"/>
      </w:rPr>
    </w:lvl>
    <w:lvl w:ilvl="4" w:tplc="F520870C">
      <w:start w:val="1"/>
      <w:numFmt w:val="bullet"/>
      <w:lvlText w:val="o"/>
      <w:lvlJc w:val="left"/>
      <w:pPr>
        <w:ind w:left="3960" w:hanging="360"/>
      </w:pPr>
      <w:rPr>
        <w:rFonts w:ascii="Courier New" w:hAnsi="Courier New" w:hint="default"/>
      </w:rPr>
    </w:lvl>
    <w:lvl w:ilvl="5" w:tplc="5B30DE3A">
      <w:start w:val="1"/>
      <w:numFmt w:val="bullet"/>
      <w:lvlText w:val=""/>
      <w:lvlJc w:val="left"/>
      <w:pPr>
        <w:ind w:left="4680" w:hanging="360"/>
      </w:pPr>
      <w:rPr>
        <w:rFonts w:ascii="Wingdings" w:hAnsi="Wingdings" w:hint="default"/>
      </w:rPr>
    </w:lvl>
    <w:lvl w:ilvl="6" w:tplc="1B5258E2">
      <w:start w:val="1"/>
      <w:numFmt w:val="bullet"/>
      <w:lvlText w:val=""/>
      <w:lvlJc w:val="left"/>
      <w:pPr>
        <w:ind w:left="5400" w:hanging="360"/>
      </w:pPr>
      <w:rPr>
        <w:rFonts w:ascii="Symbol" w:hAnsi="Symbol" w:hint="default"/>
      </w:rPr>
    </w:lvl>
    <w:lvl w:ilvl="7" w:tplc="64B275FC">
      <w:start w:val="1"/>
      <w:numFmt w:val="bullet"/>
      <w:lvlText w:val="o"/>
      <w:lvlJc w:val="left"/>
      <w:pPr>
        <w:ind w:left="6120" w:hanging="360"/>
      </w:pPr>
      <w:rPr>
        <w:rFonts w:ascii="Courier New" w:hAnsi="Courier New" w:hint="default"/>
      </w:rPr>
    </w:lvl>
    <w:lvl w:ilvl="8" w:tplc="D7FC753C">
      <w:start w:val="1"/>
      <w:numFmt w:val="bullet"/>
      <w:lvlText w:val=""/>
      <w:lvlJc w:val="left"/>
      <w:pPr>
        <w:ind w:left="6840" w:hanging="360"/>
      </w:pPr>
      <w:rPr>
        <w:rFonts w:ascii="Wingdings" w:hAnsi="Wingdings" w:hint="default"/>
      </w:rPr>
    </w:lvl>
  </w:abstractNum>
  <w:abstractNum w:abstractNumId="2" w15:restartNumberingAfterBreak="0">
    <w:nsid w:val="03F21783"/>
    <w:multiLevelType w:val="hybridMultilevel"/>
    <w:tmpl w:val="B04A7A7A"/>
    <w:lvl w:ilvl="0" w:tplc="274A9C64">
      <w:start w:val="1"/>
      <w:numFmt w:val="bullet"/>
      <w:lvlText w:val="·"/>
      <w:lvlJc w:val="left"/>
      <w:pPr>
        <w:ind w:left="720" w:hanging="360"/>
      </w:pPr>
      <w:rPr>
        <w:rFonts w:ascii="Symbol" w:hAnsi="Symbol" w:hint="default"/>
      </w:rPr>
    </w:lvl>
    <w:lvl w:ilvl="1" w:tplc="14484EDC">
      <w:start w:val="1"/>
      <w:numFmt w:val="bullet"/>
      <w:lvlText w:val="o"/>
      <w:lvlJc w:val="left"/>
      <w:pPr>
        <w:ind w:left="1440" w:hanging="360"/>
      </w:pPr>
      <w:rPr>
        <w:rFonts w:ascii="Courier New" w:hAnsi="Courier New" w:hint="default"/>
      </w:rPr>
    </w:lvl>
    <w:lvl w:ilvl="2" w:tplc="D7880D50">
      <w:start w:val="1"/>
      <w:numFmt w:val="bullet"/>
      <w:lvlText w:val=""/>
      <w:lvlJc w:val="left"/>
      <w:pPr>
        <w:ind w:left="2160" w:hanging="360"/>
      </w:pPr>
      <w:rPr>
        <w:rFonts w:ascii="Wingdings" w:hAnsi="Wingdings" w:hint="default"/>
      </w:rPr>
    </w:lvl>
    <w:lvl w:ilvl="3" w:tplc="F8242452">
      <w:start w:val="1"/>
      <w:numFmt w:val="bullet"/>
      <w:lvlText w:val=""/>
      <w:lvlJc w:val="left"/>
      <w:pPr>
        <w:ind w:left="2880" w:hanging="360"/>
      </w:pPr>
      <w:rPr>
        <w:rFonts w:ascii="Symbol" w:hAnsi="Symbol" w:hint="default"/>
      </w:rPr>
    </w:lvl>
    <w:lvl w:ilvl="4" w:tplc="C33662D6">
      <w:start w:val="1"/>
      <w:numFmt w:val="bullet"/>
      <w:lvlText w:val="o"/>
      <w:lvlJc w:val="left"/>
      <w:pPr>
        <w:ind w:left="3600" w:hanging="360"/>
      </w:pPr>
      <w:rPr>
        <w:rFonts w:ascii="Courier New" w:hAnsi="Courier New" w:hint="default"/>
      </w:rPr>
    </w:lvl>
    <w:lvl w:ilvl="5" w:tplc="23F6E636">
      <w:start w:val="1"/>
      <w:numFmt w:val="bullet"/>
      <w:lvlText w:val=""/>
      <w:lvlJc w:val="left"/>
      <w:pPr>
        <w:ind w:left="4320" w:hanging="360"/>
      </w:pPr>
      <w:rPr>
        <w:rFonts w:ascii="Wingdings" w:hAnsi="Wingdings" w:hint="default"/>
      </w:rPr>
    </w:lvl>
    <w:lvl w:ilvl="6" w:tplc="598E2ABC">
      <w:start w:val="1"/>
      <w:numFmt w:val="bullet"/>
      <w:lvlText w:val=""/>
      <w:lvlJc w:val="left"/>
      <w:pPr>
        <w:ind w:left="5040" w:hanging="360"/>
      </w:pPr>
      <w:rPr>
        <w:rFonts w:ascii="Symbol" w:hAnsi="Symbol" w:hint="default"/>
      </w:rPr>
    </w:lvl>
    <w:lvl w:ilvl="7" w:tplc="CCBC03BE">
      <w:start w:val="1"/>
      <w:numFmt w:val="bullet"/>
      <w:lvlText w:val="o"/>
      <w:lvlJc w:val="left"/>
      <w:pPr>
        <w:ind w:left="5760" w:hanging="360"/>
      </w:pPr>
      <w:rPr>
        <w:rFonts w:ascii="Courier New" w:hAnsi="Courier New" w:hint="default"/>
      </w:rPr>
    </w:lvl>
    <w:lvl w:ilvl="8" w:tplc="0D0A9384">
      <w:start w:val="1"/>
      <w:numFmt w:val="bullet"/>
      <w:lvlText w:val=""/>
      <w:lvlJc w:val="left"/>
      <w:pPr>
        <w:ind w:left="6480" w:hanging="360"/>
      </w:pPr>
      <w:rPr>
        <w:rFonts w:ascii="Wingdings" w:hAnsi="Wingdings" w:hint="default"/>
      </w:rPr>
    </w:lvl>
  </w:abstractNum>
  <w:abstractNum w:abstractNumId="3" w15:restartNumberingAfterBreak="0">
    <w:nsid w:val="040607C3"/>
    <w:multiLevelType w:val="hybridMultilevel"/>
    <w:tmpl w:val="E47AC52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15E5C9"/>
    <w:multiLevelType w:val="hybridMultilevel"/>
    <w:tmpl w:val="41805F5A"/>
    <w:lvl w:ilvl="0" w:tplc="99E445E4">
      <w:start w:val="1"/>
      <w:numFmt w:val="bullet"/>
      <w:lvlText w:val=""/>
      <w:lvlJc w:val="left"/>
      <w:pPr>
        <w:ind w:left="720" w:hanging="360"/>
      </w:pPr>
      <w:rPr>
        <w:rFonts w:ascii="Symbol" w:hAnsi="Symbol" w:hint="default"/>
      </w:rPr>
    </w:lvl>
    <w:lvl w:ilvl="1" w:tplc="C73CF27C">
      <w:start w:val="1"/>
      <w:numFmt w:val="bullet"/>
      <w:lvlText w:val="o"/>
      <w:lvlJc w:val="left"/>
      <w:pPr>
        <w:ind w:left="1440" w:hanging="360"/>
      </w:pPr>
      <w:rPr>
        <w:rFonts w:ascii="&quot;Courier New&quot;" w:hAnsi="&quot;Courier New&quot;" w:hint="default"/>
      </w:rPr>
    </w:lvl>
    <w:lvl w:ilvl="2" w:tplc="1E3C2EDA">
      <w:start w:val="1"/>
      <w:numFmt w:val="bullet"/>
      <w:lvlText w:val=""/>
      <w:lvlJc w:val="left"/>
      <w:pPr>
        <w:ind w:left="2160" w:hanging="360"/>
      </w:pPr>
      <w:rPr>
        <w:rFonts w:ascii="Wingdings" w:hAnsi="Wingdings" w:hint="default"/>
      </w:rPr>
    </w:lvl>
    <w:lvl w:ilvl="3" w:tplc="E6364C58">
      <w:start w:val="1"/>
      <w:numFmt w:val="bullet"/>
      <w:lvlText w:val=""/>
      <w:lvlJc w:val="left"/>
      <w:pPr>
        <w:ind w:left="2880" w:hanging="360"/>
      </w:pPr>
      <w:rPr>
        <w:rFonts w:ascii="Symbol" w:hAnsi="Symbol" w:hint="default"/>
      </w:rPr>
    </w:lvl>
    <w:lvl w:ilvl="4" w:tplc="5C40907E">
      <w:start w:val="1"/>
      <w:numFmt w:val="bullet"/>
      <w:lvlText w:val="o"/>
      <w:lvlJc w:val="left"/>
      <w:pPr>
        <w:ind w:left="3600" w:hanging="360"/>
      </w:pPr>
      <w:rPr>
        <w:rFonts w:ascii="Courier New" w:hAnsi="Courier New" w:hint="default"/>
      </w:rPr>
    </w:lvl>
    <w:lvl w:ilvl="5" w:tplc="DA126100">
      <w:start w:val="1"/>
      <w:numFmt w:val="bullet"/>
      <w:lvlText w:val=""/>
      <w:lvlJc w:val="left"/>
      <w:pPr>
        <w:ind w:left="4320" w:hanging="360"/>
      </w:pPr>
      <w:rPr>
        <w:rFonts w:ascii="Wingdings" w:hAnsi="Wingdings" w:hint="default"/>
      </w:rPr>
    </w:lvl>
    <w:lvl w:ilvl="6" w:tplc="B8A4F6CE">
      <w:start w:val="1"/>
      <w:numFmt w:val="bullet"/>
      <w:lvlText w:val=""/>
      <w:lvlJc w:val="left"/>
      <w:pPr>
        <w:ind w:left="5040" w:hanging="360"/>
      </w:pPr>
      <w:rPr>
        <w:rFonts w:ascii="Symbol" w:hAnsi="Symbol" w:hint="default"/>
      </w:rPr>
    </w:lvl>
    <w:lvl w:ilvl="7" w:tplc="C85C10B8">
      <w:start w:val="1"/>
      <w:numFmt w:val="bullet"/>
      <w:lvlText w:val="o"/>
      <w:lvlJc w:val="left"/>
      <w:pPr>
        <w:ind w:left="5760" w:hanging="360"/>
      </w:pPr>
      <w:rPr>
        <w:rFonts w:ascii="Courier New" w:hAnsi="Courier New" w:hint="default"/>
      </w:rPr>
    </w:lvl>
    <w:lvl w:ilvl="8" w:tplc="BC8832F0">
      <w:start w:val="1"/>
      <w:numFmt w:val="bullet"/>
      <w:lvlText w:val=""/>
      <w:lvlJc w:val="left"/>
      <w:pPr>
        <w:ind w:left="6480" w:hanging="360"/>
      </w:pPr>
      <w:rPr>
        <w:rFonts w:ascii="Wingdings" w:hAnsi="Wingdings" w:hint="default"/>
      </w:rPr>
    </w:lvl>
  </w:abstractNum>
  <w:abstractNum w:abstractNumId="5" w15:restartNumberingAfterBreak="0">
    <w:nsid w:val="07190D6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AD2622"/>
    <w:multiLevelType w:val="hybridMultilevel"/>
    <w:tmpl w:val="3FD40966"/>
    <w:lvl w:ilvl="0" w:tplc="CEE0FC08">
      <w:start w:val="1"/>
      <w:numFmt w:val="bullet"/>
      <w:lvlText w:val="·"/>
      <w:lvlJc w:val="left"/>
      <w:pPr>
        <w:ind w:left="709" w:hanging="360"/>
      </w:pPr>
      <w:rPr>
        <w:rFonts w:ascii="Symbol" w:eastAsia="Symbol" w:hAnsi="Symbol" w:cs="Symbol" w:hint="default"/>
      </w:rPr>
    </w:lvl>
    <w:lvl w:ilvl="1" w:tplc="61F45580">
      <w:start w:val="1"/>
      <w:numFmt w:val="bullet"/>
      <w:lvlText w:val="o"/>
      <w:lvlJc w:val="left"/>
      <w:pPr>
        <w:ind w:left="1429" w:hanging="360"/>
      </w:pPr>
      <w:rPr>
        <w:rFonts w:ascii="Courier New" w:eastAsia="Courier New" w:hAnsi="Courier New" w:cs="Courier New" w:hint="default"/>
      </w:rPr>
    </w:lvl>
    <w:lvl w:ilvl="2" w:tplc="6D6EB872">
      <w:start w:val="1"/>
      <w:numFmt w:val="bullet"/>
      <w:lvlText w:val="§"/>
      <w:lvlJc w:val="left"/>
      <w:pPr>
        <w:ind w:left="2149" w:hanging="360"/>
      </w:pPr>
      <w:rPr>
        <w:rFonts w:ascii="Wingdings" w:eastAsia="Wingdings" w:hAnsi="Wingdings" w:cs="Wingdings" w:hint="default"/>
      </w:rPr>
    </w:lvl>
    <w:lvl w:ilvl="3" w:tplc="68CAAE6C">
      <w:start w:val="1"/>
      <w:numFmt w:val="bullet"/>
      <w:lvlText w:val="·"/>
      <w:lvlJc w:val="left"/>
      <w:pPr>
        <w:ind w:left="2869" w:hanging="360"/>
      </w:pPr>
      <w:rPr>
        <w:rFonts w:ascii="Symbol" w:eastAsia="Symbol" w:hAnsi="Symbol" w:cs="Symbol" w:hint="default"/>
      </w:rPr>
    </w:lvl>
    <w:lvl w:ilvl="4" w:tplc="092C3700">
      <w:start w:val="1"/>
      <w:numFmt w:val="bullet"/>
      <w:lvlText w:val="o"/>
      <w:lvlJc w:val="left"/>
      <w:pPr>
        <w:ind w:left="3589" w:hanging="360"/>
      </w:pPr>
      <w:rPr>
        <w:rFonts w:ascii="Courier New" w:eastAsia="Courier New" w:hAnsi="Courier New" w:cs="Courier New" w:hint="default"/>
      </w:rPr>
    </w:lvl>
    <w:lvl w:ilvl="5" w:tplc="50B0F2E2">
      <w:start w:val="1"/>
      <w:numFmt w:val="bullet"/>
      <w:lvlText w:val="§"/>
      <w:lvlJc w:val="left"/>
      <w:pPr>
        <w:ind w:left="4309" w:hanging="360"/>
      </w:pPr>
      <w:rPr>
        <w:rFonts w:ascii="Wingdings" w:eastAsia="Wingdings" w:hAnsi="Wingdings" w:cs="Wingdings" w:hint="default"/>
      </w:rPr>
    </w:lvl>
    <w:lvl w:ilvl="6" w:tplc="8910A20E">
      <w:start w:val="1"/>
      <w:numFmt w:val="bullet"/>
      <w:lvlText w:val="·"/>
      <w:lvlJc w:val="left"/>
      <w:pPr>
        <w:ind w:left="5029" w:hanging="360"/>
      </w:pPr>
      <w:rPr>
        <w:rFonts w:ascii="Symbol" w:eastAsia="Symbol" w:hAnsi="Symbol" w:cs="Symbol" w:hint="default"/>
      </w:rPr>
    </w:lvl>
    <w:lvl w:ilvl="7" w:tplc="83D63CCC">
      <w:start w:val="1"/>
      <w:numFmt w:val="bullet"/>
      <w:lvlText w:val="o"/>
      <w:lvlJc w:val="left"/>
      <w:pPr>
        <w:ind w:left="5749" w:hanging="360"/>
      </w:pPr>
      <w:rPr>
        <w:rFonts w:ascii="Courier New" w:eastAsia="Courier New" w:hAnsi="Courier New" w:cs="Courier New" w:hint="default"/>
      </w:rPr>
    </w:lvl>
    <w:lvl w:ilvl="8" w:tplc="B2F2655C">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08513596"/>
    <w:multiLevelType w:val="multilevel"/>
    <w:tmpl w:val="D6BEEBC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FE26D8"/>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DEC47E9"/>
    <w:multiLevelType w:val="hybridMultilevel"/>
    <w:tmpl w:val="A5147B9E"/>
    <w:lvl w:ilvl="0" w:tplc="B96C07C2">
      <w:start w:val="1"/>
      <w:numFmt w:val="bullet"/>
      <w:lvlText w:val=""/>
      <w:lvlJc w:val="left"/>
      <w:pPr>
        <w:ind w:left="720" w:hanging="360"/>
      </w:pPr>
      <w:rPr>
        <w:rFonts w:ascii="Symbol" w:hAnsi="Symbol" w:hint="default"/>
      </w:rPr>
    </w:lvl>
    <w:lvl w:ilvl="1" w:tplc="02F60782">
      <w:start w:val="1"/>
      <w:numFmt w:val="bullet"/>
      <w:lvlText w:val="o"/>
      <w:lvlJc w:val="left"/>
      <w:pPr>
        <w:ind w:left="1440" w:hanging="360"/>
      </w:pPr>
      <w:rPr>
        <w:rFonts w:ascii="&quot;Courier New&quot;" w:hAnsi="&quot;Courier New&quot;" w:hint="default"/>
      </w:rPr>
    </w:lvl>
    <w:lvl w:ilvl="2" w:tplc="51163A04">
      <w:start w:val="1"/>
      <w:numFmt w:val="bullet"/>
      <w:lvlText w:val=""/>
      <w:lvlJc w:val="left"/>
      <w:pPr>
        <w:ind w:left="2160" w:hanging="360"/>
      </w:pPr>
      <w:rPr>
        <w:rFonts w:ascii="Wingdings" w:hAnsi="Wingdings" w:hint="default"/>
      </w:rPr>
    </w:lvl>
    <w:lvl w:ilvl="3" w:tplc="24E4BCB6">
      <w:start w:val="1"/>
      <w:numFmt w:val="bullet"/>
      <w:lvlText w:val=""/>
      <w:lvlJc w:val="left"/>
      <w:pPr>
        <w:ind w:left="2880" w:hanging="360"/>
      </w:pPr>
      <w:rPr>
        <w:rFonts w:ascii="Symbol" w:hAnsi="Symbol" w:hint="default"/>
      </w:rPr>
    </w:lvl>
    <w:lvl w:ilvl="4" w:tplc="1B38987C">
      <w:start w:val="1"/>
      <w:numFmt w:val="bullet"/>
      <w:lvlText w:val="o"/>
      <w:lvlJc w:val="left"/>
      <w:pPr>
        <w:ind w:left="3600" w:hanging="360"/>
      </w:pPr>
      <w:rPr>
        <w:rFonts w:ascii="Courier New" w:hAnsi="Courier New" w:hint="default"/>
      </w:rPr>
    </w:lvl>
    <w:lvl w:ilvl="5" w:tplc="6466395E">
      <w:start w:val="1"/>
      <w:numFmt w:val="bullet"/>
      <w:lvlText w:val=""/>
      <w:lvlJc w:val="left"/>
      <w:pPr>
        <w:ind w:left="4320" w:hanging="360"/>
      </w:pPr>
      <w:rPr>
        <w:rFonts w:ascii="Wingdings" w:hAnsi="Wingdings" w:hint="default"/>
      </w:rPr>
    </w:lvl>
    <w:lvl w:ilvl="6" w:tplc="1DEE9B1C">
      <w:start w:val="1"/>
      <w:numFmt w:val="bullet"/>
      <w:lvlText w:val=""/>
      <w:lvlJc w:val="left"/>
      <w:pPr>
        <w:ind w:left="5040" w:hanging="360"/>
      </w:pPr>
      <w:rPr>
        <w:rFonts w:ascii="Symbol" w:hAnsi="Symbol" w:hint="default"/>
      </w:rPr>
    </w:lvl>
    <w:lvl w:ilvl="7" w:tplc="20549B96">
      <w:start w:val="1"/>
      <w:numFmt w:val="bullet"/>
      <w:lvlText w:val="o"/>
      <w:lvlJc w:val="left"/>
      <w:pPr>
        <w:ind w:left="5760" w:hanging="360"/>
      </w:pPr>
      <w:rPr>
        <w:rFonts w:ascii="Courier New" w:hAnsi="Courier New" w:hint="default"/>
      </w:rPr>
    </w:lvl>
    <w:lvl w:ilvl="8" w:tplc="4096312E">
      <w:start w:val="1"/>
      <w:numFmt w:val="bullet"/>
      <w:lvlText w:val=""/>
      <w:lvlJc w:val="left"/>
      <w:pPr>
        <w:ind w:left="6480" w:hanging="360"/>
      </w:pPr>
      <w:rPr>
        <w:rFonts w:ascii="Wingdings" w:hAnsi="Wingdings" w:hint="default"/>
      </w:rPr>
    </w:lvl>
  </w:abstractNum>
  <w:abstractNum w:abstractNumId="10" w15:restartNumberingAfterBreak="0">
    <w:nsid w:val="0E4E2FED"/>
    <w:multiLevelType w:val="hybridMultilevel"/>
    <w:tmpl w:val="F4C6E408"/>
    <w:lvl w:ilvl="0" w:tplc="AFB2B78C">
      <w:start w:val="1"/>
      <w:numFmt w:val="bullet"/>
      <w:lvlText w:val=""/>
      <w:lvlJc w:val="left"/>
      <w:pPr>
        <w:ind w:left="720" w:hanging="360"/>
      </w:pPr>
      <w:rPr>
        <w:rFonts w:ascii="Symbol" w:hAnsi="Symbol" w:hint="default"/>
      </w:rPr>
    </w:lvl>
    <w:lvl w:ilvl="1" w:tplc="FA5C688C">
      <w:start w:val="1"/>
      <w:numFmt w:val="bullet"/>
      <w:lvlText w:val="o"/>
      <w:lvlJc w:val="left"/>
      <w:pPr>
        <w:ind w:left="1440" w:hanging="360"/>
      </w:pPr>
      <w:rPr>
        <w:rFonts w:ascii="&quot;Courier New&quot;" w:hAnsi="&quot;Courier New&quot;" w:hint="default"/>
      </w:rPr>
    </w:lvl>
    <w:lvl w:ilvl="2" w:tplc="1D989F24">
      <w:start w:val="1"/>
      <w:numFmt w:val="bullet"/>
      <w:lvlText w:val=""/>
      <w:lvlJc w:val="left"/>
      <w:pPr>
        <w:ind w:left="2160" w:hanging="360"/>
      </w:pPr>
      <w:rPr>
        <w:rFonts w:ascii="Wingdings" w:hAnsi="Wingdings" w:hint="default"/>
      </w:rPr>
    </w:lvl>
    <w:lvl w:ilvl="3" w:tplc="B38457FC">
      <w:start w:val="1"/>
      <w:numFmt w:val="bullet"/>
      <w:lvlText w:val=""/>
      <w:lvlJc w:val="left"/>
      <w:pPr>
        <w:ind w:left="2880" w:hanging="360"/>
      </w:pPr>
      <w:rPr>
        <w:rFonts w:ascii="Symbol" w:hAnsi="Symbol" w:hint="default"/>
      </w:rPr>
    </w:lvl>
    <w:lvl w:ilvl="4" w:tplc="CA6074DE">
      <w:start w:val="1"/>
      <w:numFmt w:val="bullet"/>
      <w:lvlText w:val="o"/>
      <w:lvlJc w:val="left"/>
      <w:pPr>
        <w:ind w:left="3600" w:hanging="360"/>
      </w:pPr>
      <w:rPr>
        <w:rFonts w:ascii="Courier New" w:hAnsi="Courier New" w:hint="default"/>
      </w:rPr>
    </w:lvl>
    <w:lvl w:ilvl="5" w:tplc="E7B4836A">
      <w:start w:val="1"/>
      <w:numFmt w:val="bullet"/>
      <w:lvlText w:val=""/>
      <w:lvlJc w:val="left"/>
      <w:pPr>
        <w:ind w:left="4320" w:hanging="360"/>
      </w:pPr>
      <w:rPr>
        <w:rFonts w:ascii="Wingdings" w:hAnsi="Wingdings" w:hint="default"/>
      </w:rPr>
    </w:lvl>
    <w:lvl w:ilvl="6" w:tplc="1BA6F40C">
      <w:start w:val="1"/>
      <w:numFmt w:val="bullet"/>
      <w:lvlText w:val=""/>
      <w:lvlJc w:val="left"/>
      <w:pPr>
        <w:ind w:left="5040" w:hanging="360"/>
      </w:pPr>
      <w:rPr>
        <w:rFonts w:ascii="Symbol" w:hAnsi="Symbol" w:hint="default"/>
      </w:rPr>
    </w:lvl>
    <w:lvl w:ilvl="7" w:tplc="1918EEDA">
      <w:start w:val="1"/>
      <w:numFmt w:val="bullet"/>
      <w:lvlText w:val="o"/>
      <w:lvlJc w:val="left"/>
      <w:pPr>
        <w:ind w:left="5760" w:hanging="360"/>
      </w:pPr>
      <w:rPr>
        <w:rFonts w:ascii="Courier New" w:hAnsi="Courier New" w:hint="default"/>
      </w:rPr>
    </w:lvl>
    <w:lvl w:ilvl="8" w:tplc="D0F00B9E">
      <w:start w:val="1"/>
      <w:numFmt w:val="bullet"/>
      <w:lvlText w:val=""/>
      <w:lvlJc w:val="left"/>
      <w:pPr>
        <w:ind w:left="6480" w:hanging="360"/>
      </w:pPr>
      <w:rPr>
        <w:rFonts w:ascii="Wingdings" w:hAnsi="Wingdings" w:hint="default"/>
      </w:rPr>
    </w:lvl>
  </w:abstractNum>
  <w:abstractNum w:abstractNumId="11" w15:restartNumberingAfterBreak="0">
    <w:nsid w:val="0FB7056B"/>
    <w:multiLevelType w:val="hybridMultilevel"/>
    <w:tmpl w:val="0B10D5B8"/>
    <w:lvl w:ilvl="0" w:tplc="8886F93C">
      <w:start w:val="1"/>
      <w:numFmt w:val="bullet"/>
      <w:lvlText w:val="·"/>
      <w:lvlJc w:val="left"/>
      <w:pPr>
        <w:ind w:left="709" w:hanging="360"/>
      </w:pPr>
      <w:rPr>
        <w:rFonts w:ascii="Symbol" w:eastAsia="Symbol" w:hAnsi="Symbol" w:cs="Symbol" w:hint="default"/>
      </w:rPr>
    </w:lvl>
    <w:lvl w:ilvl="1" w:tplc="2F789600">
      <w:start w:val="1"/>
      <w:numFmt w:val="bullet"/>
      <w:lvlText w:val="o"/>
      <w:lvlJc w:val="left"/>
      <w:pPr>
        <w:ind w:left="1429" w:hanging="360"/>
      </w:pPr>
      <w:rPr>
        <w:rFonts w:ascii="Courier New" w:eastAsia="Courier New" w:hAnsi="Courier New" w:cs="Courier New" w:hint="default"/>
      </w:rPr>
    </w:lvl>
    <w:lvl w:ilvl="2" w:tplc="E5348474">
      <w:start w:val="1"/>
      <w:numFmt w:val="bullet"/>
      <w:lvlText w:val="§"/>
      <w:lvlJc w:val="left"/>
      <w:pPr>
        <w:ind w:left="2149" w:hanging="360"/>
      </w:pPr>
      <w:rPr>
        <w:rFonts w:ascii="Wingdings" w:eastAsia="Wingdings" w:hAnsi="Wingdings" w:cs="Wingdings" w:hint="default"/>
      </w:rPr>
    </w:lvl>
    <w:lvl w:ilvl="3" w:tplc="FF7AB26E">
      <w:start w:val="1"/>
      <w:numFmt w:val="bullet"/>
      <w:lvlText w:val="·"/>
      <w:lvlJc w:val="left"/>
      <w:pPr>
        <w:ind w:left="2869" w:hanging="360"/>
      </w:pPr>
      <w:rPr>
        <w:rFonts w:ascii="Symbol" w:eastAsia="Symbol" w:hAnsi="Symbol" w:cs="Symbol" w:hint="default"/>
      </w:rPr>
    </w:lvl>
    <w:lvl w:ilvl="4" w:tplc="B5CE375C">
      <w:start w:val="1"/>
      <w:numFmt w:val="bullet"/>
      <w:lvlText w:val="o"/>
      <w:lvlJc w:val="left"/>
      <w:pPr>
        <w:ind w:left="3589" w:hanging="360"/>
      </w:pPr>
      <w:rPr>
        <w:rFonts w:ascii="Courier New" w:eastAsia="Courier New" w:hAnsi="Courier New" w:cs="Courier New" w:hint="default"/>
      </w:rPr>
    </w:lvl>
    <w:lvl w:ilvl="5" w:tplc="40927D88">
      <w:start w:val="1"/>
      <w:numFmt w:val="bullet"/>
      <w:lvlText w:val="§"/>
      <w:lvlJc w:val="left"/>
      <w:pPr>
        <w:ind w:left="4309" w:hanging="360"/>
      </w:pPr>
      <w:rPr>
        <w:rFonts w:ascii="Wingdings" w:eastAsia="Wingdings" w:hAnsi="Wingdings" w:cs="Wingdings" w:hint="default"/>
      </w:rPr>
    </w:lvl>
    <w:lvl w:ilvl="6" w:tplc="5E7EA41A">
      <w:start w:val="1"/>
      <w:numFmt w:val="bullet"/>
      <w:lvlText w:val="·"/>
      <w:lvlJc w:val="left"/>
      <w:pPr>
        <w:ind w:left="5029" w:hanging="360"/>
      </w:pPr>
      <w:rPr>
        <w:rFonts w:ascii="Symbol" w:eastAsia="Symbol" w:hAnsi="Symbol" w:cs="Symbol" w:hint="default"/>
      </w:rPr>
    </w:lvl>
    <w:lvl w:ilvl="7" w:tplc="03227578">
      <w:start w:val="1"/>
      <w:numFmt w:val="bullet"/>
      <w:lvlText w:val="o"/>
      <w:lvlJc w:val="left"/>
      <w:pPr>
        <w:ind w:left="5749" w:hanging="360"/>
      </w:pPr>
      <w:rPr>
        <w:rFonts w:ascii="Courier New" w:eastAsia="Courier New" w:hAnsi="Courier New" w:cs="Courier New" w:hint="default"/>
      </w:rPr>
    </w:lvl>
    <w:lvl w:ilvl="8" w:tplc="0572364A">
      <w:start w:val="1"/>
      <w:numFmt w:val="bullet"/>
      <w:lvlText w:val="§"/>
      <w:lvlJc w:val="left"/>
      <w:pPr>
        <w:ind w:left="6469" w:hanging="360"/>
      </w:pPr>
      <w:rPr>
        <w:rFonts w:ascii="Wingdings" w:eastAsia="Wingdings" w:hAnsi="Wingdings" w:cs="Wingdings" w:hint="default"/>
      </w:rPr>
    </w:lvl>
  </w:abstractNum>
  <w:abstractNum w:abstractNumId="12" w15:restartNumberingAfterBreak="0">
    <w:nsid w:val="10176F15"/>
    <w:multiLevelType w:val="hybridMultilevel"/>
    <w:tmpl w:val="8EF6FB4C"/>
    <w:lvl w:ilvl="0" w:tplc="BB1CCE1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051FC39"/>
    <w:multiLevelType w:val="hybridMultilevel"/>
    <w:tmpl w:val="946ECCB0"/>
    <w:lvl w:ilvl="0" w:tplc="2160D136">
      <w:start w:val="1"/>
      <w:numFmt w:val="bullet"/>
      <w:lvlText w:val=""/>
      <w:lvlJc w:val="left"/>
      <w:pPr>
        <w:ind w:left="720" w:hanging="360"/>
      </w:pPr>
      <w:rPr>
        <w:rFonts w:ascii="Symbol" w:hAnsi="Symbol" w:hint="default"/>
      </w:rPr>
    </w:lvl>
    <w:lvl w:ilvl="1" w:tplc="9A4E35BA">
      <w:start w:val="1"/>
      <w:numFmt w:val="bullet"/>
      <w:lvlText w:val="o"/>
      <w:lvlJc w:val="left"/>
      <w:pPr>
        <w:ind w:left="1440" w:hanging="360"/>
      </w:pPr>
      <w:rPr>
        <w:rFonts w:ascii="&quot;Courier New&quot;" w:hAnsi="&quot;Courier New&quot;" w:hint="default"/>
      </w:rPr>
    </w:lvl>
    <w:lvl w:ilvl="2" w:tplc="96D863D2">
      <w:start w:val="1"/>
      <w:numFmt w:val="bullet"/>
      <w:lvlText w:val=""/>
      <w:lvlJc w:val="left"/>
      <w:pPr>
        <w:ind w:left="2160" w:hanging="360"/>
      </w:pPr>
      <w:rPr>
        <w:rFonts w:ascii="Wingdings" w:hAnsi="Wingdings" w:hint="default"/>
      </w:rPr>
    </w:lvl>
    <w:lvl w:ilvl="3" w:tplc="F896200C">
      <w:start w:val="1"/>
      <w:numFmt w:val="bullet"/>
      <w:lvlText w:val=""/>
      <w:lvlJc w:val="left"/>
      <w:pPr>
        <w:ind w:left="2880" w:hanging="360"/>
      </w:pPr>
      <w:rPr>
        <w:rFonts w:ascii="Symbol" w:hAnsi="Symbol" w:hint="default"/>
      </w:rPr>
    </w:lvl>
    <w:lvl w:ilvl="4" w:tplc="E7380D9A">
      <w:start w:val="1"/>
      <w:numFmt w:val="bullet"/>
      <w:lvlText w:val="o"/>
      <w:lvlJc w:val="left"/>
      <w:pPr>
        <w:ind w:left="3600" w:hanging="360"/>
      </w:pPr>
      <w:rPr>
        <w:rFonts w:ascii="Courier New" w:hAnsi="Courier New" w:hint="default"/>
      </w:rPr>
    </w:lvl>
    <w:lvl w:ilvl="5" w:tplc="080C0F40">
      <w:start w:val="1"/>
      <w:numFmt w:val="bullet"/>
      <w:lvlText w:val=""/>
      <w:lvlJc w:val="left"/>
      <w:pPr>
        <w:ind w:left="4320" w:hanging="360"/>
      </w:pPr>
      <w:rPr>
        <w:rFonts w:ascii="Wingdings" w:hAnsi="Wingdings" w:hint="default"/>
      </w:rPr>
    </w:lvl>
    <w:lvl w:ilvl="6" w:tplc="7214E4F6">
      <w:start w:val="1"/>
      <w:numFmt w:val="bullet"/>
      <w:lvlText w:val=""/>
      <w:lvlJc w:val="left"/>
      <w:pPr>
        <w:ind w:left="5040" w:hanging="360"/>
      </w:pPr>
      <w:rPr>
        <w:rFonts w:ascii="Symbol" w:hAnsi="Symbol" w:hint="default"/>
      </w:rPr>
    </w:lvl>
    <w:lvl w:ilvl="7" w:tplc="4E0A5988">
      <w:start w:val="1"/>
      <w:numFmt w:val="bullet"/>
      <w:lvlText w:val="o"/>
      <w:lvlJc w:val="left"/>
      <w:pPr>
        <w:ind w:left="5760" w:hanging="360"/>
      </w:pPr>
      <w:rPr>
        <w:rFonts w:ascii="Courier New" w:hAnsi="Courier New" w:hint="default"/>
      </w:rPr>
    </w:lvl>
    <w:lvl w:ilvl="8" w:tplc="4DFAC91E">
      <w:start w:val="1"/>
      <w:numFmt w:val="bullet"/>
      <w:lvlText w:val=""/>
      <w:lvlJc w:val="left"/>
      <w:pPr>
        <w:ind w:left="6480" w:hanging="360"/>
      </w:pPr>
      <w:rPr>
        <w:rFonts w:ascii="Wingdings" w:hAnsi="Wingdings" w:hint="default"/>
      </w:rPr>
    </w:lvl>
  </w:abstractNum>
  <w:abstractNum w:abstractNumId="14" w15:restartNumberingAfterBreak="0">
    <w:nsid w:val="10DB4597"/>
    <w:multiLevelType w:val="hybridMultilevel"/>
    <w:tmpl w:val="EAF209E6"/>
    <w:lvl w:ilvl="0" w:tplc="D28AAD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17863A8"/>
    <w:multiLevelType w:val="hybridMultilevel"/>
    <w:tmpl w:val="DE10AF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11E526B4"/>
    <w:multiLevelType w:val="hybridMultilevel"/>
    <w:tmpl w:val="0BBEB388"/>
    <w:lvl w:ilvl="0" w:tplc="349A65DA">
      <w:start w:val="1"/>
      <w:numFmt w:val="lowerRoman"/>
      <w:lvlText w:val="(%1)"/>
      <w:lvlJc w:val="left"/>
      <w:pPr>
        <w:ind w:left="1520" w:hanging="800"/>
      </w:pPr>
      <w:rPr>
        <w:rFonts w:hint="default"/>
      </w:rPr>
    </w:lvl>
    <w:lvl w:ilvl="1" w:tplc="F272A594">
      <w:numFmt w:val="bullet"/>
      <w:lvlText w:val="•"/>
      <w:lvlJc w:val="left"/>
      <w:pPr>
        <w:ind w:left="2172" w:hanging="732"/>
      </w:pPr>
      <w:rPr>
        <w:rFonts w:ascii="Times New Roman" w:eastAsiaTheme="minorHAnsi"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120331E3"/>
    <w:multiLevelType w:val="hybridMultilevel"/>
    <w:tmpl w:val="BF34D834"/>
    <w:lvl w:ilvl="0" w:tplc="EA40358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20FB812"/>
    <w:multiLevelType w:val="hybridMultilevel"/>
    <w:tmpl w:val="9EEEA38E"/>
    <w:lvl w:ilvl="0" w:tplc="F7CCD620">
      <w:start w:val="1"/>
      <w:numFmt w:val="bullet"/>
      <w:lvlText w:val=""/>
      <w:lvlJc w:val="left"/>
      <w:pPr>
        <w:ind w:left="720" w:hanging="360"/>
      </w:pPr>
      <w:rPr>
        <w:rFonts w:ascii="Symbol" w:hAnsi="Symbol" w:hint="default"/>
      </w:rPr>
    </w:lvl>
    <w:lvl w:ilvl="1" w:tplc="386296BC">
      <w:start w:val="1"/>
      <w:numFmt w:val="bullet"/>
      <w:lvlText w:val="o"/>
      <w:lvlJc w:val="left"/>
      <w:pPr>
        <w:ind w:left="1440" w:hanging="360"/>
      </w:pPr>
      <w:rPr>
        <w:rFonts w:ascii="&quot;Courier New&quot;" w:hAnsi="&quot;Courier New&quot;" w:hint="default"/>
      </w:rPr>
    </w:lvl>
    <w:lvl w:ilvl="2" w:tplc="33EAF7A4">
      <w:start w:val="1"/>
      <w:numFmt w:val="bullet"/>
      <w:lvlText w:val=""/>
      <w:lvlJc w:val="left"/>
      <w:pPr>
        <w:ind w:left="2160" w:hanging="360"/>
      </w:pPr>
      <w:rPr>
        <w:rFonts w:ascii="Wingdings" w:hAnsi="Wingdings" w:hint="default"/>
      </w:rPr>
    </w:lvl>
    <w:lvl w:ilvl="3" w:tplc="044E7558">
      <w:start w:val="1"/>
      <w:numFmt w:val="bullet"/>
      <w:lvlText w:val=""/>
      <w:lvlJc w:val="left"/>
      <w:pPr>
        <w:ind w:left="2880" w:hanging="360"/>
      </w:pPr>
      <w:rPr>
        <w:rFonts w:ascii="Symbol" w:hAnsi="Symbol" w:hint="default"/>
      </w:rPr>
    </w:lvl>
    <w:lvl w:ilvl="4" w:tplc="226CE1D6">
      <w:start w:val="1"/>
      <w:numFmt w:val="bullet"/>
      <w:lvlText w:val="o"/>
      <w:lvlJc w:val="left"/>
      <w:pPr>
        <w:ind w:left="3600" w:hanging="360"/>
      </w:pPr>
      <w:rPr>
        <w:rFonts w:ascii="Courier New" w:hAnsi="Courier New" w:hint="default"/>
      </w:rPr>
    </w:lvl>
    <w:lvl w:ilvl="5" w:tplc="8496D410">
      <w:start w:val="1"/>
      <w:numFmt w:val="bullet"/>
      <w:lvlText w:val=""/>
      <w:lvlJc w:val="left"/>
      <w:pPr>
        <w:ind w:left="4320" w:hanging="360"/>
      </w:pPr>
      <w:rPr>
        <w:rFonts w:ascii="Wingdings" w:hAnsi="Wingdings" w:hint="default"/>
      </w:rPr>
    </w:lvl>
    <w:lvl w:ilvl="6" w:tplc="29AE70C2">
      <w:start w:val="1"/>
      <w:numFmt w:val="bullet"/>
      <w:lvlText w:val=""/>
      <w:lvlJc w:val="left"/>
      <w:pPr>
        <w:ind w:left="5040" w:hanging="360"/>
      </w:pPr>
      <w:rPr>
        <w:rFonts w:ascii="Symbol" w:hAnsi="Symbol" w:hint="default"/>
      </w:rPr>
    </w:lvl>
    <w:lvl w:ilvl="7" w:tplc="487E6450">
      <w:start w:val="1"/>
      <w:numFmt w:val="bullet"/>
      <w:lvlText w:val="o"/>
      <w:lvlJc w:val="left"/>
      <w:pPr>
        <w:ind w:left="5760" w:hanging="360"/>
      </w:pPr>
      <w:rPr>
        <w:rFonts w:ascii="Courier New" w:hAnsi="Courier New" w:hint="default"/>
      </w:rPr>
    </w:lvl>
    <w:lvl w:ilvl="8" w:tplc="AA9C9418">
      <w:start w:val="1"/>
      <w:numFmt w:val="bullet"/>
      <w:lvlText w:val=""/>
      <w:lvlJc w:val="left"/>
      <w:pPr>
        <w:ind w:left="6480" w:hanging="360"/>
      </w:pPr>
      <w:rPr>
        <w:rFonts w:ascii="Wingdings" w:hAnsi="Wingdings" w:hint="default"/>
      </w:rPr>
    </w:lvl>
  </w:abstractNum>
  <w:abstractNum w:abstractNumId="19" w15:restartNumberingAfterBreak="0">
    <w:nsid w:val="1339A89B"/>
    <w:multiLevelType w:val="hybridMultilevel"/>
    <w:tmpl w:val="FF16B652"/>
    <w:lvl w:ilvl="0" w:tplc="2050FB96">
      <w:start w:val="1"/>
      <w:numFmt w:val="bullet"/>
      <w:lvlText w:val=""/>
      <w:lvlJc w:val="left"/>
      <w:pPr>
        <w:ind w:left="720" w:hanging="360"/>
      </w:pPr>
      <w:rPr>
        <w:rFonts w:ascii="Symbol" w:hAnsi="Symbol" w:hint="default"/>
      </w:rPr>
    </w:lvl>
    <w:lvl w:ilvl="1" w:tplc="4DE2569E">
      <w:start w:val="1"/>
      <w:numFmt w:val="bullet"/>
      <w:lvlText w:val="o"/>
      <w:lvlJc w:val="left"/>
      <w:pPr>
        <w:ind w:left="1440" w:hanging="360"/>
      </w:pPr>
      <w:rPr>
        <w:rFonts w:ascii="&quot;Courier New&quot;" w:hAnsi="&quot;Courier New&quot;" w:hint="default"/>
      </w:rPr>
    </w:lvl>
    <w:lvl w:ilvl="2" w:tplc="87F8AEAE">
      <w:start w:val="1"/>
      <w:numFmt w:val="bullet"/>
      <w:lvlText w:val=""/>
      <w:lvlJc w:val="left"/>
      <w:pPr>
        <w:ind w:left="2160" w:hanging="360"/>
      </w:pPr>
      <w:rPr>
        <w:rFonts w:ascii="Wingdings" w:hAnsi="Wingdings" w:hint="default"/>
      </w:rPr>
    </w:lvl>
    <w:lvl w:ilvl="3" w:tplc="E4320A5C">
      <w:start w:val="1"/>
      <w:numFmt w:val="bullet"/>
      <w:lvlText w:val=""/>
      <w:lvlJc w:val="left"/>
      <w:pPr>
        <w:ind w:left="2880" w:hanging="360"/>
      </w:pPr>
      <w:rPr>
        <w:rFonts w:ascii="Symbol" w:hAnsi="Symbol" w:hint="default"/>
      </w:rPr>
    </w:lvl>
    <w:lvl w:ilvl="4" w:tplc="F0D268E0">
      <w:start w:val="1"/>
      <w:numFmt w:val="bullet"/>
      <w:lvlText w:val="o"/>
      <w:lvlJc w:val="left"/>
      <w:pPr>
        <w:ind w:left="3600" w:hanging="360"/>
      </w:pPr>
      <w:rPr>
        <w:rFonts w:ascii="Courier New" w:hAnsi="Courier New" w:hint="default"/>
      </w:rPr>
    </w:lvl>
    <w:lvl w:ilvl="5" w:tplc="FA7E63A8">
      <w:start w:val="1"/>
      <w:numFmt w:val="bullet"/>
      <w:lvlText w:val=""/>
      <w:lvlJc w:val="left"/>
      <w:pPr>
        <w:ind w:left="4320" w:hanging="360"/>
      </w:pPr>
      <w:rPr>
        <w:rFonts w:ascii="Wingdings" w:hAnsi="Wingdings" w:hint="default"/>
      </w:rPr>
    </w:lvl>
    <w:lvl w:ilvl="6" w:tplc="8F064790">
      <w:start w:val="1"/>
      <w:numFmt w:val="bullet"/>
      <w:lvlText w:val=""/>
      <w:lvlJc w:val="left"/>
      <w:pPr>
        <w:ind w:left="5040" w:hanging="360"/>
      </w:pPr>
      <w:rPr>
        <w:rFonts w:ascii="Symbol" w:hAnsi="Symbol" w:hint="default"/>
      </w:rPr>
    </w:lvl>
    <w:lvl w:ilvl="7" w:tplc="B0E86138">
      <w:start w:val="1"/>
      <w:numFmt w:val="bullet"/>
      <w:lvlText w:val="o"/>
      <w:lvlJc w:val="left"/>
      <w:pPr>
        <w:ind w:left="5760" w:hanging="360"/>
      </w:pPr>
      <w:rPr>
        <w:rFonts w:ascii="Courier New" w:hAnsi="Courier New" w:hint="default"/>
      </w:rPr>
    </w:lvl>
    <w:lvl w:ilvl="8" w:tplc="1D6AB88C">
      <w:start w:val="1"/>
      <w:numFmt w:val="bullet"/>
      <w:lvlText w:val=""/>
      <w:lvlJc w:val="left"/>
      <w:pPr>
        <w:ind w:left="6480" w:hanging="360"/>
      </w:pPr>
      <w:rPr>
        <w:rFonts w:ascii="Wingdings" w:hAnsi="Wingdings" w:hint="default"/>
      </w:rPr>
    </w:lvl>
  </w:abstractNum>
  <w:abstractNum w:abstractNumId="20" w15:restartNumberingAfterBreak="0">
    <w:nsid w:val="134876E5"/>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37494DB"/>
    <w:multiLevelType w:val="hybridMultilevel"/>
    <w:tmpl w:val="48905004"/>
    <w:lvl w:ilvl="0" w:tplc="216E051E">
      <w:start w:val="1"/>
      <w:numFmt w:val="bullet"/>
      <w:lvlText w:val=""/>
      <w:lvlJc w:val="left"/>
      <w:pPr>
        <w:ind w:left="720" w:hanging="360"/>
      </w:pPr>
      <w:rPr>
        <w:rFonts w:ascii="Symbol" w:hAnsi="Symbol" w:hint="default"/>
      </w:rPr>
    </w:lvl>
    <w:lvl w:ilvl="1" w:tplc="9146AA0A">
      <w:start w:val="1"/>
      <w:numFmt w:val="bullet"/>
      <w:lvlText w:val="o"/>
      <w:lvlJc w:val="left"/>
      <w:pPr>
        <w:ind w:left="1440" w:hanging="360"/>
      </w:pPr>
      <w:rPr>
        <w:rFonts w:ascii="Courier New" w:hAnsi="Courier New" w:hint="default"/>
      </w:rPr>
    </w:lvl>
    <w:lvl w:ilvl="2" w:tplc="F71CA0AE">
      <w:start w:val="1"/>
      <w:numFmt w:val="bullet"/>
      <w:lvlText w:val="§"/>
      <w:lvlJc w:val="left"/>
      <w:pPr>
        <w:ind w:left="2160" w:hanging="360"/>
      </w:pPr>
      <w:rPr>
        <w:rFonts w:ascii="Wingdings" w:hAnsi="Wingdings" w:hint="default"/>
      </w:rPr>
    </w:lvl>
    <w:lvl w:ilvl="3" w:tplc="AF70CA0E">
      <w:start w:val="1"/>
      <w:numFmt w:val="bullet"/>
      <w:lvlText w:val=""/>
      <w:lvlJc w:val="left"/>
      <w:pPr>
        <w:ind w:left="2880" w:hanging="360"/>
      </w:pPr>
      <w:rPr>
        <w:rFonts w:ascii="Symbol" w:hAnsi="Symbol" w:hint="default"/>
      </w:rPr>
    </w:lvl>
    <w:lvl w:ilvl="4" w:tplc="15EC764E">
      <w:start w:val="1"/>
      <w:numFmt w:val="bullet"/>
      <w:lvlText w:val="o"/>
      <w:lvlJc w:val="left"/>
      <w:pPr>
        <w:ind w:left="3600" w:hanging="360"/>
      </w:pPr>
      <w:rPr>
        <w:rFonts w:ascii="Courier New" w:hAnsi="Courier New" w:hint="default"/>
      </w:rPr>
    </w:lvl>
    <w:lvl w:ilvl="5" w:tplc="30569A34">
      <w:start w:val="1"/>
      <w:numFmt w:val="bullet"/>
      <w:lvlText w:val=""/>
      <w:lvlJc w:val="left"/>
      <w:pPr>
        <w:ind w:left="4320" w:hanging="360"/>
      </w:pPr>
      <w:rPr>
        <w:rFonts w:ascii="Wingdings" w:hAnsi="Wingdings" w:hint="default"/>
      </w:rPr>
    </w:lvl>
    <w:lvl w:ilvl="6" w:tplc="6700E876">
      <w:start w:val="1"/>
      <w:numFmt w:val="bullet"/>
      <w:lvlText w:val=""/>
      <w:lvlJc w:val="left"/>
      <w:pPr>
        <w:ind w:left="5040" w:hanging="360"/>
      </w:pPr>
      <w:rPr>
        <w:rFonts w:ascii="Symbol" w:hAnsi="Symbol" w:hint="default"/>
      </w:rPr>
    </w:lvl>
    <w:lvl w:ilvl="7" w:tplc="9C7009D8">
      <w:start w:val="1"/>
      <w:numFmt w:val="bullet"/>
      <w:lvlText w:val="o"/>
      <w:lvlJc w:val="left"/>
      <w:pPr>
        <w:ind w:left="5760" w:hanging="360"/>
      </w:pPr>
      <w:rPr>
        <w:rFonts w:ascii="Courier New" w:hAnsi="Courier New" w:hint="default"/>
      </w:rPr>
    </w:lvl>
    <w:lvl w:ilvl="8" w:tplc="FDE61236">
      <w:start w:val="1"/>
      <w:numFmt w:val="bullet"/>
      <w:lvlText w:val=""/>
      <w:lvlJc w:val="left"/>
      <w:pPr>
        <w:ind w:left="6480" w:hanging="360"/>
      </w:pPr>
      <w:rPr>
        <w:rFonts w:ascii="Wingdings" w:hAnsi="Wingdings" w:hint="default"/>
      </w:rPr>
    </w:lvl>
  </w:abstractNum>
  <w:abstractNum w:abstractNumId="22" w15:restartNumberingAfterBreak="0">
    <w:nsid w:val="146B014F"/>
    <w:multiLevelType w:val="hybridMultilevel"/>
    <w:tmpl w:val="61E2973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5906913C">
      <w:start w:val="1"/>
      <w:numFmt w:val="decimal"/>
      <w:lvlText w:val="%3."/>
      <w:lvlJc w:val="righ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5812B07"/>
    <w:multiLevelType w:val="hybridMultilevel"/>
    <w:tmpl w:val="D390EE26"/>
    <w:lvl w:ilvl="0" w:tplc="ADC4CA5E">
      <w:start w:val="1"/>
      <w:numFmt w:val="decimal"/>
      <w:pStyle w:val="Para1"/>
      <w:lvlText w:val="%1."/>
      <w:lvlJc w:val="left"/>
      <w:pPr>
        <w:tabs>
          <w:tab w:val="num" w:pos="360"/>
        </w:tabs>
        <w:ind w:left="0" w:firstLine="0"/>
      </w:pPr>
      <w:rPr>
        <w:rFonts w:ascii="Times New Roman" w:hAnsi="Times New Roman" w:hint="default"/>
        <w:b w:val="0"/>
        <w:i w:val="0"/>
        <w:sz w:val="22"/>
      </w:rPr>
    </w:lvl>
    <w:lvl w:ilvl="1" w:tplc="07DAA368">
      <w:start w:val="1"/>
      <w:numFmt w:val="lowerLetter"/>
      <w:lvlText w:val="(%2)"/>
      <w:lvlJc w:val="left"/>
      <w:pPr>
        <w:tabs>
          <w:tab w:val="num" w:pos="1440"/>
        </w:tabs>
        <w:ind w:left="0" w:firstLine="720"/>
      </w:pPr>
      <w:rPr>
        <w:rFonts w:hint="default"/>
        <w:b w:val="0"/>
        <w:i w:val="0"/>
      </w:rPr>
    </w:lvl>
    <w:lvl w:ilvl="2" w:tplc="40DA71AE">
      <w:start w:val="1"/>
      <w:numFmt w:val="lowerRoman"/>
      <w:pStyle w:val="Para3"/>
      <w:lvlText w:val="(%3)"/>
      <w:lvlJc w:val="right"/>
      <w:pPr>
        <w:tabs>
          <w:tab w:val="num" w:pos="1440"/>
        </w:tabs>
        <w:ind w:left="1440" w:hanging="360"/>
      </w:pPr>
      <w:rPr>
        <w:rFonts w:hint="default"/>
      </w:rPr>
    </w:lvl>
    <w:lvl w:ilvl="3" w:tplc="96583CCC">
      <w:start w:val="1"/>
      <w:numFmt w:val="bullet"/>
      <w:lvlText w:val=""/>
      <w:lvlJc w:val="left"/>
      <w:pPr>
        <w:tabs>
          <w:tab w:val="num" w:pos="2160"/>
        </w:tabs>
        <w:ind w:left="2160" w:hanging="720"/>
      </w:pPr>
      <w:rPr>
        <w:rFonts w:ascii="Symbol" w:hAnsi="Symbol" w:hint="default"/>
        <w:color w:val="auto"/>
        <w:sz w:val="28"/>
      </w:rPr>
    </w:lvl>
    <w:lvl w:ilvl="4" w:tplc="CC88373A">
      <w:start w:val="1"/>
      <w:numFmt w:val="lowerLetter"/>
      <w:lvlText w:val="(%5)"/>
      <w:lvlJc w:val="left"/>
      <w:pPr>
        <w:tabs>
          <w:tab w:val="num" w:pos="1800"/>
        </w:tabs>
        <w:ind w:left="1800" w:hanging="360"/>
      </w:pPr>
      <w:rPr>
        <w:rFonts w:hint="default"/>
      </w:rPr>
    </w:lvl>
    <w:lvl w:ilvl="5" w:tplc="349A65DA">
      <w:start w:val="1"/>
      <w:numFmt w:val="lowerRoman"/>
      <w:lvlText w:val="(%6)"/>
      <w:lvlJc w:val="left"/>
      <w:pPr>
        <w:tabs>
          <w:tab w:val="num" w:pos="2160"/>
        </w:tabs>
        <w:ind w:left="2160" w:hanging="360"/>
      </w:pPr>
      <w:rPr>
        <w:rFonts w:hint="default"/>
      </w:rPr>
    </w:lvl>
    <w:lvl w:ilvl="6" w:tplc="F2A2E662">
      <w:start w:val="1"/>
      <w:numFmt w:val="decimal"/>
      <w:lvlText w:val="%7."/>
      <w:lvlJc w:val="left"/>
      <w:pPr>
        <w:tabs>
          <w:tab w:val="num" w:pos="2520"/>
        </w:tabs>
        <w:ind w:left="2520" w:hanging="360"/>
      </w:pPr>
      <w:rPr>
        <w:rFonts w:hint="default"/>
      </w:rPr>
    </w:lvl>
    <w:lvl w:ilvl="7" w:tplc="C9D81D30">
      <w:start w:val="1"/>
      <w:numFmt w:val="lowerLetter"/>
      <w:lvlText w:val="%8."/>
      <w:lvlJc w:val="left"/>
      <w:pPr>
        <w:tabs>
          <w:tab w:val="num" w:pos="2880"/>
        </w:tabs>
        <w:ind w:left="2880" w:hanging="360"/>
      </w:pPr>
      <w:rPr>
        <w:rFonts w:hint="default"/>
      </w:rPr>
    </w:lvl>
    <w:lvl w:ilvl="8" w:tplc="433CBD7C">
      <w:start w:val="1"/>
      <w:numFmt w:val="lowerRoman"/>
      <w:lvlText w:val="%9."/>
      <w:lvlJc w:val="left"/>
      <w:pPr>
        <w:tabs>
          <w:tab w:val="num" w:pos="3240"/>
        </w:tabs>
        <w:ind w:left="3240" w:hanging="360"/>
      </w:pPr>
      <w:rPr>
        <w:rFonts w:hint="default"/>
      </w:rPr>
    </w:lvl>
  </w:abstractNum>
  <w:abstractNum w:abstractNumId="24" w15:restartNumberingAfterBreak="0">
    <w:nsid w:val="160C0F8A"/>
    <w:multiLevelType w:val="multilevel"/>
    <w:tmpl w:val="A2F0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6240EDC"/>
    <w:multiLevelType w:val="hybridMultilevel"/>
    <w:tmpl w:val="FCCE19CC"/>
    <w:lvl w:ilvl="0" w:tplc="349A65DA">
      <w:start w:val="1"/>
      <w:numFmt w:val="lowerRoman"/>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26" w15:restartNumberingAfterBreak="0">
    <w:nsid w:val="19174F10"/>
    <w:multiLevelType w:val="hybridMultilevel"/>
    <w:tmpl w:val="A8B82CCC"/>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9934069"/>
    <w:multiLevelType w:val="hybridMultilevel"/>
    <w:tmpl w:val="6DD01F2A"/>
    <w:lvl w:ilvl="0" w:tplc="5540CAA8">
      <w:start w:val="1"/>
      <w:numFmt w:val="lowerLetter"/>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28" w15:restartNumberingAfterBreak="0">
    <w:nsid w:val="1AA7249A"/>
    <w:multiLevelType w:val="hybridMultilevel"/>
    <w:tmpl w:val="A6967B78"/>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9" w15:restartNumberingAfterBreak="0">
    <w:nsid w:val="1C2316F5"/>
    <w:multiLevelType w:val="hybridMultilevel"/>
    <w:tmpl w:val="57D4C1EE"/>
    <w:lvl w:ilvl="0" w:tplc="FFFFFFFF">
      <w:start w:val="1"/>
      <w:numFmt w:val="lowerLetter"/>
      <w:lvlText w:val="(%1)"/>
      <w:lvlJc w:val="left"/>
      <w:pPr>
        <w:ind w:left="720" w:hanging="360"/>
      </w:pPr>
      <w:rPr>
        <w:rFonts w:hint="default"/>
      </w:rPr>
    </w:lvl>
    <w:lvl w:ilvl="1" w:tplc="AAA0330E">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1F858CD"/>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259FD2D"/>
    <w:multiLevelType w:val="hybridMultilevel"/>
    <w:tmpl w:val="E9946BBC"/>
    <w:lvl w:ilvl="0" w:tplc="5540CAA8">
      <w:start w:val="1"/>
      <w:numFmt w:val="lowerLetter"/>
      <w:lvlText w:val="(%1)"/>
      <w:lvlJc w:val="left"/>
      <w:pPr>
        <w:ind w:left="720" w:hanging="360"/>
      </w:pPr>
      <w:rPr>
        <w:rFonts w:hint="default"/>
      </w:rPr>
    </w:lvl>
    <w:lvl w:ilvl="1" w:tplc="AAA0330E">
      <w:start w:val="1"/>
      <w:numFmt w:val="lowerRoman"/>
      <w:lvlText w:val="(%2)"/>
      <w:lvlJc w:val="left"/>
      <w:pPr>
        <w:ind w:left="1440" w:hanging="360"/>
      </w:pPr>
      <w:rPr>
        <w:rFonts w:hint="default"/>
      </w:rPr>
    </w:lvl>
    <w:lvl w:ilvl="2" w:tplc="FFFFFFFF">
      <w:start w:val="1"/>
      <w:numFmt w:val="lowerLetter"/>
      <w:lvlText w:val="%3."/>
      <w:lvlJc w:val="left"/>
      <w:pPr>
        <w:ind w:left="2160" w:hanging="360"/>
      </w:pPr>
    </w:lvl>
    <w:lvl w:ilvl="3" w:tplc="0B9A582A">
      <w:start w:val="1"/>
      <w:numFmt w:val="bullet"/>
      <w:lvlText w:val=""/>
      <w:lvlJc w:val="left"/>
      <w:pPr>
        <w:ind w:left="2880" w:hanging="360"/>
      </w:pPr>
      <w:rPr>
        <w:rFonts w:ascii="Symbol" w:hAnsi="Symbol" w:hint="default"/>
      </w:rPr>
    </w:lvl>
    <w:lvl w:ilvl="4" w:tplc="B0F411C0">
      <w:start w:val="1"/>
      <w:numFmt w:val="bullet"/>
      <w:lvlText w:val="o"/>
      <w:lvlJc w:val="left"/>
      <w:pPr>
        <w:ind w:left="3600" w:hanging="360"/>
      </w:pPr>
      <w:rPr>
        <w:rFonts w:ascii="Courier New" w:hAnsi="Courier New" w:hint="default"/>
      </w:rPr>
    </w:lvl>
    <w:lvl w:ilvl="5" w:tplc="330CBA7A">
      <w:start w:val="1"/>
      <w:numFmt w:val="bullet"/>
      <w:lvlText w:val=""/>
      <w:lvlJc w:val="left"/>
      <w:pPr>
        <w:ind w:left="4320" w:hanging="360"/>
      </w:pPr>
      <w:rPr>
        <w:rFonts w:ascii="Wingdings" w:hAnsi="Wingdings" w:hint="default"/>
      </w:rPr>
    </w:lvl>
    <w:lvl w:ilvl="6" w:tplc="8A1CDF18">
      <w:start w:val="1"/>
      <w:numFmt w:val="bullet"/>
      <w:lvlText w:val=""/>
      <w:lvlJc w:val="left"/>
      <w:pPr>
        <w:ind w:left="5040" w:hanging="360"/>
      </w:pPr>
      <w:rPr>
        <w:rFonts w:ascii="Symbol" w:hAnsi="Symbol" w:hint="default"/>
      </w:rPr>
    </w:lvl>
    <w:lvl w:ilvl="7" w:tplc="5FDE56D6">
      <w:start w:val="1"/>
      <w:numFmt w:val="bullet"/>
      <w:lvlText w:val="o"/>
      <w:lvlJc w:val="left"/>
      <w:pPr>
        <w:ind w:left="5760" w:hanging="360"/>
      </w:pPr>
      <w:rPr>
        <w:rFonts w:ascii="Courier New" w:hAnsi="Courier New" w:hint="default"/>
      </w:rPr>
    </w:lvl>
    <w:lvl w:ilvl="8" w:tplc="B0F8CC52">
      <w:start w:val="1"/>
      <w:numFmt w:val="bullet"/>
      <w:lvlText w:val=""/>
      <w:lvlJc w:val="left"/>
      <w:pPr>
        <w:ind w:left="6480" w:hanging="360"/>
      </w:pPr>
      <w:rPr>
        <w:rFonts w:ascii="Wingdings" w:hAnsi="Wingdings" w:hint="default"/>
      </w:rPr>
    </w:lvl>
  </w:abstractNum>
  <w:abstractNum w:abstractNumId="32" w15:restartNumberingAfterBreak="0">
    <w:nsid w:val="22606D9C"/>
    <w:multiLevelType w:val="hybridMultilevel"/>
    <w:tmpl w:val="F1B8BDCA"/>
    <w:lvl w:ilvl="0" w:tplc="0409001B">
      <w:start w:val="1"/>
      <w:numFmt w:val="lowerRoman"/>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2283355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37C0CF6"/>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4D407F4"/>
    <w:multiLevelType w:val="hybridMultilevel"/>
    <w:tmpl w:val="94C6DA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295A0992"/>
    <w:multiLevelType w:val="hybridMultilevel"/>
    <w:tmpl w:val="5B3460B2"/>
    <w:styleLink w:val="Bullets"/>
    <w:lvl w:ilvl="0" w:tplc="DC9E2F1A">
      <w:numFmt w:val="bullet"/>
      <w:lvlText w:val=""/>
      <w:lvlJc w:val="left"/>
      <w:pPr>
        <w:ind w:left="1300" w:hanging="800"/>
      </w:pPr>
      <w:rPr>
        <w:rFonts w:ascii="Symbol" w:eastAsiaTheme="minorHAnsi" w:hAnsi="Symbol" w:cs="Times New Roman" w:hint="default"/>
      </w:rPr>
    </w:lvl>
    <w:lvl w:ilvl="1" w:tplc="1F2091B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A04156C"/>
    <w:multiLevelType w:val="hybridMultilevel"/>
    <w:tmpl w:val="ED3EE468"/>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BD97EE4"/>
    <w:multiLevelType w:val="hybridMultilevel"/>
    <w:tmpl w:val="26F25C78"/>
    <w:lvl w:ilvl="0" w:tplc="D8524F36">
      <w:start w:val="1"/>
      <w:numFmt w:val="bullet"/>
      <w:lvlText w:val=""/>
      <w:lvlJc w:val="left"/>
      <w:pPr>
        <w:ind w:left="720" w:hanging="360"/>
      </w:pPr>
      <w:rPr>
        <w:rFonts w:ascii="Symbol" w:hAnsi="Symbol" w:hint="default"/>
      </w:rPr>
    </w:lvl>
    <w:lvl w:ilvl="1" w:tplc="461E6462">
      <w:start w:val="1"/>
      <w:numFmt w:val="bullet"/>
      <w:lvlText w:val="o"/>
      <w:lvlJc w:val="left"/>
      <w:pPr>
        <w:ind w:left="1440" w:hanging="360"/>
      </w:pPr>
      <w:rPr>
        <w:rFonts w:ascii="&quot;Courier New&quot;" w:hAnsi="&quot;Courier New&quot;" w:hint="default"/>
      </w:rPr>
    </w:lvl>
    <w:lvl w:ilvl="2" w:tplc="7CE00330">
      <w:start w:val="1"/>
      <w:numFmt w:val="bullet"/>
      <w:lvlText w:val=""/>
      <w:lvlJc w:val="left"/>
      <w:pPr>
        <w:ind w:left="2160" w:hanging="360"/>
      </w:pPr>
      <w:rPr>
        <w:rFonts w:ascii="Wingdings" w:hAnsi="Wingdings" w:hint="default"/>
      </w:rPr>
    </w:lvl>
    <w:lvl w:ilvl="3" w:tplc="C6042ED4">
      <w:start w:val="1"/>
      <w:numFmt w:val="bullet"/>
      <w:lvlText w:val=""/>
      <w:lvlJc w:val="left"/>
      <w:pPr>
        <w:ind w:left="2880" w:hanging="360"/>
      </w:pPr>
      <w:rPr>
        <w:rFonts w:ascii="Symbol" w:hAnsi="Symbol" w:hint="default"/>
      </w:rPr>
    </w:lvl>
    <w:lvl w:ilvl="4" w:tplc="BF3264BC">
      <w:start w:val="1"/>
      <w:numFmt w:val="bullet"/>
      <w:lvlText w:val="o"/>
      <w:lvlJc w:val="left"/>
      <w:pPr>
        <w:ind w:left="3600" w:hanging="360"/>
      </w:pPr>
      <w:rPr>
        <w:rFonts w:ascii="Courier New" w:hAnsi="Courier New" w:hint="default"/>
      </w:rPr>
    </w:lvl>
    <w:lvl w:ilvl="5" w:tplc="DCDEEF22">
      <w:start w:val="1"/>
      <w:numFmt w:val="bullet"/>
      <w:lvlText w:val=""/>
      <w:lvlJc w:val="left"/>
      <w:pPr>
        <w:ind w:left="4320" w:hanging="360"/>
      </w:pPr>
      <w:rPr>
        <w:rFonts w:ascii="Wingdings" w:hAnsi="Wingdings" w:hint="default"/>
      </w:rPr>
    </w:lvl>
    <w:lvl w:ilvl="6" w:tplc="8A766AC0">
      <w:start w:val="1"/>
      <w:numFmt w:val="bullet"/>
      <w:lvlText w:val=""/>
      <w:lvlJc w:val="left"/>
      <w:pPr>
        <w:ind w:left="5040" w:hanging="360"/>
      </w:pPr>
      <w:rPr>
        <w:rFonts w:ascii="Symbol" w:hAnsi="Symbol" w:hint="default"/>
      </w:rPr>
    </w:lvl>
    <w:lvl w:ilvl="7" w:tplc="A56474D6">
      <w:start w:val="1"/>
      <w:numFmt w:val="bullet"/>
      <w:lvlText w:val="o"/>
      <w:lvlJc w:val="left"/>
      <w:pPr>
        <w:ind w:left="5760" w:hanging="360"/>
      </w:pPr>
      <w:rPr>
        <w:rFonts w:ascii="Courier New" w:hAnsi="Courier New" w:hint="default"/>
      </w:rPr>
    </w:lvl>
    <w:lvl w:ilvl="8" w:tplc="B0727118">
      <w:start w:val="1"/>
      <w:numFmt w:val="bullet"/>
      <w:lvlText w:val=""/>
      <w:lvlJc w:val="left"/>
      <w:pPr>
        <w:ind w:left="6480" w:hanging="360"/>
      </w:pPr>
      <w:rPr>
        <w:rFonts w:ascii="Wingdings" w:hAnsi="Wingdings" w:hint="default"/>
      </w:rPr>
    </w:lvl>
  </w:abstractNum>
  <w:abstractNum w:abstractNumId="39" w15:restartNumberingAfterBreak="0">
    <w:nsid w:val="2D0A150C"/>
    <w:multiLevelType w:val="multilevel"/>
    <w:tmpl w:val="35824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2D7BDCFF"/>
    <w:multiLevelType w:val="hybridMultilevel"/>
    <w:tmpl w:val="4ABA2BD0"/>
    <w:lvl w:ilvl="0" w:tplc="4B5A0FB6">
      <w:start w:val="1"/>
      <w:numFmt w:val="bullet"/>
      <w:lvlText w:val=""/>
      <w:lvlJc w:val="left"/>
      <w:pPr>
        <w:ind w:left="720" w:hanging="360"/>
      </w:pPr>
      <w:rPr>
        <w:rFonts w:ascii="Symbol" w:hAnsi="Symbol" w:hint="default"/>
      </w:rPr>
    </w:lvl>
    <w:lvl w:ilvl="1" w:tplc="2C900B36">
      <w:start w:val="1"/>
      <w:numFmt w:val="bullet"/>
      <w:lvlText w:val="o"/>
      <w:lvlJc w:val="left"/>
      <w:pPr>
        <w:ind w:left="1440" w:hanging="360"/>
      </w:pPr>
      <w:rPr>
        <w:rFonts w:ascii="&quot;Courier New&quot;" w:hAnsi="&quot;Courier New&quot;" w:hint="default"/>
      </w:rPr>
    </w:lvl>
    <w:lvl w:ilvl="2" w:tplc="80801158">
      <w:start w:val="1"/>
      <w:numFmt w:val="bullet"/>
      <w:lvlText w:val=""/>
      <w:lvlJc w:val="left"/>
      <w:pPr>
        <w:ind w:left="2160" w:hanging="360"/>
      </w:pPr>
      <w:rPr>
        <w:rFonts w:ascii="Wingdings" w:hAnsi="Wingdings" w:hint="default"/>
      </w:rPr>
    </w:lvl>
    <w:lvl w:ilvl="3" w:tplc="BFE65044">
      <w:start w:val="1"/>
      <w:numFmt w:val="bullet"/>
      <w:lvlText w:val=""/>
      <w:lvlJc w:val="left"/>
      <w:pPr>
        <w:ind w:left="2880" w:hanging="360"/>
      </w:pPr>
      <w:rPr>
        <w:rFonts w:ascii="Symbol" w:hAnsi="Symbol" w:hint="default"/>
      </w:rPr>
    </w:lvl>
    <w:lvl w:ilvl="4" w:tplc="C706DAB0">
      <w:start w:val="1"/>
      <w:numFmt w:val="bullet"/>
      <w:lvlText w:val="o"/>
      <w:lvlJc w:val="left"/>
      <w:pPr>
        <w:ind w:left="3600" w:hanging="360"/>
      </w:pPr>
      <w:rPr>
        <w:rFonts w:ascii="Courier New" w:hAnsi="Courier New" w:hint="default"/>
      </w:rPr>
    </w:lvl>
    <w:lvl w:ilvl="5" w:tplc="0AEC4598">
      <w:start w:val="1"/>
      <w:numFmt w:val="bullet"/>
      <w:lvlText w:val=""/>
      <w:lvlJc w:val="left"/>
      <w:pPr>
        <w:ind w:left="4320" w:hanging="360"/>
      </w:pPr>
      <w:rPr>
        <w:rFonts w:ascii="Wingdings" w:hAnsi="Wingdings" w:hint="default"/>
      </w:rPr>
    </w:lvl>
    <w:lvl w:ilvl="6" w:tplc="659EF97C">
      <w:start w:val="1"/>
      <w:numFmt w:val="bullet"/>
      <w:lvlText w:val=""/>
      <w:lvlJc w:val="left"/>
      <w:pPr>
        <w:ind w:left="5040" w:hanging="360"/>
      </w:pPr>
      <w:rPr>
        <w:rFonts w:ascii="Symbol" w:hAnsi="Symbol" w:hint="default"/>
      </w:rPr>
    </w:lvl>
    <w:lvl w:ilvl="7" w:tplc="C222264C">
      <w:start w:val="1"/>
      <w:numFmt w:val="bullet"/>
      <w:lvlText w:val="o"/>
      <w:lvlJc w:val="left"/>
      <w:pPr>
        <w:ind w:left="5760" w:hanging="360"/>
      </w:pPr>
      <w:rPr>
        <w:rFonts w:ascii="Courier New" w:hAnsi="Courier New" w:hint="default"/>
      </w:rPr>
    </w:lvl>
    <w:lvl w:ilvl="8" w:tplc="A2867BC8">
      <w:start w:val="1"/>
      <w:numFmt w:val="bullet"/>
      <w:lvlText w:val=""/>
      <w:lvlJc w:val="left"/>
      <w:pPr>
        <w:ind w:left="6480" w:hanging="360"/>
      </w:pPr>
      <w:rPr>
        <w:rFonts w:ascii="Wingdings" w:hAnsi="Wingdings" w:hint="default"/>
      </w:rPr>
    </w:lvl>
  </w:abstractNum>
  <w:abstractNum w:abstractNumId="41" w15:restartNumberingAfterBreak="0">
    <w:nsid w:val="30335F41"/>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2506CE8"/>
    <w:multiLevelType w:val="hybridMultilevel"/>
    <w:tmpl w:val="A11EAA02"/>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27B5B89"/>
    <w:multiLevelType w:val="hybridMultilevel"/>
    <w:tmpl w:val="4E208D14"/>
    <w:lvl w:ilvl="0" w:tplc="B58C3074">
      <w:start w:val="1"/>
      <w:numFmt w:val="bullet"/>
      <w:lvlText w:val=""/>
      <w:lvlJc w:val="left"/>
      <w:pPr>
        <w:ind w:left="720" w:hanging="360"/>
      </w:pPr>
      <w:rPr>
        <w:rFonts w:ascii="Symbol" w:hAnsi="Symbol" w:hint="default"/>
      </w:rPr>
    </w:lvl>
    <w:lvl w:ilvl="1" w:tplc="27FA2782">
      <w:start w:val="1"/>
      <w:numFmt w:val="bullet"/>
      <w:lvlText w:val="o"/>
      <w:lvlJc w:val="left"/>
      <w:pPr>
        <w:ind w:left="1440" w:hanging="360"/>
      </w:pPr>
      <w:rPr>
        <w:rFonts w:ascii="&quot;Courier New&quot;" w:hAnsi="&quot;Courier New&quot;" w:hint="default"/>
      </w:rPr>
    </w:lvl>
    <w:lvl w:ilvl="2" w:tplc="F59ABAAA">
      <w:start w:val="1"/>
      <w:numFmt w:val="bullet"/>
      <w:lvlText w:val=""/>
      <w:lvlJc w:val="left"/>
      <w:pPr>
        <w:ind w:left="2160" w:hanging="360"/>
      </w:pPr>
      <w:rPr>
        <w:rFonts w:ascii="Wingdings" w:hAnsi="Wingdings" w:hint="default"/>
      </w:rPr>
    </w:lvl>
    <w:lvl w:ilvl="3" w:tplc="7BF02046">
      <w:start w:val="1"/>
      <w:numFmt w:val="bullet"/>
      <w:lvlText w:val=""/>
      <w:lvlJc w:val="left"/>
      <w:pPr>
        <w:ind w:left="2880" w:hanging="360"/>
      </w:pPr>
      <w:rPr>
        <w:rFonts w:ascii="Symbol" w:hAnsi="Symbol" w:hint="default"/>
      </w:rPr>
    </w:lvl>
    <w:lvl w:ilvl="4" w:tplc="A2E0E20A">
      <w:start w:val="1"/>
      <w:numFmt w:val="bullet"/>
      <w:lvlText w:val="o"/>
      <w:lvlJc w:val="left"/>
      <w:pPr>
        <w:ind w:left="3600" w:hanging="360"/>
      </w:pPr>
      <w:rPr>
        <w:rFonts w:ascii="Courier New" w:hAnsi="Courier New" w:hint="default"/>
      </w:rPr>
    </w:lvl>
    <w:lvl w:ilvl="5" w:tplc="524ED110">
      <w:start w:val="1"/>
      <w:numFmt w:val="bullet"/>
      <w:lvlText w:val=""/>
      <w:lvlJc w:val="left"/>
      <w:pPr>
        <w:ind w:left="4320" w:hanging="360"/>
      </w:pPr>
      <w:rPr>
        <w:rFonts w:ascii="Wingdings" w:hAnsi="Wingdings" w:hint="default"/>
      </w:rPr>
    </w:lvl>
    <w:lvl w:ilvl="6" w:tplc="C7C69BAC">
      <w:start w:val="1"/>
      <w:numFmt w:val="bullet"/>
      <w:lvlText w:val=""/>
      <w:lvlJc w:val="left"/>
      <w:pPr>
        <w:ind w:left="5040" w:hanging="360"/>
      </w:pPr>
      <w:rPr>
        <w:rFonts w:ascii="Symbol" w:hAnsi="Symbol" w:hint="default"/>
      </w:rPr>
    </w:lvl>
    <w:lvl w:ilvl="7" w:tplc="B642A4D2">
      <w:start w:val="1"/>
      <w:numFmt w:val="bullet"/>
      <w:lvlText w:val="o"/>
      <w:lvlJc w:val="left"/>
      <w:pPr>
        <w:ind w:left="5760" w:hanging="360"/>
      </w:pPr>
      <w:rPr>
        <w:rFonts w:ascii="Courier New" w:hAnsi="Courier New" w:hint="default"/>
      </w:rPr>
    </w:lvl>
    <w:lvl w:ilvl="8" w:tplc="7FE26548">
      <w:start w:val="1"/>
      <w:numFmt w:val="bullet"/>
      <w:lvlText w:val=""/>
      <w:lvlJc w:val="left"/>
      <w:pPr>
        <w:ind w:left="6480" w:hanging="360"/>
      </w:pPr>
      <w:rPr>
        <w:rFonts w:ascii="Wingdings" w:hAnsi="Wingdings" w:hint="default"/>
      </w:rPr>
    </w:lvl>
  </w:abstractNum>
  <w:abstractNum w:abstractNumId="44" w15:restartNumberingAfterBreak="0">
    <w:nsid w:val="3572C290"/>
    <w:multiLevelType w:val="hybridMultilevel"/>
    <w:tmpl w:val="8C38A0D8"/>
    <w:lvl w:ilvl="0" w:tplc="26141CE6">
      <w:start w:val="1"/>
      <w:numFmt w:val="bullet"/>
      <w:lvlText w:val=""/>
      <w:lvlJc w:val="left"/>
      <w:pPr>
        <w:ind w:left="720" w:hanging="360"/>
      </w:pPr>
      <w:rPr>
        <w:rFonts w:ascii="Symbol" w:hAnsi="Symbol" w:hint="default"/>
      </w:rPr>
    </w:lvl>
    <w:lvl w:ilvl="1" w:tplc="20D024E8">
      <w:start w:val="1"/>
      <w:numFmt w:val="bullet"/>
      <w:lvlText w:val="o"/>
      <w:lvlJc w:val="left"/>
      <w:pPr>
        <w:ind w:left="1440" w:hanging="360"/>
      </w:pPr>
      <w:rPr>
        <w:rFonts w:ascii="&quot;Courier New&quot;" w:hAnsi="&quot;Courier New&quot;" w:hint="default"/>
      </w:rPr>
    </w:lvl>
    <w:lvl w:ilvl="2" w:tplc="6136B3BC">
      <w:start w:val="1"/>
      <w:numFmt w:val="bullet"/>
      <w:lvlText w:val=""/>
      <w:lvlJc w:val="left"/>
      <w:pPr>
        <w:ind w:left="2160" w:hanging="360"/>
      </w:pPr>
      <w:rPr>
        <w:rFonts w:ascii="Wingdings" w:hAnsi="Wingdings" w:hint="default"/>
      </w:rPr>
    </w:lvl>
    <w:lvl w:ilvl="3" w:tplc="BAEEB030">
      <w:start w:val="1"/>
      <w:numFmt w:val="bullet"/>
      <w:lvlText w:val=""/>
      <w:lvlJc w:val="left"/>
      <w:pPr>
        <w:ind w:left="2880" w:hanging="360"/>
      </w:pPr>
      <w:rPr>
        <w:rFonts w:ascii="Symbol" w:hAnsi="Symbol" w:hint="default"/>
      </w:rPr>
    </w:lvl>
    <w:lvl w:ilvl="4" w:tplc="99DAAD88">
      <w:start w:val="1"/>
      <w:numFmt w:val="bullet"/>
      <w:lvlText w:val="o"/>
      <w:lvlJc w:val="left"/>
      <w:pPr>
        <w:ind w:left="3600" w:hanging="360"/>
      </w:pPr>
      <w:rPr>
        <w:rFonts w:ascii="Courier New" w:hAnsi="Courier New" w:hint="default"/>
      </w:rPr>
    </w:lvl>
    <w:lvl w:ilvl="5" w:tplc="BCFEE72A">
      <w:start w:val="1"/>
      <w:numFmt w:val="bullet"/>
      <w:lvlText w:val=""/>
      <w:lvlJc w:val="left"/>
      <w:pPr>
        <w:ind w:left="4320" w:hanging="360"/>
      </w:pPr>
      <w:rPr>
        <w:rFonts w:ascii="Wingdings" w:hAnsi="Wingdings" w:hint="default"/>
      </w:rPr>
    </w:lvl>
    <w:lvl w:ilvl="6" w:tplc="F938A656">
      <w:start w:val="1"/>
      <w:numFmt w:val="bullet"/>
      <w:lvlText w:val=""/>
      <w:lvlJc w:val="left"/>
      <w:pPr>
        <w:ind w:left="5040" w:hanging="360"/>
      </w:pPr>
      <w:rPr>
        <w:rFonts w:ascii="Symbol" w:hAnsi="Symbol" w:hint="default"/>
      </w:rPr>
    </w:lvl>
    <w:lvl w:ilvl="7" w:tplc="AC3A981A">
      <w:start w:val="1"/>
      <w:numFmt w:val="bullet"/>
      <w:lvlText w:val="o"/>
      <w:lvlJc w:val="left"/>
      <w:pPr>
        <w:ind w:left="5760" w:hanging="360"/>
      </w:pPr>
      <w:rPr>
        <w:rFonts w:ascii="Courier New" w:hAnsi="Courier New" w:hint="default"/>
      </w:rPr>
    </w:lvl>
    <w:lvl w:ilvl="8" w:tplc="B8EA85D8">
      <w:start w:val="1"/>
      <w:numFmt w:val="bullet"/>
      <w:lvlText w:val=""/>
      <w:lvlJc w:val="left"/>
      <w:pPr>
        <w:ind w:left="6480" w:hanging="360"/>
      </w:pPr>
      <w:rPr>
        <w:rFonts w:ascii="Wingdings" w:hAnsi="Wingdings" w:hint="default"/>
      </w:rPr>
    </w:lvl>
  </w:abstractNum>
  <w:abstractNum w:abstractNumId="45" w15:restartNumberingAfterBreak="0">
    <w:nsid w:val="38C764D0"/>
    <w:multiLevelType w:val="hybridMultilevel"/>
    <w:tmpl w:val="B07E48D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6" w15:restartNumberingAfterBreak="0">
    <w:nsid w:val="38DD28AB"/>
    <w:multiLevelType w:val="hybridMultilevel"/>
    <w:tmpl w:val="BBD209EE"/>
    <w:lvl w:ilvl="0" w:tplc="3774E646">
      <w:start w:val="1"/>
      <w:numFmt w:val="decimal"/>
      <w:lvlText w:val="%1."/>
      <w:lvlJc w:val="left"/>
      <w:pPr>
        <w:ind w:left="720" w:hanging="360"/>
      </w:pPr>
    </w:lvl>
    <w:lvl w:ilvl="1" w:tplc="B1F80012">
      <w:start w:val="1"/>
      <w:numFmt w:val="decimal"/>
      <w:lvlText w:val="%2."/>
      <w:lvlJc w:val="left"/>
      <w:pPr>
        <w:ind w:left="720" w:hanging="360"/>
      </w:pPr>
    </w:lvl>
    <w:lvl w:ilvl="2" w:tplc="F9D625C4">
      <w:start w:val="1"/>
      <w:numFmt w:val="decimal"/>
      <w:lvlText w:val="%3."/>
      <w:lvlJc w:val="left"/>
      <w:pPr>
        <w:ind w:left="720" w:hanging="360"/>
      </w:pPr>
    </w:lvl>
    <w:lvl w:ilvl="3" w:tplc="29BC9448">
      <w:start w:val="1"/>
      <w:numFmt w:val="decimal"/>
      <w:lvlText w:val="%4."/>
      <w:lvlJc w:val="left"/>
      <w:pPr>
        <w:ind w:left="720" w:hanging="360"/>
      </w:pPr>
    </w:lvl>
    <w:lvl w:ilvl="4" w:tplc="36E8EFBE">
      <w:start w:val="1"/>
      <w:numFmt w:val="decimal"/>
      <w:lvlText w:val="%5."/>
      <w:lvlJc w:val="left"/>
      <w:pPr>
        <w:ind w:left="720" w:hanging="360"/>
      </w:pPr>
    </w:lvl>
    <w:lvl w:ilvl="5" w:tplc="EEC6C858">
      <w:start w:val="1"/>
      <w:numFmt w:val="decimal"/>
      <w:lvlText w:val="%6."/>
      <w:lvlJc w:val="left"/>
      <w:pPr>
        <w:ind w:left="720" w:hanging="360"/>
      </w:pPr>
    </w:lvl>
    <w:lvl w:ilvl="6" w:tplc="67CEB48C">
      <w:start w:val="1"/>
      <w:numFmt w:val="decimal"/>
      <w:lvlText w:val="%7."/>
      <w:lvlJc w:val="left"/>
      <w:pPr>
        <w:ind w:left="720" w:hanging="360"/>
      </w:pPr>
    </w:lvl>
    <w:lvl w:ilvl="7" w:tplc="ECF414F4">
      <w:start w:val="1"/>
      <w:numFmt w:val="decimal"/>
      <w:lvlText w:val="%8."/>
      <w:lvlJc w:val="left"/>
      <w:pPr>
        <w:ind w:left="720" w:hanging="360"/>
      </w:pPr>
    </w:lvl>
    <w:lvl w:ilvl="8" w:tplc="3F90C436">
      <w:start w:val="1"/>
      <w:numFmt w:val="decimal"/>
      <w:lvlText w:val="%9."/>
      <w:lvlJc w:val="left"/>
      <w:pPr>
        <w:ind w:left="720" w:hanging="360"/>
      </w:pPr>
    </w:lvl>
  </w:abstractNum>
  <w:abstractNum w:abstractNumId="47" w15:restartNumberingAfterBreak="0">
    <w:nsid w:val="3DC59E9E"/>
    <w:multiLevelType w:val="hybridMultilevel"/>
    <w:tmpl w:val="B2EEDD46"/>
    <w:lvl w:ilvl="0" w:tplc="5CA2460C">
      <w:start w:val="1"/>
      <w:numFmt w:val="bullet"/>
      <w:lvlText w:val=""/>
      <w:lvlJc w:val="left"/>
      <w:pPr>
        <w:ind w:left="720" w:hanging="360"/>
      </w:pPr>
      <w:rPr>
        <w:rFonts w:ascii="Symbol" w:hAnsi="Symbol" w:hint="default"/>
      </w:rPr>
    </w:lvl>
    <w:lvl w:ilvl="1" w:tplc="C10C863E">
      <w:start w:val="1"/>
      <w:numFmt w:val="bullet"/>
      <w:lvlText w:val="o"/>
      <w:lvlJc w:val="left"/>
      <w:pPr>
        <w:ind w:left="1440" w:hanging="360"/>
      </w:pPr>
      <w:rPr>
        <w:rFonts w:ascii="&quot;Courier New&quot;" w:hAnsi="&quot;Courier New&quot;" w:hint="default"/>
      </w:rPr>
    </w:lvl>
    <w:lvl w:ilvl="2" w:tplc="6AC47C3A">
      <w:start w:val="1"/>
      <w:numFmt w:val="bullet"/>
      <w:lvlText w:val=""/>
      <w:lvlJc w:val="left"/>
      <w:pPr>
        <w:ind w:left="2160" w:hanging="360"/>
      </w:pPr>
      <w:rPr>
        <w:rFonts w:ascii="Wingdings" w:hAnsi="Wingdings" w:hint="default"/>
      </w:rPr>
    </w:lvl>
    <w:lvl w:ilvl="3" w:tplc="19F641FE">
      <w:start w:val="1"/>
      <w:numFmt w:val="bullet"/>
      <w:lvlText w:val=""/>
      <w:lvlJc w:val="left"/>
      <w:pPr>
        <w:ind w:left="2880" w:hanging="360"/>
      </w:pPr>
      <w:rPr>
        <w:rFonts w:ascii="Symbol" w:hAnsi="Symbol" w:hint="default"/>
      </w:rPr>
    </w:lvl>
    <w:lvl w:ilvl="4" w:tplc="3786771E">
      <w:start w:val="1"/>
      <w:numFmt w:val="bullet"/>
      <w:lvlText w:val="o"/>
      <w:lvlJc w:val="left"/>
      <w:pPr>
        <w:ind w:left="3600" w:hanging="360"/>
      </w:pPr>
      <w:rPr>
        <w:rFonts w:ascii="Courier New" w:hAnsi="Courier New" w:hint="default"/>
      </w:rPr>
    </w:lvl>
    <w:lvl w:ilvl="5" w:tplc="4AB67DD0">
      <w:start w:val="1"/>
      <w:numFmt w:val="bullet"/>
      <w:lvlText w:val=""/>
      <w:lvlJc w:val="left"/>
      <w:pPr>
        <w:ind w:left="4320" w:hanging="360"/>
      </w:pPr>
      <w:rPr>
        <w:rFonts w:ascii="Wingdings" w:hAnsi="Wingdings" w:hint="default"/>
      </w:rPr>
    </w:lvl>
    <w:lvl w:ilvl="6" w:tplc="F0AC7FA6">
      <w:start w:val="1"/>
      <w:numFmt w:val="bullet"/>
      <w:lvlText w:val=""/>
      <w:lvlJc w:val="left"/>
      <w:pPr>
        <w:ind w:left="5040" w:hanging="360"/>
      </w:pPr>
      <w:rPr>
        <w:rFonts w:ascii="Symbol" w:hAnsi="Symbol" w:hint="default"/>
      </w:rPr>
    </w:lvl>
    <w:lvl w:ilvl="7" w:tplc="6B6EC730">
      <w:start w:val="1"/>
      <w:numFmt w:val="bullet"/>
      <w:lvlText w:val="o"/>
      <w:lvlJc w:val="left"/>
      <w:pPr>
        <w:ind w:left="5760" w:hanging="360"/>
      </w:pPr>
      <w:rPr>
        <w:rFonts w:ascii="Courier New" w:hAnsi="Courier New" w:hint="default"/>
      </w:rPr>
    </w:lvl>
    <w:lvl w:ilvl="8" w:tplc="19E4ACF4">
      <w:start w:val="1"/>
      <w:numFmt w:val="bullet"/>
      <w:lvlText w:val=""/>
      <w:lvlJc w:val="left"/>
      <w:pPr>
        <w:ind w:left="6480" w:hanging="360"/>
      </w:pPr>
      <w:rPr>
        <w:rFonts w:ascii="Wingdings" w:hAnsi="Wingdings" w:hint="default"/>
      </w:rPr>
    </w:lvl>
  </w:abstractNum>
  <w:abstractNum w:abstractNumId="48" w15:restartNumberingAfterBreak="0">
    <w:nsid w:val="43747917"/>
    <w:multiLevelType w:val="hybridMultilevel"/>
    <w:tmpl w:val="59766072"/>
    <w:lvl w:ilvl="0" w:tplc="FFFFFFFF">
      <w:start w:val="1"/>
      <w:numFmt w:val="lowerLetter"/>
      <w:lvlText w:val="(%1)"/>
      <w:lvlJc w:val="left"/>
      <w:pPr>
        <w:ind w:left="720" w:hanging="360"/>
      </w:pPr>
      <w:rPr>
        <w:rFonts w:hint="default"/>
      </w:rPr>
    </w:lvl>
    <w:lvl w:ilvl="1" w:tplc="AAA0330E">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9838FCE"/>
    <w:multiLevelType w:val="hybridMultilevel"/>
    <w:tmpl w:val="CF4E8848"/>
    <w:lvl w:ilvl="0" w:tplc="B8C840AA">
      <w:start w:val="1"/>
      <w:numFmt w:val="bullet"/>
      <w:lvlText w:val=""/>
      <w:lvlJc w:val="left"/>
      <w:pPr>
        <w:ind w:left="720" w:hanging="360"/>
      </w:pPr>
      <w:rPr>
        <w:rFonts w:ascii="Symbol" w:hAnsi="Symbol" w:hint="default"/>
      </w:rPr>
    </w:lvl>
    <w:lvl w:ilvl="1" w:tplc="3AC4F222">
      <w:start w:val="1"/>
      <w:numFmt w:val="bullet"/>
      <w:lvlText w:val="o"/>
      <w:lvlJc w:val="left"/>
      <w:pPr>
        <w:ind w:left="1440" w:hanging="360"/>
      </w:pPr>
      <w:rPr>
        <w:rFonts w:ascii="Courier New" w:hAnsi="Courier New" w:hint="default"/>
      </w:rPr>
    </w:lvl>
    <w:lvl w:ilvl="2" w:tplc="9EF840D4">
      <w:start w:val="1"/>
      <w:numFmt w:val="bullet"/>
      <w:lvlText w:val="§"/>
      <w:lvlJc w:val="left"/>
      <w:pPr>
        <w:ind w:left="2160" w:hanging="360"/>
      </w:pPr>
      <w:rPr>
        <w:rFonts w:ascii="Wingdings" w:hAnsi="Wingdings" w:hint="default"/>
      </w:rPr>
    </w:lvl>
    <w:lvl w:ilvl="3" w:tplc="55807164">
      <w:start w:val="1"/>
      <w:numFmt w:val="bullet"/>
      <w:lvlText w:val=""/>
      <w:lvlJc w:val="left"/>
      <w:pPr>
        <w:ind w:left="2880" w:hanging="360"/>
      </w:pPr>
      <w:rPr>
        <w:rFonts w:ascii="Symbol" w:hAnsi="Symbol" w:hint="default"/>
      </w:rPr>
    </w:lvl>
    <w:lvl w:ilvl="4" w:tplc="9140B924">
      <w:start w:val="1"/>
      <w:numFmt w:val="bullet"/>
      <w:lvlText w:val="o"/>
      <w:lvlJc w:val="left"/>
      <w:pPr>
        <w:ind w:left="3600" w:hanging="360"/>
      </w:pPr>
      <w:rPr>
        <w:rFonts w:ascii="Courier New" w:hAnsi="Courier New" w:hint="default"/>
      </w:rPr>
    </w:lvl>
    <w:lvl w:ilvl="5" w:tplc="07E8AE6A">
      <w:start w:val="1"/>
      <w:numFmt w:val="bullet"/>
      <w:lvlText w:val=""/>
      <w:lvlJc w:val="left"/>
      <w:pPr>
        <w:ind w:left="4320" w:hanging="360"/>
      </w:pPr>
      <w:rPr>
        <w:rFonts w:ascii="Wingdings" w:hAnsi="Wingdings" w:hint="default"/>
      </w:rPr>
    </w:lvl>
    <w:lvl w:ilvl="6" w:tplc="8B3AB864">
      <w:start w:val="1"/>
      <w:numFmt w:val="bullet"/>
      <w:lvlText w:val=""/>
      <w:lvlJc w:val="left"/>
      <w:pPr>
        <w:ind w:left="5040" w:hanging="360"/>
      </w:pPr>
      <w:rPr>
        <w:rFonts w:ascii="Symbol" w:hAnsi="Symbol" w:hint="default"/>
      </w:rPr>
    </w:lvl>
    <w:lvl w:ilvl="7" w:tplc="61EE589C">
      <w:start w:val="1"/>
      <w:numFmt w:val="bullet"/>
      <w:lvlText w:val="o"/>
      <w:lvlJc w:val="left"/>
      <w:pPr>
        <w:ind w:left="5760" w:hanging="360"/>
      </w:pPr>
      <w:rPr>
        <w:rFonts w:ascii="Courier New" w:hAnsi="Courier New" w:hint="default"/>
      </w:rPr>
    </w:lvl>
    <w:lvl w:ilvl="8" w:tplc="EF94B292">
      <w:start w:val="1"/>
      <w:numFmt w:val="bullet"/>
      <w:lvlText w:val=""/>
      <w:lvlJc w:val="left"/>
      <w:pPr>
        <w:ind w:left="6480" w:hanging="360"/>
      </w:pPr>
      <w:rPr>
        <w:rFonts w:ascii="Wingdings" w:hAnsi="Wingdings" w:hint="default"/>
      </w:rPr>
    </w:lvl>
  </w:abstractNum>
  <w:abstractNum w:abstractNumId="50" w15:restartNumberingAfterBreak="0">
    <w:nsid w:val="49C135BC"/>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C100F9E"/>
    <w:multiLevelType w:val="hybridMultilevel"/>
    <w:tmpl w:val="E522FEC8"/>
    <w:lvl w:ilvl="0" w:tplc="D71E136A">
      <w:start w:val="1"/>
      <w:numFmt w:val="bullet"/>
      <w:lvlText w:val=""/>
      <w:lvlJc w:val="left"/>
      <w:pPr>
        <w:ind w:left="720" w:hanging="360"/>
      </w:pPr>
      <w:rPr>
        <w:rFonts w:ascii="Symbol" w:hAnsi="Symbol" w:hint="default"/>
      </w:rPr>
    </w:lvl>
    <w:lvl w:ilvl="1" w:tplc="515A65A8">
      <w:start w:val="1"/>
      <w:numFmt w:val="bullet"/>
      <w:lvlText w:val="o"/>
      <w:lvlJc w:val="left"/>
      <w:pPr>
        <w:ind w:left="1440" w:hanging="360"/>
      </w:pPr>
      <w:rPr>
        <w:rFonts w:ascii="Courier New" w:hAnsi="Courier New" w:hint="default"/>
      </w:rPr>
    </w:lvl>
    <w:lvl w:ilvl="2" w:tplc="705E276E">
      <w:start w:val="1"/>
      <w:numFmt w:val="bullet"/>
      <w:lvlText w:val=""/>
      <w:lvlJc w:val="left"/>
      <w:pPr>
        <w:ind w:left="2160" w:hanging="360"/>
      </w:pPr>
      <w:rPr>
        <w:rFonts w:ascii="Wingdings" w:hAnsi="Wingdings" w:hint="default"/>
      </w:rPr>
    </w:lvl>
    <w:lvl w:ilvl="3" w:tplc="068C96D8">
      <w:start w:val="1"/>
      <w:numFmt w:val="bullet"/>
      <w:lvlText w:val="·"/>
      <w:lvlJc w:val="left"/>
      <w:pPr>
        <w:ind w:left="2880" w:hanging="360"/>
      </w:pPr>
      <w:rPr>
        <w:rFonts w:ascii="Symbol" w:hAnsi="Symbol" w:hint="default"/>
      </w:rPr>
    </w:lvl>
    <w:lvl w:ilvl="4" w:tplc="64B28AD6">
      <w:start w:val="1"/>
      <w:numFmt w:val="bullet"/>
      <w:lvlText w:val="o"/>
      <w:lvlJc w:val="left"/>
      <w:pPr>
        <w:ind w:left="3600" w:hanging="360"/>
      </w:pPr>
      <w:rPr>
        <w:rFonts w:ascii="Courier New" w:hAnsi="Courier New" w:hint="default"/>
      </w:rPr>
    </w:lvl>
    <w:lvl w:ilvl="5" w:tplc="9B9C23BC">
      <w:start w:val="1"/>
      <w:numFmt w:val="bullet"/>
      <w:lvlText w:val=""/>
      <w:lvlJc w:val="left"/>
      <w:pPr>
        <w:ind w:left="4320" w:hanging="360"/>
      </w:pPr>
      <w:rPr>
        <w:rFonts w:ascii="Wingdings" w:hAnsi="Wingdings" w:hint="default"/>
      </w:rPr>
    </w:lvl>
    <w:lvl w:ilvl="6" w:tplc="66680122">
      <w:start w:val="1"/>
      <w:numFmt w:val="bullet"/>
      <w:lvlText w:val=""/>
      <w:lvlJc w:val="left"/>
      <w:pPr>
        <w:ind w:left="5040" w:hanging="360"/>
      </w:pPr>
      <w:rPr>
        <w:rFonts w:ascii="Symbol" w:hAnsi="Symbol" w:hint="default"/>
      </w:rPr>
    </w:lvl>
    <w:lvl w:ilvl="7" w:tplc="E29C0E7C">
      <w:start w:val="1"/>
      <w:numFmt w:val="bullet"/>
      <w:lvlText w:val="o"/>
      <w:lvlJc w:val="left"/>
      <w:pPr>
        <w:ind w:left="5760" w:hanging="360"/>
      </w:pPr>
      <w:rPr>
        <w:rFonts w:ascii="Courier New" w:hAnsi="Courier New" w:hint="default"/>
      </w:rPr>
    </w:lvl>
    <w:lvl w:ilvl="8" w:tplc="2292B416">
      <w:start w:val="1"/>
      <w:numFmt w:val="bullet"/>
      <w:lvlText w:val=""/>
      <w:lvlJc w:val="left"/>
      <w:pPr>
        <w:ind w:left="6480" w:hanging="360"/>
      </w:pPr>
      <w:rPr>
        <w:rFonts w:ascii="Wingdings" w:hAnsi="Wingdings" w:hint="default"/>
      </w:rPr>
    </w:lvl>
  </w:abstractNum>
  <w:abstractNum w:abstractNumId="52" w15:restartNumberingAfterBreak="0">
    <w:nsid w:val="4C580DEB"/>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4CA320FC"/>
    <w:multiLevelType w:val="hybridMultilevel"/>
    <w:tmpl w:val="222414D4"/>
    <w:lvl w:ilvl="0" w:tplc="46942D00">
      <w:start w:val="1"/>
      <w:numFmt w:val="bullet"/>
      <w:lvlText w:val=""/>
      <w:lvlJc w:val="left"/>
      <w:pPr>
        <w:ind w:left="720" w:hanging="360"/>
      </w:pPr>
      <w:rPr>
        <w:rFonts w:ascii="Symbol" w:hAnsi="Symbol" w:hint="default"/>
      </w:rPr>
    </w:lvl>
    <w:lvl w:ilvl="1" w:tplc="BE100742">
      <w:start w:val="1"/>
      <w:numFmt w:val="bullet"/>
      <w:lvlText w:val="o"/>
      <w:lvlJc w:val="left"/>
      <w:pPr>
        <w:ind w:left="1440" w:hanging="360"/>
      </w:pPr>
      <w:rPr>
        <w:rFonts w:ascii="Courier New" w:hAnsi="Courier New" w:hint="default"/>
      </w:rPr>
    </w:lvl>
    <w:lvl w:ilvl="2" w:tplc="CB727508">
      <w:start w:val="1"/>
      <w:numFmt w:val="bullet"/>
      <w:lvlText w:val=""/>
      <w:lvlJc w:val="left"/>
      <w:pPr>
        <w:ind w:left="2160" w:hanging="360"/>
      </w:pPr>
      <w:rPr>
        <w:rFonts w:ascii="Wingdings" w:hAnsi="Wingdings" w:hint="default"/>
      </w:rPr>
    </w:lvl>
    <w:lvl w:ilvl="3" w:tplc="21EA4E78">
      <w:start w:val="1"/>
      <w:numFmt w:val="bullet"/>
      <w:lvlText w:val="·"/>
      <w:lvlJc w:val="left"/>
      <w:pPr>
        <w:ind w:left="2880" w:hanging="360"/>
      </w:pPr>
      <w:rPr>
        <w:rFonts w:ascii="Symbol" w:hAnsi="Symbol" w:hint="default"/>
      </w:rPr>
    </w:lvl>
    <w:lvl w:ilvl="4" w:tplc="C3B46D86">
      <w:start w:val="1"/>
      <w:numFmt w:val="bullet"/>
      <w:lvlText w:val="o"/>
      <w:lvlJc w:val="left"/>
      <w:pPr>
        <w:ind w:left="3600" w:hanging="360"/>
      </w:pPr>
      <w:rPr>
        <w:rFonts w:ascii="Courier New" w:hAnsi="Courier New" w:hint="default"/>
      </w:rPr>
    </w:lvl>
    <w:lvl w:ilvl="5" w:tplc="4784EB08">
      <w:start w:val="1"/>
      <w:numFmt w:val="bullet"/>
      <w:lvlText w:val=""/>
      <w:lvlJc w:val="left"/>
      <w:pPr>
        <w:ind w:left="4320" w:hanging="360"/>
      </w:pPr>
      <w:rPr>
        <w:rFonts w:ascii="Wingdings" w:hAnsi="Wingdings" w:hint="default"/>
      </w:rPr>
    </w:lvl>
    <w:lvl w:ilvl="6" w:tplc="5B16ED30">
      <w:start w:val="1"/>
      <w:numFmt w:val="bullet"/>
      <w:lvlText w:val=""/>
      <w:lvlJc w:val="left"/>
      <w:pPr>
        <w:ind w:left="5040" w:hanging="360"/>
      </w:pPr>
      <w:rPr>
        <w:rFonts w:ascii="Symbol" w:hAnsi="Symbol" w:hint="default"/>
      </w:rPr>
    </w:lvl>
    <w:lvl w:ilvl="7" w:tplc="0CCC44CE">
      <w:start w:val="1"/>
      <w:numFmt w:val="bullet"/>
      <w:lvlText w:val="o"/>
      <w:lvlJc w:val="left"/>
      <w:pPr>
        <w:ind w:left="5760" w:hanging="360"/>
      </w:pPr>
      <w:rPr>
        <w:rFonts w:ascii="Courier New" w:hAnsi="Courier New" w:hint="default"/>
      </w:rPr>
    </w:lvl>
    <w:lvl w:ilvl="8" w:tplc="FF8056D8">
      <w:start w:val="1"/>
      <w:numFmt w:val="bullet"/>
      <w:lvlText w:val=""/>
      <w:lvlJc w:val="left"/>
      <w:pPr>
        <w:ind w:left="6480" w:hanging="360"/>
      </w:pPr>
      <w:rPr>
        <w:rFonts w:ascii="Wingdings" w:hAnsi="Wingdings" w:hint="default"/>
      </w:rPr>
    </w:lvl>
  </w:abstractNum>
  <w:abstractNum w:abstractNumId="54" w15:restartNumberingAfterBreak="0">
    <w:nsid w:val="4D156543"/>
    <w:multiLevelType w:val="hybridMultilevel"/>
    <w:tmpl w:val="77382682"/>
    <w:lvl w:ilvl="0" w:tplc="C22A3942">
      <w:start w:val="1"/>
      <w:numFmt w:val="bullet"/>
      <w:lvlText w:val=""/>
      <w:lvlJc w:val="left"/>
      <w:pPr>
        <w:ind w:left="720" w:hanging="360"/>
      </w:pPr>
      <w:rPr>
        <w:rFonts w:ascii="Symbol" w:hAnsi="Symbol" w:hint="default"/>
      </w:rPr>
    </w:lvl>
    <w:lvl w:ilvl="1" w:tplc="21F661F8">
      <w:start w:val="1"/>
      <w:numFmt w:val="bullet"/>
      <w:lvlText w:val="o"/>
      <w:lvlJc w:val="left"/>
      <w:pPr>
        <w:ind w:left="1440" w:hanging="360"/>
      </w:pPr>
      <w:rPr>
        <w:rFonts w:ascii="&quot;Courier New&quot;" w:hAnsi="&quot;Courier New&quot;" w:hint="default"/>
      </w:rPr>
    </w:lvl>
    <w:lvl w:ilvl="2" w:tplc="F8E03346">
      <w:start w:val="1"/>
      <w:numFmt w:val="bullet"/>
      <w:lvlText w:val=""/>
      <w:lvlJc w:val="left"/>
      <w:pPr>
        <w:ind w:left="2160" w:hanging="360"/>
      </w:pPr>
      <w:rPr>
        <w:rFonts w:ascii="Wingdings" w:hAnsi="Wingdings" w:hint="default"/>
      </w:rPr>
    </w:lvl>
    <w:lvl w:ilvl="3" w:tplc="5AF6FDA8">
      <w:start w:val="1"/>
      <w:numFmt w:val="bullet"/>
      <w:lvlText w:val=""/>
      <w:lvlJc w:val="left"/>
      <w:pPr>
        <w:ind w:left="2880" w:hanging="360"/>
      </w:pPr>
      <w:rPr>
        <w:rFonts w:ascii="Symbol" w:hAnsi="Symbol" w:hint="default"/>
      </w:rPr>
    </w:lvl>
    <w:lvl w:ilvl="4" w:tplc="D1CAAB70">
      <w:start w:val="1"/>
      <w:numFmt w:val="bullet"/>
      <w:lvlText w:val="o"/>
      <w:lvlJc w:val="left"/>
      <w:pPr>
        <w:ind w:left="3600" w:hanging="360"/>
      </w:pPr>
      <w:rPr>
        <w:rFonts w:ascii="Courier New" w:hAnsi="Courier New" w:hint="default"/>
      </w:rPr>
    </w:lvl>
    <w:lvl w:ilvl="5" w:tplc="931657E4">
      <w:start w:val="1"/>
      <w:numFmt w:val="bullet"/>
      <w:lvlText w:val=""/>
      <w:lvlJc w:val="left"/>
      <w:pPr>
        <w:ind w:left="4320" w:hanging="360"/>
      </w:pPr>
      <w:rPr>
        <w:rFonts w:ascii="Wingdings" w:hAnsi="Wingdings" w:hint="default"/>
      </w:rPr>
    </w:lvl>
    <w:lvl w:ilvl="6" w:tplc="411A0496">
      <w:start w:val="1"/>
      <w:numFmt w:val="bullet"/>
      <w:lvlText w:val=""/>
      <w:lvlJc w:val="left"/>
      <w:pPr>
        <w:ind w:left="5040" w:hanging="360"/>
      </w:pPr>
      <w:rPr>
        <w:rFonts w:ascii="Symbol" w:hAnsi="Symbol" w:hint="default"/>
      </w:rPr>
    </w:lvl>
    <w:lvl w:ilvl="7" w:tplc="4FEA5BFC">
      <w:start w:val="1"/>
      <w:numFmt w:val="bullet"/>
      <w:lvlText w:val="o"/>
      <w:lvlJc w:val="left"/>
      <w:pPr>
        <w:ind w:left="5760" w:hanging="360"/>
      </w:pPr>
      <w:rPr>
        <w:rFonts w:ascii="Courier New" w:hAnsi="Courier New" w:hint="default"/>
      </w:rPr>
    </w:lvl>
    <w:lvl w:ilvl="8" w:tplc="604243EC">
      <w:start w:val="1"/>
      <w:numFmt w:val="bullet"/>
      <w:lvlText w:val=""/>
      <w:lvlJc w:val="left"/>
      <w:pPr>
        <w:ind w:left="6480" w:hanging="360"/>
      </w:pPr>
      <w:rPr>
        <w:rFonts w:ascii="Wingdings" w:hAnsi="Wingdings" w:hint="default"/>
      </w:rPr>
    </w:lvl>
  </w:abstractNum>
  <w:abstractNum w:abstractNumId="55" w15:restartNumberingAfterBreak="0">
    <w:nsid w:val="4D632AFD"/>
    <w:multiLevelType w:val="hybridMultilevel"/>
    <w:tmpl w:val="A79C80D8"/>
    <w:lvl w:ilvl="0" w:tplc="4006734E">
      <w:start w:val="1"/>
      <w:numFmt w:val="bullet"/>
      <w:lvlText w:val=""/>
      <w:lvlJc w:val="left"/>
      <w:pPr>
        <w:ind w:left="720" w:hanging="360"/>
      </w:pPr>
      <w:rPr>
        <w:rFonts w:ascii="Symbol" w:hAnsi="Symbol" w:hint="default"/>
      </w:rPr>
    </w:lvl>
    <w:lvl w:ilvl="1" w:tplc="EF54EC20">
      <w:start w:val="1"/>
      <w:numFmt w:val="bullet"/>
      <w:lvlText w:val="o"/>
      <w:lvlJc w:val="left"/>
      <w:pPr>
        <w:ind w:left="1440" w:hanging="360"/>
      </w:pPr>
      <w:rPr>
        <w:rFonts w:ascii="&quot;Courier New&quot;" w:hAnsi="&quot;Courier New&quot;" w:hint="default"/>
      </w:rPr>
    </w:lvl>
    <w:lvl w:ilvl="2" w:tplc="2514DF3C">
      <w:start w:val="1"/>
      <w:numFmt w:val="bullet"/>
      <w:lvlText w:val=""/>
      <w:lvlJc w:val="left"/>
      <w:pPr>
        <w:ind w:left="2160" w:hanging="360"/>
      </w:pPr>
      <w:rPr>
        <w:rFonts w:ascii="Wingdings" w:hAnsi="Wingdings" w:hint="default"/>
      </w:rPr>
    </w:lvl>
    <w:lvl w:ilvl="3" w:tplc="8E7EDD9E">
      <w:start w:val="1"/>
      <w:numFmt w:val="bullet"/>
      <w:lvlText w:val=""/>
      <w:lvlJc w:val="left"/>
      <w:pPr>
        <w:ind w:left="2880" w:hanging="360"/>
      </w:pPr>
      <w:rPr>
        <w:rFonts w:ascii="Symbol" w:hAnsi="Symbol" w:hint="default"/>
      </w:rPr>
    </w:lvl>
    <w:lvl w:ilvl="4" w:tplc="B6F679A2">
      <w:start w:val="1"/>
      <w:numFmt w:val="bullet"/>
      <w:lvlText w:val="o"/>
      <w:lvlJc w:val="left"/>
      <w:pPr>
        <w:ind w:left="3600" w:hanging="360"/>
      </w:pPr>
      <w:rPr>
        <w:rFonts w:ascii="Courier New" w:hAnsi="Courier New" w:hint="default"/>
      </w:rPr>
    </w:lvl>
    <w:lvl w:ilvl="5" w:tplc="AF549658">
      <w:start w:val="1"/>
      <w:numFmt w:val="bullet"/>
      <w:lvlText w:val=""/>
      <w:lvlJc w:val="left"/>
      <w:pPr>
        <w:ind w:left="4320" w:hanging="360"/>
      </w:pPr>
      <w:rPr>
        <w:rFonts w:ascii="Wingdings" w:hAnsi="Wingdings" w:hint="default"/>
      </w:rPr>
    </w:lvl>
    <w:lvl w:ilvl="6" w:tplc="37807D6E">
      <w:start w:val="1"/>
      <w:numFmt w:val="bullet"/>
      <w:lvlText w:val=""/>
      <w:lvlJc w:val="left"/>
      <w:pPr>
        <w:ind w:left="5040" w:hanging="360"/>
      </w:pPr>
      <w:rPr>
        <w:rFonts w:ascii="Symbol" w:hAnsi="Symbol" w:hint="default"/>
      </w:rPr>
    </w:lvl>
    <w:lvl w:ilvl="7" w:tplc="61161A30">
      <w:start w:val="1"/>
      <w:numFmt w:val="bullet"/>
      <w:lvlText w:val="o"/>
      <w:lvlJc w:val="left"/>
      <w:pPr>
        <w:ind w:left="5760" w:hanging="360"/>
      </w:pPr>
      <w:rPr>
        <w:rFonts w:ascii="Courier New" w:hAnsi="Courier New" w:hint="default"/>
      </w:rPr>
    </w:lvl>
    <w:lvl w:ilvl="8" w:tplc="2D5C750C">
      <w:start w:val="1"/>
      <w:numFmt w:val="bullet"/>
      <w:lvlText w:val=""/>
      <w:lvlJc w:val="left"/>
      <w:pPr>
        <w:ind w:left="6480" w:hanging="360"/>
      </w:pPr>
      <w:rPr>
        <w:rFonts w:ascii="Wingdings" w:hAnsi="Wingdings" w:hint="default"/>
      </w:rPr>
    </w:lvl>
  </w:abstractNum>
  <w:abstractNum w:abstractNumId="56" w15:restartNumberingAfterBreak="0">
    <w:nsid w:val="4DFD2744"/>
    <w:multiLevelType w:val="hybridMultilevel"/>
    <w:tmpl w:val="80FCD6CE"/>
    <w:lvl w:ilvl="0" w:tplc="FFFFFFFF">
      <w:start w:val="1"/>
      <w:numFmt w:val="lowerRoman"/>
      <w:lvlText w:val="(%1)"/>
      <w:lvlJc w:val="left"/>
      <w:pPr>
        <w:ind w:left="1520" w:hanging="80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7" w15:restartNumberingAfterBreak="0">
    <w:nsid w:val="4E184562"/>
    <w:multiLevelType w:val="hybridMultilevel"/>
    <w:tmpl w:val="106EBA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4FD32A07"/>
    <w:multiLevelType w:val="hybridMultilevel"/>
    <w:tmpl w:val="86D40DFC"/>
    <w:lvl w:ilvl="0" w:tplc="DE109348">
      <w:start w:val="1"/>
      <w:numFmt w:val="bullet"/>
      <w:lvlText w:val=""/>
      <w:lvlJc w:val="left"/>
      <w:pPr>
        <w:ind w:left="720" w:hanging="360"/>
      </w:pPr>
      <w:rPr>
        <w:rFonts w:ascii="Symbol" w:hAnsi="Symbol" w:hint="default"/>
      </w:rPr>
    </w:lvl>
    <w:lvl w:ilvl="1" w:tplc="A4BC689E">
      <w:start w:val="1"/>
      <w:numFmt w:val="bullet"/>
      <w:lvlText w:val="o"/>
      <w:lvlJc w:val="left"/>
      <w:pPr>
        <w:ind w:left="1440" w:hanging="360"/>
      </w:pPr>
      <w:rPr>
        <w:rFonts w:ascii="&quot;Courier New&quot;" w:hAnsi="&quot;Courier New&quot;" w:hint="default"/>
      </w:rPr>
    </w:lvl>
    <w:lvl w:ilvl="2" w:tplc="0682E9FE">
      <w:start w:val="1"/>
      <w:numFmt w:val="bullet"/>
      <w:lvlText w:val=""/>
      <w:lvlJc w:val="left"/>
      <w:pPr>
        <w:ind w:left="2160" w:hanging="360"/>
      </w:pPr>
      <w:rPr>
        <w:rFonts w:ascii="Wingdings" w:hAnsi="Wingdings" w:hint="default"/>
      </w:rPr>
    </w:lvl>
    <w:lvl w:ilvl="3" w:tplc="385C6C6C">
      <w:start w:val="1"/>
      <w:numFmt w:val="bullet"/>
      <w:lvlText w:val=""/>
      <w:lvlJc w:val="left"/>
      <w:pPr>
        <w:ind w:left="2880" w:hanging="360"/>
      </w:pPr>
      <w:rPr>
        <w:rFonts w:ascii="Symbol" w:hAnsi="Symbol" w:hint="default"/>
      </w:rPr>
    </w:lvl>
    <w:lvl w:ilvl="4" w:tplc="DCC4CD20">
      <w:start w:val="1"/>
      <w:numFmt w:val="bullet"/>
      <w:lvlText w:val="o"/>
      <w:lvlJc w:val="left"/>
      <w:pPr>
        <w:ind w:left="3600" w:hanging="360"/>
      </w:pPr>
      <w:rPr>
        <w:rFonts w:ascii="Courier New" w:hAnsi="Courier New" w:hint="default"/>
      </w:rPr>
    </w:lvl>
    <w:lvl w:ilvl="5" w:tplc="F836D93A">
      <w:start w:val="1"/>
      <w:numFmt w:val="bullet"/>
      <w:lvlText w:val=""/>
      <w:lvlJc w:val="left"/>
      <w:pPr>
        <w:ind w:left="4320" w:hanging="360"/>
      </w:pPr>
      <w:rPr>
        <w:rFonts w:ascii="Wingdings" w:hAnsi="Wingdings" w:hint="default"/>
      </w:rPr>
    </w:lvl>
    <w:lvl w:ilvl="6" w:tplc="0ED8D3D4">
      <w:start w:val="1"/>
      <w:numFmt w:val="bullet"/>
      <w:lvlText w:val=""/>
      <w:lvlJc w:val="left"/>
      <w:pPr>
        <w:ind w:left="5040" w:hanging="360"/>
      </w:pPr>
      <w:rPr>
        <w:rFonts w:ascii="Symbol" w:hAnsi="Symbol" w:hint="default"/>
      </w:rPr>
    </w:lvl>
    <w:lvl w:ilvl="7" w:tplc="24BA5EDE">
      <w:start w:val="1"/>
      <w:numFmt w:val="bullet"/>
      <w:lvlText w:val="o"/>
      <w:lvlJc w:val="left"/>
      <w:pPr>
        <w:ind w:left="5760" w:hanging="360"/>
      </w:pPr>
      <w:rPr>
        <w:rFonts w:ascii="Courier New" w:hAnsi="Courier New" w:hint="default"/>
      </w:rPr>
    </w:lvl>
    <w:lvl w:ilvl="8" w:tplc="E2103000">
      <w:start w:val="1"/>
      <w:numFmt w:val="bullet"/>
      <w:lvlText w:val=""/>
      <w:lvlJc w:val="left"/>
      <w:pPr>
        <w:ind w:left="6480" w:hanging="360"/>
      </w:pPr>
      <w:rPr>
        <w:rFonts w:ascii="Wingdings" w:hAnsi="Wingdings" w:hint="default"/>
      </w:rPr>
    </w:lvl>
  </w:abstractNum>
  <w:abstractNum w:abstractNumId="59" w15:restartNumberingAfterBreak="0">
    <w:nsid w:val="4FE8D354"/>
    <w:multiLevelType w:val="hybridMultilevel"/>
    <w:tmpl w:val="663EDD94"/>
    <w:lvl w:ilvl="0" w:tplc="219CA358">
      <w:start w:val="1"/>
      <w:numFmt w:val="upperLetter"/>
      <w:lvlText w:val="%1."/>
      <w:lvlJc w:val="left"/>
      <w:pPr>
        <w:ind w:left="720" w:hanging="360"/>
      </w:pPr>
    </w:lvl>
    <w:lvl w:ilvl="1" w:tplc="E714A9A0">
      <w:start w:val="1"/>
      <w:numFmt w:val="lowerLetter"/>
      <w:lvlText w:val="%2."/>
      <w:lvlJc w:val="left"/>
      <w:pPr>
        <w:ind w:left="1440" w:hanging="360"/>
      </w:pPr>
    </w:lvl>
    <w:lvl w:ilvl="2" w:tplc="0BDE9AEE">
      <w:start w:val="1"/>
      <w:numFmt w:val="lowerRoman"/>
      <w:lvlText w:val="%3."/>
      <w:lvlJc w:val="right"/>
      <w:pPr>
        <w:ind w:left="2160" w:hanging="180"/>
      </w:pPr>
    </w:lvl>
    <w:lvl w:ilvl="3" w:tplc="17BA8DCE">
      <w:start w:val="1"/>
      <w:numFmt w:val="decimal"/>
      <w:lvlText w:val="%4."/>
      <w:lvlJc w:val="left"/>
      <w:pPr>
        <w:ind w:left="2880" w:hanging="360"/>
      </w:pPr>
    </w:lvl>
    <w:lvl w:ilvl="4" w:tplc="BEC64516">
      <w:start w:val="1"/>
      <w:numFmt w:val="lowerLetter"/>
      <w:lvlText w:val="%5."/>
      <w:lvlJc w:val="left"/>
      <w:pPr>
        <w:ind w:left="3600" w:hanging="360"/>
      </w:pPr>
    </w:lvl>
    <w:lvl w:ilvl="5" w:tplc="B7142AF8">
      <w:start w:val="1"/>
      <w:numFmt w:val="lowerRoman"/>
      <w:lvlText w:val="%6."/>
      <w:lvlJc w:val="right"/>
      <w:pPr>
        <w:ind w:left="4320" w:hanging="180"/>
      </w:pPr>
    </w:lvl>
    <w:lvl w:ilvl="6" w:tplc="AF4451F8">
      <w:start w:val="1"/>
      <w:numFmt w:val="decimal"/>
      <w:lvlText w:val="%7."/>
      <w:lvlJc w:val="left"/>
      <w:pPr>
        <w:ind w:left="5040" w:hanging="360"/>
      </w:pPr>
    </w:lvl>
    <w:lvl w:ilvl="7" w:tplc="1CEE3998">
      <w:start w:val="1"/>
      <w:numFmt w:val="lowerLetter"/>
      <w:lvlText w:val="%8."/>
      <w:lvlJc w:val="left"/>
      <w:pPr>
        <w:ind w:left="5760" w:hanging="360"/>
      </w:pPr>
    </w:lvl>
    <w:lvl w:ilvl="8" w:tplc="F2E04320">
      <w:start w:val="1"/>
      <w:numFmt w:val="lowerRoman"/>
      <w:lvlText w:val="%9."/>
      <w:lvlJc w:val="right"/>
      <w:pPr>
        <w:ind w:left="6480" w:hanging="180"/>
      </w:pPr>
    </w:lvl>
  </w:abstractNum>
  <w:abstractNum w:abstractNumId="60" w15:restartNumberingAfterBreak="0">
    <w:nsid w:val="50448AE0"/>
    <w:multiLevelType w:val="hybridMultilevel"/>
    <w:tmpl w:val="E0A0FA16"/>
    <w:lvl w:ilvl="0" w:tplc="A28C736C">
      <w:start w:val="1"/>
      <w:numFmt w:val="bullet"/>
      <w:lvlText w:val=""/>
      <w:lvlJc w:val="left"/>
      <w:pPr>
        <w:ind w:left="720" w:hanging="360"/>
      </w:pPr>
      <w:rPr>
        <w:rFonts w:ascii="Symbol" w:hAnsi="Symbol" w:hint="default"/>
      </w:rPr>
    </w:lvl>
    <w:lvl w:ilvl="1" w:tplc="7E482514">
      <w:start w:val="1"/>
      <w:numFmt w:val="bullet"/>
      <w:lvlText w:val="o"/>
      <w:lvlJc w:val="left"/>
      <w:pPr>
        <w:ind w:left="1440" w:hanging="360"/>
      </w:pPr>
      <w:rPr>
        <w:rFonts w:ascii="Courier New" w:hAnsi="Courier New" w:hint="default"/>
      </w:rPr>
    </w:lvl>
    <w:lvl w:ilvl="2" w:tplc="EAA2D8DC">
      <w:start w:val="1"/>
      <w:numFmt w:val="bullet"/>
      <w:lvlText w:val="§"/>
      <w:lvlJc w:val="left"/>
      <w:pPr>
        <w:ind w:left="2160" w:hanging="360"/>
      </w:pPr>
      <w:rPr>
        <w:rFonts w:ascii="Wingdings" w:hAnsi="Wingdings" w:hint="default"/>
      </w:rPr>
    </w:lvl>
    <w:lvl w:ilvl="3" w:tplc="F04C380A">
      <w:start w:val="1"/>
      <w:numFmt w:val="bullet"/>
      <w:lvlText w:val=""/>
      <w:lvlJc w:val="left"/>
      <w:pPr>
        <w:ind w:left="2880" w:hanging="360"/>
      </w:pPr>
      <w:rPr>
        <w:rFonts w:ascii="Symbol" w:hAnsi="Symbol" w:hint="default"/>
      </w:rPr>
    </w:lvl>
    <w:lvl w:ilvl="4" w:tplc="4E76801A">
      <w:start w:val="1"/>
      <w:numFmt w:val="bullet"/>
      <w:lvlText w:val="o"/>
      <w:lvlJc w:val="left"/>
      <w:pPr>
        <w:ind w:left="3600" w:hanging="360"/>
      </w:pPr>
      <w:rPr>
        <w:rFonts w:ascii="Courier New" w:hAnsi="Courier New" w:hint="default"/>
      </w:rPr>
    </w:lvl>
    <w:lvl w:ilvl="5" w:tplc="E362AC6E">
      <w:start w:val="1"/>
      <w:numFmt w:val="bullet"/>
      <w:lvlText w:val=""/>
      <w:lvlJc w:val="left"/>
      <w:pPr>
        <w:ind w:left="4320" w:hanging="360"/>
      </w:pPr>
      <w:rPr>
        <w:rFonts w:ascii="Wingdings" w:hAnsi="Wingdings" w:hint="default"/>
      </w:rPr>
    </w:lvl>
    <w:lvl w:ilvl="6" w:tplc="6ADA9076">
      <w:start w:val="1"/>
      <w:numFmt w:val="bullet"/>
      <w:lvlText w:val=""/>
      <w:lvlJc w:val="left"/>
      <w:pPr>
        <w:ind w:left="5040" w:hanging="360"/>
      </w:pPr>
      <w:rPr>
        <w:rFonts w:ascii="Symbol" w:hAnsi="Symbol" w:hint="default"/>
      </w:rPr>
    </w:lvl>
    <w:lvl w:ilvl="7" w:tplc="65168D58">
      <w:start w:val="1"/>
      <w:numFmt w:val="bullet"/>
      <w:lvlText w:val="o"/>
      <w:lvlJc w:val="left"/>
      <w:pPr>
        <w:ind w:left="5760" w:hanging="360"/>
      </w:pPr>
      <w:rPr>
        <w:rFonts w:ascii="Courier New" w:hAnsi="Courier New" w:hint="default"/>
      </w:rPr>
    </w:lvl>
    <w:lvl w:ilvl="8" w:tplc="E6365D54">
      <w:start w:val="1"/>
      <w:numFmt w:val="bullet"/>
      <w:lvlText w:val=""/>
      <w:lvlJc w:val="left"/>
      <w:pPr>
        <w:ind w:left="6480" w:hanging="360"/>
      </w:pPr>
      <w:rPr>
        <w:rFonts w:ascii="Wingdings" w:hAnsi="Wingdings" w:hint="default"/>
      </w:rPr>
    </w:lvl>
  </w:abstractNum>
  <w:abstractNum w:abstractNumId="61" w15:restartNumberingAfterBreak="0">
    <w:nsid w:val="51391244"/>
    <w:multiLevelType w:val="hybridMultilevel"/>
    <w:tmpl w:val="4718DC0A"/>
    <w:lvl w:ilvl="0" w:tplc="22F42DC2">
      <w:start w:val="1"/>
      <w:numFmt w:val="bullet"/>
      <w:lvlText w:val=""/>
      <w:lvlJc w:val="left"/>
      <w:pPr>
        <w:ind w:left="720" w:hanging="360"/>
      </w:pPr>
      <w:rPr>
        <w:rFonts w:ascii="Symbol" w:hAnsi="Symbol" w:hint="default"/>
      </w:rPr>
    </w:lvl>
    <w:lvl w:ilvl="1" w:tplc="ECFC480A">
      <w:start w:val="1"/>
      <w:numFmt w:val="bullet"/>
      <w:lvlText w:val="o"/>
      <w:lvlJc w:val="left"/>
      <w:pPr>
        <w:ind w:left="1440" w:hanging="360"/>
      </w:pPr>
      <w:rPr>
        <w:rFonts w:ascii="&quot;Courier New&quot;" w:hAnsi="&quot;Courier New&quot;" w:hint="default"/>
      </w:rPr>
    </w:lvl>
    <w:lvl w:ilvl="2" w:tplc="3506B948">
      <w:start w:val="1"/>
      <w:numFmt w:val="bullet"/>
      <w:lvlText w:val=""/>
      <w:lvlJc w:val="left"/>
      <w:pPr>
        <w:ind w:left="2160" w:hanging="360"/>
      </w:pPr>
      <w:rPr>
        <w:rFonts w:ascii="Wingdings" w:hAnsi="Wingdings" w:hint="default"/>
      </w:rPr>
    </w:lvl>
    <w:lvl w:ilvl="3" w:tplc="6E9AA9AE">
      <w:start w:val="1"/>
      <w:numFmt w:val="bullet"/>
      <w:lvlText w:val=""/>
      <w:lvlJc w:val="left"/>
      <w:pPr>
        <w:ind w:left="2880" w:hanging="360"/>
      </w:pPr>
      <w:rPr>
        <w:rFonts w:ascii="Symbol" w:hAnsi="Symbol" w:hint="default"/>
      </w:rPr>
    </w:lvl>
    <w:lvl w:ilvl="4" w:tplc="F5B85F72">
      <w:start w:val="1"/>
      <w:numFmt w:val="bullet"/>
      <w:lvlText w:val="o"/>
      <w:lvlJc w:val="left"/>
      <w:pPr>
        <w:ind w:left="3600" w:hanging="360"/>
      </w:pPr>
      <w:rPr>
        <w:rFonts w:ascii="Courier New" w:hAnsi="Courier New" w:hint="default"/>
      </w:rPr>
    </w:lvl>
    <w:lvl w:ilvl="5" w:tplc="13C2455A">
      <w:start w:val="1"/>
      <w:numFmt w:val="bullet"/>
      <w:lvlText w:val=""/>
      <w:lvlJc w:val="left"/>
      <w:pPr>
        <w:ind w:left="4320" w:hanging="360"/>
      </w:pPr>
      <w:rPr>
        <w:rFonts w:ascii="Wingdings" w:hAnsi="Wingdings" w:hint="default"/>
      </w:rPr>
    </w:lvl>
    <w:lvl w:ilvl="6" w:tplc="F3DAB2FA">
      <w:start w:val="1"/>
      <w:numFmt w:val="bullet"/>
      <w:lvlText w:val=""/>
      <w:lvlJc w:val="left"/>
      <w:pPr>
        <w:ind w:left="5040" w:hanging="360"/>
      </w:pPr>
      <w:rPr>
        <w:rFonts w:ascii="Symbol" w:hAnsi="Symbol" w:hint="default"/>
      </w:rPr>
    </w:lvl>
    <w:lvl w:ilvl="7" w:tplc="D530159A">
      <w:start w:val="1"/>
      <w:numFmt w:val="bullet"/>
      <w:lvlText w:val="o"/>
      <w:lvlJc w:val="left"/>
      <w:pPr>
        <w:ind w:left="5760" w:hanging="360"/>
      </w:pPr>
      <w:rPr>
        <w:rFonts w:ascii="Courier New" w:hAnsi="Courier New" w:hint="default"/>
      </w:rPr>
    </w:lvl>
    <w:lvl w:ilvl="8" w:tplc="2BB66CF2">
      <w:start w:val="1"/>
      <w:numFmt w:val="bullet"/>
      <w:lvlText w:val=""/>
      <w:lvlJc w:val="left"/>
      <w:pPr>
        <w:ind w:left="6480" w:hanging="360"/>
      </w:pPr>
      <w:rPr>
        <w:rFonts w:ascii="Wingdings" w:hAnsi="Wingdings" w:hint="default"/>
      </w:rPr>
    </w:lvl>
  </w:abstractNum>
  <w:abstractNum w:abstractNumId="62" w15:restartNumberingAfterBreak="0">
    <w:nsid w:val="54976968"/>
    <w:multiLevelType w:val="hybridMultilevel"/>
    <w:tmpl w:val="FF9CACDA"/>
    <w:lvl w:ilvl="0" w:tplc="D674C784">
      <w:start w:val="1"/>
      <w:numFmt w:val="lowerLetter"/>
      <w:pStyle w:val="Para2"/>
      <w:lvlText w:val="(%1)"/>
      <w:lvlJc w:val="left"/>
      <w:pPr>
        <w:ind w:left="6120" w:hanging="360"/>
      </w:pPr>
      <w:rPr>
        <w:rFonts w:hint="default"/>
      </w:rPr>
    </w:lvl>
    <w:lvl w:ilvl="1" w:tplc="AF0834A6">
      <w:start w:val="1"/>
      <w:numFmt w:val="lowerLetter"/>
      <w:lvlText w:val="%2."/>
      <w:lvlJc w:val="left"/>
      <w:pPr>
        <w:ind w:left="6840" w:hanging="360"/>
      </w:pPr>
    </w:lvl>
    <w:lvl w:ilvl="2" w:tplc="1AC43106">
      <w:start w:val="1"/>
      <w:numFmt w:val="lowerRoman"/>
      <w:lvlText w:val="%3."/>
      <w:lvlJc w:val="right"/>
      <w:pPr>
        <w:ind w:left="7560" w:hanging="180"/>
      </w:pPr>
    </w:lvl>
    <w:lvl w:ilvl="3" w:tplc="2AA081CA">
      <w:start w:val="1"/>
      <w:numFmt w:val="decimal"/>
      <w:lvlText w:val="%4."/>
      <w:lvlJc w:val="left"/>
      <w:pPr>
        <w:ind w:left="8280" w:hanging="360"/>
      </w:pPr>
    </w:lvl>
    <w:lvl w:ilvl="4" w:tplc="A81A8486">
      <w:start w:val="1"/>
      <w:numFmt w:val="lowerLetter"/>
      <w:lvlText w:val="%5."/>
      <w:lvlJc w:val="left"/>
      <w:pPr>
        <w:ind w:left="9000" w:hanging="360"/>
      </w:pPr>
    </w:lvl>
    <w:lvl w:ilvl="5" w:tplc="69F8E40A">
      <w:start w:val="1"/>
      <w:numFmt w:val="lowerRoman"/>
      <w:lvlText w:val="%6."/>
      <w:lvlJc w:val="right"/>
      <w:pPr>
        <w:ind w:left="9720" w:hanging="180"/>
      </w:pPr>
    </w:lvl>
    <w:lvl w:ilvl="6" w:tplc="0A663520">
      <w:start w:val="1"/>
      <w:numFmt w:val="decimal"/>
      <w:lvlText w:val="%7."/>
      <w:lvlJc w:val="left"/>
      <w:pPr>
        <w:ind w:left="10440" w:hanging="360"/>
      </w:pPr>
    </w:lvl>
    <w:lvl w:ilvl="7" w:tplc="8F368D4C">
      <w:start w:val="1"/>
      <w:numFmt w:val="lowerLetter"/>
      <w:lvlText w:val="%8."/>
      <w:lvlJc w:val="left"/>
      <w:pPr>
        <w:ind w:left="11160" w:hanging="360"/>
      </w:pPr>
    </w:lvl>
    <w:lvl w:ilvl="8" w:tplc="0DDC133A">
      <w:start w:val="1"/>
      <w:numFmt w:val="lowerRoman"/>
      <w:lvlText w:val="%9."/>
      <w:lvlJc w:val="right"/>
      <w:pPr>
        <w:ind w:left="11880" w:hanging="180"/>
      </w:pPr>
    </w:lvl>
  </w:abstractNum>
  <w:abstractNum w:abstractNumId="63" w15:restartNumberingAfterBreak="0">
    <w:nsid w:val="556F3E5E"/>
    <w:multiLevelType w:val="hybridMultilevel"/>
    <w:tmpl w:val="9D647732"/>
    <w:styleLink w:val="CurrentList1"/>
    <w:lvl w:ilvl="0" w:tplc="21A29F96">
      <w:start w:val="1"/>
      <w:numFmt w:val="decimal"/>
      <w:pStyle w:val="CurrentList1"/>
      <w:lvlText w:val="%1."/>
      <w:lvlJc w:val="left"/>
      <w:pPr>
        <w:tabs>
          <w:tab w:val="num" w:pos="720"/>
        </w:tabs>
        <w:ind w:left="720" w:hanging="360"/>
      </w:pPr>
    </w:lvl>
    <w:lvl w:ilvl="1" w:tplc="D55CA708">
      <w:start w:val="1"/>
      <w:numFmt w:val="decimal"/>
      <w:lvlText w:val="%2."/>
      <w:lvlJc w:val="left"/>
      <w:pPr>
        <w:tabs>
          <w:tab w:val="num" w:pos="1440"/>
        </w:tabs>
        <w:ind w:left="1440" w:hanging="360"/>
      </w:pPr>
    </w:lvl>
    <w:lvl w:ilvl="2" w:tplc="4782B3AE">
      <w:start w:val="1"/>
      <w:numFmt w:val="decimal"/>
      <w:lvlText w:val="%3."/>
      <w:lvlJc w:val="left"/>
      <w:pPr>
        <w:tabs>
          <w:tab w:val="num" w:pos="2160"/>
        </w:tabs>
        <w:ind w:left="2160" w:hanging="360"/>
      </w:pPr>
    </w:lvl>
    <w:lvl w:ilvl="3" w:tplc="A532FD98">
      <w:start w:val="1"/>
      <w:numFmt w:val="decimal"/>
      <w:lvlText w:val="%4."/>
      <w:lvlJc w:val="left"/>
      <w:pPr>
        <w:tabs>
          <w:tab w:val="num" w:pos="2880"/>
        </w:tabs>
        <w:ind w:left="2880" w:hanging="360"/>
      </w:pPr>
    </w:lvl>
    <w:lvl w:ilvl="4" w:tplc="7AE402EA">
      <w:start w:val="1"/>
      <w:numFmt w:val="decimal"/>
      <w:lvlText w:val="%5."/>
      <w:lvlJc w:val="left"/>
      <w:pPr>
        <w:tabs>
          <w:tab w:val="num" w:pos="3600"/>
        </w:tabs>
        <w:ind w:left="3600" w:hanging="360"/>
      </w:pPr>
    </w:lvl>
    <w:lvl w:ilvl="5" w:tplc="2C24B63A">
      <w:start w:val="1"/>
      <w:numFmt w:val="decimal"/>
      <w:lvlText w:val="%6."/>
      <w:lvlJc w:val="left"/>
      <w:pPr>
        <w:tabs>
          <w:tab w:val="num" w:pos="4320"/>
        </w:tabs>
        <w:ind w:left="4320" w:hanging="360"/>
      </w:pPr>
    </w:lvl>
    <w:lvl w:ilvl="6" w:tplc="659EC50A">
      <w:start w:val="1"/>
      <w:numFmt w:val="decimal"/>
      <w:lvlText w:val="%7."/>
      <w:lvlJc w:val="left"/>
      <w:pPr>
        <w:tabs>
          <w:tab w:val="num" w:pos="5040"/>
        </w:tabs>
        <w:ind w:left="5040" w:hanging="360"/>
      </w:pPr>
    </w:lvl>
    <w:lvl w:ilvl="7" w:tplc="AA286172">
      <w:start w:val="1"/>
      <w:numFmt w:val="decimal"/>
      <w:lvlText w:val="%8."/>
      <w:lvlJc w:val="left"/>
      <w:pPr>
        <w:tabs>
          <w:tab w:val="num" w:pos="5760"/>
        </w:tabs>
        <w:ind w:left="5760" w:hanging="360"/>
      </w:pPr>
    </w:lvl>
    <w:lvl w:ilvl="8" w:tplc="D0E6B4AE">
      <w:start w:val="1"/>
      <w:numFmt w:val="decimal"/>
      <w:lvlText w:val="%9."/>
      <w:lvlJc w:val="left"/>
      <w:pPr>
        <w:tabs>
          <w:tab w:val="num" w:pos="6480"/>
        </w:tabs>
        <w:ind w:left="6480" w:hanging="360"/>
      </w:pPr>
    </w:lvl>
  </w:abstractNum>
  <w:abstractNum w:abstractNumId="64" w15:restartNumberingAfterBreak="0">
    <w:nsid w:val="558C53CE"/>
    <w:multiLevelType w:val="hybridMultilevel"/>
    <w:tmpl w:val="FDE8364A"/>
    <w:lvl w:ilvl="0" w:tplc="10C6BBB2">
      <w:start w:val="1"/>
      <w:numFmt w:val="bullet"/>
      <w:lvlText w:val=""/>
      <w:lvlJc w:val="left"/>
      <w:pPr>
        <w:ind w:left="720" w:hanging="360"/>
      </w:pPr>
      <w:rPr>
        <w:rFonts w:ascii="Symbol" w:hAnsi="Symbol" w:hint="default"/>
      </w:rPr>
    </w:lvl>
    <w:lvl w:ilvl="1" w:tplc="32205328">
      <w:start w:val="1"/>
      <w:numFmt w:val="bullet"/>
      <w:lvlText w:val="o"/>
      <w:lvlJc w:val="left"/>
      <w:pPr>
        <w:ind w:left="1440" w:hanging="360"/>
      </w:pPr>
      <w:rPr>
        <w:rFonts w:ascii="&quot;Courier New&quot;" w:hAnsi="&quot;Courier New&quot;" w:hint="default"/>
      </w:rPr>
    </w:lvl>
    <w:lvl w:ilvl="2" w:tplc="85CA3B0A">
      <w:start w:val="1"/>
      <w:numFmt w:val="bullet"/>
      <w:lvlText w:val=""/>
      <w:lvlJc w:val="left"/>
      <w:pPr>
        <w:ind w:left="2160" w:hanging="360"/>
      </w:pPr>
      <w:rPr>
        <w:rFonts w:ascii="Wingdings" w:hAnsi="Wingdings" w:hint="default"/>
      </w:rPr>
    </w:lvl>
    <w:lvl w:ilvl="3" w:tplc="56FEAE60">
      <w:start w:val="1"/>
      <w:numFmt w:val="bullet"/>
      <w:lvlText w:val=""/>
      <w:lvlJc w:val="left"/>
      <w:pPr>
        <w:ind w:left="2880" w:hanging="360"/>
      </w:pPr>
      <w:rPr>
        <w:rFonts w:ascii="Symbol" w:hAnsi="Symbol" w:hint="default"/>
      </w:rPr>
    </w:lvl>
    <w:lvl w:ilvl="4" w:tplc="229CFCB6">
      <w:start w:val="1"/>
      <w:numFmt w:val="bullet"/>
      <w:lvlText w:val="o"/>
      <w:lvlJc w:val="left"/>
      <w:pPr>
        <w:ind w:left="3600" w:hanging="360"/>
      </w:pPr>
      <w:rPr>
        <w:rFonts w:ascii="Courier New" w:hAnsi="Courier New" w:hint="default"/>
      </w:rPr>
    </w:lvl>
    <w:lvl w:ilvl="5" w:tplc="59E048FA">
      <w:start w:val="1"/>
      <w:numFmt w:val="bullet"/>
      <w:lvlText w:val=""/>
      <w:lvlJc w:val="left"/>
      <w:pPr>
        <w:ind w:left="4320" w:hanging="360"/>
      </w:pPr>
      <w:rPr>
        <w:rFonts w:ascii="Wingdings" w:hAnsi="Wingdings" w:hint="default"/>
      </w:rPr>
    </w:lvl>
    <w:lvl w:ilvl="6" w:tplc="0F269706">
      <w:start w:val="1"/>
      <w:numFmt w:val="bullet"/>
      <w:lvlText w:val=""/>
      <w:lvlJc w:val="left"/>
      <w:pPr>
        <w:ind w:left="5040" w:hanging="360"/>
      </w:pPr>
      <w:rPr>
        <w:rFonts w:ascii="Symbol" w:hAnsi="Symbol" w:hint="default"/>
      </w:rPr>
    </w:lvl>
    <w:lvl w:ilvl="7" w:tplc="3412DCDA">
      <w:start w:val="1"/>
      <w:numFmt w:val="bullet"/>
      <w:lvlText w:val="o"/>
      <w:lvlJc w:val="left"/>
      <w:pPr>
        <w:ind w:left="5760" w:hanging="360"/>
      </w:pPr>
      <w:rPr>
        <w:rFonts w:ascii="Courier New" w:hAnsi="Courier New" w:hint="default"/>
      </w:rPr>
    </w:lvl>
    <w:lvl w:ilvl="8" w:tplc="38F804F2">
      <w:start w:val="1"/>
      <w:numFmt w:val="bullet"/>
      <w:lvlText w:val=""/>
      <w:lvlJc w:val="left"/>
      <w:pPr>
        <w:ind w:left="6480" w:hanging="360"/>
      </w:pPr>
      <w:rPr>
        <w:rFonts w:ascii="Wingdings" w:hAnsi="Wingdings" w:hint="default"/>
      </w:rPr>
    </w:lvl>
  </w:abstractNum>
  <w:abstractNum w:abstractNumId="65" w15:restartNumberingAfterBreak="0">
    <w:nsid w:val="57240FF9"/>
    <w:multiLevelType w:val="hybridMultilevel"/>
    <w:tmpl w:val="6A22217C"/>
    <w:lvl w:ilvl="0" w:tplc="F282295A">
      <w:start w:val="1"/>
      <w:numFmt w:val="bullet"/>
      <w:lvlText w:val=""/>
      <w:lvlJc w:val="left"/>
      <w:pPr>
        <w:ind w:left="720" w:hanging="360"/>
      </w:pPr>
      <w:rPr>
        <w:rFonts w:ascii="Symbol" w:hAnsi="Symbol" w:hint="default"/>
      </w:rPr>
    </w:lvl>
    <w:lvl w:ilvl="1" w:tplc="E064E7AC">
      <w:start w:val="1"/>
      <w:numFmt w:val="bullet"/>
      <w:lvlText w:val="o"/>
      <w:lvlJc w:val="left"/>
      <w:pPr>
        <w:ind w:left="1440" w:hanging="360"/>
      </w:pPr>
      <w:rPr>
        <w:rFonts w:ascii="&quot;Courier New&quot;" w:hAnsi="&quot;Courier New&quot;" w:hint="default"/>
      </w:rPr>
    </w:lvl>
    <w:lvl w:ilvl="2" w:tplc="473A1238">
      <w:start w:val="1"/>
      <w:numFmt w:val="bullet"/>
      <w:lvlText w:val=""/>
      <w:lvlJc w:val="left"/>
      <w:pPr>
        <w:ind w:left="2160" w:hanging="360"/>
      </w:pPr>
      <w:rPr>
        <w:rFonts w:ascii="Wingdings" w:hAnsi="Wingdings" w:hint="default"/>
      </w:rPr>
    </w:lvl>
    <w:lvl w:ilvl="3" w:tplc="632E76B4">
      <w:start w:val="1"/>
      <w:numFmt w:val="bullet"/>
      <w:lvlText w:val=""/>
      <w:lvlJc w:val="left"/>
      <w:pPr>
        <w:ind w:left="2880" w:hanging="360"/>
      </w:pPr>
      <w:rPr>
        <w:rFonts w:ascii="Symbol" w:hAnsi="Symbol" w:hint="default"/>
      </w:rPr>
    </w:lvl>
    <w:lvl w:ilvl="4" w:tplc="452C33FE">
      <w:start w:val="1"/>
      <w:numFmt w:val="bullet"/>
      <w:lvlText w:val="o"/>
      <w:lvlJc w:val="left"/>
      <w:pPr>
        <w:ind w:left="3600" w:hanging="360"/>
      </w:pPr>
      <w:rPr>
        <w:rFonts w:ascii="Courier New" w:hAnsi="Courier New" w:hint="default"/>
      </w:rPr>
    </w:lvl>
    <w:lvl w:ilvl="5" w:tplc="ECC28DE0">
      <w:start w:val="1"/>
      <w:numFmt w:val="bullet"/>
      <w:lvlText w:val=""/>
      <w:lvlJc w:val="left"/>
      <w:pPr>
        <w:ind w:left="4320" w:hanging="360"/>
      </w:pPr>
      <w:rPr>
        <w:rFonts w:ascii="Wingdings" w:hAnsi="Wingdings" w:hint="default"/>
      </w:rPr>
    </w:lvl>
    <w:lvl w:ilvl="6" w:tplc="3FDADAFC">
      <w:start w:val="1"/>
      <w:numFmt w:val="bullet"/>
      <w:lvlText w:val=""/>
      <w:lvlJc w:val="left"/>
      <w:pPr>
        <w:ind w:left="5040" w:hanging="360"/>
      </w:pPr>
      <w:rPr>
        <w:rFonts w:ascii="Symbol" w:hAnsi="Symbol" w:hint="default"/>
      </w:rPr>
    </w:lvl>
    <w:lvl w:ilvl="7" w:tplc="7E60C57E">
      <w:start w:val="1"/>
      <w:numFmt w:val="bullet"/>
      <w:lvlText w:val="o"/>
      <w:lvlJc w:val="left"/>
      <w:pPr>
        <w:ind w:left="5760" w:hanging="360"/>
      </w:pPr>
      <w:rPr>
        <w:rFonts w:ascii="Courier New" w:hAnsi="Courier New" w:hint="default"/>
      </w:rPr>
    </w:lvl>
    <w:lvl w:ilvl="8" w:tplc="2E8E6156">
      <w:start w:val="1"/>
      <w:numFmt w:val="bullet"/>
      <w:lvlText w:val=""/>
      <w:lvlJc w:val="left"/>
      <w:pPr>
        <w:ind w:left="6480" w:hanging="360"/>
      </w:pPr>
      <w:rPr>
        <w:rFonts w:ascii="Wingdings" w:hAnsi="Wingdings" w:hint="default"/>
      </w:rPr>
    </w:lvl>
  </w:abstractNum>
  <w:abstractNum w:abstractNumId="66" w15:restartNumberingAfterBreak="0">
    <w:nsid w:val="57BE61A3"/>
    <w:multiLevelType w:val="hybridMultilevel"/>
    <w:tmpl w:val="B80E7912"/>
    <w:lvl w:ilvl="0" w:tplc="0409000F">
      <w:start w:val="1"/>
      <w:numFmt w:val="decimal"/>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67" w15:restartNumberingAfterBreak="0">
    <w:nsid w:val="587A1A6F"/>
    <w:multiLevelType w:val="hybridMultilevel"/>
    <w:tmpl w:val="A364E32A"/>
    <w:lvl w:ilvl="0" w:tplc="57F4A520">
      <w:start w:val="1"/>
      <w:numFmt w:val="lowerRoman"/>
      <w:lvlText w:val="(%1)"/>
      <w:lvlJc w:val="left"/>
      <w:pPr>
        <w:ind w:left="1080" w:hanging="360"/>
      </w:pPr>
      <w:rPr>
        <w:rFonts w:ascii="Times New Roman" w:hAnsi="Times New Roman" w:cs="Times New Roman"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 w15:restartNumberingAfterBreak="0">
    <w:nsid w:val="58F32573"/>
    <w:multiLevelType w:val="hybridMultilevel"/>
    <w:tmpl w:val="F8405846"/>
    <w:lvl w:ilvl="0" w:tplc="AAA0330E">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9" w15:restartNumberingAfterBreak="0">
    <w:nsid w:val="59EA20B1"/>
    <w:multiLevelType w:val="hybridMultilevel"/>
    <w:tmpl w:val="14A2CCD6"/>
    <w:lvl w:ilvl="0" w:tplc="AAA0330E">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0" w15:restartNumberingAfterBreak="0">
    <w:nsid w:val="5AB76FC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B2909C2"/>
    <w:multiLevelType w:val="hybridMultilevel"/>
    <w:tmpl w:val="526C6938"/>
    <w:lvl w:ilvl="0" w:tplc="1CB834A2">
      <w:start w:val="1"/>
      <w:numFmt w:val="bullet"/>
      <w:lvlText w:val="·"/>
      <w:lvlJc w:val="left"/>
      <w:pPr>
        <w:ind w:left="720" w:hanging="360"/>
      </w:pPr>
      <w:rPr>
        <w:rFonts w:ascii="Symbol" w:hAnsi="Symbol" w:hint="default"/>
      </w:rPr>
    </w:lvl>
    <w:lvl w:ilvl="1" w:tplc="7F6A6AB2">
      <w:start w:val="1"/>
      <w:numFmt w:val="bullet"/>
      <w:lvlText w:val="o"/>
      <w:lvlJc w:val="left"/>
      <w:pPr>
        <w:ind w:left="1440" w:hanging="360"/>
      </w:pPr>
      <w:rPr>
        <w:rFonts w:ascii="Courier New" w:hAnsi="Courier New" w:hint="default"/>
      </w:rPr>
    </w:lvl>
    <w:lvl w:ilvl="2" w:tplc="8CE0E780">
      <w:start w:val="1"/>
      <w:numFmt w:val="bullet"/>
      <w:lvlText w:val=""/>
      <w:lvlJc w:val="left"/>
      <w:pPr>
        <w:ind w:left="2160" w:hanging="360"/>
      </w:pPr>
      <w:rPr>
        <w:rFonts w:ascii="Wingdings" w:hAnsi="Wingdings" w:hint="default"/>
      </w:rPr>
    </w:lvl>
    <w:lvl w:ilvl="3" w:tplc="AB7ADB28">
      <w:start w:val="1"/>
      <w:numFmt w:val="bullet"/>
      <w:lvlText w:val=""/>
      <w:lvlJc w:val="left"/>
      <w:pPr>
        <w:ind w:left="2880" w:hanging="360"/>
      </w:pPr>
      <w:rPr>
        <w:rFonts w:ascii="Symbol" w:hAnsi="Symbol" w:hint="default"/>
      </w:rPr>
    </w:lvl>
    <w:lvl w:ilvl="4" w:tplc="41CEFB8A">
      <w:start w:val="1"/>
      <w:numFmt w:val="bullet"/>
      <w:lvlText w:val="o"/>
      <w:lvlJc w:val="left"/>
      <w:pPr>
        <w:ind w:left="3600" w:hanging="360"/>
      </w:pPr>
      <w:rPr>
        <w:rFonts w:ascii="Courier New" w:hAnsi="Courier New" w:hint="default"/>
      </w:rPr>
    </w:lvl>
    <w:lvl w:ilvl="5" w:tplc="9A1E1848">
      <w:start w:val="1"/>
      <w:numFmt w:val="bullet"/>
      <w:lvlText w:val=""/>
      <w:lvlJc w:val="left"/>
      <w:pPr>
        <w:ind w:left="4320" w:hanging="360"/>
      </w:pPr>
      <w:rPr>
        <w:rFonts w:ascii="Wingdings" w:hAnsi="Wingdings" w:hint="default"/>
      </w:rPr>
    </w:lvl>
    <w:lvl w:ilvl="6" w:tplc="FBD6CFDE">
      <w:start w:val="1"/>
      <w:numFmt w:val="bullet"/>
      <w:lvlText w:val=""/>
      <w:lvlJc w:val="left"/>
      <w:pPr>
        <w:ind w:left="5040" w:hanging="360"/>
      </w:pPr>
      <w:rPr>
        <w:rFonts w:ascii="Symbol" w:hAnsi="Symbol" w:hint="default"/>
      </w:rPr>
    </w:lvl>
    <w:lvl w:ilvl="7" w:tplc="174ABCE0">
      <w:start w:val="1"/>
      <w:numFmt w:val="bullet"/>
      <w:lvlText w:val="o"/>
      <w:lvlJc w:val="left"/>
      <w:pPr>
        <w:ind w:left="5760" w:hanging="360"/>
      </w:pPr>
      <w:rPr>
        <w:rFonts w:ascii="Courier New" w:hAnsi="Courier New" w:hint="default"/>
      </w:rPr>
    </w:lvl>
    <w:lvl w:ilvl="8" w:tplc="5A387952">
      <w:start w:val="1"/>
      <w:numFmt w:val="bullet"/>
      <w:lvlText w:val=""/>
      <w:lvlJc w:val="left"/>
      <w:pPr>
        <w:ind w:left="6480" w:hanging="360"/>
      </w:pPr>
      <w:rPr>
        <w:rFonts w:ascii="Wingdings" w:hAnsi="Wingdings" w:hint="default"/>
      </w:rPr>
    </w:lvl>
  </w:abstractNum>
  <w:abstractNum w:abstractNumId="72" w15:restartNumberingAfterBreak="0">
    <w:nsid w:val="5BC7BC46"/>
    <w:multiLevelType w:val="hybridMultilevel"/>
    <w:tmpl w:val="6FAA2EA8"/>
    <w:lvl w:ilvl="0" w:tplc="5088DC32">
      <w:start w:val="1"/>
      <w:numFmt w:val="bullet"/>
      <w:lvlText w:val=""/>
      <w:lvlJc w:val="left"/>
      <w:pPr>
        <w:ind w:left="720" w:hanging="360"/>
      </w:pPr>
      <w:rPr>
        <w:rFonts w:ascii="Symbol" w:hAnsi="Symbol" w:hint="default"/>
      </w:rPr>
    </w:lvl>
    <w:lvl w:ilvl="1" w:tplc="01AEBE04">
      <w:start w:val="1"/>
      <w:numFmt w:val="bullet"/>
      <w:lvlText w:val="o"/>
      <w:lvlJc w:val="left"/>
      <w:pPr>
        <w:ind w:left="1440" w:hanging="360"/>
      </w:pPr>
      <w:rPr>
        <w:rFonts w:ascii="Courier New" w:hAnsi="Courier New" w:hint="default"/>
      </w:rPr>
    </w:lvl>
    <w:lvl w:ilvl="2" w:tplc="36F47812">
      <w:start w:val="1"/>
      <w:numFmt w:val="bullet"/>
      <w:lvlText w:val="§"/>
      <w:lvlJc w:val="left"/>
      <w:pPr>
        <w:ind w:left="2160" w:hanging="360"/>
      </w:pPr>
      <w:rPr>
        <w:rFonts w:ascii="Wingdings" w:hAnsi="Wingdings" w:hint="default"/>
      </w:rPr>
    </w:lvl>
    <w:lvl w:ilvl="3" w:tplc="E94A5382">
      <w:start w:val="1"/>
      <w:numFmt w:val="bullet"/>
      <w:lvlText w:val=""/>
      <w:lvlJc w:val="left"/>
      <w:pPr>
        <w:ind w:left="2880" w:hanging="360"/>
      </w:pPr>
      <w:rPr>
        <w:rFonts w:ascii="Symbol" w:hAnsi="Symbol" w:hint="default"/>
      </w:rPr>
    </w:lvl>
    <w:lvl w:ilvl="4" w:tplc="221CD3CE">
      <w:start w:val="1"/>
      <w:numFmt w:val="bullet"/>
      <w:lvlText w:val="o"/>
      <w:lvlJc w:val="left"/>
      <w:pPr>
        <w:ind w:left="3600" w:hanging="360"/>
      </w:pPr>
      <w:rPr>
        <w:rFonts w:ascii="Courier New" w:hAnsi="Courier New" w:hint="default"/>
      </w:rPr>
    </w:lvl>
    <w:lvl w:ilvl="5" w:tplc="026AFA6A">
      <w:start w:val="1"/>
      <w:numFmt w:val="bullet"/>
      <w:lvlText w:val=""/>
      <w:lvlJc w:val="left"/>
      <w:pPr>
        <w:ind w:left="4320" w:hanging="360"/>
      </w:pPr>
      <w:rPr>
        <w:rFonts w:ascii="Wingdings" w:hAnsi="Wingdings" w:hint="default"/>
      </w:rPr>
    </w:lvl>
    <w:lvl w:ilvl="6" w:tplc="4B8CB202">
      <w:start w:val="1"/>
      <w:numFmt w:val="bullet"/>
      <w:lvlText w:val=""/>
      <w:lvlJc w:val="left"/>
      <w:pPr>
        <w:ind w:left="5040" w:hanging="360"/>
      </w:pPr>
      <w:rPr>
        <w:rFonts w:ascii="Symbol" w:hAnsi="Symbol" w:hint="default"/>
      </w:rPr>
    </w:lvl>
    <w:lvl w:ilvl="7" w:tplc="A1A00710">
      <w:start w:val="1"/>
      <w:numFmt w:val="bullet"/>
      <w:lvlText w:val="o"/>
      <w:lvlJc w:val="left"/>
      <w:pPr>
        <w:ind w:left="5760" w:hanging="360"/>
      </w:pPr>
      <w:rPr>
        <w:rFonts w:ascii="Courier New" w:hAnsi="Courier New" w:hint="default"/>
      </w:rPr>
    </w:lvl>
    <w:lvl w:ilvl="8" w:tplc="40C4ED2A">
      <w:start w:val="1"/>
      <w:numFmt w:val="bullet"/>
      <w:lvlText w:val=""/>
      <w:lvlJc w:val="left"/>
      <w:pPr>
        <w:ind w:left="6480" w:hanging="360"/>
      </w:pPr>
      <w:rPr>
        <w:rFonts w:ascii="Wingdings" w:hAnsi="Wingdings" w:hint="default"/>
      </w:rPr>
    </w:lvl>
  </w:abstractNum>
  <w:abstractNum w:abstractNumId="73" w15:restartNumberingAfterBreak="0">
    <w:nsid w:val="5C200BEA"/>
    <w:multiLevelType w:val="hybridMultilevel"/>
    <w:tmpl w:val="389064C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0388B99A">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CD5208D"/>
    <w:multiLevelType w:val="hybridMultilevel"/>
    <w:tmpl w:val="80FCD6CE"/>
    <w:lvl w:ilvl="0" w:tplc="349A65DA">
      <w:start w:val="1"/>
      <w:numFmt w:val="lowerRoman"/>
      <w:lvlText w:val="(%1)"/>
      <w:lvlJc w:val="left"/>
      <w:pPr>
        <w:ind w:left="1520" w:hanging="80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5" w15:restartNumberingAfterBreak="0">
    <w:nsid w:val="5DBA7928"/>
    <w:multiLevelType w:val="hybridMultilevel"/>
    <w:tmpl w:val="95AEC1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6" w15:restartNumberingAfterBreak="0">
    <w:nsid w:val="5E077C1E"/>
    <w:multiLevelType w:val="hybridMultilevel"/>
    <w:tmpl w:val="E8F240EE"/>
    <w:lvl w:ilvl="0" w:tplc="AAA0330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5E3A485C"/>
    <w:multiLevelType w:val="hybridMultilevel"/>
    <w:tmpl w:val="0788329C"/>
    <w:lvl w:ilvl="0" w:tplc="F04AE7D0">
      <w:start w:val="1"/>
      <w:numFmt w:val="bullet"/>
      <w:lvlText w:val=""/>
      <w:lvlJc w:val="left"/>
      <w:pPr>
        <w:ind w:left="720" w:hanging="360"/>
      </w:pPr>
      <w:rPr>
        <w:rFonts w:ascii="Symbol" w:hAnsi="Symbol" w:hint="default"/>
      </w:rPr>
    </w:lvl>
    <w:lvl w:ilvl="1" w:tplc="960279E0">
      <w:start w:val="1"/>
      <w:numFmt w:val="bullet"/>
      <w:lvlText w:val="o"/>
      <w:lvlJc w:val="left"/>
      <w:pPr>
        <w:ind w:left="1440" w:hanging="360"/>
      </w:pPr>
      <w:rPr>
        <w:rFonts w:ascii="Courier New" w:hAnsi="Courier New" w:hint="default"/>
      </w:rPr>
    </w:lvl>
    <w:lvl w:ilvl="2" w:tplc="1C1232A2">
      <w:start w:val="1"/>
      <w:numFmt w:val="bullet"/>
      <w:lvlText w:val="§"/>
      <w:lvlJc w:val="left"/>
      <w:pPr>
        <w:ind w:left="2160" w:hanging="360"/>
      </w:pPr>
      <w:rPr>
        <w:rFonts w:ascii="Wingdings" w:hAnsi="Wingdings" w:hint="default"/>
      </w:rPr>
    </w:lvl>
    <w:lvl w:ilvl="3" w:tplc="E320E522">
      <w:start w:val="1"/>
      <w:numFmt w:val="bullet"/>
      <w:lvlText w:val=""/>
      <w:lvlJc w:val="left"/>
      <w:pPr>
        <w:ind w:left="2880" w:hanging="360"/>
      </w:pPr>
      <w:rPr>
        <w:rFonts w:ascii="Symbol" w:hAnsi="Symbol" w:hint="default"/>
      </w:rPr>
    </w:lvl>
    <w:lvl w:ilvl="4" w:tplc="ED66F66C">
      <w:start w:val="1"/>
      <w:numFmt w:val="bullet"/>
      <w:lvlText w:val="o"/>
      <w:lvlJc w:val="left"/>
      <w:pPr>
        <w:ind w:left="3600" w:hanging="360"/>
      </w:pPr>
      <w:rPr>
        <w:rFonts w:ascii="Courier New" w:hAnsi="Courier New" w:hint="default"/>
      </w:rPr>
    </w:lvl>
    <w:lvl w:ilvl="5" w:tplc="14B020E4">
      <w:start w:val="1"/>
      <w:numFmt w:val="bullet"/>
      <w:lvlText w:val=""/>
      <w:lvlJc w:val="left"/>
      <w:pPr>
        <w:ind w:left="4320" w:hanging="360"/>
      </w:pPr>
      <w:rPr>
        <w:rFonts w:ascii="Wingdings" w:hAnsi="Wingdings" w:hint="default"/>
      </w:rPr>
    </w:lvl>
    <w:lvl w:ilvl="6" w:tplc="38F09C68">
      <w:start w:val="1"/>
      <w:numFmt w:val="bullet"/>
      <w:lvlText w:val=""/>
      <w:lvlJc w:val="left"/>
      <w:pPr>
        <w:ind w:left="5040" w:hanging="360"/>
      </w:pPr>
      <w:rPr>
        <w:rFonts w:ascii="Symbol" w:hAnsi="Symbol" w:hint="default"/>
      </w:rPr>
    </w:lvl>
    <w:lvl w:ilvl="7" w:tplc="C8FE537E">
      <w:start w:val="1"/>
      <w:numFmt w:val="bullet"/>
      <w:lvlText w:val="o"/>
      <w:lvlJc w:val="left"/>
      <w:pPr>
        <w:ind w:left="5760" w:hanging="360"/>
      </w:pPr>
      <w:rPr>
        <w:rFonts w:ascii="Courier New" w:hAnsi="Courier New" w:hint="default"/>
      </w:rPr>
    </w:lvl>
    <w:lvl w:ilvl="8" w:tplc="5FD85600">
      <w:start w:val="1"/>
      <w:numFmt w:val="bullet"/>
      <w:lvlText w:val=""/>
      <w:lvlJc w:val="left"/>
      <w:pPr>
        <w:ind w:left="6480" w:hanging="360"/>
      </w:pPr>
      <w:rPr>
        <w:rFonts w:ascii="Wingdings" w:hAnsi="Wingdings" w:hint="default"/>
      </w:rPr>
    </w:lvl>
  </w:abstractNum>
  <w:abstractNum w:abstractNumId="78" w15:restartNumberingAfterBreak="0">
    <w:nsid w:val="5F327329"/>
    <w:multiLevelType w:val="hybridMultilevel"/>
    <w:tmpl w:val="07BC05CA"/>
    <w:lvl w:ilvl="0" w:tplc="8CEA6E5E">
      <w:start w:val="1"/>
      <w:numFmt w:val="bullet"/>
      <w:lvlText w:val=""/>
      <w:lvlJc w:val="left"/>
      <w:pPr>
        <w:ind w:left="720" w:hanging="360"/>
      </w:pPr>
      <w:rPr>
        <w:rFonts w:ascii="Symbol" w:hAnsi="Symbol" w:hint="default"/>
      </w:rPr>
    </w:lvl>
    <w:lvl w:ilvl="1" w:tplc="996EAEE8">
      <w:start w:val="1"/>
      <w:numFmt w:val="bullet"/>
      <w:lvlText w:val="o"/>
      <w:lvlJc w:val="left"/>
      <w:pPr>
        <w:ind w:left="1440" w:hanging="360"/>
      </w:pPr>
      <w:rPr>
        <w:rFonts w:ascii="&quot;Courier New&quot;" w:hAnsi="&quot;Courier New&quot;" w:hint="default"/>
      </w:rPr>
    </w:lvl>
    <w:lvl w:ilvl="2" w:tplc="6B74DF20">
      <w:start w:val="1"/>
      <w:numFmt w:val="bullet"/>
      <w:lvlText w:val=""/>
      <w:lvlJc w:val="left"/>
      <w:pPr>
        <w:ind w:left="2160" w:hanging="360"/>
      </w:pPr>
      <w:rPr>
        <w:rFonts w:ascii="Wingdings" w:hAnsi="Wingdings" w:hint="default"/>
      </w:rPr>
    </w:lvl>
    <w:lvl w:ilvl="3" w:tplc="8354ACE2">
      <w:start w:val="1"/>
      <w:numFmt w:val="bullet"/>
      <w:lvlText w:val=""/>
      <w:lvlJc w:val="left"/>
      <w:pPr>
        <w:ind w:left="2880" w:hanging="360"/>
      </w:pPr>
      <w:rPr>
        <w:rFonts w:ascii="Symbol" w:hAnsi="Symbol" w:hint="default"/>
      </w:rPr>
    </w:lvl>
    <w:lvl w:ilvl="4" w:tplc="09D6D8FC">
      <w:start w:val="1"/>
      <w:numFmt w:val="bullet"/>
      <w:lvlText w:val="o"/>
      <w:lvlJc w:val="left"/>
      <w:pPr>
        <w:ind w:left="3600" w:hanging="360"/>
      </w:pPr>
      <w:rPr>
        <w:rFonts w:ascii="Courier New" w:hAnsi="Courier New" w:hint="default"/>
      </w:rPr>
    </w:lvl>
    <w:lvl w:ilvl="5" w:tplc="BEA8E258">
      <w:start w:val="1"/>
      <w:numFmt w:val="bullet"/>
      <w:lvlText w:val=""/>
      <w:lvlJc w:val="left"/>
      <w:pPr>
        <w:ind w:left="4320" w:hanging="360"/>
      </w:pPr>
      <w:rPr>
        <w:rFonts w:ascii="Wingdings" w:hAnsi="Wingdings" w:hint="default"/>
      </w:rPr>
    </w:lvl>
    <w:lvl w:ilvl="6" w:tplc="FCC0D3DA">
      <w:start w:val="1"/>
      <w:numFmt w:val="bullet"/>
      <w:lvlText w:val=""/>
      <w:lvlJc w:val="left"/>
      <w:pPr>
        <w:ind w:left="5040" w:hanging="360"/>
      </w:pPr>
      <w:rPr>
        <w:rFonts w:ascii="Symbol" w:hAnsi="Symbol" w:hint="default"/>
      </w:rPr>
    </w:lvl>
    <w:lvl w:ilvl="7" w:tplc="F15AA106">
      <w:start w:val="1"/>
      <w:numFmt w:val="bullet"/>
      <w:lvlText w:val="o"/>
      <w:lvlJc w:val="left"/>
      <w:pPr>
        <w:ind w:left="5760" w:hanging="360"/>
      </w:pPr>
      <w:rPr>
        <w:rFonts w:ascii="Courier New" w:hAnsi="Courier New" w:hint="default"/>
      </w:rPr>
    </w:lvl>
    <w:lvl w:ilvl="8" w:tplc="E36EA0A2">
      <w:start w:val="1"/>
      <w:numFmt w:val="bullet"/>
      <w:lvlText w:val=""/>
      <w:lvlJc w:val="left"/>
      <w:pPr>
        <w:ind w:left="6480" w:hanging="360"/>
      </w:pPr>
      <w:rPr>
        <w:rFonts w:ascii="Wingdings" w:hAnsi="Wingdings" w:hint="default"/>
      </w:rPr>
    </w:lvl>
  </w:abstractNum>
  <w:abstractNum w:abstractNumId="79" w15:restartNumberingAfterBreak="0">
    <w:nsid w:val="5F3B3516"/>
    <w:multiLevelType w:val="multilevel"/>
    <w:tmpl w:val="B69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036F016"/>
    <w:multiLevelType w:val="hybridMultilevel"/>
    <w:tmpl w:val="AF74764C"/>
    <w:lvl w:ilvl="0" w:tplc="BE6CC26A">
      <w:start w:val="1"/>
      <w:numFmt w:val="bullet"/>
      <w:lvlText w:val="·"/>
      <w:lvlJc w:val="left"/>
      <w:pPr>
        <w:ind w:left="720" w:hanging="360"/>
      </w:pPr>
      <w:rPr>
        <w:rFonts w:ascii="Symbol" w:hAnsi="Symbol" w:hint="default"/>
      </w:rPr>
    </w:lvl>
    <w:lvl w:ilvl="1" w:tplc="E2CC4AF0">
      <w:start w:val="1"/>
      <w:numFmt w:val="bullet"/>
      <w:lvlText w:val="o"/>
      <w:lvlJc w:val="left"/>
      <w:pPr>
        <w:ind w:left="1440" w:hanging="360"/>
      </w:pPr>
      <w:rPr>
        <w:rFonts w:ascii="Courier New" w:hAnsi="Courier New" w:hint="default"/>
      </w:rPr>
    </w:lvl>
    <w:lvl w:ilvl="2" w:tplc="4A0E5D38">
      <w:start w:val="1"/>
      <w:numFmt w:val="bullet"/>
      <w:lvlText w:val=""/>
      <w:lvlJc w:val="left"/>
      <w:pPr>
        <w:ind w:left="2160" w:hanging="360"/>
      </w:pPr>
      <w:rPr>
        <w:rFonts w:ascii="Wingdings" w:hAnsi="Wingdings" w:hint="default"/>
      </w:rPr>
    </w:lvl>
    <w:lvl w:ilvl="3" w:tplc="84DC4A6A">
      <w:start w:val="1"/>
      <w:numFmt w:val="bullet"/>
      <w:lvlText w:val=""/>
      <w:lvlJc w:val="left"/>
      <w:pPr>
        <w:ind w:left="2880" w:hanging="360"/>
      </w:pPr>
      <w:rPr>
        <w:rFonts w:ascii="Symbol" w:hAnsi="Symbol" w:hint="default"/>
      </w:rPr>
    </w:lvl>
    <w:lvl w:ilvl="4" w:tplc="50B45E96">
      <w:start w:val="1"/>
      <w:numFmt w:val="bullet"/>
      <w:lvlText w:val="o"/>
      <w:lvlJc w:val="left"/>
      <w:pPr>
        <w:ind w:left="3600" w:hanging="360"/>
      </w:pPr>
      <w:rPr>
        <w:rFonts w:ascii="Courier New" w:hAnsi="Courier New" w:hint="default"/>
      </w:rPr>
    </w:lvl>
    <w:lvl w:ilvl="5" w:tplc="0BE838D6">
      <w:start w:val="1"/>
      <w:numFmt w:val="bullet"/>
      <w:lvlText w:val=""/>
      <w:lvlJc w:val="left"/>
      <w:pPr>
        <w:ind w:left="4320" w:hanging="360"/>
      </w:pPr>
      <w:rPr>
        <w:rFonts w:ascii="Wingdings" w:hAnsi="Wingdings" w:hint="default"/>
      </w:rPr>
    </w:lvl>
    <w:lvl w:ilvl="6" w:tplc="EC0C0A62">
      <w:start w:val="1"/>
      <w:numFmt w:val="bullet"/>
      <w:lvlText w:val=""/>
      <w:lvlJc w:val="left"/>
      <w:pPr>
        <w:ind w:left="5040" w:hanging="360"/>
      </w:pPr>
      <w:rPr>
        <w:rFonts w:ascii="Symbol" w:hAnsi="Symbol" w:hint="default"/>
      </w:rPr>
    </w:lvl>
    <w:lvl w:ilvl="7" w:tplc="9E745E68">
      <w:start w:val="1"/>
      <w:numFmt w:val="bullet"/>
      <w:lvlText w:val="o"/>
      <w:lvlJc w:val="left"/>
      <w:pPr>
        <w:ind w:left="5760" w:hanging="360"/>
      </w:pPr>
      <w:rPr>
        <w:rFonts w:ascii="Courier New" w:hAnsi="Courier New" w:hint="default"/>
      </w:rPr>
    </w:lvl>
    <w:lvl w:ilvl="8" w:tplc="332EEDF4">
      <w:start w:val="1"/>
      <w:numFmt w:val="bullet"/>
      <w:lvlText w:val=""/>
      <w:lvlJc w:val="left"/>
      <w:pPr>
        <w:ind w:left="6480" w:hanging="360"/>
      </w:pPr>
      <w:rPr>
        <w:rFonts w:ascii="Wingdings" w:hAnsi="Wingdings" w:hint="default"/>
      </w:rPr>
    </w:lvl>
  </w:abstractNum>
  <w:abstractNum w:abstractNumId="81" w15:restartNumberingAfterBreak="0">
    <w:nsid w:val="62595A41"/>
    <w:multiLevelType w:val="hybridMultilevel"/>
    <w:tmpl w:val="FFFFFFFF"/>
    <w:lvl w:ilvl="0" w:tplc="8E7A4D98">
      <w:start w:val="1"/>
      <w:numFmt w:val="bullet"/>
      <w:lvlText w:val="-"/>
      <w:lvlJc w:val="left"/>
      <w:pPr>
        <w:ind w:left="720" w:hanging="360"/>
      </w:pPr>
      <w:rPr>
        <w:rFonts w:ascii="Aptos" w:hAnsi="Aptos" w:hint="default"/>
      </w:rPr>
    </w:lvl>
    <w:lvl w:ilvl="1" w:tplc="43709C50">
      <w:start w:val="1"/>
      <w:numFmt w:val="bullet"/>
      <w:lvlText w:val="o"/>
      <w:lvlJc w:val="left"/>
      <w:pPr>
        <w:ind w:left="1440" w:hanging="360"/>
      </w:pPr>
      <w:rPr>
        <w:rFonts w:ascii="Courier New" w:hAnsi="Courier New" w:hint="default"/>
      </w:rPr>
    </w:lvl>
    <w:lvl w:ilvl="2" w:tplc="16E818EC">
      <w:start w:val="1"/>
      <w:numFmt w:val="bullet"/>
      <w:lvlText w:val=""/>
      <w:lvlJc w:val="left"/>
      <w:pPr>
        <w:ind w:left="2160" w:hanging="360"/>
      </w:pPr>
      <w:rPr>
        <w:rFonts w:ascii="Wingdings" w:hAnsi="Wingdings" w:hint="default"/>
      </w:rPr>
    </w:lvl>
    <w:lvl w:ilvl="3" w:tplc="7E0635C6">
      <w:start w:val="1"/>
      <w:numFmt w:val="bullet"/>
      <w:lvlText w:val=""/>
      <w:lvlJc w:val="left"/>
      <w:pPr>
        <w:ind w:left="2880" w:hanging="360"/>
      </w:pPr>
      <w:rPr>
        <w:rFonts w:ascii="Symbol" w:hAnsi="Symbol" w:hint="default"/>
      </w:rPr>
    </w:lvl>
    <w:lvl w:ilvl="4" w:tplc="44D65CEA">
      <w:start w:val="1"/>
      <w:numFmt w:val="bullet"/>
      <w:lvlText w:val="o"/>
      <w:lvlJc w:val="left"/>
      <w:pPr>
        <w:ind w:left="3600" w:hanging="360"/>
      </w:pPr>
      <w:rPr>
        <w:rFonts w:ascii="Courier New" w:hAnsi="Courier New" w:hint="default"/>
      </w:rPr>
    </w:lvl>
    <w:lvl w:ilvl="5" w:tplc="16A401C2">
      <w:start w:val="1"/>
      <w:numFmt w:val="bullet"/>
      <w:lvlText w:val=""/>
      <w:lvlJc w:val="left"/>
      <w:pPr>
        <w:ind w:left="4320" w:hanging="360"/>
      </w:pPr>
      <w:rPr>
        <w:rFonts w:ascii="Wingdings" w:hAnsi="Wingdings" w:hint="default"/>
      </w:rPr>
    </w:lvl>
    <w:lvl w:ilvl="6" w:tplc="AF3E5E22">
      <w:start w:val="1"/>
      <w:numFmt w:val="bullet"/>
      <w:lvlText w:val=""/>
      <w:lvlJc w:val="left"/>
      <w:pPr>
        <w:ind w:left="5040" w:hanging="360"/>
      </w:pPr>
      <w:rPr>
        <w:rFonts w:ascii="Symbol" w:hAnsi="Symbol" w:hint="default"/>
      </w:rPr>
    </w:lvl>
    <w:lvl w:ilvl="7" w:tplc="A4D298DC">
      <w:start w:val="1"/>
      <w:numFmt w:val="bullet"/>
      <w:lvlText w:val="o"/>
      <w:lvlJc w:val="left"/>
      <w:pPr>
        <w:ind w:left="5760" w:hanging="360"/>
      </w:pPr>
      <w:rPr>
        <w:rFonts w:ascii="Courier New" w:hAnsi="Courier New" w:hint="default"/>
      </w:rPr>
    </w:lvl>
    <w:lvl w:ilvl="8" w:tplc="D1DA3778">
      <w:start w:val="1"/>
      <w:numFmt w:val="bullet"/>
      <w:lvlText w:val=""/>
      <w:lvlJc w:val="left"/>
      <w:pPr>
        <w:ind w:left="6480" w:hanging="360"/>
      </w:pPr>
      <w:rPr>
        <w:rFonts w:ascii="Wingdings" w:hAnsi="Wingdings" w:hint="default"/>
      </w:rPr>
    </w:lvl>
  </w:abstractNum>
  <w:abstractNum w:abstractNumId="82" w15:restartNumberingAfterBreak="0">
    <w:nsid w:val="640B45D1"/>
    <w:multiLevelType w:val="hybridMultilevel"/>
    <w:tmpl w:val="E8F240EE"/>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3" w15:restartNumberingAfterBreak="0">
    <w:nsid w:val="67185D72"/>
    <w:multiLevelType w:val="hybridMultilevel"/>
    <w:tmpl w:val="23EEAF8C"/>
    <w:lvl w:ilvl="0" w:tplc="3E28F8A4">
      <w:start w:val="1"/>
      <w:numFmt w:val="bullet"/>
      <w:lvlText w:val="·"/>
      <w:lvlJc w:val="left"/>
      <w:pPr>
        <w:ind w:left="720" w:hanging="360"/>
      </w:pPr>
      <w:rPr>
        <w:rFonts w:ascii="Symbol" w:hAnsi="Symbol" w:hint="default"/>
      </w:rPr>
    </w:lvl>
    <w:lvl w:ilvl="1" w:tplc="456CA7C2">
      <w:start w:val="1"/>
      <w:numFmt w:val="bullet"/>
      <w:lvlText w:val="o"/>
      <w:lvlJc w:val="left"/>
      <w:pPr>
        <w:ind w:left="1440" w:hanging="360"/>
      </w:pPr>
      <w:rPr>
        <w:rFonts w:ascii="Courier New" w:hAnsi="Courier New" w:hint="default"/>
      </w:rPr>
    </w:lvl>
    <w:lvl w:ilvl="2" w:tplc="345C0A96">
      <w:start w:val="1"/>
      <w:numFmt w:val="bullet"/>
      <w:lvlText w:val=""/>
      <w:lvlJc w:val="left"/>
      <w:pPr>
        <w:ind w:left="2160" w:hanging="360"/>
      </w:pPr>
      <w:rPr>
        <w:rFonts w:ascii="Wingdings" w:hAnsi="Wingdings" w:hint="default"/>
      </w:rPr>
    </w:lvl>
    <w:lvl w:ilvl="3" w:tplc="71BCA400">
      <w:start w:val="1"/>
      <w:numFmt w:val="bullet"/>
      <w:lvlText w:val=""/>
      <w:lvlJc w:val="left"/>
      <w:pPr>
        <w:ind w:left="2880" w:hanging="360"/>
      </w:pPr>
      <w:rPr>
        <w:rFonts w:ascii="Symbol" w:hAnsi="Symbol" w:hint="default"/>
      </w:rPr>
    </w:lvl>
    <w:lvl w:ilvl="4" w:tplc="15D6FE86">
      <w:start w:val="1"/>
      <w:numFmt w:val="bullet"/>
      <w:lvlText w:val="o"/>
      <w:lvlJc w:val="left"/>
      <w:pPr>
        <w:ind w:left="3600" w:hanging="360"/>
      </w:pPr>
      <w:rPr>
        <w:rFonts w:ascii="Courier New" w:hAnsi="Courier New" w:hint="default"/>
      </w:rPr>
    </w:lvl>
    <w:lvl w:ilvl="5" w:tplc="002285C2">
      <w:start w:val="1"/>
      <w:numFmt w:val="bullet"/>
      <w:lvlText w:val=""/>
      <w:lvlJc w:val="left"/>
      <w:pPr>
        <w:ind w:left="4320" w:hanging="360"/>
      </w:pPr>
      <w:rPr>
        <w:rFonts w:ascii="Wingdings" w:hAnsi="Wingdings" w:hint="default"/>
      </w:rPr>
    </w:lvl>
    <w:lvl w:ilvl="6" w:tplc="CA188CEC">
      <w:start w:val="1"/>
      <w:numFmt w:val="bullet"/>
      <w:lvlText w:val=""/>
      <w:lvlJc w:val="left"/>
      <w:pPr>
        <w:ind w:left="5040" w:hanging="360"/>
      </w:pPr>
      <w:rPr>
        <w:rFonts w:ascii="Symbol" w:hAnsi="Symbol" w:hint="default"/>
      </w:rPr>
    </w:lvl>
    <w:lvl w:ilvl="7" w:tplc="AC4ED506">
      <w:start w:val="1"/>
      <w:numFmt w:val="bullet"/>
      <w:lvlText w:val="o"/>
      <w:lvlJc w:val="left"/>
      <w:pPr>
        <w:ind w:left="5760" w:hanging="360"/>
      </w:pPr>
      <w:rPr>
        <w:rFonts w:ascii="Courier New" w:hAnsi="Courier New" w:hint="default"/>
      </w:rPr>
    </w:lvl>
    <w:lvl w:ilvl="8" w:tplc="ED00CFB2">
      <w:start w:val="1"/>
      <w:numFmt w:val="bullet"/>
      <w:lvlText w:val=""/>
      <w:lvlJc w:val="left"/>
      <w:pPr>
        <w:ind w:left="6480" w:hanging="360"/>
      </w:pPr>
      <w:rPr>
        <w:rFonts w:ascii="Wingdings" w:hAnsi="Wingdings" w:hint="default"/>
      </w:rPr>
    </w:lvl>
  </w:abstractNum>
  <w:abstractNum w:abstractNumId="84" w15:restartNumberingAfterBreak="0">
    <w:nsid w:val="686AA71D"/>
    <w:multiLevelType w:val="hybridMultilevel"/>
    <w:tmpl w:val="070231F4"/>
    <w:lvl w:ilvl="0" w:tplc="BF7EE474">
      <w:start w:val="1"/>
      <w:numFmt w:val="bullet"/>
      <w:lvlText w:val=""/>
      <w:lvlJc w:val="left"/>
      <w:pPr>
        <w:ind w:left="720" w:hanging="360"/>
      </w:pPr>
      <w:rPr>
        <w:rFonts w:ascii="Symbol" w:hAnsi="Symbol" w:hint="default"/>
      </w:rPr>
    </w:lvl>
    <w:lvl w:ilvl="1" w:tplc="BBF2C68A">
      <w:start w:val="1"/>
      <w:numFmt w:val="bullet"/>
      <w:lvlText w:val="o"/>
      <w:lvlJc w:val="left"/>
      <w:pPr>
        <w:ind w:left="1440" w:hanging="360"/>
      </w:pPr>
      <w:rPr>
        <w:rFonts w:ascii="&quot;Courier New&quot;" w:hAnsi="&quot;Courier New&quot;" w:hint="default"/>
      </w:rPr>
    </w:lvl>
    <w:lvl w:ilvl="2" w:tplc="2146F902">
      <w:start w:val="1"/>
      <w:numFmt w:val="bullet"/>
      <w:lvlText w:val=""/>
      <w:lvlJc w:val="left"/>
      <w:pPr>
        <w:ind w:left="2160" w:hanging="360"/>
      </w:pPr>
      <w:rPr>
        <w:rFonts w:ascii="Wingdings" w:hAnsi="Wingdings" w:hint="default"/>
      </w:rPr>
    </w:lvl>
    <w:lvl w:ilvl="3" w:tplc="7B38B0E6">
      <w:start w:val="1"/>
      <w:numFmt w:val="bullet"/>
      <w:lvlText w:val=""/>
      <w:lvlJc w:val="left"/>
      <w:pPr>
        <w:ind w:left="2880" w:hanging="360"/>
      </w:pPr>
      <w:rPr>
        <w:rFonts w:ascii="Symbol" w:hAnsi="Symbol" w:hint="default"/>
      </w:rPr>
    </w:lvl>
    <w:lvl w:ilvl="4" w:tplc="E0800FB8">
      <w:start w:val="1"/>
      <w:numFmt w:val="bullet"/>
      <w:lvlText w:val="o"/>
      <w:lvlJc w:val="left"/>
      <w:pPr>
        <w:ind w:left="3600" w:hanging="360"/>
      </w:pPr>
      <w:rPr>
        <w:rFonts w:ascii="Courier New" w:hAnsi="Courier New" w:hint="default"/>
      </w:rPr>
    </w:lvl>
    <w:lvl w:ilvl="5" w:tplc="5D18CB68">
      <w:start w:val="1"/>
      <w:numFmt w:val="bullet"/>
      <w:lvlText w:val=""/>
      <w:lvlJc w:val="left"/>
      <w:pPr>
        <w:ind w:left="4320" w:hanging="360"/>
      </w:pPr>
      <w:rPr>
        <w:rFonts w:ascii="Wingdings" w:hAnsi="Wingdings" w:hint="default"/>
      </w:rPr>
    </w:lvl>
    <w:lvl w:ilvl="6" w:tplc="C8944D4C">
      <w:start w:val="1"/>
      <w:numFmt w:val="bullet"/>
      <w:lvlText w:val=""/>
      <w:lvlJc w:val="left"/>
      <w:pPr>
        <w:ind w:left="5040" w:hanging="360"/>
      </w:pPr>
      <w:rPr>
        <w:rFonts w:ascii="Symbol" w:hAnsi="Symbol" w:hint="default"/>
      </w:rPr>
    </w:lvl>
    <w:lvl w:ilvl="7" w:tplc="B5B08FD2">
      <w:start w:val="1"/>
      <w:numFmt w:val="bullet"/>
      <w:lvlText w:val="o"/>
      <w:lvlJc w:val="left"/>
      <w:pPr>
        <w:ind w:left="5760" w:hanging="360"/>
      </w:pPr>
      <w:rPr>
        <w:rFonts w:ascii="Courier New" w:hAnsi="Courier New" w:hint="default"/>
      </w:rPr>
    </w:lvl>
    <w:lvl w:ilvl="8" w:tplc="0576EBE0">
      <w:start w:val="1"/>
      <w:numFmt w:val="bullet"/>
      <w:lvlText w:val=""/>
      <w:lvlJc w:val="left"/>
      <w:pPr>
        <w:ind w:left="6480" w:hanging="360"/>
      </w:pPr>
      <w:rPr>
        <w:rFonts w:ascii="Wingdings" w:hAnsi="Wingdings" w:hint="default"/>
      </w:rPr>
    </w:lvl>
  </w:abstractNum>
  <w:abstractNum w:abstractNumId="85"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6" w15:restartNumberingAfterBreak="0">
    <w:nsid w:val="6917393C"/>
    <w:multiLevelType w:val="hybridMultilevel"/>
    <w:tmpl w:val="F03266EC"/>
    <w:lvl w:ilvl="0" w:tplc="D5C8DE52">
      <w:start w:val="1"/>
      <w:numFmt w:val="bullet"/>
      <w:lvlText w:val=""/>
      <w:lvlJc w:val="left"/>
      <w:pPr>
        <w:ind w:left="720" w:hanging="360"/>
      </w:pPr>
      <w:rPr>
        <w:rFonts w:ascii="Symbol" w:hAnsi="Symbol" w:hint="default"/>
      </w:rPr>
    </w:lvl>
    <w:lvl w:ilvl="1" w:tplc="A882EE5A">
      <w:start w:val="1"/>
      <w:numFmt w:val="bullet"/>
      <w:lvlText w:val="o"/>
      <w:lvlJc w:val="left"/>
      <w:pPr>
        <w:ind w:left="1440" w:hanging="360"/>
      </w:pPr>
      <w:rPr>
        <w:rFonts w:ascii="&quot;Courier New&quot;" w:hAnsi="&quot;Courier New&quot;" w:hint="default"/>
      </w:rPr>
    </w:lvl>
    <w:lvl w:ilvl="2" w:tplc="75DE25DC">
      <w:start w:val="1"/>
      <w:numFmt w:val="bullet"/>
      <w:lvlText w:val=""/>
      <w:lvlJc w:val="left"/>
      <w:pPr>
        <w:ind w:left="2160" w:hanging="360"/>
      </w:pPr>
      <w:rPr>
        <w:rFonts w:ascii="Wingdings" w:hAnsi="Wingdings" w:hint="default"/>
      </w:rPr>
    </w:lvl>
    <w:lvl w:ilvl="3" w:tplc="B9AA502A">
      <w:start w:val="1"/>
      <w:numFmt w:val="bullet"/>
      <w:lvlText w:val=""/>
      <w:lvlJc w:val="left"/>
      <w:pPr>
        <w:ind w:left="2880" w:hanging="360"/>
      </w:pPr>
      <w:rPr>
        <w:rFonts w:ascii="Symbol" w:hAnsi="Symbol" w:hint="default"/>
      </w:rPr>
    </w:lvl>
    <w:lvl w:ilvl="4" w:tplc="C584E6CC">
      <w:start w:val="1"/>
      <w:numFmt w:val="bullet"/>
      <w:lvlText w:val="o"/>
      <w:lvlJc w:val="left"/>
      <w:pPr>
        <w:ind w:left="3600" w:hanging="360"/>
      </w:pPr>
      <w:rPr>
        <w:rFonts w:ascii="Courier New" w:hAnsi="Courier New" w:hint="default"/>
      </w:rPr>
    </w:lvl>
    <w:lvl w:ilvl="5" w:tplc="DDF0BBCE">
      <w:start w:val="1"/>
      <w:numFmt w:val="bullet"/>
      <w:lvlText w:val=""/>
      <w:lvlJc w:val="left"/>
      <w:pPr>
        <w:ind w:left="4320" w:hanging="360"/>
      </w:pPr>
      <w:rPr>
        <w:rFonts w:ascii="Wingdings" w:hAnsi="Wingdings" w:hint="default"/>
      </w:rPr>
    </w:lvl>
    <w:lvl w:ilvl="6" w:tplc="4D6ED586">
      <w:start w:val="1"/>
      <w:numFmt w:val="bullet"/>
      <w:lvlText w:val=""/>
      <w:lvlJc w:val="left"/>
      <w:pPr>
        <w:ind w:left="5040" w:hanging="360"/>
      </w:pPr>
      <w:rPr>
        <w:rFonts w:ascii="Symbol" w:hAnsi="Symbol" w:hint="default"/>
      </w:rPr>
    </w:lvl>
    <w:lvl w:ilvl="7" w:tplc="095A1286">
      <w:start w:val="1"/>
      <w:numFmt w:val="bullet"/>
      <w:lvlText w:val="o"/>
      <w:lvlJc w:val="left"/>
      <w:pPr>
        <w:ind w:left="5760" w:hanging="360"/>
      </w:pPr>
      <w:rPr>
        <w:rFonts w:ascii="Courier New" w:hAnsi="Courier New" w:hint="default"/>
      </w:rPr>
    </w:lvl>
    <w:lvl w:ilvl="8" w:tplc="FC5CF282">
      <w:start w:val="1"/>
      <w:numFmt w:val="bullet"/>
      <w:lvlText w:val=""/>
      <w:lvlJc w:val="left"/>
      <w:pPr>
        <w:ind w:left="6480" w:hanging="360"/>
      </w:pPr>
      <w:rPr>
        <w:rFonts w:ascii="Wingdings" w:hAnsi="Wingdings" w:hint="default"/>
      </w:rPr>
    </w:lvl>
  </w:abstractNum>
  <w:abstractNum w:abstractNumId="87" w15:restartNumberingAfterBreak="0">
    <w:nsid w:val="696B9F73"/>
    <w:multiLevelType w:val="hybridMultilevel"/>
    <w:tmpl w:val="832493BC"/>
    <w:lvl w:ilvl="0" w:tplc="FBB26FF4">
      <w:start w:val="1"/>
      <w:numFmt w:val="bullet"/>
      <w:lvlText w:val="·"/>
      <w:lvlJc w:val="left"/>
      <w:pPr>
        <w:ind w:left="720" w:hanging="360"/>
      </w:pPr>
      <w:rPr>
        <w:rFonts w:ascii="Symbol" w:hAnsi="Symbol" w:hint="default"/>
      </w:rPr>
    </w:lvl>
    <w:lvl w:ilvl="1" w:tplc="86001076">
      <w:start w:val="1"/>
      <w:numFmt w:val="bullet"/>
      <w:lvlText w:val="o"/>
      <w:lvlJc w:val="left"/>
      <w:pPr>
        <w:ind w:left="1440" w:hanging="360"/>
      </w:pPr>
      <w:rPr>
        <w:rFonts w:ascii="Courier New" w:hAnsi="Courier New" w:hint="default"/>
      </w:rPr>
    </w:lvl>
    <w:lvl w:ilvl="2" w:tplc="01849988">
      <w:start w:val="1"/>
      <w:numFmt w:val="bullet"/>
      <w:lvlText w:val=""/>
      <w:lvlJc w:val="left"/>
      <w:pPr>
        <w:ind w:left="2160" w:hanging="360"/>
      </w:pPr>
      <w:rPr>
        <w:rFonts w:ascii="Wingdings" w:hAnsi="Wingdings" w:hint="default"/>
      </w:rPr>
    </w:lvl>
    <w:lvl w:ilvl="3" w:tplc="8522D5E2">
      <w:start w:val="1"/>
      <w:numFmt w:val="bullet"/>
      <w:lvlText w:val=""/>
      <w:lvlJc w:val="left"/>
      <w:pPr>
        <w:ind w:left="2880" w:hanging="360"/>
      </w:pPr>
      <w:rPr>
        <w:rFonts w:ascii="Symbol" w:hAnsi="Symbol" w:hint="default"/>
      </w:rPr>
    </w:lvl>
    <w:lvl w:ilvl="4" w:tplc="FADC542A">
      <w:start w:val="1"/>
      <w:numFmt w:val="bullet"/>
      <w:lvlText w:val="o"/>
      <w:lvlJc w:val="left"/>
      <w:pPr>
        <w:ind w:left="3600" w:hanging="360"/>
      </w:pPr>
      <w:rPr>
        <w:rFonts w:ascii="Courier New" w:hAnsi="Courier New" w:hint="default"/>
      </w:rPr>
    </w:lvl>
    <w:lvl w:ilvl="5" w:tplc="2D14C7E8">
      <w:start w:val="1"/>
      <w:numFmt w:val="bullet"/>
      <w:lvlText w:val=""/>
      <w:lvlJc w:val="left"/>
      <w:pPr>
        <w:ind w:left="4320" w:hanging="360"/>
      </w:pPr>
      <w:rPr>
        <w:rFonts w:ascii="Wingdings" w:hAnsi="Wingdings" w:hint="default"/>
      </w:rPr>
    </w:lvl>
    <w:lvl w:ilvl="6" w:tplc="87380946">
      <w:start w:val="1"/>
      <w:numFmt w:val="bullet"/>
      <w:lvlText w:val=""/>
      <w:lvlJc w:val="left"/>
      <w:pPr>
        <w:ind w:left="5040" w:hanging="360"/>
      </w:pPr>
      <w:rPr>
        <w:rFonts w:ascii="Symbol" w:hAnsi="Symbol" w:hint="default"/>
      </w:rPr>
    </w:lvl>
    <w:lvl w:ilvl="7" w:tplc="2AC06B1C">
      <w:start w:val="1"/>
      <w:numFmt w:val="bullet"/>
      <w:lvlText w:val="o"/>
      <w:lvlJc w:val="left"/>
      <w:pPr>
        <w:ind w:left="5760" w:hanging="360"/>
      </w:pPr>
      <w:rPr>
        <w:rFonts w:ascii="Courier New" w:hAnsi="Courier New" w:hint="default"/>
      </w:rPr>
    </w:lvl>
    <w:lvl w:ilvl="8" w:tplc="8C12114E">
      <w:start w:val="1"/>
      <w:numFmt w:val="bullet"/>
      <w:lvlText w:val=""/>
      <w:lvlJc w:val="left"/>
      <w:pPr>
        <w:ind w:left="6480" w:hanging="360"/>
      </w:pPr>
      <w:rPr>
        <w:rFonts w:ascii="Wingdings" w:hAnsi="Wingdings" w:hint="default"/>
      </w:rPr>
    </w:lvl>
  </w:abstractNum>
  <w:abstractNum w:abstractNumId="88" w15:restartNumberingAfterBreak="0">
    <w:nsid w:val="69C27CF9"/>
    <w:multiLevelType w:val="hybridMultilevel"/>
    <w:tmpl w:val="72AEFE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9" w15:restartNumberingAfterBreak="0">
    <w:nsid w:val="6B0E3E47"/>
    <w:multiLevelType w:val="hybridMultilevel"/>
    <w:tmpl w:val="D598AC0C"/>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B5D192A"/>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6C536E7B"/>
    <w:multiLevelType w:val="hybridMultilevel"/>
    <w:tmpl w:val="79FC4A1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70A113ED"/>
    <w:multiLevelType w:val="hybridMultilevel"/>
    <w:tmpl w:val="13D8C1AA"/>
    <w:lvl w:ilvl="0" w:tplc="AAA0330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3" w15:restartNumberingAfterBreak="0">
    <w:nsid w:val="70BA57DD"/>
    <w:multiLevelType w:val="multilevel"/>
    <w:tmpl w:val="1816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1407988"/>
    <w:multiLevelType w:val="hybridMultilevel"/>
    <w:tmpl w:val="7BD659AA"/>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95" w15:restartNumberingAfterBreak="0">
    <w:nsid w:val="72C678D2"/>
    <w:multiLevelType w:val="multilevel"/>
    <w:tmpl w:val="9F3EB2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73F83ACE"/>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742115DA"/>
    <w:multiLevelType w:val="hybridMultilevel"/>
    <w:tmpl w:val="682857E6"/>
    <w:lvl w:ilvl="0" w:tplc="9BCA40A8">
      <w:start w:val="1"/>
      <w:numFmt w:val="bullet"/>
      <w:lvlText w:val="·"/>
      <w:lvlJc w:val="left"/>
      <w:pPr>
        <w:ind w:left="720" w:hanging="360"/>
      </w:pPr>
      <w:rPr>
        <w:rFonts w:ascii="Symbol" w:hAnsi="Symbol" w:hint="default"/>
      </w:rPr>
    </w:lvl>
    <w:lvl w:ilvl="1" w:tplc="D41857A2">
      <w:start w:val="1"/>
      <w:numFmt w:val="bullet"/>
      <w:lvlText w:val="o"/>
      <w:lvlJc w:val="left"/>
      <w:pPr>
        <w:ind w:left="1440" w:hanging="360"/>
      </w:pPr>
      <w:rPr>
        <w:rFonts w:ascii="Courier New" w:hAnsi="Courier New" w:hint="default"/>
      </w:rPr>
    </w:lvl>
    <w:lvl w:ilvl="2" w:tplc="431AC6AE">
      <w:start w:val="1"/>
      <w:numFmt w:val="bullet"/>
      <w:lvlText w:val=""/>
      <w:lvlJc w:val="left"/>
      <w:pPr>
        <w:ind w:left="2160" w:hanging="360"/>
      </w:pPr>
      <w:rPr>
        <w:rFonts w:ascii="Wingdings" w:hAnsi="Wingdings" w:hint="default"/>
      </w:rPr>
    </w:lvl>
    <w:lvl w:ilvl="3" w:tplc="AE125DC2">
      <w:start w:val="1"/>
      <w:numFmt w:val="bullet"/>
      <w:lvlText w:val=""/>
      <w:lvlJc w:val="left"/>
      <w:pPr>
        <w:ind w:left="2880" w:hanging="360"/>
      </w:pPr>
      <w:rPr>
        <w:rFonts w:ascii="Symbol" w:hAnsi="Symbol" w:hint="default"/>
      </w:rPr>
    </w:lvl>
    <w:lvl w:ilvl="4" w:tplc="3EB2C180">
      <w:start w:val="1"/>
      <w:numFmt w:val="bullet"/>
      <w:lvlText w:val="o"/>
      <w:lvlJc w:val="left"/>
      <w:pPr>
        <w:ind w:left="3600" w:hanging="360"/>
      </w:pPr>
      <w:rPr>
        <w:rFonts w:ascii="Courier New" w:hAnsi="Courier New" w:hint="default"/>
      </w:rPr>
    </w:lvl>
    <w:lvl w:ilvl="5" w:tplc="CDD4F416">
      <w:start w:val="1"/>
      <w:numFmt w:val="bullet"/>
      <w:lvlText w:val=""/>
      <w:lvlJc w:val="left"/>
      <w:pPr>
        <w:ind w:left="4320" w:hanging="360"/>
      </w:pPr>
      <w:rPr>
        <w:rFonts w:ascii="Wingdings" w:hAnsi="Wingdings" w:hint="default"/>
      </w:rPr>
    </w:lvl>
    <w:lvl w:ilvl="6" w:tplc="BB842C36">
      <w:start w:val="1"/>
      <w:numFmt w:val="bullet"/>
      <w:lvlText w:val=""/>
      <w:lvlJc w:val="left"/>
      <w:pPr>
        <w:ind w:left="5040" w:hanging="360"/>
      </w:pPr>
      <w:rPr>
        <w:rFonts w:ascii="Symbol" w:hAnsi="Symbol" w:hint="default"/>
      </w:rPr>
    </w:lvl>
    <w:lvl w:ilvl="7" w:tplc="6130FBE4">
      <w:start w:val="1"/>
      <w:numFmt w:val="bullet"/>
      <w:lvlText w:val="o"/>
      <w:lvlJc w:val="left"/>
      <w:pPr>
        <w:ind w:left="5760" w:hanging="360"/>
      </w:pPr>
      <w:rPr>
        <w:rFonts w:ascii="Courier New" w:hAnsi="Courier New" w:hint="default"/>
      </w:rPr>
    </w:lvl>
    <w:lvl w:ilvl="8" w:tplc="FA02D152">
      <w:start w:val="1"/>
      <w:numFmt w:val="bullet"/>
      <w:lvlText w:val=""/>
      <w:lvlJc w:val="left"/>
      <w:pPr>
        <w:ind w:left="6480" w:hanging="360"/>
      </w:pPr>
      <w:rPr>
        <w:rFonts w:ascii="Wingdings" w:hAnsi="Wingdings" w:hint="default"/>
      </w:rPr>
    </w:lvl>
  </w:abstractNum>
  <w:abstractNum w:abstractNumId="98" w15:restartNumberingAfterBreak="0">
    <w:nsid w:val="74488B58"/>
    <w:multiLevelType w:val="hybridMultilevel"/>
    <w:tmpl w:val="FFD659B0"/>
    <w:lvl w:ilvl="0" w:tplc="124AFBAE">
      <w:start w:val="1"/>
      <w:numFmt w:val="bullet"/>
      <w:lvlText w:val=""/>
      <w:lvlJc w:val="left"/>
      <w:pPr>
        <w:ind w:left="720" w:hanging="360"/>
      </w:pPr>
      <w:rPr>
        <w:rFonts w:ascii="Symbol" w:hAnsi="Symbol" w:hint="default"/>
      </w:rPr>
    </w:lvl>
    <w:lvl w:ilvl="1" w:tplc="E2B28A46">
      <w:start w:val="1"/>
      <w:numFmt w:val="bullet"/>
      <w:lvlText w:val="o"/>
      <w:lvlJc w:val="left"/>
      <w:pPr>
        <w:ind w:left="1440" w:hanging="360"/>
      </w:pPr>
      <w:rPr>
        <w:rFonts w:ascii="&quot;Courier New&quot;" w:hAnsi="&quot;Courier New&quot;" w:hint="default"/>
      </w:rPr>
    </w:lvl>
    <w:lvl w:ilvl="2" w:tplc="3962CD9E">
      <w:start w:val="1"/>
      <w:numFmt w:val="bullet"/>
      <w:lvlText w:val=""/>
      <w:lvlJc w:val="left"/>
      <w:pPr>
        <w:ind w:left="2160" w:hanging="360"/>
      </w:pPr>
      <w:rPr>
        <w:rFonts w:ascii="Wingdings" w:hAnsi="Wingdings" w:hint="default"/>
      </w:rPr>
    </w:lvl>
    <w:lvl w:ilvl="3" w:tplc="BE069402">
      <w:start w:val="1"/>
      <w:numFmt w:val="bullet"/>
      <w:lvlText w:val=""/>
      <w:lvlJc w:val="left"/>
      <w:pPr>
        <w:ind w:left="2880" w:hanging="360"/>
      </w:pPr>
      <w:rPr>
        <w:rFonts w:ascii="Symbol" w:hAnsi="Symbol" w:hint="default"/>
      </w:rPr>
    </w:lvl>
    <w:lvl w:ilvl="4" w:tplc="90160DA0">
      <w:start w:val="1"/>
      <w:numFmt w:val="bullet"/>
      <w:lvlText w:val="o"/>
      <w:lvlJc w:val="left"/>
      <w:pPr>
        <w:ind w:left="3600" w:hanging="360"/>
      </w:pPr>
      <w:rPr>
        <w:rFonts w:ascii="Courier New" w:hAnsi="Courier New" w:hint="default"/>
      </w:rPr>
    </w:lvl>
    <w:lvl w:ilvl="5" w:tplc="2BA01506">
      <w:start w:val="1"/>
      <w:numFmt w:val="bullet"/>
      <w:lvlText w:val=""/>
      <w:lvlJc w:val="left"/>
      <w:pPr>
        <w:ind w:left="4320" w:hanging="360"/>
      </w:pPr>
      <w:rPr>
        <w:rFonts w:ascii="Wingdings" w:hAnsi="Wingdings" w:hint="default"/>
      </w:rPr>
    </w:lvl>
    <w:lvl w:ilvl="6" w:tplc="FB4C52D6">
      <w:start w:val="1"/>
      <w:numFmt w:val="bullet"/>
      <w:lvlText w:val=""/>
      <w:lvlJc w:val="left"/>
      <w:pPr>
        <w:ind w:left="5040" w:hanging="360"/>
      </w:pPr>
      <w:rPr>
        <w:rFonts w:ascii="Symbol" w:hAnsi="Symbol" w:hint="default"/>
      </w:rPr>
    </w:lvl>
    <w:lvl w:ilvl="7" w:tplc="75F005AA">
      <w:start w:val="1"/>
      <w:numFmt w:val="bullet"/>
      <w:lvlText w:val="o"/>
      <w:lvlJc w:val="left"/>
      <w:pPr>
        <w:ind w:left="5760" w:hanging="360"/>
      </w:pPr>
      <w:rPr>
        <w:rFonts w:ascii="Courier New" w:hAnsi="Courier New" w:hint="default"/>
      </w:rPr>
    </w:lvl>
    <w:lvl w:ilvl="8" w:tplc="B6321F78">
      <w:start w:val="1"/>
      <w:numFmt w:val="bullet"/>
      <w:lvlText w:val=""/>
      <w:lvlJc w:val="left"/>
      <w:pPr>
        <w:ind w:left="6480" w:hanging="360"/>
      </w:pPr>
      <w:rPr>
        <w:rFonts w:ascii="Wingdings" w:hAnsi="Wingdings" w:hint="default"/>
      </w:rPr>
    </w:lvl>
  </w:abstractNum>
  <w:abstractNum w:abstractNumId="99" w15:restartNumberingAfterBreak="0">
    <w:nsid w:val="75AB0530"/>
    <w:multiLevelType w:val="hybridMultilevel"/>
    <w:tmpl w:val="4FE0C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75FE7144"/>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6667052"/>
    <w:multiLevelType w:val="hybridMultilevel"/>
    <w:tmpl w:val="5438387A"/>
    <w:lvl w:ilvl="0" w:tplc="0CAED552">
      <w:start w:val="1"/>
      <w:numFmt w:val="bullet"/>
      <w:pStyle w:val="EndNoteCategoryHeading"/>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672534B"/>
    <w:multiLevelType w:val="hybridMultilevel"/>
    <w:tmpl w:val="00D6822A"/>
    <w:lvl w:ilvl="0" w:tplc="217855E2">
      <w:start w:val="1"/>
      <w:numFmt w:val="bullet"/>
      <w:lvlText w:val=""/>
      <w:lvlJc w:val="left"/>
      <w:pPr>
        <w:ind w:left="720" w:hanging="360"/>
      </w:pPr>
      <w:rPr>
        <w:rFonts w:ascii="Symbol" w:hAnsi="Symbol" w:hint="default"/>
      </w:rPr>
    </w:lvl>
    <w:lvl w:ilvl="1" w:tplc="134CB7D0">
      <w:start w:val="1"/>
      <w:numFmt w:val="bullet"/>
      <w:lvlText w:val="o"/>
      <w:lvlJc w:val="left"/>
      <w:pPr>
        <w:ind w:left="1440" w:hanging="360"/>
      </w:pPr>
      <w:rPr>
        <w:rFonts w:ascii="&quot;Courier New&quot;" w:hAnsi="&quot;Courier New&quot;" w:hint="default"/>
      </w:rPr>
    </w:lvl>
    <w:lvl w:ilvl="2" w:tplc="43686E30">
      <w:start w:val="1"/>
      <w:numFmt w:val="bullet"/>
      <w:lvlText w:val=""/>
      <w:lvlJc w:val="left"/>
      <w:pPr>
        <w:ind w:left="2160" w:hanging="360"/>
      </w:pPr>
      <w:rPr>
        <w:rFonts w:ascii="Wingdings" w:hAnsi="Wingdings" w:hint="default"/>
      </w:rPr>
    </w:lvl>
    <w:lvl w:ilvl="3" w:tplc="8BE8A590">
      <w:start w:val="1"/>
      <w:numFmt w:val="bullet"/>
      <w:lvlText w:val=""/>
      <w:lvlJc w:val="left"/>
      <w:pPr>
        <w:ind w:left="2880" w:hanging="360"/>
      </w:pPr>
      <w:rPr>
        <w:rFonts w:ascii="Symbol" w:hAnsi="Symbol" w:hint="default"/>
      </w:rPr>
    </w:lvl>
    <w:lvl w:ilvl="4" w:tplc="FB9ADC08">
      <w:start w:val="1"/>
      <w:numFmt w:val="bullet"/>
      <w:lvlText w:val="o"/>
      <w:lvlJc w:val="left"/>
      <w:pPr>
        <w:ind w:left="3600" w:hanging="360"/>
      </w:pPr>
      <w:rPr>
        <w:rFonts w:ascii="Courier New" w:hAnsi="Courier New" w:hint="default"/>
      </w:rPr>
    </w:lvl>
    <w:lvl w:ilvl="5" w:tplc="BD3AF292">
      <w:start w:val="1"/>
      <w:numFmt w:val="bullet"/>
      <w:lvlText w:val=""/>
      <w:lvlJc w:val="left"/>
      <w:pPr>
        <w:ind w:left="4320" w:hanging="360"/>
      </w:pPr>
      <w:rPr>
        <w:rFonts w:ascii="Wingdings" w:hAnsi="Wingdings" w:hint="default"/>
      </w:rPr>
    </w:lvl>
    <w:lvl w:ilvl="6" w:tplc="5738702A">
      <w:start w:val="1"/>
      <w:numFmt w:val="bullet"/>
      <w:lvlText w:val=""/>
      <w:lvlJc w:val="left"/>
      <w:pPr>
        <w:ind w:left="5040" w:hanging="360"/>
      </w:pPr>
      <w:rPr>
        <w:rFonts w:ascii="Symbol" w:hAnsi="Symbol" w:hint="default"/>
      </w:rPr>
    </w:lvl>
    <w:lvl w:ilvl="7" w:tplc="767CF418">
      <w:start w:val="1"/>
      <w:numFmt w:val="bullet"/>
      <w:lvlText w:val="o"/>
      <w:lvlJc w:val="left"/>
      <w:pPr>
        <w:ind w:left="5760" w:hanging="360"/>
      </w:pPr>
      <w:rPr>
        <w:rFonts w:ascii="Courier New" w:hAnsi="Courier New" w:hint="default"/>
      </w:rPr>
    </w:lvl>
    <w:lvl w:ilvl="8" w:tplc="E1B2E476">
      <w:start w:val="1"/>
      <w:numFmt w:val="bullet"/>
      <w:lvlText w:val=""/>
      <w:lvlJc w:val="left"/>
      <w:pPr>
        <w:ind w:left="6480" w:hanging="360"/>
      </w:pPr>
      <w:rPr>
        <w:rFonts w:ascii="Wingdings" w:hAnsi="Wingdings" w:hint="default"/>
      </w:rPr>
    </w:lvl>
  </w:abstractNum>
  <w:abstractNum w:abstractNumId="103" w15:restartNumberingAfterBreak="0">
    <w:nsid w:val="78797CB4"/>
    <w:multiLevelType w:val="hybridMultilevel"/>
    <w:tmpl w:val="2EE0B49A"/>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79EF1301"/>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7BE671C4"/>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BEE1EBD"/>
    <w:multiLevelType w:val="hybridMultilevel"/>
    <w:tmpl w:val="00E827B4"/>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07" w15:restartNumberingAfterBreak="0">
    <w:nsid w:val="7E235780"/>
    <w:multiLevelType w:val="hybridMultilevel"/>
    <w:tmpl w:val="179AEF8E"/>
    <w:lvl w:ilvl="0" w:tplc="CE2CF84A">
      <w:start w:val="1"/>
      <w:numFmt w:val="bullet"/>
      <w:lvlText w:val="·"/>
      <w:lvlJc w:val="left"/>
      <w:pPr>
        <w:ind w:left="709" w:hanging="360"/>
      </w:pPr>
      <w:rPr>
        <w:rFonts w:ascii="Symbol" w:eastAsia="Symbol" w:hAnsi="Symbol" w:cs="Symbol" w:hint="default"/>
      </w:rPr>
    </w:lvl>
    <w:lvl w:ilvl="1" w:tplc="B42A230C">
      <w:start w:val="1"/>
      <w:numFmt w:val="bullet"/>
      <w:lvlText w:val="o"/>
      <w:lvlJc w:val="left"/>
      <w:pPr>
        <w:ind w:left="1429" w:hanging="360"/>
      </w:pPr>
      <w:rPr>
        <w:rFonts w:ascii="Courier New" w:eastAsia="Courier New" w:hAnsi="Courier New" w:cs="Courier New" w:hint="default"/>
      </w:rPr>
    </w:lvl>
    <w:lvl w:ilvl="2" w:tplc="EA5EC56E">
      <w:start w:val="1"/>
      <w:numFmt w:val="bullet"/>
      <w:lvlText w:val="§"/>
      <w:lvlJc w:val="left"/>
      <w:pPr>
        <w:ind w:left="2149" w:hanging="360"/>
      </w:pPr>
      <w:rPr>
        <w:rFonts w:ascii="Wingdings" w:eastAsia="Wingdings" w:hAnsi="Wingdings" w:cs="Wingdings" w:hint="default"/>
      </w:rPr>
    </w:lvl>
    <w:lvl w:ilvl="3" w:tplc="A8CAF7CA">
      <w:start w:val="1"/>
      <w:numFmt w:val="bullet"/>
      <w:lvlText w:val="·"/>
      <w:lvlJc w:val="left"/>
      <w:pPr>
        <w:ind w:left="2869" w:hanging="360"/>
      </w:pPr>
      <w:rPr>
        <w:rFonts w:ascii="Symbol" w:eastAsia="Symbol" w:hAnsi="Symbol" w:cs="Symbol" w:hint="default"/>
      </w:rPr>
    </w:lvl>
    <w:lvl w:ilvl="4" w:tplc="AE440848">
      <w:start w:val="1"/>
      <w:numFmt w:val="bullet"/>
      <w:lvlText w:val="o"/>
      <w:lvlJc w:val="left"/>
      <w:pPr>
        <w:ind w:left="3589" w:hanging="360"/>
      </w:pPr>
      <w:rPr>
        <w:rFonts w:ascii="Courier New" w:eastAsia="Courier New" w:hAnsi="Courier New" w:cs="Courier New" w:hint="default"/>
      </w:rPr>
    </w:lvl>
    <w:lvl w:ilvl="5" w:tplc="20A8428A">
      <w:start w:val="1"/>
      <w:numFmt w:val="bullet"/>
      <w:lvlText w:val="§"/>
      <w:lvlJc w:val="left"/>
      <w:pPr>
        <w:ind w:left="4309" w:hanging="360"/>
      </w:pPr>
      <w:rPr>
        <w:rFonts w:ascii="Wingdings" w:eastAsia="Wingdings" w:hAnsi="Wingdings" w:cs="Wingdings" w:hint="default"/>
      </w:rPr>
    </w:lvl>
    <w:lvl w:ilvl="6" w:tplc="1F8A5E24">
      <w:start w:val="1"/>
      <w:numFmt w:val="bullet"/>
      <w:lvlText w:val="·"/>
      <w:lvlJc w:val="left"/>
      <w:pPr>
        <w:ind w:left="5029" w:hanging="360"/>
      </w:pPr>
      <w:rPr>
        <w:rFonts w:ascii="Symbol" w:eastAsia="Symbol" w:hAnsi="Symbol" w:cs="Symbol" w:hint="default"/>
      </w:rPr>
    </w:lvl>
    <w:lvl w:ilvl="7" w:tplc="1A00E6FA">
      <w:start w:val="1"/>
      <w:numFmt w:val="bullet"/>
      <w:lvlText w:val="o"/>
      <w:lvlJc w:val="left"/>
      <w:pPr>
        <w:ind w:left="5749" w:hanging="360"/>
      </w:pPr>
      <w:rPr>
        <w:rFonts w:ascii="Courier New" w:eastAsia="Courier New" w:hAnsi="Courier New" w:cs="Courier New" w:hint="default"/>
      </w:rPr>
    </w:lvl>
    <w:lvl w:ilvl="8" w:tplc="ACA851BE">
      <w:start w:val="1"/>
      <w:numFmt w:val="bullet"/>
      <w:lvlText w:val="§"/>
      <w:lvlJc w:val="left"/>
      <w:pPr>
        <w:ind w:left="6469" w:hanging="360"/>
      </w:pPr>
      <w:rPr>
        <w:rFonts w:ascii="Wingdings" w:eastAsia="Wingdings" w:hAnsi="Wingdings" w:cs="Wingdings" w:hint="default"/>
      </w:rPr>
    </w:lvl>
  </w:abstractNum>
  <w:abstractNum w:abstractNumId="108" w15:restartNumberingAfterBreak="0">
    <w:nsid w:val="7EF140BB"/>
    <w:multiLevelType w:val="hybridMultilevel"/>
    <w:tmpl w:val="FE4403A6"/>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F9C68DC"/>
    <w:multiLevelType w:val="hybridMultilevel"/>
    <w:tmpl w:val="106EBA72"/>
    <w:lvl w:ilvl="0" w:tplc="5540CAA8">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77979284">
    <w:abstractNumId w:val="63"/>
  </w:num>
  <w:num w:numId="2" w16cid:durableId="1678649381">
    <w:abstractNumId w:val="23"/>
  </w:num>
  <w:num w:numId="3" w16cid:durableId="846596630">
    <w:abstractNumId w:val="62"/>
  </w:num>
  <w:num w:numId="4" w16cid:durableId="2097432505">
    <w:abstractNumId w:val="107"/>
  </w:num>
  <w:num w:numId="5" w16cid:durableId="593077">
    <w:abstractNumId w:val="11"/>
  </w:num>
  <w:num w:numId="6" w16cid:durableId="45105872">
    <w:abstractNumId w:val="6"/>
  </w:num>
  <w:num w:numId="7" w16cid:durableId="1892380932">
    <w:abstractNumId w:val="0"/>
  </w:num>
  <w:num w:numId="8" w16cid:durableId="859783537">
    <w:abstractNumId w:val="14"/>
  </w:num>
  <w:num w:numId="9" w16cid:durableId="1156654793">
    <w:abstractNumId w:val="99"/>
  </w:num>
  <w:num w:numId="10" w16cid:durableId="1253734311">
    <w:abstractNumId w:val="39"/>
  </w:num>
  <w:num w:numId="11" w16cid:durableId="2122146349">
    <w:abstractNumId w:val="95"/>
  </w:num>
  <w:num w:numId="12" w16cid:durableId="1837459219">
    <w:abstractNumId w:val="35"/>
  </w:num>
  <w:num w:numId="13" w16cid:durableId="1225221330">
    <w:abstractNumId w:val="12"/>
  </w:num>
  <w:num w:numId="14" w16cid:durableId="379670604">
    <w:abstractNumId w:val="101"/>
  </w:num>
  <w:num w:numId="15" w16cid:durableId="788429043">
    <w:abstractNumId w:val="75"/>
  </w:num>
  <w:num w:numId="16" w16cid:durableId="359860511">
    <w:abstractNumId w:val="15"/>
  </w:num>
  <w:num w:numId="17" w16cid:durableId="384109062">
    <w:abstractNumId w:val="45"/>
  </w:num>
  <w:num w:numId="18" w16cid:durableId="874736983">
    <w:abstractNumId w:val="88"/>
  </w:num>
  <w:num w:numId="19" w16cid:durableId="549919586">
    <w:abstractNumId w:val="7"/>
  </w:num>
  <w:num w:numId="20" w16cid:durableId="1921327138">
    <w:abstractNumId w:val="94"/>
  </w:num>
  <w:num w:numId="21" w16cid:durableId="474487453">
    <w:abstractNumId w:val="36"/>
  </w:num>
  <w:num w:numId="22" w16cid:durableId="1304848974">
    <w:abstractNumId w:val="108"/>
  </w:num>
  <w:num w:numId="23" w16cid:durableId="1973557583">
    <w:abstractNumId w:val="42"/>
  </w:num>
  <w:num w:numId="24" w16cid:durableId="348289211">
    <w:abstractNumId w:val="89"/>
  </w:num>
  <w:num w:numId="25" w16cid:durableId="2107966391">
    <w:abstractNumId w:val="37"/>
  </w:num>
  <w:num w:numId="26" w16cid:durableId="1934437188">
    <w:abstractNumId w:val="26"/>
  </w:num>
  <w:num w:numId="27" w16cid:durableId="1812600645">
    <w:abstractNumId w:val="17"/>
  </w:num>
  <w:num w:numId="28" w16cid:durableId="480510141">
    <w:abstractNumId w:val="109"/>
  </w:num>
  <w:num w:numId="29" w16cid:durableId="2134518888">
    <w:abstractNumId w:val="57"/>
  </w:num>
  <w:num w:numId="30" w16cid:durableId="651443432">
    <w:abstractNumId w:val="96"/>
  </w:num>
  <w:num w:numId="31" w16cid:durableId="2133204618">
    <w:abstractNumId w:val="74"/>
  </w:num>
  <w:num w:numId="32" w16cid:durableId="266163441">
    <w:abstractNumId w:val="56"/>
  </w:num>
  <w:num w:numId="33" w16cid:durableId="1020618522">
    <w:abstractNumId w:val="67"/>
  </w:num>
  <w:num w:numId="34" w16cid:durableId="173347679">
    <w:abstractNumId w:val="16"/>
  </w:num>
  <w:num w:numId="35" w16cid:durableId="101151925">
    <w:abstractNumId w:val="90"/>
  </w:num>
  <w:num w:numId="36" w16cid:durableId="419452313">
    <w:abstractNumId w:val="5"/>
  </w:num>
  <w:num w:numId="37" w16cid:durableId="1019967617">
    <w:abstractNumId w:val="91"/>
  </w:num>
  <w:num w:numId="38" w16cid:durableId="1704473196">
    <w:abstractNumId w:val="103"/>
  </w:num>
  <w:num w:numId="39" w16cid:durableId="544366201">
    <w:abstractNumId w:val="28"/>
  </w:num>
  <w:num w:numId="40" w16cid:durableId="482115502">
    <w:abstractNumId w:val="106"/>
  </w:num>
  <w:num w:numId="41" w16cid:durableId="548692201">
    <w:abstractNumId w:val="100"/>
  </w:num>
  <w:num w:numId="42" w16cid:durableId="794787378">
    <w:abstractNumId w:val="105"/>
  </w:num>
  <w:num w:numId="43" w16cid:durableId="1375036954">
    <w:abstractNumId w:val="33"/>
  </w:num>
  <w:num w:numId="44" w16cid:durableId="571432949">
    <w:abstractNumId w:val="52"/>
  </w:num>
  <w:num w:numId="45" w16cid:durableId="1175876696">
    <w:abstractNumId w:val="48"/>
  </w:num>
  <w:num w:numId="46" w16cid:durableId="1545142872">
    <w:abstractNumId w:val="34"/>
  </w:num>
  <w:num w:numId="47" w16cid:durableId="1150904482">
    <w:abstractNumId w:val="104"/>
  </w:num>
  <w:num w:numId="48" w16cid:durableId="1897280699">
    <w:abstractNumId w:val="8"/>
  </w:num>
  <w:num w:numId="49" w16cid:durableId="1864902421">
    <w:abstractNumId w:val="20"/>
  </w:num>
  <w:num w:numId="50" w16cid:durableId="1223055306">
    <w:abstractNumId w:val="73"/>
  </w:num>
  <w:num w:numId="51" w16cid:durableId="68044231">
    <w:abstractNumId w:val="41"/>
  </w:num>
  <w:num w:numId="52" w16cid:durableId="1160465723">
    <w:abstractNumId w:val="70"/>
  </w:num>
  <w:num w:numId="53" w16cid:durableId="466052465">
    <w:abstractNumId w:val="50"/>
  </w:num>
  <w:num w:numId="54" w16cid:durableId="99106127">
    <w:abstractNumId w:val="30"/>
  </w:num>
  <w:num w:numId="55" w16cid:durableId="1364595616">
    <w:abstractNumId w:val="3"/>
  </w:num>
  <w:num w:numId="56" w16cid:durableId="1958443797">
    <w:abstractNumId w:val="22"/>
  </w:num>
  <w:num w:numId="57" w16cid:durableId="1668483699">
    <w:abstractNumId w:val="24"/>
  </w:num>
  <w:num w:numId="58" w16cid:durableId="1032068754">
    <w:abstractNumId w:val="92"/>
  </w:num>
  <w:num w:numId="59" w16cid:durableId="1805585209">
    <w:abstractNumId w:val="69"/>
  </w:num>
  <w:num w:numId="60" w16cid:durableId="1499539775">
    <w:abstractNumId w:val="68"/>
  </w:num>
  <w:num w:numId="61" w16cid:durableId="1744180620">
    <w:abstractNumId w:val="29"/>
  </w:num>
  <w:num w:numId="62" w16cid:durableId="1141114035">
    <w:abstractNumId w:val="32"/>
  </w:num>
  <w:num w:numId="63" w16cid:durableId="784035989">
    <w:abstractNumId w:val="76"/>
  </w:num>
  <w:num w:numId="64" w16cid:durableId="1265847321">
    <w:abstractNumId w:val="4"/>
  </w:num>
  <w:num w:numId="65" w16cid:durableId="1147287214">
    <w:abstractNumId w:val="10"/>
  </w:num>
  <w:num w:numId="66" w16cid:durableId="618419700">
    <w:abstractNumId w:val="38"/>
  </w:num>
  <w:num w:numId="67" w16cid:durableId="728960553">
    <w:abstractNumId w:val="80"/>
  </w:num>
  <w:num w:numId="68" w16cid:durableId="140848204">
    <w:abstractNumId w:val="44"/>
  </w:num>
  <w:num w:numId="69" w16cid:durableId="952907593">
    <w:abstractNumId w:val="47"/>
  </w:num>
  <w:num w:numId="70" w16cid:durableId="1239250733">
    <w:abstractNumId w:val="19"/>
  </w:num>
  <w:num w:numId="71" w16cid:durableId="2097315366">
    <w:abstractNumId w:val="54"/>
  </w:num>
  <w:num w:numId="72" w16cid:durableId="1625499559">
    <w:abstractNumId w:val="53"/>
  </w:num>
  <w:num w:numId="73" w16cid:durableId="998075170">
    <w:abstractNumId w:val="51"/>
  </w:num>
  <w:num w:numId="74" w16cid:durableId="1157183066">
    <w:abstractNumId w:val="49"/>
  </w:num>
  <w:num w:numId="75" w16cid:durableId="212039590">
    <w:abstractNumId w:val="21"/>
  </w:num>
  <w:num w:numId="76" w16cid:durableId="1302032212">
    <w:abstractNumId w:val="72"/>
  </w:num>
  <w:num w:numId="77" w16cid:durableId="317416471">
    <w:abstractNumId w:val="60"/>
  </w:num>
  <w:num w:numId="78" w16cid:durableId="1397167129">
    <w:abstractNumId w:val="77"/>
  </w:num>
  <w:num w:numId="79" w16cid:durableId="277223447">
    <w:abstractNumId w:val="18"/>
  </w:num>
  <w:num w:numId="80" w16cid:durableId="599029413">
    <w:abstractNumId w:val="64"/>
  </w:num>
  <w:num w:numId="81" w16cid:durableId="768888687">
    <w:abstractNumId w:val="55"/>
  </w:num>
  <w:num w:numId="82" w16cid:durableId="986590571">
    <w:abstractNumId w:val="78"/>
  </w:num>
  <w:num w:numId="83" w16cid:durableId="1766807538">
    <w:abstractNumId w:val="65"/>
  </w:num>
  <w:num w:numId="84" w16cid:durableId="936332295">
    <w:abstractNumId w:val="84"/>
  </w:num>
  <w:num w:numId="85" w16cid:durableId="1479805139">
    <w:abstractNumId w:val="40"/>
  </w:num>
  <w:num w:numId="86" w16cid:durableId="1112168150">
    <w:abstractNumId w:val="13"/>
  </w:num>
  <w:num w:numId="87" w16cid:durableId="850534024">
    <w:abstractNumId w:val="102"/>
  </w:num>
  <w:num w:numId="88" w16cid:durableId="1608464507">
    <w:abstractNumId w:val="9"/>
  </w:num>
  <w:num w:numId="89" w16cid:durableId="669334619">
    <w:abstractNumId w:val="43"/>
  </w:num>
  <w:num w:numId="90" w16cid:durableId="901520246">
    <w:abstractNumId w:val="58"/>
  </w:num>
  <w:num w:numId="91" w16cid:durableId="2006128771">
    <w:abstractNumId w:val="61"/>
  </w:num>
  <w:num w:numId="92" w16cid:durableId="255674286">
    <w:abstractNumId w:val="86"/>
  </w:num>
  <w:num w:numId="93" w16cid:durableId="1122924827">
    <w:abstractNumId w:val="98"/>
  </w:num>
  <w:num w:numId="94" w16cid:durableId="105123977">
    <w:abstractNumId w:val="31"/>
  </w:num>
  <w:num w:numId="95" w16cid:durableId="1201432177">
    <w:abstractNumId w:val="83"/>
  </w:num>
  <w:num w:numId="96" w16cid:durableId="202718627">
    <w:abstractNumId w:val="87"/>
  </w:num>
  <w:num w:numId="97" w16cid:durableId="499809649">
    <w:abstractNumId w:val="97"/>
  </w:num>
  <w:num w:numId="98" w16cid:durableId="1903907533">
    <w:abstractNumId w:val="71"/>
  </w:num>
  <w:num w:numId="99" w16cid:durableId="692536904">
    <w:abstractNumId w:val="2"/>
  </w:num>
  <w:num w:numId="100" w16cid:durableId="497812886">
    <w:abstractNumId w:val="1"/>
  </w:num>
  <w:num w:numId="101" w16cid:durableId="398132720">
    <w:abstractNumId w:val="59"/>
  </w:num>
  <w:num w:numId="102" w16cid:durableId="2092697130">
    <w:abstractNumId w:val="81"/>
  </w:num>
  <w:num w:numId="103" w16cid:durableId="1681158420">
    <w:abstractNumId w:val="66"/>
  </w:num>
  <w:num w:numId="104" w16cid:durableId="1179276273">
    <w:abstractNumId w:val="25"/>
  </w:num>
  <w:num w:numId="105" w16cid:durableId="834152837">
    <w:abstractNumId w:val="93"/>
  </w:num>
  <w:num w:numId="106" w16cid:durableId="1881673814">
    <w:abstractNumId w:val="79"/>
  </w:num>
  <w:num w:numId="107" w16cid:durableId="1258563761">
    <w:abstractNumId w:val="27"/>
  </w:num>
  <w:num w:numId="108" w16cid:durableId="682512079">
    <w:abstractNumId w:val="82"/>
  </w:num>
  <w:num w:numId="109" w16cid:durableId="151325342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147123053">
    <w:abstractNumId w:val="4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E53"/>
    <w:rsid w:val="00000691"/>
    <w:rsid w:val="0000136D"/>
    <w:rsid w:val="0000158D"/>
    <w:rsid w:val="00001F9D"/>
    <w:rsid w:val="00002899"/>
    <w:rsid w:val="00002AFE"/>
    <w:rsid w:val="00003144"/>
    <w:rsid w:val="00003538"/>
    <w:rsid w:val="000035E1"/>
    <w:rsid w:val="000037F8"/>
    <w:rsid w:val="00003B07"/>
    <w:rsid w:val="000046EE"/>
    <w:rsid w:val="00004B7F"/>
    <w:rsid w:val="00004C76"/>
    <w:rsid w:val="00004D9C"/>
    <w:rsid w:val="000051E2"/>
    <w:rsid w:val="00005264"/>
    <w:rsid w:val="00005270"/>
    <w:rsid w:val="000058EC"/>
    <w:rsid w:val="00005B0E"/>
    <w:rsid w:val="00005B4A"/>
    <w:rsid w:val="00005DA7"/>
    <w:rsid w:val="00005FF8"/>
    <w:rsid w:val="00006705"/>
    <w:rsid w:val="00006A88"/>
    <w:rsid w:val="00006C5F"/>
    <w:rsid w:val="00007670"/>
    <w:rsid w:val="000079E7"/>
    <w:rsid w:val="00007C6C"/>
    <w:rsid w:val="00010164"/>
    <w:rsid w:val="000103C9"/>
    <w:rsid w:val="0001040F"/>
    <w:rsid w:val="000105AF"/>
    <w:rsid w:val="000109C3"/>
    <w:rsid w:val="00010A43"/>
    <w:rsid w:val="000118F1"/>
    <w:rsid w:val="00011F91"/>
    <w:rsid w:val="00012020"/>
    <w:rsid w:val="00012BF0"/>
    <w:rsid w:val="00012F81"/>
    <w:rsid w:val="00012FDA"/>
    <w:rsid w:val="000133D4"/>
    <w:rsid w:val="00013432"/>
    <w:rsid w:val="0001382E"/>
    <w:rsid w:val="000139D7"/>
    <w:rsid w:val="00013B13"/>
    <w:rsid w:val="00013E7E"/>
    <w:rsid w:val="000140B9"/>
    <w:rsid w:val="00014370"/>
    <w:rsid w:val="00014758"/>
    <w:rsid w:val="00014A03"/>
    <w:rsid w:val="00014A6D"/>
    <w:rsid w:val="00014B20"/>
    <w:rsid w:val="00014B3F"/>
    <w:rsid w:val="00014F72"/>
    <w:rsid w:val="00015343"/>
    <w:rsid w:val="000153BA"/>
    <w:rsid w:val="00015866"/>
    <w:rsid w:val="00015E8E"/>
    <w:rsid w:val="00016640"/>
    <w:rsid w:val="00016970"/>
    <w:rsid w:val="00016DA2"/>
    <w:rsid w:val="000171B1"/>
    <w:rsid w:val="000174B3"/>
    <w:rsid w:val="000203BB"/>
    <w:rsid w:val="00020443"/>
    <w:rsid w:val="00020C66"/>
    <w:rsid w:val="00020DF9"/>
    <w:rsid w:val="00021215"/>
    <w:rsid w:val="00021B8F"/>
    <w:rsid w:val="00021F7B"/>
    <w:rsid w:val="00022205"/>
    <w:rsid w:val="00022804"/>
    <w:rsid w:val="000238ED"/>
    <w:rsid w:val="00023ED7"/>
    <w:rsid w:val="0002418E"/>
    <w:rsid w:val="0002448C"/>
    <w:rsid w:val="00024D4C"/>
    <w:rsid w:val="000257D4"/>
    <w:rsid w:val="000258C3"/>
    <w:rsid w:val="00025BE7"/>
    <w:rsid w:val="00025FCC"/>
    <w:rsid w:val="00027373"/>
    <w:rsid w:val="0002778E"/>
    <w:rsid w:val="00027AD7"/>
    <w:rsid w:val="00027D4A"/>
    <w:rsid w:val="00030FF2"/>
    <w:rsid w:val="000311D0"/>
    <w:rsid w:val="000313B6"/>
    <w:rsid w:val="0003141E"/>
    <w:rsid w:val="00031779"/>
    <w:rsid w:val="00031B99"/>
    <w:rsid w:val="00031BE7"/>
    <w:rsid w:val="00031C36"/>
    <w:rsid w:val="0003236F"/>
    <w:rsid w:val="00032410"/>
    <w:rsid w:val="00032737"/>
    <w:rsid w:val="000327D3"/>
    <w:rsid w:val="00032BA1"/>
    <w:rsid w:val="00032C9F"/>
    <w:rsid w:val="00033470"/>
    <w:rsid w:val="0003369B"/>
    <w:rsid w:val="0003393A"/>
    <w:rsid w:val="00033CFE"/>
    <w:rsid w:val="00033FF0"/>
    <w:rsid w:val="00034451"/>
    <w:rsid w:val="00034452"/>
    <w:rsid w:val="000344B3"/>
    <w:rsid w:val="0003452B"/>
    <w:rsid w:val="0003460A"/>
    <w:rsid w:val="000346E0"/>
    <w:rsid w:val="0003495E"/>
    <w:rsid w:val="000354B3"/>
    <w:rsid w:val="0003595F"/>
    <w:rsid w:val="00035AB0"/>
    <w:rsid w:val="00035F7A"/>
    <w:rsid w:val="000365F7"/>
    <w:rsid w:val="00036628"/>
    <w:rsid w:val="000366AC"/>
    <w:rsid w:val="00036766"/>
    <w:rsid w:val="000367D1"/>
    <w:rsid w:val="00036AD7"/>
    <w:rsid w:val="00036D98"/>
    <w:rsid w:val="00036F11"/>
    <w:rsid w:val="00036F7F"/>
    <w:rsid w:val="000373FE"/>
    <w:rsid w:val="00037EF9"/>
    <w:rsid w:val="0003E012"/>
    <w:rsid w:val="00040792"/>
    <w:rsid w:val="00040809"/>
    <w:rsid w:val="00040AE6"/>
    <w:rsid w:val="0004173B"/>
    <w:rsid w:val="00041760"/>
    <w:rsid w:val="0004190D"/>
    <w:rsid w:val="00041937"/>
    <w:rsid w:val="00041A42"/>
    <w:rsid w:val="00042184"/>
    <w:rsid w:val="000424E7"/>
    <w:rsid w:val="00042992"/>
    <w:rsid w:val="000432F1"/>
    <w:rsid w:val="00043959"/>
    <w:rsid w:val="00043E48"/>
    <w:rsid w:val="00043FC9"/>
    <w:rsid w:val="000440DA"/>
    <w:rsid w:val="000440E7"/>
    <w:rsid w:val="0004456B"/>
    <w:rsid w:val="00044DF8"/>
    <w:rsid w:val="00044EF4"/>
    <w:rsid w:val="000451A9"/>
    <w:rsid w:val="0004547B"/>
    <w:rsid w:val="000456A1"/>
    <w:rsid w:val="0004587A"/>
    <w:rsid w:val="00046213"/>
    <w:rsid w:val="000467A9"/>
    <w:rsid w:val="000471A6"/>
    <w:rsid w:val="000475A5"/>
    <w:rsid w:val="000478F9"/>
    <w:rsid w:val="000479AC"/>
    <w:rsid w:val="000479DF"/>
    <w:rsid w:val="00047A81"/>
    <w:rsid w:val="00047A8D"/>
    <w:rsid w:val="00047CD8"/>
    <w:rsid w:val="00050101"/>
    <w:rsid w:val="00050754"/>
    <w:rsid w:val="000515C0"/>
    <w:rsid w:val="00051A02"/>
    <w:rsid w:val="00051CF0"/>
    <w:rsid w:val="00051FDB"/>
    <w:rsid w:val="0005228E"/>
    <w:rsid w:val="000522A7"/>
    <w:rsid w:val="000522DA"/>
    <w:rsid w:val="000526EA"/>
    <w:rsid w:val="0005274F"/>
    <w:rsid w:val="00052D7B"/>
    <w:rsid w:val="00053412"/>
    <w:rsid w:val="00053951"/>
    <w:rsid w:val="00053F5E"/>
    <w:rsid w:val="00054018"/>
    <w:rsid w:val="00054561"/>
    <w:rsid w:val="000545F5"/>
    <w:rsid w:val="00054666"/>
    <w:rsid w:val="00054702"/>
    <w:rsid w:val="000548F1"/>
    <w:rsid w:val="00054A51"/>
    <w:rsid w:val="000552B8"/>
    <w:rsid w:val="000554C3"/>
    <w:rsid w:val="000555CF"/>
    <w:rsid w:val="00056B4D"/>
    <w:rsid w:val="0005763A"/>
    <w:rsid w:val="00057A1F"/>
    <w:rsid w:val="00057BF8"/>
    <w:rsid w:val="00057D32"/>
    <w:rsid w:val="00060178"/>
    <w:rsid w:val="0006030D"/>
    <w:rsid w:val="00060B74"/>
    <w:rsid w:val="00060EBD"/>
    <w:rsid w:val="0006137D"/>
    <w:rsid w:val="000615F2"/>
    <w:rsid w:val="00061743"/>
    <w:rsid w:val="00061EF3"/>
    <w:rsid w:val="0006222A"/>
    <w:rsid w:val="00062396"/>
    <w:rsid w:val="000625D3"/>
    <w:rsid w:val="00062A80"/>
    <w:rsid w:val="00062B09"/>
    <w:rsid w:val="00062E22"/>
    <w:rsid w:val="00062E72"/>
    <w:rsid w:val="00063100"/>
    <w:rsid w:val="000634B1"/>
    <w:rsid w:val="00063816"/>
    <w:rsid w:val="00064B1C"/>
    <w:rsid w:val="00064D1C"/>
    <w:rsid w:val="00064D48"/>
    <w:rsid w:val="00064ECA"/>
    <w:rsid w:val="000651B7"/>
    <w:rsid w:val="000658B0"/>
    <w:rsid w:val="00065BDC"/>
    <w:rsid w:val="00065C72"/>
    <w:rsid w:val="00066421"/>
    <w:rsid w:val="00066A23"/>
    <w:rsid w:val="00066E2C"/>
    <w:rsid w:val="00066FAF"/>
    <w:rsid w:val="000678DC"/>
    <w:rsid w:val="00067956"/>
    <w:rsid w:val="00070372"/>
    <w:rsid w:val="000704B6"/>
    <w:rsid w:val="00070BD7"/>
    <w:rsid w:val="00070DAA"/>
    <w:rsid w:val="00070DEF"/>
    <w:rsid w:val="00070EE3"/>
    <w:rsid w:val="000714C8"/>
    <w:rsid w:val="0007175B"/>
    <w:rsid w:val="000718CF"/>
    <w:rsid w:val="00071ABA"/>
    <w:rsid w:val="00071B66"/>
    <w:rsid w:val="00071CFE"/>
    <w:rsid w:val="00071D9C"/>
    <w:rsid w:val="00072306"/>
    <w:rsid w:val="0007250F"/>
    <w:rsid w:val="0007256B"/>
    <w:rsid w:val="00072662"/>
    <w:rsid w:val="000726D5"/>
    <w:rsid w:val="0007276D"/>
    <w:rsid w:val="00072821"/>
    <w:rsid w:val="0007282C"/>
    <w:rsid w:val="00072948"/>
    <w:rsid w:val="00072998"/>
    <w:rsid w:val="00072A5D"/>
    <w:rsid w:val="00072AF9"/>
    <w:rsid w:val="00072D1E"/>
    <w:rsid w:val="0007324C"/>
    <w:rsid w:val="000733B8"/>
    <w:rsid w:val="000742FE"/>
    <w:rsid w:val="00074394"/>
    <w:rsid w:val="000750FA"/>
    <w:rsid w:val="000754BF"/>
    <w:rsid w:val="000757BD"/>
    <w:rsid w:val="000757D0"/>
    <w:rsid w:val="00075C2C"/>
    <w:rsid w:val="00075D85"/>
    <w:rsid w:val="00075E40"/>
    <w:rsid w:val="0007614F"/>
    <w:rsid w:val="000761FD"/>
    <w:rsid w:val="000763C6"/>
    <w:rsid w:val="00076446"/>
    <w:rsid w:val="000765C7"/>
    <w:rsid w:val="00076740"/>
    <w:rsid w:val="00076944"/>
    <w:rsid w:val="00076A1A"/>
    <w:rsid w:val="00076A53"/>
    <w:rsid w:val="00076A9E"/>
    <w:rsid w:val="00076E8A"/>
    <w:rsid w:val="00077149"/>
    <w:rsid w:val="000771B6"/>
    <w:rsid w:val="00077212"/>
    <w:rsid w:val="00077284"/>
    <w:rsid w:val="000804B8"/>
    <w:rsid w:val="000805E2"/>
    <w:rsid w:val="000806AF"/>
    <w:rsid w:val="00080D68"/>
    <w:rsid w:val="00080F5C"/>
    <w:rsid w:val="00080FBE"/>
    <w:rsid w:val="00080FD9"/>
    <w:rsid w:val="000815C5"/>
    <w:rsid w:val="000815D3"/>
    <w:rsid w:val="00081AFA"/>
    <w:rsid w:val="00081E4A"/>
    <w:rsid w:val="00081FBD"/>
    <w:rsid w:val="0008220A"/>
    <w:rsid w:val="00082B2F"/>
    <w:rsid w:val="00082BE4"/>
    <w:rsid w:val="00082F94"/>
    <w:rsid w:val="00083157"/>
    <w:rsid w:val="00083408"/>
    <w:rsid w:val="0008352B"/>
    <w:rsid w:val="0008383A"/>
    <w:rsid w:val="0008395F"/>
    <w:rsid w:val="00083D01"/>
    <w:rsid w:val="0008420F"/>
    <w:rsid w:val="000846F6"/>
    <w:rsid w:val="00084884"/>
    <w:rsid w:val="00084E1D"/>
    <w:rsid w:val="00084EE0"/>
    <w:rsid w:val="00084F1E"/>
    <w:rsid w:val="00084F45"/>
    <w:rsid w:val="000855D3"/>
    <w:rsid w:val="00085A14"/>
    <w:rsid w:val="00085DC8"/>
    <w:rsid w:val="0008623E"/>
    <w:rsid w:val="00086737"/>
    <w:rsid w:val="00086917"/>
    <w:rsid w:val="00086C10"/>
    <w:rsid w:val="00086E1F"/>
    <w:rsid w:val="00086F47"/>
    <w:rsid w:val="00087421"/>
    <w:rsid w:val="00087626"/>
    <w:rsid w:val="00087875"/>
    <w:rsid w:val="00087E9A"/>
    <w:rsid w:val="00087F99"/>
    <w:rsid w:val="00087FB4"/>
    <w:rsid w:val="0009008B"/>
    <w:rsid w:val="00090118"/>
    <w:rsid w:val="0009020C"/>
    <w:rsid w:val="000904F9"/>
    <w:rsid w:val="00090635"/>
    <w:rsid w:val="00090B32"/>
    <w:rsid w:val="00090E1C"/>
    <w:rsid w:val="00091346"/>
    <w:rsid w:val="00091BBA"/>
    <w:rsid w:val="00091D71"/>
    <w:rsid w:val="00092282"/>
    <w:rsid w:val="0009273E"/>
    <w:rsid w:val="0009274D"/>
    <w:rsid w:val="00092773"/>
    <w:rsid w:val="000928C3"/>
    <w:rsid w:val="0009293D"/>
    <w:rsid w:val="00092994"/>
    <w:rsid w:val="00092C99"/>
    <w:rsid w:val="0009304C"/>
    <w:rsid w:val="000932D6"/>
    <w:rsid w:val="00093BC7"/>
    <w:rsid w:val="00093D20"/>
    <w:rsid w:val="000945BD"/>
    <w:rsid w:val="00094942"/>
    <w:rsid w:val="000951B7"/>
    <w:rsid w:val="00095588"/>
    <w:rsid w:val="000956F1"/>
    <w:rsid w:val="00095993"/>
    <w:rsid w:val="00096054"/>
    <w:rsid w:val="000962E0"/>
    <w:rsid w:val="00096425"/>
    <w:rsid w:val="0009676C"/>
    <w:rsid w:val="00096A98"/>
    <w:rsid w:val="00096BD9"/>
    <w:rsid w:val="00096E36"/>
    <w:rsid w:val="00097232"/>
    <w:rsid w:val="000978ED"/>
    <w:rsid w:val="00097C00"/>
    <w:rsid w:val="000A018E"/>
    <w:rsid w:val="000A10D9"/>
    <w:rsid w:val="000A1224"/>
    <w:rsid w:val="000A14D3"/>
    <w:rsid w:val="000A17DD"/>
    <w:rsid w:val="000A1C86"/>
    <w:rsid w:val="000A1C9F"/>
    <w:rsid w:val="000A2067"/>
    <w:rsid w:val="000A216C"/>
    <w:rsid w:val="000A29A5"/>
    <w:rsid w:val="000A2CD4"/>
    <w:rsid w:val="000A3482"/>
    <w:rsid w:val="000A401A"/>
    <w:rsid w:val="000A41AD"/>
    <w:rsid w:val="000A44C4"/>
    <w:rsid w:val="000A45E3"/>
    <w:rsid w:val="000A4A8C"/>
    <w:rsid w:val="000A5C4B"/>
    <w:rsid w:val="000A6260"/>
    <w:rsid w:val="000A63A5"/>
    <w:rsid w:val="000A659C"/>
    <w:rsid w:val="000A65AC"/>
    <w:rsid w:val="000A6790"/>
    <w:rsid w:val="000A6953"/>
    <w:rsid w:val="000A696D"/>
    <w:rsid w:val="000A7090"/>
    <w:rsid w:val="000A70CB"/>
    <w:rsid w:val="000A7AFB"/>
    <w:rsid w:val="000A7B79"/>
    <w:rsid w:val="000A7C99"/>
    <w:rsid w:val="000A7D51"/>
    <w:rsid w:val="000B04DA"/>
    <w:rsid w:val="000B06FA"/>
    <w:rsid w:val="000B0771"/>
    <w:rsid w:val="000B0ADC"/>
    <w:rsid w:val="000B2416"/>
    <w:rsid w:val="000B2E92"/>
    <w:rsid w:val="000B3A2E"/>
    <w:rsid w:val="000B3F3A"/>
    <w:rsid w:val="000B4AFC"/>
    <w:rsid w:val="000B5C3F"/>
    <w:rsid w:val="000B603E"/>
    <w:rsid w:val="000B620B"/>
    <w:rsid w:val="000B6B88"/>
    <w:rsid w:val="000B6CED"/>
    <w:rsid w:val="000B7198"/>
    <w:rsid w:val="000B71E5"/>
    <w:rsid w:val="000B7626"/>
    <w:rsid w:val="000B7B2A"/>
    <w:rsid w:val="000C04C4"/>
    <w:rsid w:val="000C0635"/>
    <w:rsid w:val="000C0A02"/>
    <w:rsid w:val="000C0D26"/>
    <w:rsid w:val="000C207B"/>
    <w:rsid w:val="000C2146"/>
    <w:rsid w:val="000C2AC5"/>
    <w:rsid w:val="000C2D2E"/>
    <w:rsid w:val="000C2E5F"/>
    <w:rsid w:val="000C33B6"/>
    <w:rsid w:val="000C3E59"/>
    <w:rsid w:val="000C44EE"/>
    <w:rsid w:val="000C4B16"/>
    <w:rsid w:val="000C4C7F"/>
    <w:rsid w:val="000C4CA9"/>
    <w:rsid w:val="000C5143"/>
    <w:rsid w:val="000C52CF"/>
    <w:rsid w:val="000C5389"/>
    <w:rsid w:val="000C54E0"/>
    <w:rsid w:val="000C55B6"/>
    <w:rsid w:val="000C570C"/>
    <w:rsid w:val="000C5A0D"/>
    <w:rsid w:val="000C6599"/>
    <w:rsid w:val="000C6827"/>
    <w:rsid w:val="000C6FC0"/>
    <w:rsid w:val="000C767D"/>
    <w:rsid w:val="000C797B"/>
    <w:rsid w:val="000D0689"/>
    <w:rsid w:val="000D0E06"/>
    <w:rsid w:val="000D0F08"/>
    <w:rsid w:val="000D172C"/>
    <w:rsid w:val="000D177F"/>
    <w:rsid w:val="000D1BA4"/>
    <w:rsid w:val="000D1E0D"/>
    <w:rsid w:val="000D2321"/>
    <w:rsid w:val="000D257B"/>
    <w:rsid w:val="000D3500"/>
    <w:rsid w:val="000D3949"/>
    <w:rsid w:val="000D4122"/>
    <w:rsid w:val="000D4C1B"/>
    <w:rsid w:val="000D4DA2"/>
    <w:rsid w:val="000D50F8"/>
    <w:rsid w:val="000D5186"/>
    <w:rsid w:val="000D5808"/>
    <w:rsid w:val="000D67C2"/>
    <w:rsid w:val="000D6A10"/>
    <w:rsid w:val="000D6DEF"/>
    <w:rsid w:val="000D7992"/>
    <w:rsid w:val="000D7BBB"/>
    <w:rsid w:val="000E0118"/>
    <w:rsid w:val="000E07FD"/>
    <w:rsid w:val="000E0A71"/>
    <w:rsid w:val="000E0E0B"/>
    <w:rsid w:val="000E17FA"/>
    <w:rsid w:val="000E1A16"/>
    <w:rsid w:val="000E1B5F"/>
    <w:rsid w:val="000E1C44"/>
    <w:rsid w:val="000E1F25"/>
    <w:rsid w:val="000E1F2E"/>
    <w:rsid w:val="000E2935"/>
    <w:rsid w:val="000E3427"/>
    <w:rsid w:val="000E34AB"/>
    <w:rsid w:val="000E3916"/>
    <w:rsid w:val="000E3C54"/>
    <w:rsid w:val="000E41A9"/>
    <w:rsid w:val="000E41E2"/>
    <w:rsid w:val="000E4282"/>
    <w:rsid w:val="000E459D"/>
    <w:rsid w:val="000E4A73"/>
    <w:rsid w:val="000E55E8"/>
    <w:rsid w:val="000E59C7"/>
    <w:rsid w:val="000E5BA2"/>
    <w:rsid w:val="000E5BD7"/>
    <w:rsid w:val="000E66DD"/>
    <w:rsid w:val="000E674F"/>
    <w:rsid w:val="000E68A0"/>
    <w:rsid w:val="000E6A5B"/>
    <w:rsid w:val="000E6BE6"/>
    <w:rsid w:val="000E71DA"/>
    <w:rsid w:val="000E72B1"/>
    <w:rsid w:val="000E7779"/>
    <w:rsid w:val="000E7A1B"/>
    <w:rsid w:val="000F02F4"/>
    <w:rsid w:val="000F0F38"/>
    <w:rsid w:val="000F204F"/>
    <w:rsid w:val="000F241D"/>
    <w:rsid w:val="000F2727"/>
    <w:rsid w:val="000F3AB0"/>
    <w:rsid w:val="000F3DE6"/>
    <w:rsid w:val="000F3E65"/>
    <w:rsid w:val="000F3E80"/>
    <w:rsid w:val="000F41BF"/>
    <w:rsid w:val="000F4549"/>
    <w:rsid w:val="000F467F"/>
    <w:rsid w:val="000F4685"/>
    <w:rsid w:val="000F46AA"/>
    <w:rsid w:val="000F4712"/>
    <w:rsid w:val="000F4C10"/>
    <w:rsid w:val="000F4D0E"/>
    <w:rsid w:val="000F4D73"/>
    <w:rsid w:val="000F4E32"/>
    <w:rsid w:val="000F508B"/>
    <w:rsid w:val="000F5399"/>
    <w:rsid w:val="000F570D"/>
    <w:rsid w:val="000F5C6D"/>
    <w:rsid w:val="000F5E38"/>
    <w:rsid w:val="000F5E81"/>
    <w:rsid w:val="000F5F11"/>
    <w:rsid w:val="000F617B"/>
    <w:rsid w:val="000F663F"/>
    <w:rsid w:val="000F6E7B"/>
    <w:rsid w:val="000F6F7F"/>
    <w:rsid w:val="000F764D"/>
    <w:rsid w:val="000F79AF"/>
    <w:rsid w:val="000F7A7C"/>
    <w:rsid w:val="000F7CCA"/>
    <w:rsid w:val="000F7D78"/>
    <w:rsid w:val="000F7DA6"/>
    <w:rsid w:val="001008D0"/>
    <w:rsid w:val="001008F9"/>
    <w:rsid w:val="00100933"/>
    <w:rsid w:val="00100A46"/>
    <w:rsid w:val="00100C63"/>
    <w:rsid w:val="00100CE8"/>
    <w:rsid w:val="001011F2"/>
    <w:rsid w:val="001013D5"/>
    <w:rsid w:val="0010164B"/>
    <w:rsid w:val="00101D0C"/>
    <w:rsid w:val="00101E6E"/>
    <w:rsid w:val="00101EC9"/>
    <w:rsid w:val="001022A5"/>
    <w:rsid w:val="001022C7"/>
    <w:rsid w:val="0010246B"/>
    <w:rsid w:val="001027BC"/>
    <w:rsid w:val="001028B2"/>
    <w:rsid w:val="00102B39"/>
    <w:rsid w:val="00102F3F"/>
    <w:rsid w:val="00103D60"/>
    <w:rsid w:val="00103DA6"/>
    <w:rsid w:val="00103EB3"/>
    <w:rsid w:val="0010409E"/>
    <w:rsid w:val="00104262"/>
    <w:rsid w:val="001047D4"/>
    <w:rsid w:val="0010517C"/>
    <w:rsid w:val="00105541"/>
    <w:rsid w:val="001056FE"/>
    <w:rsid w:val="0010618B"/>
    <w:rsid w:val="001061BA"/>
    <w:rsid w:val="00106762"/>
    <w:rsid w:val="0010677D"/>
    <w:rsid w:val="00106CD4"/>
    <w:rsid w:val="00107231"/>
    <w:rsid w:val="00110780"/>
    <w:rsid w:val="001108FB"/>
    <w:rsid w:val="00110FB2"/>
    <w:rsid w:val="001110BC"/>
    <w:rsid w:val="00111F0A"/>
    <w:rsid w:val="00112AE8"/>
    <w:rsid w:val="00112C24"/>
    <w:rsid w:val="00112D49"/>
    <w:rsid w:val="00113545"/>
    <w:rsid w:val="001137BF"/>
    <w:rsid w:val="001137CA"/>
    <w:rsid w:val="00113C56"/>
    <w:rsid w:val="0011483B"/>
    <w:rsid w:val="00114900"/>
    <w:rsid w:val="00114C8F"/>
    <w:rsid w:val="00114C9E"/>
    <w:rsid w:val="00115225"/>
    <w:rsid w:val="0011537E"/>
    <w:rsid w:val="0011596C"/>
    <w:rsid w:val="00115B82"/>
    <w:rsid w:val="00115F87"/>
    <w:rsid w:val="001160D1"/>
    <w:rsid w:val="001166BD"/>
    <w:rsid w:val="001167AA"/>
    <w:rsid w:val="00116919"/>
    <w:rsid w:val="00116EC0"/>
    <w:rsid w:val="00117191"/>
    <w:rsid w:val="00117227"/>
    <w:rsid w:val="00117BB8"/>
    <w:rsid w:val="0012045E"/>
    <w:rsid w:val="00120C1A"/>
    <w:rsid w:val="00120CC4"/>
    <w:rsid w:val="00120DC2"/>
    <w:rsid w:val="00120E7B"/>
    <w:rsid w:val="00121841"/>
    <w:rsid w:val="0012186E"/>
    <w:rsid w:val="00121D1A"/>
    <w:rsid w:val="00121F0B"/>
    <w:rsid w:val="00122031"/>
    <w:rsid w:val="00122223"/>
    <w:rsid w:val="00122834"/>
    <w:rsid w:val="00122CDE"/>
    <w:rsid w:val="00122D31"/>
    <w:rsid w:val="00123099"/>
    <w:rsid w:val="00123306"/>
    <w:rsid w:val="001237EF"/>
    <w:rsid w:val="00123986"/>
    <w:rsid w:val="00123D7B"/>
    <w:rsid w:val="00124088"/>
    <w:rsid w:val="001245FD"/>
    <w:rsid w:val="00124C87"/>
    <w:rsid w:val="00124DEB"/>
    <w:rsid w:val="00124EEE"/>
    <w:rsid w:val="001254DC"/>
    <w:rsid w:val="0012578C"/>
    <w:rsid w:val="001258EE"/>
    <w:rsid w:val="001258F2"/>
    <w:rsid w:val="00125F2D"/>
    <w:rsid w:val="001260C9"/>
    <w:rsid w:val="001262D7"/>
    <w:rsid w:val="00126BCA"/>
    <w:rsid w:val="00127264"/>
    <w:rsid w:val="001272B5"/>
    <w:rsid w:val="00127313"/>
    <w:rsid w:val="001273FF"/>
    <w:rsid w:val="00127C53"/>
    <w:rsid w:val="00127CB8"/>
    <w:rsid w:val="00127CBB"/>
    <w:rsid w:val="00127FF0"/>
    <w:rsid w:val="00130209"/>
    <w:rsid w:val="00130608"/>
    <w:rsid w:val="00130A3F"/>
    <w:rsid w:val="00130B6A"/>
    <w:rsid w:val="00130CB2"/>
    <w:rsid w:val="00130D14"/>
    <w:rsid w:val="00130FC0"/>
    <w:rsid w:val="0013160B"/>
    <w:rsid w:val="00131670"/>
    <w:rsid w:val="00131AB7"/>
    <w:rsid w:val="00131ADD"/>
    <w:rsid w:val="0013213F"/>
    <w:rsid w:val="001322B8"/>
    <w:rsid w:val="001322D6"/>
    <w:rsid w:val="00132371"/>
    <w:rsid w:val="0013279A"/>
    <w:rsid w:val="0013288B"/>
    <w:rsid w:val="00132BF9"/>
    <w:rsid w:val="00133440"/>
    <w:rsid w:val="001335CB"/>
    <w:rsid w:val="001335EA"/>
    <w:rsid w:val="00133A50"/>
    <w:rsid w:val="00133A65"/>
    <w:rsid w:val="00133EE1"/>
    <w:rsid w:val="00134408"/>
    <w:rsid w:val="00134CF2"/>
    <w:rsid w:val="0013556A"/>
    <w:rsid w:val="0013581F"/>
    <w:rsid w:val="00135946"/>
    <w:rsid w:val="00135984"/>
    <w:rsid w:val="00135C5A"/>
    <w:rsid w:val="00135E7C"/>
    <w:rsid w:val="0013654F"/>
    <w:rsid w:val="00136A56"/>
    <w:rsid w:val="00136C33"/>
    <w:rsid w:val="00137288"/>
    <w:rsid w:val="00137318"/>
    <w:rsid w:val="00137F9E"/>
    <w:rsid w:val="0014005D"/>
    <w:rsid w:val="00140094"/>
    <w:rsid w:val="0014057A"/>
    <w:rsid w:val="00140C11"/>
    <w:rsid w:val="0014123B"/>
    <w:rsid w:val="00141335"/>
    <w:rsid w:val="00141569"/>
    <w:rsid w:val="001417BC"/>
    <w:rsid w:val="00141BB0"/>
    <w:rsid w:val="001424AC"/>
    <w:rsid w:val="0014266B"/>
    <w:rsid w:val="0014277B"/>
    <w:rsid w:val="00142791"/>
    <w:rsid w:val="00143150"/>
    <w:rsid w:val="001434E2"/>
    <w:rsid w:val="001439B5"/>
    <w:rsid w:val="00143F57"/>
    <w:rsid w:val="001441BE"/>
    <w:rsid w:val="0014421A"/>
    <w:rsid w:val="00144293"/>
    <w:rsid w:val="001442A3"/>
    <w:rsid w:val="0014450E"/>
    <w:rsid w:val="0014486D"/>
    <w:rsid w:val="0014492F"/>
    <w:rsid w:val="00144FA8"/>
    <w:rsid w:val="001451BA"/>
    <w:rsid w:val="00145565"/>
    <w:rsid w:val="00145D30"/>
    <w:rsid w:val="00146A7C"/>
    <w:rsid w:val="0014733A"/>
    <w:rsid w:val="00147403"/>
    <w:rsid w:val="00147967"/>
    <w:rsid w:val="00147FBA"/>
    <w:rsid w:val="001506BB"/>
    <w:rsid w:val="001508B6"/>
    <w:rsid w:val="00150D4D"/>
    <w:rsid w:val="001511A6"/>
    <w:rsid w:val="001511F6"/>
    <w:rsid w:val="001516BD"/>
    <w:rsid w:val="001519D7"/>
    <w:rsid w:val="00151DA0"/>
    <w:rsid w:val="0015204D"/>
    <w:rsid w:val="00152740"/>
    <w:rsid w:val="001536CD"/>
    <w:rsid w:val="001537CF"/>
    <w:rsid w:val="00153925"/>
    <w:rsid w:val="00153977"/>
    <w:rsid w:val="0015401D"/>
    <w:rsid w:val="00154062"/>
    <w:rsid w:val="001541FD"/>
    <w:rsid w:val="0015465D"/>
    <w:rsid w:val="001547A6"/>
    <w:rsid w:val="00154A04"/>
    <w:rsid w:val="00154C93"/>
    <w:rsid w:val="0015567F"/>
    <w:rsid w:val="001559B2"/>
    <w:rsid w:val="00155C9B"/>
    <w:rsid w:val="00155D06"/>
    <w:rsid w:val="00155D94"/>
    <w:rsid w:val="00155DF4"/>
    <w:rsid w:val="0015615E"/>
    <w:rsid w:val="00156281"/>
    <w:rsid w:val="001567A7"/>
    <w:rsid w:val="001568EC"/>
    <w:rsid w:val="00156937"/>
    <w:rsid w:val="00156D00"/>
    <w:rsid w:val="00156E4A"/>
    <w:rsid w:val="00157178"/>
    <w:rsid w:val="00157A6D"/>
    <w:rsid w:val="00157EB7"/>
    <w:rsid w:val="00160426"/>
    <w:rsid w:val="00160594"/>
    <w:rsid w:val="001609DE"/>
    <w:rsid w:val="00160D53"/>
    <w:rsid w:val="00161342"/>
    <w:rsid w:val="001615D5"/>
    <w:rsid w:val="0016192C"/>
    <w:rsid w:val="00162101"/>
    <w:rsid w:val="00162132"/>
    <w:rsid w:val="00162189"/>
    <w:rsid w:val="00162788"/>
    <w:rsid w:val="001627CD"/>
    <w:rsid w:val="00163389"/>
    <w:rsid w:val="00163484"/>
    <w:rsid w:val="00163767"/>
    <w:rsid w:val="00163A7B"/>
    <w:rsid w:val="00164227"/>
    <w:rsid w:val="00164AE2"/>
    <w:rsid w:val="00165E44"/>
    <w:rsid w:val="00166E9D"/>
    <w:rsid w:val="00166FB1"/>
    <w:rsid w:val="00167389"/>
    <w:rsid w:val="00167CF5"/>
    <w:rsid w:val="0017004C"/>
    <w:rsid w:val="001702C6"/>
    <w:rsid w:val="00170495"/>
    <w:rsid w:val="00170843"/>
    <w:rsid w:val="00170DF8"/>
    <w:rsid w:val="00170F02"/>
    <w:rsid w:val="001714A1"/>
    <w:rsid w:val="00171946"/>
    <w:rsid w:val="00171ED9"/>
    <w:rsid w:val="00172E4F"/>
    <w:rsid w:val="0017316E"/>
    <w:rsid w:val="0017353B"/>
    <w:rsid w:val="00173577"/>
    <w:rsid w:val="00173F37"/>
    <w:rsid w:val="001740DD"/>
    <w:rsid w:val="00174602"/>
    <w:rsid w:val="0017485C"/>
    <w:rsid w:val="00174F64"/>
    <w:rsid w:val="001750E5"/>
    <w:rsid w:val="0017556D"/>
    <w:rsid w:val="0017588B"/>
    <w:rsid w:val="00176C68"/>
    <w:rsid w:val="00176D28"/>
    <w:rsid w:val="00176E84"/>
    <w:rsid w:val="00177052"/>
    <w:rsid w:val="00177460"/>
    <w:rsid w:val="00177CF3"/>
    <w:rsid w:val="001804C5"/>
    <w:rsid w:val="001805DA"/>
    <w:rsid w:val="00180929"/>
    <w:rsid w:val="00180A15"/>
    <w:rsid w:val="00180BAC"/>
    <w:rsid w:val="00180ED2"/>
    <w:rsid w:val="001813F0"/>
    <w:rsid w:val="00181687"/>
    <w:rsid w:val="0018190D"/>
    <w:rsid w:val="00182560"/>
    <w:rsid w:val="00182563"/>
    <w:rsid w:val="0018265B"/>
    <w:rsid w:val="001826A8"/>
    <w:rsid w:val="001827A7"/>
    <w:rsid w:val="001831F4"/>
    <w:rsid w:val="00183313"/>
    <w:rsid w:val="00183D31"/>
    <w:rsid w:val="0018404A"/>
    <w:rsid w:val="001846C3"/>
    <w:rsid w:val="001849B2"/>
    <w:rsid w:val="00184C5B"/>
    <w:rsid w:val="00184EE4"/>
    <w:rsid w:val="0018500A"/>
    <w:rsid w:val="001850A5"/>
    <w:rsid w:val="001858B4"/>
    <w:rsid w:val="001859B5"/>
    <w:rsid w:val="001861AF"/>
    <w:rsid w:val="00186770"/>
    <w:rsid w:val="0018685E"/>
    <w:rsid w:val="00186A15"/>
    <w:rsid w:val="001870FB"/>
    <w:rsid w:val="0018717C"/>
    <w:rsid w:val="001871B0"/>
    <w:rsid w:val="001873AA"/>
    <w:rsid w:val="0018744B"/>
    <w:rsid w:val="00187496"/>
    <w:rsid w:val="001879A5"/>
    <w:rsid w:val="001903B1"/>
    <w:rsid w:val="00190897"/>
    <w:rsid w:val="00190BEF"/>
    <w:rsid w:val="00190D1B"/>
    <w:rsid w:val="00190E48"/>
    <w:rsid w:val="0019125F"/>
    <w:rsid w:val="001912D9"/>
    <w:rsid w:val="00191B23"/>
    <w:rsid w:val="00192075"/>
    <w:rsid w:val="00192429"/>
    <w:rsid w:val="00192447"/>
    <w:rsid w:val="001924DB"/>
    <w:rsid w:val="001927CA"/>
    <w:rsid w:val="00192984"/>
    <w:rsid w:val="00192C78"/>
    <w:rsid w:val="00192DD6"/>
    <w:rsid w:val="001936F6"/>
    <w:rsid w:val="00193826"/>
    <w:rsid w:val="00193837"/>
    <w:rsid w:val="001939FB"/>
    <w:rsid w:val="00193C9C"/>
    <w:rsid w:val="00193D82"/>
    <w:rsid w:val="00193DDE"/>
    <w:rsid w:val="00194136"/>
    <w:rsid w:val="001942A5"/>
    <w:rsid w:val="001945EC"/>
    <w:rsid w:val="001946B0"/>
    <w:rsid w:val="001947D2"/>
    <w:rsid w:val="001949BC"/>
    <w:rsid w:val="00194C45"/>
    <w:rsid w:val="0019542F"/>
    <w:rsid w:val="0019543B"/>
    <w:rsid w:val="00195A1C"/>
    <w:rsid w:val="00196167"/>
    <w:rsid w:val="001968AC"/>
    <w:rsid w:val="00196A7E"/>
    <w:rsid w:val="00196A9D"/>
    <w:rsid w:val="00196CDE"/>
    <w:rsid w:val="0019751B"/>
    <w:rsid w:val="001976D2"/>
    <w:rsid w:val="001978A4"/>
    <w:rsid w:val="001978CD"/>
    <w:rsid w:val="00197C0F"/>
    <w:rsid w:val="00197E04"/>
    <w:rsid w:val="001A0060"/>
    <w:rsid w:val="001A0467"/>
    <w:rsid w:val="001A0596"/>
    <w:rsid w:val="001A07C0"/>
    <w:rsid w:val="001A1072"/>
    <w:rsid w:val="001A12BA"/>
    <w:rsid w:val="001A14C4"/>
    <w:rsid w:val="001A163D"/>
    <w:rsid w:val="001A18F4"/>
    <w:rsid w:val="001A1A6B"/>
    <w:rsid w:val="001A1AEC"/>
    <w:rsid w:val="001A1B6A"/>
    <w:rsid w:val="001A26A8"/>
    <w:rsid w:val="001A26ED"/>
    <w:rsid w:val="001A28A1"/>
    <w:rsid w:val="001A2D0C"/>
    <w:rsid w:val="001A2E2D"/>
    <w:rsid w:val="001A2E9E"/>
    <w:rsid w:val="001A3394"/>
    <w:rsid w:val="001A33D6"/>
    <w:rsid w:val="001A3420"/>
    <w:rsid w:val="001A36F0"/>
    <w:rsid w:val="001A3782"/>
    <w:rsid w:val="001A39AB"/>
    <w:rsid w:val="001A40E2"/>
    <w:rsid w:val="001A43EF"/>
    <w:rsid w:val="001A47CB"/>
    <w:rsid w:val="001A4EAC"/>
    <w:rsid w:val="001A52FB"/>
    <w:rsid w:val="001A530C"/>
    <w:rsid w:val="001A5982"/>
    <w:rsid w:val="001A5D1C"/>
    <w:rsid w:val="001A5E05"/>
    <w:rsid w:val="001A6A0E"/>
    <w:rsid w:val="001A71B3"/>
    <w:rsid w:val="001A749F"/>
    <w:rsid w:val="001A77B1"/>
    <w:rsid w:val="001A78CA"/>
    <w:rsid w:val="001A7991"/>
    <w:rsid w:val="001B0591"/>
    <w:rsid w:val="001B1087"/>
    <w:rsid w:val="001B11ED"/>
    <w:rsid w:val="001B24D4"/>
    <w:rsid w:val="001B24FE"/>
    <w:rsid w:val="001B2731"/>
    <w:rsid w:val="001B2920"/>
    <w:rsid w:val="001B2F54"/>
    <w:rsid w:val="001B2FED"/>
    <w:rsid w:val="001B315C"/>
    <w:rsid w:val="001B31C7"/>
    <w:rsid w:val="001B31E8"/>
    <w:rsid w:val="001B3299"/>
    <w:rsid w:val="001B35ED"/>
    <w:rsid w:val="001B3C10"/>
    <w:rsid w:val="001B40AC"/>
    <w:rsid w:val="001B413B"/>
    <w:rsid w:val="001B4556"/>
    <w:rsid w:val="001B4823"/>
    <w:rsid w:val="001B49C0"/>
    <w:rsid w:val="001B4A3B"/>
    <w:rsid w:val="001B522B"/>
    <w:rsid w:val="001B52E6"/>
    <w:rsid w:val="001B5BD0"/>
    <w:rsid w:val="001B5E96"/>
    <w:rsid w:val="001B62EA"/>
    <w:rsid w:val="001B692E"/>
    <w:rsid w:val="001B6AA0"/>
    <w:rsid w:val="001B6C55"/>
    <w:rsid w:val="001B6F3C"/>
    <w:rsid w:val="001B7305"/>
    <w:rsid w:val="001B743F"/>
    <w:rsid w:val="001B78AB"/>
    <w:rsid w:val="001B7AC4"/>
    <w:rsid w:val="001B7DC8"/>
    <w:rsid w:val="001C0196"/>
    <w:rsid w:val="001C0475"/>
    <w:rsid w:val="001C07B7"/>
    <w:rsid w:val="001C0D66"/>
    <w:rsid w:val="001C129B"/>
    <w:rsid w:val="001C1BF8"/>
    <w:rsid w:val="001C1F45"/>
    <w:rsid w:val="001C2338"/>
    <w:rsid w:val="001C25C0"/>
    <w:rsid w:val="001C2CF8"/>
    <w:rsid w:val="001C303D"/>
    <w:rsid w:val="001C449F"/>
    <w:rsid w:val="001C4DF7"/>
    <w:rsid w:val="001C52C2"/>
    <w:rsid w:val="001C5611"/>
    <w:rsid w:val="001C5E45"/>
    <w:rsid w:val="001C5EC8"/>
    <w:rsid w:val="001C614C"/>
    <w:rsid w:val="001C6376"/>
    <w:rsid w:val="001C641B"/>
    <w:rsid w:val="001C6986"/>
    <w:rsid w:val="001C76D3"/>
    <w:rsid w:val="001C7A4B"/>
    <w:rsid w:val="001C7CC1"/>
    <w:rsid w:val="001C7DE2"/>
    <w:rsid w:val="001D0200"/>
    <w:rsid w:val="001D041E"/>
    <w:rsid w:val="001D07ED"/>
    <w:rsid w:val="001D08BC"/>
    <w:rsid w:val="001D0ACD"/>
    <w:rsid w:val="001D0BE4"/>
    <w:rsid w:val="001D0C11"/>
    <w:rsid w:val="001D0D35"/>
    <w:rsid w:val="001D1005"/>
    <w:rsid w:val="001D1032"/>
    <w:rsid w:val="001D14C3"/>
    <w:rsid w:val="001D15D9"/>
    <w:rsid w:val="001D19E4"/>
    <w:rsid w:val="001D1EE3"/>
    <w:rsid w:val="001D214F"/>
    <w:rsid w:val="001D2B5A"/>
    <w:rsid w:val="001D2D48"/>
    <w:rsid w:val="001D2FF2"/>
    <w:rsid w:val="001D3037"/>
    <w:rsid w:val="001D30B6"/>
    <w:rsid w:val="001D312F"/>
    <w:rsid w:val="001D331F"/>
    <w:rsid w:val="001D33C4"/>
    <w:rsid w:val="001D342B"/>
    <w:rsid w:val="001D347B"/>
    <w:rsid w:val="001D3908"/>
    <w:rsid w:val="001D39D6"/>
    <w:rsid w:val="001D40D9"/>
    <w:rsid w:val="001D411C"/>
    <w:rsid w:val="001D443F"/>
    <w:rsid w:val="001D4801"/>
    <w:rsid w:val="001D498D"/>
    <w:rsid w:val="001D4B08"/>
    <w:rsid w:val="001D4E20"/>
    <w:rsid w:val="001D539D"/>
    <w:rsid w:val="001D597D"/>
    <w:rsid w:val="001D5CA9"/>
    <w:rsid w:val="001D62A9"/>
    <w:rsid w:val="001D6358"/>
    <w:rsid w:val="001D6C58"/>
    <w:rsid w:val="001D718F"/>
    <w:rsid w:val="001D7388"/>
    <w:rsid w:val="001D73AD"/>
    <w:rsid w:val="001D792C"/>
    <w:rsid w:val="001D7B4C"/>
    <w:rsid w:val="001D7B90"/>
    <w:rsid w:val="001D7BF1"/>
    <w:rsid w:val="001D7E02"/>
    <w:rsid w:val="001D7FC9"/>
    <w:rsid w:val="001E0193"/>
    <w:rsid w:val="001E0861"/>
    <w:rsid w:val="001E09A1"/>
    <w:rsid w:val="001E0F87"/>
    <w:rsid w:val="001E1193"/>
    <w:rsid w:val="001E1EF8"/>
    <w:rsid w:val="001E2491"/>
    <w:rsid w:val="001E2510"/>
    <w:rsid w:val="001E3076"/>
    <w:rsid w:val="001E332B"/>
    <w:rsid w:val="001E350D"/>
    <w:rsid w:val="001E44A1"/>
    <w:rsid w:val="001E4C8A"/>
    <w:rsid w:val="001E4CF8"/>
    <w:rsid w:val="001E50E3"/>
    <w:rsid w:val="001E54CF"/>
    <w:rsid w:val="001E5C67"/>
    <w:rsid w:val="001E6111"/>
    <w:rsid w:val="001E65C5"/>
    <w:rsid w:val="001E6A3C"/>
    <w:rsid w:val="001E767C"/>
    <w:rsid w:val="001E7680"/>
    <w:rsid w:val="001E769C"/>
    <w:rsid w:val="001E7BEF"/>
    <w:rsid w:val="001E7EF5"/>
    <w:rsid w:val="001F04E4"/>
    <w:rsid w:val="001F0BB2"/>
    <w:rsid w:val="001F0D14"/>
    <w:rsid w:val="001F0E4F"/>
    <w:rsid w:val="001F0F56"/>
    <w:rsid w:val="001F1604"/>
    <w:rsid w:val="001F21E2"/>
    <w:rsid w:val="001F290F"/>
    <w:rsid w:val="001F2AA0"/>
    <w:rsid w:val="001F35A3"/>
    <w:rsid w:val="001F3C82"/>
    <w:rsid w:val="001F3D01"/>
    <w:rsid w:val="001F3F36"/>
    <w:rsid w:val="001F40B7"/>
    <w:rsid w:val="001F413A"/>
    <w:rsid w:val="001F46A2"/>
    <w:rsid w:val="001F49D1"/>
    <w:rsid w:val="001F4B84"/>
    <w:rsid w:val="001F4EAF"/>
    <w:rsid w:val="001F4F9A"/>
    <w:rsid w:val="001F520D"/>
    <w:rsid w:val="001F5396"/>
    <w:rsid w:val="001F54A0"/>
    <w:rsid w:val="001F5616"/>
    <w:rsid w:val="001F576F"/>
    <w:rsid w:val="001F57C9"/>
    <w:rsid w:val="001F5B22"/>
    <w:rsid w:val="001F6465"/>
    <w:rsid w:val="001F72F2"/>
    <w:rsid w:val="0020005F"/>
    <w:rsid w:val="00200188"/>
    <w:rsid w:val="002002A5"/>
    <w:rsid w:val="002006A0"/>
    <w:rsid w:val="002006E3"/>
    <w:rsid w:val="002007DB"/>
    <w:rsid w:val="002008B0"/>
    <w:rsid w:val="00200C9E"/>
    <w:rsid w:val="00200D0E"/>
    <w:rsid w:val="00201149"/>
    <w:rsid w:val="00201594"/>
    <w:rsid w:val="00201753"/>
    <w:rsid w:val="00201767"/>
    <w:rsid w:val="0020194A"/>
    <w:rsid w:val="00201EE6"/>
    <w:rsid w:val="002023B2"/>
    <w:rsid w:val="00203395"/>
    <w:rsid w:val="0020372C"/>
    <w:rsid w:val="00203973"/>
    <w:rsid w:val="00203C09"/>
    <w:rsid w:val="00203CDF"/>
    <w:rsid w:val="002041E0"/>
    <w:rsid w:val="00204599"/>
    <w:rsid w:val="00204663"/>
    <w:rsid w:val="00204D69"/>
    <w:rsid w:val="0020561C"/>
    <w:rsid w:val="00205695"/>
    <w:rsid w:val="002056C6"/>
    <w:rsid w:val="00206003"/>
    <w:rsid w:val="002061F1"/>
    <w:rsid w:val="00206C2A"/>
    <w:rsid w:val="00206ED9"/>
    <w:rsid w:val="002076F6"/>
    <w:rsid w:val="00207CDD"/>
    <w:rsid w:val="002103F9"/>
    <w:rsid w:val="002104F2"/>
    <w:rsid w:val="0021130D"/>
    <w:rsid w:val="00211C18"/>
    <w:rsid w:val="0021235A"/>
    <w:rsid w:val="002124F0"/>
    <w:rsid w:val="0021264E"/>
    <w:rsid w:val="00212686"/>
    <w:rsid w:val="002127ED"/>
    <w:rsid w:val="00212C67"/>
    <w:rsid w:val="002130A4"/>
    <w:rsid w:val="0021310D"/>
    <w:rsid w:val="0021398C"/>
    <w:rsid w:val="00213F92"/>
    <w:rsid w:val="00213FE8"/>
    <w:rsid w:val="00214313"/>
    <w:rsid w:val="00214B12"/>
    <w:rsid w:val="00214D36"/>
    <w:rsid w:val="00215019"/>
    <w:rsid w:val="002150BA"/>
    <w:rsid w:val="00215C8A"/>
    <w:rsid w:val="00215D5C"/>
    <w:rsid w:val="0021655A"/>
    <w:rsid w:val="00217244"/>
    <w:rsid w:val="00217A59"/>
    <w:rsid w:val="00217B71"/>
    <w:rsid w:val="00220019"/>
    <w:rsid w:val="00220497"/>
    <w:rsid w:val="002208C6"/>
    <w:rsid w:val="00220BC5"/>
    <w:rsid w:val="002211CE"/>
    <w:rsid w:val="00221522"/>
    <w:rsid w:val="00221C35"/>
    <w:rsid w:val="002224AD"/>
    <w:rsid w:val="002228BB"/>
    <w:rsid w:val="002228FD"/>
    <w:rsid w:val="00222C08"/>
    <w:rsid w:val="002230E2"/>
    <w:rsid w:val="002236D9"/>
    <w:rsid w:val="00223824"/>
    <w:rsid w:val="0022398F"/>
    <w:rsid w:val="00223B7D"/>
    <w:rsid w:val="00223E85"/>
    <w:rsid w:val="00224049"/>
    <w:rsid w:val="00224EE8"/>
    <w:rsid w:val="00224F34"/>
    <w:rsid w:val="002253A3"/>
    <w:rsid w:val="00225443"/>
    <w:rsid w:val="0022622A"/>
    <w:rsid w:val="002267D5"/>
    <w:rsid w:val="00226D5C"/>
    <w:rsid w:val="00226E67"/>
    <w:rsid w:val="00227454"/>
    <w:rsid w:val="0022748E"/>
    <w:rsid w:val="002274A7"/>
    <w:rsid w:val="00227C18"/>
    <w:rsid w:val="00227E76"/>
    <w:rsid w:val="00227FE2"/>
    <w:rsid w:val="002300FA"/>
    <w:rsid w:val="00230262"/>
    <w:rsid w:val="002302EA"/>
    <w:rsid w:val="00230378"/>
    <w:rsid w:val="00230C97"/>
    <w:rsid w:val="0023205A"/>
    <w:rsid w:val="00232509"/>
    <w:rsid w:val="002328EA"/>
    <w:rsid w:val="002330D8"/>
    <w:rsid w:val="00233505"/>
    <w:rsid w:val="002336D3"/>
    <w:rsid w:val="00233AFE"/>
    <w:rsid w:val="00233F8F"/>
    <w:rsid w:val="0023413E"/>
    <w:rsid w:val="00234537"/>
    <w:rsid w:val="00235253"/>
    <w:rsid w:val="00235790"/>
    <w:rsid w:val="0023606D"/>
    <w:rsid w:val="00236121"/>
    <w:rsid w:val="00236749"/>
    <w:rsid w:val="002368E0"/>
    <w:rsid w:val="00236F00"/>
    <w:rsid w:val="002373BB"/>
    <w:rsid w:val="0023741D"/>
    <w:rsid w:val="002401A3"/>
    <w:rsid w:val="0024028F"/>
    <w:rsid w:val="00240366"/>
    <w:rsid w:val="00240A63"/>
    <w:rsid w:val="00240B3C"/>
    <w:rsid w:val="002411F1"/>
    <w:rsid w:val="002412B8"/>
    <w:rsid w:val="0024135A"/>
    <w:rsid w:val="00241653"/>
    <w:rsid w:val="002418E9"/>
    <w:rsid w:val="00241D1A"/>
    <w:rsid w:val="0024211D"/>
    <w:rsid w:val="00242523"/>
    <w:rsid w:val="0024265A"/>
    <w:rsid w:val="00242B88"/>
    <w:rsid w:val="00243A6E"/>
    <w:rsid w:val="00243ACF"/>
    <w:rsid w:val="00243BD0"/>
    <w:rsid w:val="00243D94"/>
    <w:rsid w:val="00243DB0"/>
    <w:rsid w:val="00243F8C"/>
    <w:rsid w:val="002447DA"/>
    <w:rsid w:val="00244D64"/>
    <w:rsid w:val="00244EAC"/>
    <w:rsid w:val="002451A2"/>
    <w:rsid w:val="002451C8"/>
    <w:rsid w:val="00245213"/>
    <w:rsid w:val="00245705"/>
    <w:rsid w:val="00245D13"/>
    <w:rsid w:val="00246057"/>
    <w:rsid w:val="00246374"/>
    <w:rsid w:val="00246588"/>
    <w:rsid w:val="002466E5"/>
    <w:rsid w:val="00246C17"/>
    <w:rsid w:val="00247065"/>
    <w:rsid w:val="002474D3"/>
    <w:rsid w:val="00247AC3"/>
    <w:rsid w:val="00250106"/>
    <w:rsid w:val="002506DA"/>
    <w:rsid w:val="00250ADA"/>
    <w:rsid w:val="00250C49"/>
    <w:rsid w:val="00250D46"/>
    <w:rsid w:val="00250DD7"/>
    <w:rsid w:val="002512AF"/>
    <w:rsid w:val="002514DE"/>
    <w:rsid w:val="00251511"/>
    <w:rsid w:val="00251713"/>
    <w:rsid w:val="00251A95"/>
    <w:rsid w:val="00251D35"/>
    <w:rsid w:val="00251F26"/>
    <w:rsid w:val="00251F3D"/>
    <w:rsid w:val="00252404"/>
    <w:rsid w:val="00252715"/>
    <w:rsid w:val="00252A77"/>
    <w:rsid w:val="002540D1"/>
    <w:rsid w:val="00254BED"/>
    <w:rsid w:val="002551F8"/>
    <w:rsid w:val="0025540C"/>
    <w:rsid w:val="00255A04"/>
    <w:rsid w:val="00255D54"/>
    <w:rsid w:val="00255F95"/>
    <w:rsid w:val="0025616C"/>
    <w:rsid w:val="00256205"/>
    <w:rsid w:val="00256421"/>
    <w:rsid w:val="0025725D"/>
    <w:rsid w:val="00257450"/>
    <w:rsid w:val="002574E6"/>
    <w:rsid w:val="00257931"/>
    <w:rsid w:val="002579DE"/>
    <w:rsid w:val="0026012A"/>
    <w:rsid w:val="002608DA"/>
    <w:rsid w:val="00260CC6"/>
    <w:rsid w:val="00261A77"/>
    <w:rsid w:val="00261E5B"/>
    <w:rsid w:val="00261F57"/>
    <w:rsid w:val="0026248C"/>
    <w:rsid w:val="00262900"/>
    <w:rsid w:val="0026291A"/>
    <w:rsid w:val="00262B3B"/>
    <w:rsid w:val="00262BAE"/>
    <w:rsid w:val="00262C31"/>
    <w:rsid w:val="00262D9B"/>
    <w:rsid w:val="00262E16"/>
    <w:rsid w:val="00262FC5"/>
    <w:rsid w:val="0026316F"/>
    <w:rsid w:val="00263382"/>
    <w:rsid w:val="00263886"/>
    <w:rsid w:val="00263AE8"/>
    <w:rsid w:val="00263C5E"/>
    <w:rsid w:val="0026479F"/>
    <w:rsid w:val="002649B3"/>
    <w:rsid w:val="0026517A"/>
    <w:rsid w:val="00265724"/>
    <w:rsid w:val="00265FD9"/>
    <w:rsid w:val="002660AD"/>
    <w:rsid w:val="0026669B"/>
    <w:rsid w:val="00266BCD"/>
    <w:rsid w:val="00266BD7"/>
    <w:rsid w:val="00266D05"/>
    <w:rsid w:val="00267024"/>
    <w:rsid w:val="00267176"/>
    <w:rsid w:val="0026749B"/>
    <w:rsid w:val="00267659"/>
    <w:rsid w:val="002676D8"/>
    <w:rsid w:val="0026782E"/>
    <w:rsid w:val="00267E97"/>
    <w:rsid w:val="00270419"/>
    <w:rsid w:val="002713E4"/>
    <w:rsid w:val="00271911"/>
    <w:rsid w:val="00271AE8"/>
    <w:rsid w:val="00271FEB"/>
    <w:rsid w:val="00272071"/>
    <w:rsid w:val="00272E8E"/>
    <w:rsid w:val="00273115"/>
    <w:rsid w:val="002731D3"/>
    <w:rsid w:val="00273933"/>
    <w:rsid w:val="002739CE"/>
    <w:rsid w:val="00273A0F"/>
    <w:rsid w:val="002744A9"/>
    <w:rsid w:val="002746F2"/>
    <w:rsid w:val="00274865"/>
    <w:rsid w:val="00275035"/>
    <w:rsid w:val="002750A7"/>
    <w:rsid w:val="002750F9"/>
    <w:rsid w:val="00275378"/>
    <w:rsid w:val="00275916"/>
    <w:rsid w:val="002759C3"/>
    <w:rsid w:val="00275BA0"/>
    <w:rsid w:val="00275D97"/>
    <w:rsid w:val="00276051"/>
    <w:rsid w:val="0027611F"/>
    <w:rsid w:val="002765AD"/>
    <w:rsid w:val="00276B01"/>
    <w:rsid w:val="00276F7B"/>
    <w:rsid w:val="00276FBB"/>
    <w:rsid w:val="002771C4"/>
    <w:rsid w:val="0027788E"/>
    <w:rsid w:val="00277D0A"/>
    <w:rsid w:val="00277DD9"/>
    <w:rsid w:val="00280435"/>
    <w:rsid w:val="00280AF8"/>
    <w:rsid w:val="00280DF9"/>
    <w:rsid w:val="00281133"/>
    <w:rsid w:val="00281439"/>
    <w:rsid w:val="002815B1"/>
    <w:rsid w:val="002818FA"/>
    <w:rsid w:val="0028200F"/>
    <w:rsid w:val="002823C6"/>
    <w:rsid w:val="00282637"/>
    <w:rsid w:val="00282BAF"/>
    <w:rsid w:val="00282EB4"/>
    <w:rsid w:val="00283324"/>
    <w:rsid w:val="00283C97"/>
    <w:rsid w:val="00284376"/>
    <w:rsid w:val="0028493F"/>
    <w:rsid w:val="00285C31"/>
    <w:rsid w:val="0028634F"/>
    <w:rsid w:val="00286B14"/>
    <w:rsid w:val="00287BE3"/>
    <w:rsid w:val="00287D8D"/>
    <w:rsid w:val="00287D8E"/>
    <w:rsid w:val="00287E7E"/>
    <w:rsid w:val="00287FC7"/>
    <w:rsid w:val="002907C4"/>
    <w:rsid w:val="00290ADF"/>
    <w:rsid w:val="00290CC3"/>
    <w:rsid w:val="00291A1A"/>
    <w:rsid w:val="00291ABA"/>
    <w:rsid w:val="002920EA"/>
    <w:rsid w:val="002929EF"/>
    <w:rsid w:val="00292BB5"/>
    <w:rsid w:val="00292C88"/>
    <w:rsid w:val="00293187"/>
    <w:rsid w:val="00293207"/>
    <w:rsid w:val="00293469"/>
    <w:rsid w:val="002935E3"/>
    <w:rsid w:val="002938E9"/>
    <w:rsid w:val="00293B80"/>
    <w:rsid w:val="00293C1C"/>
    <w:rsid w:val="00293CF2"/>
    <w:rsid w:val="0029406A"/>
    <w:rsid w:val="0029406F"/>
    <w:rsid w:val="00294A11"/>
    <w:rsid w:val="00294B81"/>
    <w:rsid w:val="00294C7A"/>
    <w:rsid w:val="002952B0"/>
    <w:rsid w:val="00295400"/>
    <w:rsid w:val="0029548A"/>
    <w:rsid w:val="00295722"/>
    <w:rsid w:val="00295CED"/>
    <w:rsid w:val="00295EE1"/>
    <w:rsid w:val="00295EF2"/>
    <w:rsid w:val="002961D4"/>
    <w:rsid w:val="0029637D"/>
    <w:rsid w:val="002964E2"/>
    <w:rsid w:val="00296561"/>
    <w:rsid w:val="002967DA"/>
    <w:rsid w:val="00296973"/>
    <w:rsid w:val="00296B25"/>
    <w:rsid w:val="0029742B"/>
    <w:rsid w:val="0029785A"/>
    <w:rsid w:val="002A094A"/>
    <w:rsid w:val="002A17EA"/>
    <w:rsid w:val="002A204C"/>
    <w:rsid w:val="002A21C9"/>
    <w:rsid w:val="002A22ED"/>
    <w:rsid w:val="002A2387"/>
    <w:rsid w:val="002A24EC"/>
    <w:rsid w:val="002A2C15"/>
    <w:rsid w:val="002A30AF"/>
    <w:rsid w:val="002A3645"/>
    <w:rsid w:val="002A371F"/>
    <w:rsid w:val="002A3C77"/>
    <w:rsid w:val="002A41C5"/>
    <w:rsid w:val="002A45FE"/>
    <w:rsid w:val="002A4687"/>
    <w:rsid w:val="002A4C06"/>
    <w:rsid w:val="002A4C17"/>
    <w:rsid w:val="002A4F3B"/>
    <w:rsid w:val="002A4FA5"/>
    <w:rsid w:val="002A4FF8"/>
    <w:rsid w:val="002A554D"/>
    <w:rsid w:val="002A5DEC"/>
    <w:rsid w:val="002A5EBB"/>
    <w:rsid w:val="002A5EDD"/>
    <w:rsid w:val="002A600F"/>
    <w:rsid w:val="002A608C"/>
    <w:rsid w:val="002A633B"/>
    <w:rsid w:val="002A63FC"/>
    <w:rsid w:val="002A6590"/>
    <w:rsid w:val="002A7AFD"/>
    <w:rsid w:val="002B0002"/>
    <w:rsid w:val="002B08AC"/>
    <w:rsid w:val="002B0998"/>
    <w:rsid w:val="002B1631"/>
    <w:rsid w:val="002B2509"/>
    <w:rsid w:val="002B2721"/>
    <w:rsid w:val="002B3D7B"/>
    <w:rsid w:val="002B3E4D"/>
    <w:rsid w:val="002B3EF5"/>
    <w:rsid w:val="002B4039"/>
    <w:rsid w:val="002B44FA"/>
    <w:rsid w:val="002B46A5"/>
    <w:rsid w:val="002B46D9"/>
    <w:rsid w:val="002B472D"/>
    <w:rsid w:val="002B4E85"/>
    <w:rsid w:val="002B4F7D"/>
    <w:rsid w:val="002B549F"/>
    <w:rsid w:val="002B5AAE"/>
    <w:rsid w:val="002B5B40"/>
    <w:rsid w:val="002B5C91"/>
    <w:rsid w:val="002B5CE9"/>
    <w:rsid w:val="002B61C3"/>
    <w:rsid w:val="002B71E0"/>
    <w:rsid w:val="002B75CB"/>
    <w:rsid w:val="002B7736"/>
    <w:rsid w:val="002B7DD2"/>
    <w:rsid w:val="002C0383"/>
    <w:rsid w:val="002C0AA8"/>
    <w:rsid w:val="002C11E6"/>
    <w:rsid w:val="002C13BA"/>
    <w:rsid w:val="002C13C1"/>
    <w:rsid w:val="002C2279"/>
    <w:rsid w:val="002C23DB"/>
    <w:rsid w:val="002C315A"/>
    <w:rsid w:val="002C332B"/>
    <w:rsid w:val="002C3519"/>
    <w:rsid w:val="002C3636"/>
    <w:rsid w:val="002C36FE"/>
    <w:rsid w:val="002C3ADC"/>
    <w:rsid w:val="002C3B8E"/>
    <w:rsid w:val="002C3DD0"/>
    <w:rsid w:val="002C3F4C"/>
    <w:rsid w:val="002C513B"/>
    <w:rsid w:val="002C518C"/>
    <w:rsid w:val="002C5328"/>
    <w:rsid w:val="002C5347"/>
    <w:rsid w:val="002C5533"/>
    <w:rsid w:val="002C563A"/>
    <w:rsid w:val="002C581A"/>
    <w:rsid w:val="002C5935"/>
    <w:rsid w:val="002C5952"/>
    <w:rsid w:val="002C5C49"/>
    <w:rsid w:val="002C5F49"/>
    <w:rsid w:val="002C62AD"/>
    <w:rsid w:val="002C64A5"/>
    <w:rsid w:val="002C722C"/>
    <w:rsid w:val="002C7BF5"/>
    <w:rsid w:val="002C7D1D"/>
    <w:rsid w:val="002D0497"/>
    <w:rsid w:val="002D054E"/>
    <w:rsid w:val="002D062C"/>
    <w:rsid w:val="002D07B8"/>
    <w:rsid w:val="002D0896"/>
    <w:rsid w:val="002D0B71"/>
    <w:rsid w:val="002D0BA4"/>
    <w:rsid w:val="002D1247"/>
    <w:rsid w:val="002D130C"/>
    <w:rsid w:val="002D1380"/>
    <w:rsid w:val="002D149B"/>
    <w:rsid w:val="002D14BD"/>
    <w:rsid w:val="002D1666"/>
    <w:rsid w:val="002D1FC3"/>
    <w:rsid w:val="002D34C8"/>
    <w:rsid w:val="002D3873"/>
    <w:rsid w:val="002D39D3"/>
    <w:rsid w:val="002D3C77"/>
    <w:rsid w:val="002D3CCD"/>
    <w:rsid w:val="002D3CD0"/>
    <w:rsid w:val="002D46FA"/>
    <w:rsid w:val="002D47ED"/>
    <w:rsid w:val="002D49C8"/>
    <w:rsid w:val="002D4EAF"/>
    <w:rsid w:val="002D53FF"/>
    <w:rsid w:val="002D55A7"/>
    <w:rsid w:val="002D63CE"/>
    <w:rsid w:val="002D6A97"/>
    <w:rsid w:val="002D6F3B"/>
    <w:rsid w:val="002D7268"/>
    <w:rsid w:val="002D744F"/>
    <w:rsid w:val="002D74C6"/>
    <w:rsid w:val="002D7D35"/>
    <w:rsid w:val="002D7D5C"/>
    <w:rsid w:val="002D7F85"/>
    <w:rsid w:val="002E0152"/>
    <w:rsid w:val="002E07BA"/>
    <w:rsid w:val="002E0AE0"/>
    <w:rsid w:val="002E0D39"/>
    <w:rsid w:val="002E0FAB"/>
    <w:rsid w:val="002E1652"/>
    <w:rsid w:val="002E190F"/>
    <w:rsid w:val="002E1C95"/>
    <w:rsid w:val="002E204C"/>
    <w:rsid w:val="002E207C"/>
    <w:rsid w:val="002E2410"/>
    <w:rsid w:val="002E25FF"/>
    <w:rsid w:val="002E2C0B"/>
    <w:rsid w:val="002E2E79"/>
    <w:rsid w:val="002E4264"/>
    <w:rsid w:val="002E49AD"/>
    <w:rsid w:val="002E5151"/>
    <w:rsid w:val="002E549A"/>
    <w:rsid w:val="002E5AE9"/>
    <w:rsid w:val="002E5B74"/>
    <w:rsid w:val="002E5BBD"/>
    <w:rsid w:val="002E5F73"/>
    <w:rsid w:val="002E62C3"/>
    <w:rsid w:val="002E64D6"/>
    <w:rsid w:val="002E6604"/>
    <w:rsid w:val="002E6A66"/>
    <w:rsid w:val="002E6B42"/>
    <w:rsid w:val="002E6C46"/>
    <w:rsid w:val="002E7213"/>
    <w:rsid w:val="002E7499"/>
    <w:rsid w:val="002E7761"/>
    <w:rsid w:val="002E7C68"/>
    <w:rsid w:val="002E7EB6"/>
    <w:rsid w:val="002F064F"/>
    <w:rsid w:val="002F0751"/>
    <w:rsid w:val="002F10B8"/>
    <w:rsid w:val="002F1105"/>
    <w:rsid w:val="002F1219"/>
    <w:rsid w:val="002F1221"/>
    <w:rsid w:val="002F1590"/>
    <w:rsid w:val="002F1C46"/>
    <w:rsid w:val="002F2651"/>
    <w:rsid w:val="002F2689"/>
    <w:rsid w:val="002F2C93"/>
    <w:rsid w:val="002F2EB3"/>
    <w:rsid w:val="002F386A"/>
    <w:rsid w:val="002F3A8F"/>
    <w:rsid w:val="002F40AB"/>
    <w:rsid w:val="002F40D5"/>
    <w:rsid w:val="002F410C"/>
    <w:rsid w:val="002F41BA"/>
    <w:rsid w:val="002F474D"/>
    <w:rsid w:val="002F5DEC"/>
    <w:rsid w:val="002F6503"/>
    <w:rsid w:val="002F6537"/>
    <w:rsid w:val="002F670F"/>
    <w:rsid w:val="002F6904"/>
    <w:rsid w:val="002F6942"/>
    <w:rsid w:val="002F6A0F"/>
    <w:rsid w:val="002F6A87"/>
    <w:rsid w:val="002F6B7C"/>
    <w:rsid w:val="002F6D31"/>
    <w:rsid w:val="002F7488"/>
    <w:rsid w:val="002F7490"/>
    <w:rsid w:val="00300633"/>
    <w:rsid w:val="00300B38"/>
    <w:rsid w:val="00300D07"/>
    <w:rsid w:val="003011DC"/>
    <w:rsid w:val="0030144D"/>
    <w:rsid w:val="00301F32"/>
    <w:rsid w:val="00302001"/>
    <w:rsid w:val="00302050"/>
    <w:rsid w:val="003022E3"/>
    <w:rsid w:val="00302381"/>
    <w:rsid w:val="00302515"/>
    <w:rsid w:val="003025BB"/>
    <w:rsid w:val="0030264F"/>
    <w:rsid w:val="0030281D"/>
    <w:rsid w:val="00302EC3"/>
    <w:rsid w:val="003030CD"/>
    <w:rsid w:val="003033B3"/>
    <w:rsid w:val="00303827"/>
    <w:rsid w:val="00303AC9"/>
    <w:rsid w:val="0030408B"/>
    <w:rsid w:val="003049DC"/>
    <w:rsid w:val="00304BCA"/>
    <w:rsid w:val="00304C8F"/>
    <w:rsid w:val="00304CE1"/>
    <w:rsid w:val="0030537F"/>
    <w:rsid w:val="00305850"/>
    <w:rsid w:val="00305E30"/>
    <w:rsid w:val="00305F0A"/>
    <w:rsid w:val="003061D6"/>
    <w:rsid w:val="003065B6"/>
    <w:rsid w:val="0030673F"/>
    <w:rsid w:val="00306A68"/>
    <w:rsid w:val="00306CEA"/>
    <w:rsid w:val="00306DB0"/>
    <w:rsid w:val="00306DFC"/>
    <w:rsid w:val="003074D1"/>
    <w:rsid w:val="00307507"/>
    <w:rsid w:val="0030751E"/>
    <w:rsid w:val="0030788F"/>
    <w:rsid w:val="00307E40"/>
    <w:rsid w:val="00310109"/>
    <w:rsid w:val="003102B0"/>
    <w:rsid w:val="003103A4"/>
    <w:rsid w:val="003105CD"/>
    <w:rsid w:val="003105DD"/>
    <w:rsid w:val="00310630"/>
    <w:rsid w:val="0031078C"/>
    <w:rsid w:val="00310826"/>
    <w:rsid w:val="00310A80"/>
    <w:rsid w:val="003111BD"/>
    <w:rsid w:val="0031161C"/>
    <w:rsid w:val="00311B98"/>
    <w:rsid w:val="00311CC3"/>
    <w:rsid w:val="003121B9"/>
    <w:rsid w:val="00312569"/>
    <w:rsid w:val="00312F45"/>
    <w:rsid w:val="003131ED"/>
    <w:rsid w:val="0031328F"/>
    <w:rsid w:val="00313C6C"/>
    <w:rsid w:val="00313EC8"/>
    <w:rsid w:val="00313FFA"/>
    <w:rsid w:val="00314660"/>
    <w:rsid w:val="0031531B"/>
    <w:rsid w:val="0031550B"/>
    <w:rsid w:val="00315531"/>
    <w:rsid w:val="003155A8"/>
    <w:rsid w:val="003155F7"/>
    <w:rsid w:val="003155FC"/>
    <w:rsid w:val="00315AE9"/>
    <w:rsid w:val="00315D12"/>
    <w:rsid w:val="0031669A"/>
    <w:rsid w:val="00316985"/>
    <w:rsid w:val="00317B33"/>
    <w:rsid w:val="00317E3D"/>
    <w:rsid w:val="00317E57"/>
    <w:rsid w:val="00320785"/>
    <w:rsid w:val="00321D27"/>
    <w:rsid w:val="00322173"/>
    <w:rsid w:val="003224C6"/>
    <w:rsid w:val="00322531"/>
    <w:rsid w:val="003229B8"/>
    <w:rsid w:val="00322C3A"/>
    <w:rsid w:val="00323086"/>
    <w:rsid w:val="00323FA9"/>
    <w:rsid w:val="003241A9"/>
    <w:rsid w:val="00324438"/>
    <w:rsid w:val="00324488"/>
    <w:rsid w:val="00324851"/>
    <w:rsid w:val="00324F0F"/>
    <w:rsid w:val="00325284"/>
    <w:rsid w:val="0032563B"/>
    <w:rsid w:val="00325CC2"/>
    <w:rsid w:val="00325E35"/>
    <w:rsid w:val="00325F09"/>
    <w:rsid w:val="00326869"/>
    <w:rsid w:val="00326B97"/>
    <w:rsid w:val="00326F45"/>
    <w:rsid w:val="003276E3"/>
    <w:rsid w:val="00327A5C"/>
    <w:rsid w:val="00327E8F"/>
    <w:rsid w:val="00327F76"/>
    <w:rsid w:val="003304F3"/>
    <w:rsid w:val="00330908"/>
    <w:rsid w:val="0033126F"/>
    <w:rsid w:val="0033176E"/>
    <w:rsid w:val="00331BD0"/>
    <w:rsid w:val="003320CE"/>
    <w:rsid w:val="003320D9"/>
    <w:rsid w:val="003325F0"/>
    <w:rsid w:val="00332662"/>
    <w:rsid w:val="003327B2"/>
    <w:rsid w:val="003328CD"/>
    <w:rsid w:val="00332946"/>
    <w:rsid w:val="00332F2D"/>
    <w:rsid w:val="00333673"/>
    <w:rsid w:val="00333851"/>
    <w:rsid w:val="003338B8"/>
    <w:rsid w:val="00333978"/>
    <w:rsid w:val="00333CD4"/>
    <w:rsid w:val="00334019"/>
    <w:rsid w:val="003340B1"/>
    <w:rsid w:val="003345AB"/>
    <w:rsid w:val="0033490B"/>
    <w:rsid w:val="003349FA"/>
    <w:rsid w:val="00334B10"/>
    <w:rsid w:val="00334D8A"/>
    <w:rsid w:val="0033513B"/>
    <w:rsid w:val="00335173"/>
    <w:rsid w:val="003351F2"/>
    <w:rsid w:val="00335CEB"/>
    <w:rsid w:val="00335E78"/>
    <w:rsid w:val="0033640C"/>
    <w:rsid w:val="003365D5"/>
    <w:rsid w:val="00336801"/>
    <w:rsid w:val="00336868"/>
    <w:rsid w:val="00336A1D"/>
    <w:rsid w:val="00336DEB"/>
    <w:rsid w:val="00336F10"/>
    <w:rsid w:val="00337148"/>
    <w:rsid w:val="003371FD"/>
    <w:rsid w:val="00340421"/>
    <w:rsid w:val="00340569"/>
    <w:rsid w:val="00340831"/>
    <w:rsid w:val="003408C3"/>
    <w:rsid w:val="003409F7"/>
    <w:rsid w:val="00340A80"/>
    <w:rsid w:val="00340B47"/>
    <w:rsid w:val="00340CF8"/>
    <w:rsid w:val="00341055"/>
    <w:rsid w:val="0034133E"/>
    <w:rsid w:val="00341765"/>
    <w:rsid w:val="003418BF"/>
    <w:rsid w:val="00341B0A"/>
    <w:rsid w:val="00342F6C"/>
    <w:rsid w:val="003435D5"/>
    <w:rsid w:val="003437A0"/>
    <w:rsid w:val="0034384B"/>
    <w:rsid w:val="0034396E"/>
    <w:rsid w:val="003439B2"/>
    <w:rsid w:val="00343ADC"/>
    <w:rsid w:val="00344289"/>
    <w:rsid w:val="00344962"/>
    <w:rsid w:val="003449F1"/>
    <w:rsid w:val="00344AAF"/>
    <w:rsid w:val="003451D4"/>
    <w:rsid w:val="00345422"/>
    <w:rsid w:val="00345F63"/>
    <w:rsid w:val="00346164"/>
    <w:rsid w:val="003461E5"/>
    <w:rsid w:val="00346203"/>
    <w:rsid w:val="003465A9"/>
    <w:rsid w:val="00346734"/>
    <w:rsid w:val="0034673D"/>
    <w:rsid w:val="00346986"/>
    <w:rsid w:val="00346CD8"/>
    <w:rsid w:val="00350234"/>
    <w:rsid w:val="0035057C"/>
    <w:rsid w:val="003509BE"/>
    <w:rsid w:val="00350B97"/>
    <w:rsid w:val="00350CA5"/>
    <w:rsid w:val="00350DFD"/>
    <w:rsid w:val="003512CC"/>
    <w:rsid w:val="0035156A"/>
    <w:rsid w:val="003515E2"/>
    <w:rsid w:val="0035191A"/>
    <w:rsid w:val="00351D10"/>
    <w:rsid w:val="00352192"/>
    <w:rsid w:val="003522AF"/>
    <w:rsid w:val="00352609"/>
    <w:rsid w:val="003526F6"/>
    <w:rsid w:val="00352FD0"/>
    <w:rsid w:val="0035385D"/>
    <w:rsid w:val="003538CC"/>
    <w:rsid w:val="0035390C"/>
    <w:rsid w:val="003539AF"/>
    <w:rsid w:val="0035436A"/>
    <w:rsid w:val="00354372"/>
    <w:rsid w:val="00354528"/>
    <w:rsid w:val="0035459A"/>
    <w:rsid w:val="00354617"/>
    <w:rsid w:val="003548B2"/>
    <w:rsid w:val="00354C4F"/>
    <w:rsid w:val="00355758"/>
    <w:rsid w:val="00355E09"/>
    <w:rsid w:val="0035617D"/>
    <w:rsid w:val="003565A9"/>
    <w:rsid w:val="00356769"/>
    <w:rsid w:val="00356ADE"/>
    <w:rsid w:val="00356D4D"/>
    <w:rsid w:val="00356E6D"/>
    <w:rsid w:val="00356E86"/>
    <w:rsid w:val="003570E1"/>
    <w:rsid w:val="0035721C"/>
    <w:rsid w:val="003573B8"/>
    <w:rsid w:val="00357659"/>
    <w:rsid w:val="0035771A"/>
    <w:rsid w:val="0035772A"/>
    <w:rsid w:val="00357C39"/>
    <w:rsid w:val="003600CB"/>
    <w:rsid w:val="00360269"/>
    <w:rsid w:val="00360815"/>
    <w:rsid w:val="00360869"/>
    <w:rsid w:val="00360964"/>
    <w:rsid w:val="00360ABB"/>
    <w:rsid w:val="00360BBA"/>
    <w:rsid w:val="003618A2"/>
    <w:rsid w:val="003618C0"/>
    <w:rsid w:val="00361C5E"/>
    <w:rsid w:val="00361F09"/>
    <w:rsid w:val="0036230E"/>
    <w:rsid w:val="0036269E"/>
    <w:rsid w:val="0036284C"/>
    <w:rsid w:val="00362D74"/>
    <w:rsid w:val="00362FE8"/>
    <w:rsid w:val="00363097"/>
    <w:rsid w:val="00363761"/>
    <w:rsid w:val="0036381A"/>
    <w:rsid w:val="00363D81"/>
    <w:rsid w:val="00364286"/>
    <w:rsid w:val="0036470F"/>
    <w:rsid w:val="003649B2"/>
    <w:rsid w:val="0036528F"/>
    <w:rsid w:val="003654D3"/>
    <w:rsid w:val="00365900"/>
    <w:rsid w:val="00365FD8"/>
    <w:rsid w:val="00366770"/>
    <w:rsid w:val="003667C6"/>
    <w:rsid w:val="003675D8"/>
    <w:rsid w:val="00367817"/>
    <w:rsid w:val="00367EB3"/>
    <w:rsid w:val="0037018E"/>
    <w:rsid w:val="00370799"/>
    <w:rsid w:val="003709C5"/>
    <w:rsid w:val="00370D4F"/>
    <w:rsid w:val="00370E9D"/>
    <w:rsid w:val="003715D9"/>
    <w:rsid w:val="003718C4"/>
    <w:rsid w:val="00371B80"/>
    <w:rsid w:val="00371C97"/>
    <w:rsid w:val="00371E0B"/>
    <w:rsid w:val="00371FCF"/>
    <w:rsid w:val="00372200"/>
    <w:rsid w:val="003724BD"/>
    <w:rsid w:val="00372773"/>
    <w:rsid w:val="003727AC"/>
    <w:rsid w:val="00372E6B"/>
    <w:rsid w:val="00372EEB"/>
    <w:rsid w:val="00373070"/>
    <w:rsid w:val="0037340E"/>
    <w:rsid w:val="003734D2"/>
    <w:rsid w:val="0037362C"/>
    <w:rsid w:val="0037379C"/>
    <w:rsid w:val="00373F39"/>
    <w:rsid w:val="00374094"/>
    <w:rsid w:val="0037466E"/>
    <w:rsid w:val="003746EC"/>
    <w:rsid w:val="00374DBF"/>
    <w:rsid w:val="00375D63"/>
    <w:rsid w:val="00375F13"/>
    <w:rsid w:val="0037601D"/>
    <w:rsid w:val="0037629C"/>
    <w:rsid w:val="00376AB3"/>
    <w:rsid w:val="00376E69"/>
    <w:rsid w:val="00376EB0"/>
    <w:rsid w:val="00377013"/>
    <w:rsid w:val="00377269"/>
    <w:rsid w:val="0037761D"/>
    <w:rsid w:val="003777FC"/>
    <w:rsid w:val="003778F6"/>
    <w:rsid w:val="003804F0"/>
    <w:rsid w:val="0038058D"/>
    <w:rsid w:val="003805C5"/>
    <w:rsid w:val="0038085B"/>
    <w:rsid w:val="0038125D"/>
    <w:rsid w:val="00381454"/>
    <w:rsid w:val="00381702"/>
    <w:rsid w:val="00381C92"/>
    <w:rsid w:val="00382D87"/>
    <w:rsid w:val="00382E66"/>
    <w:rsid w:val="00383844"/>
    <w:rsid w:val="00383944"/>
    <w:rsid w:val="00383BBC"/>
    <w:rsid w:val="00383D78"/>
    <w:rsid w:val="00384063"/>
    <w:rsid w:val="003847AB"/>
    <w:rsid w:val="00384A7A"/>
    <w:rsid w:val="00384A9E"/>
    <w:rsid w:val="00384B1D"/>
    <w:rsid w:val="00384CFB"/>
    <w:rsid w:val="003850C2"/>
    <w:rsid w:val="0038521A"/>
    <w:rsid w:val="00385354"/>
    <w:rsid w:val="003855BB"/>
    <w:rsid w:val="003859B5"/>
    <w:rsid w:val="00385BB1"/>
    <w:rsid w:val="00385BC9"/>
    <w:rsid w:val="0038629F"/>
    <w:rsid w:val="00386557"/>
    <w:rsid w:val="00386D86"/>
    <w:rsid w:val="00386F10"/>
    <w:rsid w:val="0038700E"/>
    <w:rsid w:val="00387807"/>
    <w:rsid w:val="00387E6D"/>
    <w:rsid w:val="00390052"/>
    <w:rsid w:val="003901FF"/>
    <w:rsid w:val="00390ACD"/>
    <w:rsid w:val="00390BF3"/>
    <w:rsid w:val="00391371"/>
    <w:rsid w:val="00391391"/>
    <w:rsid w:val="003913BF"/>
    <w:rsid w:val="0039148B"/>
    <w:rsid w:val="0039177F"/>
    <w:rsid w:val="00391A9C"/>
    <w:rsid w:val="00391E09"/>
    <w:rsid w:val="00391EE9"/>
    <w:rsid w:val="0039285B"/>
    <w:rsid w:val="00392B18"/>
    <w:rsid w:val="00392D00"/>
    <w:rsid w:val="00393056"/>
    <w:rsid w:val="00393063"/>
    <w:rsid w:val="00393203"/>
    <w:rsid w:val="003935F5"/>
    <w:rsid w:val="0039387A"/>
    <w:rsid w:val="0039461B"/>
    <w:rsid w:val="00394E6B"/>
    <w:rsid w:val="0039532D"/>
    <w:rsid w:val="003955DD"/>
    <w:rsid w:val="00395A83"/>
    <w:rsid w:val="00395AE5"/>
    <w:rsid w:val="00395CB0"/>
    <w:rsid w:val="00395F1D"/>
    <w:rsid w:val="003963E0"/>
    <w:rsid w:val="00397284"/>
    <w:rsid w:val="003972ED"/>
    <w:rsid w:val="003973BD"/>
    <w:rsid w:val="0039749E"/>
    <w:rsid w:val="003975B9"/>
    <w:rsid w:val="00397682"/>
    <w:rsid w:val="00397B58"/>
    <w:rsid w:val="00397D5E"/>
    <w:rsid w:val="003A022D"/>
    <w:rsid w:val="003A0426"/>
    <w:rsid w:val="003A0827"/>
    <w:rsid w:val="003A0EB5"/>
    <w:rsid w:val="003A1244"/>
    <w:rsid w:val="003A1419"/>
    <w:rsid w:val="003A17EA"/>
    <w:rsid w:val="003A1B0D"/>
    <w:rsid w:val="003A1B13"/>
    <w:rsid w:val="003A1E58"/>
    <w:rsid w:val="003A1F8C"/>
    <w:rsid w:val="003A2107"/>
    <w:rsid w:val="003A24D0"/>
    <w:rsid w:val="003A2674"/>
    <w:rsid w:val="003A2E94"/>
    <w:rsid w:val="003A2EE6"/>
    <w:rsid w:val="003A2EEC"/>
    <w:rsid w:val="003A2F7D"/>
    <w:rsid w:val="003A3041"/>
    <w:rsid w:val="003A34F1"/>
    <w:rsid w:val="003A37F2"/>
    <w:rsid w:val="003A3B42"/>
    <w:rsid w:val="003A3E7A"/>
    <w:rsid w:val="003A3F9C"/>
    <w:rsid w:val="003A412A"/>
    <w:rsid w:val="003A4354"/>
    <w:rsid w:val="003A4B03"/>
    <w:rsid w:val="003A4D97"/>
    <w:rsid w:val="003A54F8"/>
    <w:rsid w:val="003A5E21"/>
    <w:rsid w:val="003A6724"/>
    <w:rsid w:val="003A76D3"/>
    <w:rsid w:val="003A7720"/>
    <w:rsid w:val="003A78BB"/>
    <w:rsid w:val="003B00A9"/>
    <w:rsid w:val="003B044C"/>
    <w:rsid w:val="003B0D1E"/>
    <w:rsid w:val="003B153F"/>
    <w:rsid w:val="003B1894"/>
    <w:rsid w:val="003B1A4B"/>
    <w:rsid w:val="003B1B39"/>
    <w:rsid w:val="003B1C1B"/>
    <w:rsid w:val="003B22BB"/>
    <w:rsid w:val="003B2679"/>
    <w:rsid w:val="003B2A5D"/>
    <w:rsid w:val="003B2AE8"/>
    <w:rsid w:val="003B2FDE"/>
    <w:rsid w:val="003B3294"/>
    <w:rsid w:val="003B3AB0"/>
    <w:rsid w:val="003B3ED4"/>
    <w:rsid w:val="003B405F"/>
    <w:rsid w:val="003B48EE"/>
    <w:rsid w:val="003B4B9A"/>
    <w:rsid w:val="003B4C10"/>
    <w:rsid w:val="003B4CB0"/>
    <w:rsid w:val="003B5A2E"/>
    <w:rsid w:val="003B6797"/>
    <w:rsid w:val="003B6F47"/>
    <w:rsid w:val="003C03A6"/>
    <w:rsid w:val="003C0C19"/>
    <w:rsid w:val="003C0C6C"/>
    <w:rsid w:val="003C0FDF"/>
    <w:rsid w:val="003C1AFF"/>
    <w:rsid w:val="003C1BD9"/>
    <w:rsid w:val="003C1C5B"/>
    <w:rsid w:val="003C1CFB"/>
    <w:rsid w:val="003C1FB3"/>
    <w:rsid w:val="003C23E6"/>
    <w:rsid w:val="003C23EA"/>
    <w:rsid w:val="003C2600"/>
    <w:rsid w:val="003C269B"/>
    <w:rsid w:val="003C2B20"/>
    <w:rsid w:val="003C2F74"/>
    <w:rsid w:val="003C30B9"/>
    <w:rsid w:val="003C36A8"/>
    <w:rsid w:val="003C3787"/>
    <w:rsid w:val="003C3A1A"/>
    <w:rsid w:val="003C3A92"/>
    <w:rsid w:val="003C3D89"/>
    <w:rsid w:val="003C3EBE"/>
    <w:rsid w:val="003C422A"/>
    <w:rsid w:val="003C4625"/>
    <w:rsid w:val="003C4780"/>
    <w:rsid w:val="003C508C"/>
    <w:rsid w:val="003C59FF"/>
    <w:rsid w:val="003C5C40"/>
    <w:rsid w:val="003C5E59"/>
    <w:rsid w:val="003C639D"/>
    <w:rsid w:val="003C6402"/>
    <w:rsid w:val="003C66B6"/>
    <w:rsid w:val="003C73B7"/>
    <w:rsid w:val="003C7EFE"/>
    <w:rsid w:val="003D05DC"/>
    <w:rsid w:val="003D0654"/>
    <w:rsid w:val="003D0C79"/>
    <w:rsid w:val="003D0D71"/>
    <w:rsid w:val="003D1330"/>
    <w:rsid w:val="003D13F3"/>
    <w:rsid w:val="003D251B"/>
    <w:rsid w:val="003D2CC6"/>
    <w:rsid w:val="003D2DDB"/>
    <w:rsid w:val="003D2E43"/>
    <w:rsid w:val="003D3033"/>
    <w:rsid w:val="003D3216"/>
    <w:rsid w:val="003D3415"/>
    <w:rsid w:val="003D3863"/>
    <w:rsid w:val="003D38E9"/>
    <w:rsid w:val="003D3CA0"/>
    <w:rsid w:val="003D3CB7"/>
    <w:rsid w:val="003D3EEC"/>
    <w:rsid w:val="003D4649"/>
    <w:rsid w:val="003D4FD5"/>
    <w:rsid w:val="003D517B"/>
    <w:rsid w:val="003D54FA"/>
    <w:rsid w:val="003D5C80"/>
    <w:rsid w:val="003D5CF1"/>
    <w:rsid w:val="003D5FD4"/>
    <w:rsid w:val="003D6F1C"/>
    <w:rsid w:val="003D7066"/>
    <w:rsid w:val="003D740B"/>
    <w:rsid w:val="003D77D5"/>
    <w:rsid w:val="003D7B09"/>
    <w:rsid w:val="003D7BFB"/>
    <w:rsid w:val="003D7D5D"/>
    <w:rsid w:val="003DC8D5"/>
    <w:rsid w:val="003E0199"/>
    <w:rsid w:val="003E04EF"/>
    <w:rsid w:val="003E1289"/>
    <w:rsid w:val="003E1486"/>
    <w:rsid w:val="003E1638"/>
    <w:rsid w:val="003E1C81"/>
    <w:rsid w:val="003E1DB9"/>
    <w:rsid w:val="003E1F7A"/>
    <w:rsid w:val="003E2313"/>
    <w:rsid w:val="003E2412"/>
    <w:rsid w:val="003E2528"/>
    <w:rsid w:val="003E2C52"/>
    <w:rsid w:val="003E2FE0"/>
    <w:rsid w:val="003E3716"/>
    <w:rsid w:val="003E39B2"/>
    <w:rsid w:val="003E3DB6"/>
    <w:rsid w:val="003E3F01"/>
    <w:rsid w:val="003E4BC6"/>
    <w:rsid w:val="003E4DD5"/>
    <w:rsid w:val="003E5050"/>
    <w:rsid w:val="003E537C"/>
    <w:rsid w:val="003E61F0"/>
    <w:rsid w:val="003E6327"/>
    <w:rsid w:val="003E6505"/>
    <w:rsid w:val="003E6564"/>
    <w:rsid w:val="003E782D"/>
    <w:rsid w:val="003E7B19"/>
    <w:rsid w:val="003F031A"/>
    <w:rsid w:val="003F03C8"/>
    <w:rsid w:val="003F0681"/>
    <w:rsid w:val="003F06F9"/>
    <w:rsid w:val="003F0788"/>
    <w:rsid w:val="003F0FDF"/>
    <w:rsid w:val="003F1563"/>
    <w:rsid w:val="003F1768"/>
    <w:rsid w:val="003F17A4"/>
    <w:rsid w:val="003F1C01"/>
    <w:rsid w:val="003F1C0C"/>
    <w:rsid w:val="003F1DDA"/>
    <w:rsid w:val="003F2173"/>
    <w:rsid w:val="003F219E"/>
    <w:rsid w:val="003F2710"/>
    <w:rsid w:val="003F2834"/>
    <w:rsid w:val="003F2A77"/>
    <w:rsid w:val="003F2CEB"/>
    <w:rsid w:val="003F2D37"/>
    <w:rsid w:val="003F3119"/>
    <w:rsid w:val="003F36D9"/>
    <w:rsid w:val="003F412A"/>
    <w:rsid w:val="003F4264"/>
    <w:rsid w:val="003F44E3"/>
    <w:rsid w:val="003F483F"/>
    <w:rsid w:val="003F49EE"/>
    <w:rsid w:val="003F4CDA"/>
    <w:rsid w:val="003F4D2F"/>
    <w:rsid w:val="003F51F7"/>
    <w:rsid w:val="003F5BB3"/>
    <w:rsid w:val="003F5FB2"/>
    <w:rsid w:val="003F5FE8"/>
    <w:rsid w:val="003F61C9"/>
    <w:rsid w:val="003F61D8"/>
    <w:rsid w:val="003F6931"/>
    <w:rsid w:val="003F6A49"/>
    <w:rsid w:val="003F6C66"/>
    <w:rsid w:val="003F6EA8"/>
    <w:rsid w:val="003F706E"/>
    <w:rsid w:val="003F7199"/>
    <w:rsid w:val="003F7857"/>
    <w:rsid w:val="003F7C34"/>
    <w:rsid w:val="003F7FEF"/>
    <w:rsid w:val="0040062F"/>
    <w:rsid w:val="00400801"/>
    <w:rsid w:val="00400EE9"/>
    <w:rsid w:val="00400EF4"/>
    <w:rsid w:val="00400F6B"/>
    <w:rsid w:val="004012EF"/>
    <w:rsid w:val="0040158C"/>
    <w:rsid w:val="00401C75"/>
    <w:rsid w:val="00401D80"/>
    <w:rsid w:val="004023BD"/>
    <w:rsid w:val="0040271E"/>
    <w:rsid w:val="00402BB8"/>
    <w:rsid w:val="00403455"/>
    <w:rsid w:val="0040397C"/>
    <w:rsid w:val="00403E06"/>
    <w:rsid w:val="004042AD"/>
    <w:rsid w:val="00404590"/>
    <w:rsid w:val="00404ECA"/>
    <w:rsid w:val="00405611"/>
    <w:rsid w:val="00405D10"/>
    <w:rsid w:val="004063D9"/>
    <w:rsid w:val="0040650F"/>
    <w:rsid w:val="00406A9C"/>
    <w:rsid w:val="00406AEB"/>
    <w:rsid w:val="004071EB"/>
    <w:rsid w:val="00407443"/>
    <w:rsid w:val="00407892"/>
    <w:rsid w:val="00407A8C"/>
    <w:rsid w:val="00410562"/>
    <w:rsid w:val="00410814"/>
    <w:rsid w:val="004109E7"/>
    <w:rsid w:val="00410B09"/>
    <w:rsid w:val="00410E30"/>
    <w:rsid w:val="004112BE"/>
    <w:rsid w:val="004116B5"/>
    <w:rsid w:val="00411AB3"/>
    <w:rsid w:val="004122A3"/>
    <w:rsid w:val="004122F3"/>
    <w:rsid w:val="00412734"/>
    <w:rsid w:val="00412B7F"/>
    <w:rsid w:val="00413895"/>
    <w:rsid w:val="00413906"/>
    <w:rsid w:val="00413BF1"/>
    <w:rsid w:val="00413D50"/>
    <w:rsid w:val="00413EA9"/>
    <w:rsid w:val="00413FF5"/>
    <w:rsid w:val="00414035"/>
    <w:rsid w:val="00414604"/>
    <w:rsid w:val="004151EA"/>
    <w:rsid w:val="0041527C"/>
    <w:rsid w:val="00415337"/>
    <w:rsid w:val="0041540B"/>
    <w:rsid w:val="00415BA7"/>
    <w:rsid w:val="00415C4F"/>
    <w:rsid w:val="0041605D"/>
    <w:rsid w:val="0041692F"/>
    <w:rsid w:val="00416BF4"/>
    <w:rsid w:val="00416C38"/>
    <w:rsid w:val="00417570"/>
    <w:rsid w:val="0042070A"/>
    <w:rsid w:val="00420AB8"/>
    <w:rsid w:val="00420BA2"/>
    <w:rsid w:val="004214AA"/>
    <w:rsid w:val="0042155B"/>
    <w:rsid w:val="00421AAE"/>
    <w:rsid w:val="00421F61"/>
    <w:rsid w:val="00421F8C"/>
    <w:rsid w:val="00422115"/>
    <w:rsid w:val="00422172"/>
    <w:rsid w:val="0042268F"/>
    <w:rsid w:val="00422DE7"/>
    <w:rsid w:val="004231FD"/>
    <w:rsid w:val="004237DE"/>
    <w:rsid w:val="00423C9F"/>
    <w:rsid w:val="004240E2"/>
    <w:rsid w:val="004242B8"/>
    <w:rsid w:val="0042462F"/>
    <w:rsid w:val="0042465B"/>
    <w:rsid w:val="00424988"/>
    <w:rsid w:val="004249AE"/>
    <w:rsid w:val="0042515A"/>
    <w:rsid w:val="00425258"/>
    <w:rsid w:val="00425302"/>
    <w:rsid w:val="00425633"/>
    <w:rsid w:val="00425FE3"/>
    <w:rsid w:val="004266E6"/>
    <w:rsid w:val="00427667"/>
    <w:rsid w:val="004277A0"/>
    <w:rsid w:val="004277F6"/>
    <w:rsid w:val="0042781B"/>
    <w:rsid w:val="00427EAF"/>
    <w:rsid w:val="004302F7"/>
    <w:rsid w:val="004304D4"/>
    <w:rsid w:val="004305A2"/>
    <w:rsid w:val="004307C9"/>
    <w:rsid w:val="00430832"/>
    <w:rsid w:val="00430837"/>
    <w:rsid w:val="00430B75"/>
    <w:rsid w:val="004313EF"/>
    <w:rsid w:val="00431591"/>
    <w:rsid w:val="00431BB7"/>
    <w:rsid w:val="004325D9"/>
    <w:rsid w:val="00432678"/>
    <w:rsid w:val="00432980"/>
    <w:rsid w:val="00432C10"/>
    <w:rsid w:val="00432D05"/>
    <w:rsid w:val="004332B4"/>
    <w:rsid w:val="004332EF"/>
    <w:rsid w:val="004335BF"/>
    <w:rsid w:val="0043379C"/>
    <w:rsid w:val="00433B27"/>
    <w:rsid w:val="00433E4B"/>
    <w:rsid w:val="0043416D"/>
    <w:rsid w:val="00434745"/>
    <w:rsid w:val="00434AC5"/>
    <w:rsid w:val="0043536B"/>
    <w:rsid w:val="0043569A"/>
    <w:rsid w:val="00435CD5"/>
    <w:rsid w:val="00435E28"/>
    <w:rsid w:val="004363A2"/>
    <w:rsid w:val="004364AD"/>
    <w:rsid w:val="00436D29"/>
    <w:rsid w:val="00436D64"/>
    <w:rsid w:val="004370B2"/>
    <w:rsid w:val="00437929"/>
    <w:rsid w:val="00437BF7"/>
    <w:rsid w:val="00437C3E"/>
    <w:rsid w:val="00437E8E"/>
    <w:rsid w:val="00440D9A"/>
    <w:rsid w:val="00440E6E"/>
    <w:rsid w:val="00441728"/>
    <w:rsid w:val="00441CCE"/>
    <w:rsid w:val="00441CF2"/>
    <w:rsid w:val="00441FF4"/>
    <w:rsid w:val="004422DB"/>
    <w:rsid w:val="00442B20"/>
    <w:rsid w:val="004437EB"/>
    <w:rsid w:val="00443D00"/>
    <w:rsid w:val="00444469"/>
    <w:rsid w:val="00444475"/>
    <w:rsid w:val="00444B68"/>
    <w:rsid w:val="00445301"/>
    <w:rsid w:val="0044532A"/>
    <w:rsid w:val="004458BA"/>
    <w:rsid w:val="004464D3"/>
    <w:rsid w:val="00446686"/>
    <w:rsid w:val="004468A4"/>
    <w:rsid w:val="004469F1"/>
    <w:rsid w:val="00446BC7"/>
    <w:rsid w:val="00446CDA"/>
    <w:rsid w:val="00446CF5"/>
    <w:rsid w:val="00446E4A"/>
    <w:rsid w:val="00446F9D"/>
    <w:rsid w:val="004471F0"/>
    <w:rsid w:val="004472F9"/>
    <w:rsid w:val="00447322"/>
    <w:rsid w:val="0045017C"/>
    <w:rsid w:val="004506ED"/>
    <w:rsid w:val="00450AEF"/>
    <w:rsid w:val="00451229"/>
    <w:rsid w:val="00451622"/>
    <w:rsid w:val="004516B1"/>
    <w:rsid w:val="00451820"/>
    <w:rsid w:val="00452F6C"/>
    <w:rsid w:val="00453299"/>
    <w:rsid w:val="00453664"/>
    <w:rsid w:val="004536B4"/>
    <w:rsid w:val="00453DFF"/>
    <w:rsid w:val="00453E43"/>
    <w:rsid w:val="00453EAB"/>
    <w:rsid w:val="00454035"/>
    <w:rsid w:val="00454152"/>
    <w:rsid w:val="004541C0"/>
    <w:rsid w:val="00454299"/>
    <w:rsid w:val="004545B7"/>
    <w:rsid w:val="00454791"/>
    <w:rsid w:val="0045503C"/>
    <w:rsid w:val="00455273"/>
    <w:rsid w:val="00455530"/>
    <w:rsid w:val="004557EA"/>
    <w:rsid w:val="00455A0D"/>
    <w:rsid w:val="00455B39"/>
    <w:rsid w:val="00455F3B"/>
    <w:rsid w:val="00455FCD"/>
    <w:rsid w:val="00457184"/>
    <w:rsid w:val="004571B3"/>
    <w:rsid w:val="004574BC"/>
    <w:rsid w:val="0045761C"/>
    <w:rsid w:val="0045796C"/>
    <w:rsid w:val="00457B47"/>
    <w:rsid w:val="00460677"/>
    <w:rsid w:val="0046067D"/>
    <w:rsid w:val="00460697"/>
    <w:rsid w:val="004608C5"/>
    <w:rsid w:val="00460C47"/>
    <w:rsid w:val="00460CD4"/>
    <w:rsid w:val="004610D7"/>
    <w:rsid w:val="0046136D"/>
    <w:rsid w:val="004613CD"/>
    <w:rsid w:val="00461A14"/>
    <w:rsid w:val="00461A3E"/>
    <w:rsid w:val="00462096"/>
    <w:rsid w:val="004620E3"/>
    <w:rsid w:val="00462192"/>
    <w:rsid w:val="00462218"/>
    <w:rsid w:val="00462FFE"/>
    <w:rsid w:val="00463358"/>
    <w:rsid w:val="004634CD"/>
    <w:rsid w:val="004638F7"/>
    <w:rsid w:val="00463EE9"/>
    <w:rsid w:val="00464189"/>
    <w:rsid w:val="00464296"/>
    <w:rsid w:val="00465A57"/>
    <w:rsid w:val="00465DB2"/>
    <w:rsid w:val="00466465"/>
    <w:rsid w:val="0046659C"/>
    <w:rsid w:val="004665B1"/>
    <w:rsid w:val="00467340"/>
    <w:rsid w:val="00467341"/>
    <w:rsid w:val="0046744C"/>
    <w:rsid w:val="0046795A"/>
    <w:rsid w:val="00467E4B"/>
    <w:rsid w:val="00470235"/>
    <w:rsid w:val="0047038D"/>
    <w:rsid w:val="00470F56"/>
    <w:rsid w:val="0047142E"/>
    <w:rsid w:val="00471516"/>
    <w:rsid w:val="00472130"/>
    <w:rsid w:val="004723CD"/>
    <w:rsid w:val="004727D9"/>
    <w:rsid w:val="00472CF2"/>
    <w:rsid w:val="00472FC1"/>
    <w:rsid w:val="00473360"/>
    <w:rsid w:val="0047337E"/>
    <w:rsid w:val="004739F7"/>
    <w:rsid w:val="004743E4"/>
    <w:rsid w:val="0047518C"/>
    <w:rsid w:val="004757EB"/>
    <w:rsid w:val="0047597A"/>
    <w:rsid w:val="00475DC0"/>
    <w:rsid w:val="004760E1"/>
    <w:rsid w:val="00476868"/>
    <w:rsid w:val="00476A8A"/>
    <w:rsid w:val="00477017"/>
    <w:rsid w:val="00477931"/>
    <w:rsid w:val="00477A06"/>
    <w:rsid w:val="00480227"/>
    <w:rsid w:val="00480811"/>
    <w:rsid w:val="00480FB4"/>
    <w:rsid w:val="004813D8"/>
    <w:rsid w:val="004814E9"/>
    <w:rsid w:val="00481744"/>
    <w:rsid w:val="0048188A"/>
    <w:rsid w:val="00481E66"/>
    <w:rsid w:val="004824DC"/>
    <w:rsid w:val="00482C2A"/>
    <w:rsid w:val="00482CCD"/>
    <w:rsid w:val="00482E22"/>
    <w:rsid w:val="00482F95"/>
    <w:rsid w:val="0048308E"/>
    <w:rsid w:val="00483311"/>
    <w:rsid w:val="00483B04"/>
    <w:rsid w:val="00484128"/>
    <w:rsid w:val="004844BF"/>
    <w:rsid w:val="004849F7"/>
    <w:rsid w:val="00484CDA"/>
    <w:rsid w:val="00484DC4"/>
    <w:rsid w:val="00484E87"/>
    <w:rsid w:val="00484EC7"/>
    <w:rsid w:val="00485608"/>
    <w:rsid w:val="00486235"/>
    <w:rsid w:val="00486390"/>
    <w:rsid w:val="004865CE"/>
    <w:rsid w:val="004866FE"/>
    <w:rsid w:val="00486A61"/>
    <w:rsid w:val="00487043"/>
    <w:rsid w:val="004872C5"/>
    <w:rsid w:val="0048737B"/>
    <w:rsid w:val="004878F3"/>
    <w:rsid w:val="00487EA3"/>
    <w:rsid w:val="0049040B"/>
    <w:rsid w:val="00490789"/>
    <w:rsid w:val="0049078C"/>
    <w:rsid w:val="00490C61"/>
    <w:rsid w:val="00491970"/>
    <w:rsid w:val="00491A6F"/>
    <w:rsid w:val="00491CEC"/>
    <w:rsid w:val="00492039"/>
    <w:rsid w:val="00492749"/>
    <w:rsid w:val="004928D8"/>
    <w:rsid w:val="0049295B"/>
    <w:rsid w:val="004929FD"/>
    <w:rsid w:val="00492C76"/>
    <w:rsid w:val="00492CFB"/>
    <w:rsid w:val="00492DD5"/>
    <w:rsid w:val="00493349"/>
    <w:rsid w:val="004933D2"/>
    <w:rsid w:val="0049346D"/>
    <w:rsid w:val="00493839"/>
    <w:rsid w:val="00493CEB"/>
    <w:rsid w:val="00493F39"/>
    <w:rsid w:val="00494331"/>
    <w:rsid w:val="004944F3"/>
    <w:rsid w:val="0049458A"/>
    <w:rsid w:val="004948A5"/>
    <w:rsid w:val="00494AD8"/>
    <w:rsid w:val="00495286"/>
    <w:rsid w:val="0049528A"/>
    <w:rsid w:val="00495528"/>
    <w:rsid w:val="00495838"/>
    <w:rsid w:val="00495AC2"/>
    <w:rsid w:val="00495C1B"/>
    <w:rsid w:val="0049632A"/>
    <w:rsid w:val="00496AB7"/>
    <w:rsid w:val="00496CE6"/>
    <w:rsid w:val="00496F15"/>
    <w:rsid w:val="00496F69"/>
    <w:rsid w:val="00497807"/>
    <w:rsid w:val="00497A8A"/>
    <w:rsid w:val="00497B9C"/>
    <w:rsid w:val="00497CC3"/>
    <w:rsid w:val="004A04E0"/>
    <w:rsid w:val="004A08C8"/>
    <w:rsid w:val="004A110D"/>
    <w:rsid w:val="004A1348"/>
    <w:rsid w:val="004A17C5"/>
    <w:rsid w:val="004A1BB5"/>
    <w:rsid w:val="004A1CB7"/>
    <w:rsid w:val="004A2112"/>
    <w:rsid w:val="004A248B"/>
    <w:rsid w:val="004A2A45"/>
    <w:rsid w:val="004A2C7D"/>
    <w:rsid w:val="004A2FFF"/>
    <w:rsid w:val="004A30DC"/>
    <w:rsid w:val="004A3341"/>
    <w:rsid w:val="004A3B32"/>
    <w:rsid w:val="004A3C10"/>
    <w:rsid w:val="004A410D"/>
    <w:rsid w:val="004A449F"/>
    <w:rsid w:val="004A4567"/>
    <w:rsid w:val="004A49BB"/>
    <w:rsid w:val="004A4AD7"/>
    <w:rsid w:val="004A4F2F"/>
    <w:rsid w:val="004A4F4E"/>
    <w:rsid w:val="004A534F"/>
    <w:rsid w:val="004A5795"/>
    <w:rsid w:val="004A5FAA"/>
    <w:rsid w:val="004A6B43"/>
    <w:rsid w:val="004A7231"/>
    <w:rsid w:val="004A73E1"/>
    <w:rsid w:val="004A7551"/>
    <w:rsid w:val="004A75CD"/>
    <w:rsid w:val="004A766C"/>
    <w:rsid w:val="004A7EB5"/>
    <w:rsid w:val="004B04EE"/>
    <w:rsid w:val="004B0508"/>
    <w:rsid w:val="004B07FB"/>
    <w:rsid w:val="004B0ABB"/>
    <w:rsid w:val="004B0E80"/>
    <w:rsid w:val="004B0ED4"/>
    <w:rsid w:val="004B13E3"/>
    <w:rsid w:val="004B1763"/>
    <w:rsid w:val="004B17F2"/>
    <w:rsid w:val="004B18A5"/>
    <w:rsid w:val="004B1E12"/>
    <w:rsid w:val="004B1ED1"/>
    <w:rsid w:val="004B202D"/>
    <w:rsid w:val="004B2262"/>
    <w:rsid w:val="004B230D"/>
    <w:rsid w:val="004B2519"/>
    <w:rsid w:val="004B28E4"/>
    <w:rsid w:val="004B2B02"/>
    <w:rsid w:val="004B3576"/>
    <w:rsid w:val="004B35ED"/>
    <w:rsid w:val="004B3E45"/>
    <w:rsid w:val="004B3F27"/>
    <w:rsid w:val="004B3F6E"/>
    <w:rsid w:val="004B41C5"/>
    <w:rsid w:val="004B446F"/>
    <w:rsid w:val="004B47C5"/>
    <w:rsid w:val="004B54F1"/>
    <w:rsid w:val="004B5514"/>
    <w:rsid w:val="004B56CD"/>
    <w:rsid w:val="004B6140"/>
    <w:rsid w:val="004B6417"/>
    <w:rsid w:val="004B6488"/>
    <w:rsid w:val="004B6589"/>
    <w:rsid w:val="004B65C2"/>
    <w:rsid w:val="004B6E03"/>
    <w:rsid w:val="004B723C"/>
    <w:rsid w:val="004C00C0"/>
    <w:rsid w:val="004C0902"/>
    <w:rsid w:val="004C0A59"/>
    <w:rsid w:val="004C0E75"/>
    <w:rsid w:val="004C1683"/>
    <w:rsid w:val="004C16E7"/>
    <w:rsid w:val="004C202E"/>
    <w:rsid w:val="004C232B"/>
    <w:rsid w:val="004C240F"/>
    <w:rsid w:val="004C253C"/>
    <w:rsid w:val="004C3013"/>
    <w:rsid w:val="004C31D6"/>
    <w:rsid w:val="004C3374"/>
    <w:rsid w:val="004C3B2C"/>
    <w:rsid w:val="004C495F"/>
    <w:rsid w:val="004C4A5D"/>
    <w:rsid w:val="004C52B2"/>
    <w:rsid w:val="004C52BF"/>
    <w:rsid w:val="004C53C8"/>
    <w:rsid w:val="004C5760"/>
    <w:rsid w:val="004C593E"/>
    <w:rsid w:val="004C5B29"/>
    <w:rsid w:val="004C5B5E"/>
    <w:rsid w:val="004C5C3B"/>
    <w:rsid w:val="004C632B"/>
    <w:rsid w:val="004C642F"/>
    <w:rsid w:val="004C64B4"/>
    <w:rsid w:val="004C6CCC"/>
    <w:rsid w:val="004C72CD"/>
    <w:rsid w:val="004C7C81"/>
    <w:rsid w:val="004D0046"/>
    <w:rsid w:val="004D0567"/>
    <w:rsid w:val="004D0F38"/>
    <w:rsid w:val="004D11EC"/>
    <w:rsid w:val="004D1945"/>
    <w:rsid w:val="004D1EB3"/>
    <w:rsid w:val="004D20DD"/>
    <w:rsid w:val="004D24C0"/>
    <w:rsid w:val="004D255F"/>
    <w:rsid w:val="004D2667"/>
    <w:rsid w:val="004D2D0A"/>
    <w:rsid w:val="004D2D17"/>
    <w:rsid w:val="004D3782"/>
    <w:rsid w:val="004D3916"/>
    <w:rsid w:val="004D3C76"/>
    <w:rsid w:val="004D4073"/>
    <w:rsid w:val="004D4342"/>
    <w:rsid w:val="004D44F0"/>
    <w:rsid w:val="004D487A"/>
    <w:rsid w:val="004D4A4B"/>
    <w:rsid w:val="004D4A63"/>
    <w:rsid w:val="004D4DAA"/>
    <w:rsid w:val="004D4F34"/>
    <w:rsid w:val="004D53DA"/>
    <w:rsid w:val="004D566A"/>
    <w:rsid w:val="004D586E"/>
    <w:rsid w:val="004D5E06"/>
    <w:rsid w:val="004D5E13"/>
    <w:rsid w:val="004D61A8"/>
    <w:rsid w:val="004D62F8"/>
    <w:rsid w:val="004D6323"/>
    <w:rsid w:val="004D6698"/>
    <w:rsid w:val="004D6C30"/>
    <w:rsid w:val="004D70A1"/>
    <w:rsid w:val="004D7167"/>
    <w:rsid w:val="004D72D8"/>
    <w:rsid w:val="004D7B4E"/>
    <w:rsid w:val="004D7F00"/>
    <w:rsid w:val="004D7F4D"/>
    <w:rsid w:val="004E063B"/>
    <w:rsid w:val="004E0D08"/>
    <w:rsid w:val="004E12E0"/>
    <w:rsid w:val="004E1530"/>
    <w:rsid w:val="004E18E0"/>
    <w:rsid w:val="004E19ED"/>
    <w:rsid w:val="004E1B68"/>
    <w:rsid w:val="004E20B3"/>
    <w:rsid w:val="004E241D"/>
    <w:rsid w:val="004E249D"/>
    <w:rsid w:val="004E2570"/>
    <w:rsid w:val="004E2CC0"/>
    <w:rsid w:val="004E326F"/>
    <w:rsid w:val="004E34F2"/>
    <w:rsid w:val="004E3BA9"/>
    <w:rsid w:val="004E3C23"/>
    <w:rsid w:val="004E3D81"/>
    <w:rsid w:val="004E3EB5"/>
    <w:rsid w:val="004E4532"/>
    <w:rsid w:val="004E460F"/>
    <w:rsid w:val="004E47B3"/>
    <w:rsid w:val="004E4CA4"/>
    <w:rsid w:val="004E4DD0"/>
    <w:rsid w:val="004E5315"/>
    <w:rsid w:val="004E557C"/>
    <w:rsid w:val="004E583F"/>
    <w:rsid w:val="004E5ABB"/>
    <w:rsid w:val="004E5BBD"/>
    <w:rsid w:val="004E5C34"/>
    <w:rsid w:val="004E5EBA"/>
    <w:rsid w:val="004E644D"/>
    <w:rsid w:val="004E6E7D"/>
    <w:rsid w:val="004E6FF2"/>
    <w:rsid w:val="004E725B"/>
    <w:rsid w:val="004E72F3"/>
    <w:rsid w:val="004E78BA"/>
    <w:rsid w:val="004E7986"/>
    <w:rsid w:val="004F032E"/>
    <w:rsid w:val="004F0D06"/>
    <w:rsid w:val="004F0E83"/>
    <w:rsid w:val="004F0E96"/>
    <w:rsid w:val="004F13C0"/>
    <w:rsid w:val="004F156A"/>
    <w:rsid w:val="004F16BC"/>
    <w:rsid w:val="004F1912"/>
    <w:rsid w:val="004F1ADC"/>
    <w:rsid w:val="004F1AFC"/>
    <w:rsid w:val="004F1B6C"/>
    <w:rsid w:val="004F20DD"/>
    <w:rsid w:val="004F2210"/>
    <w:rsid w:val="004F22D7"/>
    <w:rsid w:val="004F248D"/>
    <w:rsid w:val="004F2BC3"/>
    <w:rsid w:val="004F2BD2"/>
    <w:rsid w:val="004F2D3A"/>
    <w:rsid w:val="004F2ED0"/>
    <w:rsid w:val="004F320B"/>
    <w:rsid w:val="004F364A"/>
    <w:rsid w:val="004F3B58"/>
    <w:rsid w:val="004F46EB"/>
    <w:rsid w:val="004F4CE4"/>
    <w:rsid w:val="004F4FD4"/>
    <w:rsid w:val="004F5C37"/>
    <w:rsid w:val="004F5D1F"/>
    <w:rsid w:val="004F6019"/>
    <w:rsid w:val="004F68F2"/>
    <w:rsid w:val="004F6919"/>
    <w:rsid w:val="004F6BC8"/>
    <w:rsid w:val="004F6C24"/>
    <w:rsid w:val="004F6D3A"/>
    <w:rsid w:val="004F6F67"/>
    <w:rsid w:val="004F6F99"/>
    <w:rsid w:val="004F70FD"/>
    <w:rsid w:val="004F7441"/>
    <w:rsid w:val="004F7699"/>
    <w:rsid w:val="004F76B9"/>
    <w:rsid w:val="004F799B"/>
    <w:rsid w:val="004F7AFB"/>
    <w:rsid w:val="004F7E4D"/>
    <w:rsid w:val="004F7FC3"/>
    <w:rsid w:val="0050019B"/>
    <w:rsid w:val="0050060E"/>
    <w:rsid w:val="005007DA"/>
    <w:rsid w:val="00500ABE"/>
    <w:rsid w:val="00501114"/>
    <w:rsid w:val="00501163"/>
    <w:rsid w:val="0050116F"/>
    <w:rsid w:val="005013CD"/>
    <w:rsid w:val="00501719"/>
    <w:rsid w:val="00501990"/>
    <w:rsid w:val="00501B51"/>
    <w:rsid w:val="00501B87"/>
    <w:rsid w:val="00501BD0"/>
    <w:rsid w:val="005022EE"/>
    <w:rsid w:val="005023EA"/>
    <w:rsid w:val="00502694"/>
    <w:rsid w:val="00502784"/>
    <w:rsid w:val="0050291E"/>
    <w:rsid w:val="00502A2F"/>
    <w:rsid w:val="00502B95"/>
    <w:rsid w:val="00502EB0"/>
    <w:rsid w:val="00503108"/>
    <w:rsid w:val="005034F7"/>
    <w:rsid w:val="005035B8"/>
    <w:rsid w:val="0050365C"/>
    <w:rsid w:val="005036CA"/>
    <w:rsid w:val="00503B21"/>
    <w:rsid w:val="00503EC2"/>
    <w:rsid w:val="00504064"/>
    <w:rsid w:val="0050437C"/>
    <w:rsid w:val="00504B9C"/>
    <w:rsid w:val="00504CE0"/>
    <w:rsid w:val="00504D2C"/>
    <w:rsid w:val="00504D5A"/>
    <w:rsid w:val="0050558E"/>
    <w:rsid w:val="00505839"/>
    <w:rsid w:val="005058F1"/>
    <w:rsid w:val="0050617C"/>
    <w:rsid w:val="0050619E"/>
    <w:rsid w:val="005064E1"/>
    <w:rsid w:val="00510040"/>
    <w:rsid w:val="00510729"/>
    <w:rsid w:val="005108C3"/>
    <w:rsid w:val="00510EBB"/>
    <w:rsid w:val="005112F6"/>
    <w:rsid w:val="005116E7"/>
    <w:rsid w:val="00511A5D"/>
    <w:rsid w:val="00511EA4"/>
    <w:rsid w:val="00511F7B"/>
    <w:rsid w:val="005124F0"/>
    <w:rsid w:val="0051266B"/>
    <w:rsid w:val="00512D1C"/>
    <w:rsid w:val="00512F95"/>
    <w:rsid w:val="005134DF"/>
    <w:rsid w:val="005138BD"/>
    <w:rsid w:val="00513A73"/>
    <w:rsid w:val="00514028"/>
    <w:rsid w:val="00514156"/>
    <w:rsid w:val="00514858"/>
    <w:rsid w:val="005149E0"/>
    <w:rsid w:val="00514BE0"/>
    <w:rsid w:val="00514EBE"/>
    <w:rsid w:val="00514F01"/>
    <w:rsid w:val="00515149"/>
    <w:rsid w:val="0051515A"/>
    <w:rsid w:val="005152E9"/>
    <w:rsid w:val="005153A0"/>
    <w:rsid w:val="00515587"/>
    <w:rsid w:val="0051561A"/>
    <w:rsid w:val="005157A7"/>
    <w:rsid w:val="00515D3E"/>
    <w:rsid w:val="00515DD7"/>
    <w:rsid w:val="005164D9"/>
    <w:rsid w:val="00516B92"/>
    <w:rsid w:val="00516DA5"/>
    <w:rsid w:val="00516EAF"/>
    <w:rsid w:val="005170CE"/>
    <w:rsid w:val="005176E5"/>
    <w:rsid w:val="0051789C"/>
    <w:rsid w:val="00517B9C"/>
    <w:rsid w:val="00517DD8"/>
    <w:rsid w:val="005202AF"/>
    <w:rsid w:val="00520533"/>
    <w:rsid w:val="00520C9B"/>
    <w:rsid w:val="00520FCA"/>
    <w:rsid w:val="005214B6"/>
    <w:rsid w:val="00521708"/>
    <w:rsid w:val="00521721"/>
    <w:rsid w:val="00521E60"/>
    <w:rsid w:val="00522070"/>
    <w:rsid w:val="00522948"/>
    <w:rsid w:val="00522B08"/>
    <w:rsid w:val="00522C49"/>
    <w:rsid w:val="00522CB2"/>
    <w:rsid w:val="00523035"/>
    <w:rsid w:val="00523A21"/>
    <w:rsid w:val="00523EDF"/>
    <w:rsid w:val="00523FA7"/>
    <w:rsid w:val="0052464F"/>
    <w:rsid w:val="00524A66"/>
    <w:rsid w:val="00524A72"/>
    <w:rsid w:val="0052518F"/>
    <w:rsid w:val="005255CB"/>
    <w:rsid w:val="00525833"/>
    <w:rsid w:val="00525EA7"/>
    <w:rsid w:val="00525EC3"/>
    <w:rsid w:val="005260A0"/>
    <w:rsid w:val="00526415"/>
    <w:rsid w:val="005266A0"/>
    <w:rsid w:val="00527305"/>
    <w:rsid w:val="0052730A"/>
    <w:rsid w:val="00527A7C"/>
    <w:rsid w:val="00530223"/>
    <w:rsid w:val="00530510"/>
    <w:rsid w:val="00530962"/>
    <w:rsid w:val="00530C0B"/>
    <w:rsid w:val="00531222"/>
    <w:rsid w:val="00531892"/>
    <w:rsid w:val="00531984"/>
    <w:rsid w:val="00531DEC"/>
    <w:rsid w:val="00531F19"/>
    <w:rsid w:val="0053208D"/>
    <w:rsid w:val="0053255E"/>
    <w:rsid w:val="00532613"/>
    <w:rsid w:val="0053278E"/>
    <w:rsid w:val="00532837"/>
    <w:rsid w:val="00532C5D"/>
    <w:rsid w:val="00533D0A"/>
    <w:rsid w:val="00533D3E"/>
    <w:rsid w:val="00533F82"/>
    <w:rsid w:val="00534321"/>
    <w:rsid w:val="0053465A"/>
    <w:rsid w:val="00534742"/>
    <w:rsid w:val="00534BCF"/>
    <w:rsid w:val="00535046"/>
    <w:rsid w:val="005358F5"/>
    <w:rsid w:val="00535A17"/>
    <w:rsid w:val="00535B02"/>
    <w:rsid w:val="00535C8D"/>
    <w:rsid w:val="00535FEF"/>
    <w:rsid w:val="00536845"/>
    <w:rsid w:val="00536DB5"/>
    <w:rsid w:val="00536EE5"/>
    <w:rsid w:val="005370B3"/>
    <w:rsid w:val="005371AD"/>
    <w:rsid w:val="00537881"/>
    <w:rsid w:val="005379DF"/>
    <w:rsid w:val="0054027E"/>
    <w:rsid w:val="005407BA"/>
    <w:rsid w:val="00541124"/>
    <w:rsid w:val="00541675"/>
    <w:rsid w:val="005418BF"/>
    <w:rsid w:val="00541A1C"/>
    <w:rsid w:val="00541E65"/>
    <w:rsid w:val="005425B4"/>
    <w:rsid w:val="00542A79"/>
    <w:rsid w:val="00542F48"/>
    <w:rsid w:val="005430B6"/>
    <w:rsid w:val="005433FB"/>
    <w:rsid w:val="00543586"/>
    <w:rsid w:val="00543864"/>
    <w:rsid w:val="00543DD4"/>
    <w:rsid w:val="00543F33"/>
    <w:rsid w:val="0054429D"/>
    <w:rsid w:val="00544651"/>
    <w:rsid w:val="005449A0"/>
    <w:rsid w:val="00544CD4"/>
    <w:rsid w:val="00544CEC"/>
    <w:rsid w:val="005454CB"/>
    <w:rsid w:val="005455A7"/>
    <w:rsid w:val="005458E7"/>
    <w:rsid w:val="00546469"/>
    <w:rsid w:val="005467F6"/>
    <w:rsid w:val="005471C7"/>
    <w:rsid w:val="005471E4"/>
    <w:rsid w:val="0054745E"/>
    <w:rsid w:val="005475F5"/>
    <w:rsid w:val="00547AA9"/>
    <w:rsid w:val="00547F57"/>
    <w:rsid w:val="005502F0"/>
    <w:rsid w:val="005503DF"/>
    <w:rsid w:val="005506F6"/>
    <w:rsid w:val="00550821"/>
    <w:rsid w:val="0055095A"/>
    <w:rsid w:val="00550FDB"/>
    <w:rsid w:val="005513A3"/>
    <w:rsid w:val="005514FE"/>
    <w:rsid w:val="005516DC"/>
    <w:rsid w:val="00551A3F"/>
    <w:rsid w:val="00551F4B"/>
    <w:rsid w:val="0055275C"/>
    <w:rsid w:val="00552D4E"/>
    <w:rsid w:val="005533F5"/>
    <w:rsid w:val="00553AA2"/>
    <w:rsid w:val="00553D0F"/>
    <w:rsid w:val="00553E14"/>
    <w:rsid w:val="00553EE5"/>
    <w:rsid w:val="00554637"/>
    <w:rsid w:val="005546C2"/>
    <w:rsid w:val="0055499B"/>
    <w:rsid w:val="00554C89"/>
    <w:rsid w:val="0055510E"/>
    <w:rsid w:val="00555541"/>
    <w:rsid w:val="00555E99"/>
    <w:rsid w:val="00555F25"/>
    <w:rsid w:val="0055675D"/>
    <w:rsid w:val="00556772"/>
    <w:rsid w:val="005567A3"/>
    <w:rsid w:val="0055685B"/>
    <w:rsid w:val="00556DF0"/>
    <w:rsid w:val="005570C3"/>
    <w:rsid w:val="005572D2"/>
    <w:rsid w:val="00557665"/>
    <w:rsid w:val="0055769F"/>
    <w:rsid w:val="00560214"/>
    <w:rsid w:val="00560B5E"/>
    <w:rsid w:val="00560E0B"/>
    <w:rsid w:val="00561170"/>
    <w:rsid w:val="00561CB1"/>
    <w:rsid w:val="005622B7"/>
    <w:rsid w:val="00562614"/>
    <w:rsid w:val="00562E22"/>
    <w:rsid w:val="00562F2F"/>
    <w:rsid w:val="005630E4"/>
    <w:rsid w:val="00563D6A"/>
    <w:rsid w:val="00563EB0"/>
    <w:rsid w:val="00564FE5"/>
    <w:rsid w:val="00565205"/>
    <w:rsid w:val="005653AB"/>
    <w:rsid w:val="00565DEC"/>
    <w:rsid w:val="00565EEF"/>
    <w:rsid w:val="00565F43"/>
    <w:rsid w:val="00566002"/>
    <w:rsid w:val="005668AF"/>
    <w:rsid w:val="0056694C"/>
    <w:rsid w:val="00566D82"/>
    <w:rsid w:val="00566DC0"/>
    <w:rsid w:val="00567165"/>
    <w:rsid w:val="00567DDD"/>
    <w:rsid w:val="00567F7C"/>
    <w:rsid w:val="00570241"/>
    <w:rsid w:val="0057044C"/>
    <w:rsid w:val="0057071B"/>
    <w:rsid w:val="00570C03"/>
    <w:rsid w:val="00570FEA"/>
    <w:rsid w:val="0057186D"/>
    <w:rsid w:val="005718BF"/>
    <w:rsid w:val="00571951"/>
    <w:rsid w:val="005719B8"/>
    <w:rsid w:val="00571AE4"/>
    <w:rsid w:val="00571D9A"/>
    <w:rsid w:val="0057201A"/>
    <w:rsid w:val="00572DA9"/>
    <w:rsid w:val="00573330"/>
    <w:rsid w:val="00573538"/>
    <w:rsid w:val="0057363E"/>
    <w:rsid w:val="005738F3"/>
    <w:rsid w:val="00573975"/>
    <w:rsid w:val="00573F53"/>
    <w:rsid w:val="005751A1"/>
    <w:rsid w:val="00575580"/>
    <w:rsid w:val="00575741"/>
    <w:rsid w:val="0057577A"/>
    <w:rsid w:val="005757A5"/>
    <w:rsid w:val="00575AE3"/>
    <w:rsid w:val="00575B74"/>
    <w:rsid w:val="0057662B"/>
    <w:rsid w:val="0057684F"/>
    <w:rsid w:val="0057709A"/>
    <w:rsid w:val="00577229"/>
    <w:rsid w:val="00577FAD"/>
    <w:rsid w:val="005801C3"/>
    <w:rsid w:val="00580615"/>
    <w:rsid w:val="005808DC"/>
    <w:rsid w:val="005809A0"/>
    <w:rsid w:val="00580ECA"/>
    <w:rsid w:val="00580F83"/>
    <w:rsid w:val="005811C3"/>
    <w:rsid w:val="00581EC8"/>
    <w:rsid w:val="00581F3C"/>
    <w:rsid w:val="00582095"/>
    <w:rsid w:val="0058249E"/>
    <w:rsid w:val="00582B01"/>
    <w:rsid w:val="00582D2A"/>
    <w:rsid w:val="005835F3"/>
    <w:rsid w:val="00583960"/>
    <w:rsid w:val="005839A1"/>
    <w:rsid w:val="00583B04"/>
    <w:rsid w:val="00583E65"/>
    <w:rsid w:val="00583E7F"/>
    <w:rsid w:val="00583FF3"/>
    <w:rsid w:val="0058405E"/>
    <w:rsid w:val="00584675"/>
    <w:rsid w:val="00584863"/>
    <w:rsid w:val="00584AFC"/>
    <w:rsid w:val="00584B5A"/>
    <w:rsid w:val="005852B0"/>
    <w:rsid w:val="00585602"/>
    <w:rsid w:val="00585E9B"/>
    <w:rsid w:val="005862CE"/>
    <w:rsid w:val="00586480"/>
    <w:rsid w:val="00586AD6"/>
    <w:rsid w:val="00586E42"/>
    <w:rsid w:val="0058703A"/>
    <w:rsid w:val="0058744D"/>
    <w:rsid w:val="00587517"/>
    <w:rsid w:val="00587590"/>
    <w:rsid w:val="0058783F"/>
    <w:rsid w:val="00587897"/>
    <w:rsid w:val="00587BC4"/>
    <w:rsid w:val="00587F92"/>
    <w:rsid w:val="00590910"/>
    <w:rsid w:val="00590D55"/>
    <w:rsid w:val="00590E64"/>
    <w:rsid w:val="00590EFA"/>
    <w:rsid w:val="00591174"/>
    <w:rsid w:val="005914CE"/>
    <w:rsid w:val="005918ED"/>
    <w:rsid w:val="005919DD"/>
    <w:rsid w:val="00591A97"/>
    <w:rsid w:val="00591CCE"/>
    <w:rsid w:val="00591F35"/>
    <w:rsid w:val="00591F9F"/>
    <w:rsid w:val="00592619"/>
    <w:rsid w:val="00592675"/>
    <w:rsid w:val="00592B27"/>
    <w:rsid w:val="00592E82"/>
    <w:rsid w:val="00592F54"/>
    <w:rsid w:val="005930A9"/>
    <w:rsid w:val="0059349A"/>
    <w:rsid w:val="005936EA"/>
    <w:rsid w:val="00593A7C"/>
    <w:rsid w:val="005940C9"/>
    <w:rsid w:val="00594118"/>
    <w:rsid w:val="005945D7"/>
    <w:rsid w:val="00594693"/>
    <w:rsid w:val="00594737"/>
    <w:rsid w:val="005950E7"/>
    <w:rsid w:val="005955C4"/>
    <w:rsid w:val="00595939"/>
    <w:rsid w:val="005959E1"/>
    <w:rsid w:val="0059610F"/>
    <w:rsid w:val="005964C8"/>
    <w:rsid w:val="005964E9"/>
    <w:rsid w:val="00596E81"/>
    <w:rsid w:val="00597024"/>
    <w:rsid w:val="00597392"/>
    <w:rsid w:val="0059799A"/>
    <w:rsid w:val="005A0066"/>
    <w:rsid w:val="005A0632"/>
    <w:rsid w:val="005A0FD6"/>
    <w:rsid w:val="005A126A"/>
    <w:rsid w:val="005A12F1"/>
    <w:rsid w:val="005A1345"/>
    <w:rsid w:val="005A137B"/>
    <w:rsid w:val="005A15F1"/>
    <w:rsid w:val="005A1665"/>
    <w:rsid w:val="005A17C9"/>
    <w:rsid w:val="005A1A4E"/>
    <w:rsid w:val="005A1A91"/>
    <w:rsid w:val="005A208F"/>
    <w:rsid w:val="005A2798"/>
    <w:rsid w:val="005A2821"/>
    <w:rsid w:val="005A2A00"/>
    <w:rsid w:val="005A33F7"/>
    <w:rsid w:val="005A34D8"/>
    <w:rsid w:val="005A3624"/>
    <w:rsid w:val="005A381F"/>
    <w:rsid w:val="005A3AFD"/>
    <w:rsid w:val="005A3CCB"/>
    <w:rsid w:val="005A3D03"/>
    <w:rsid w:val="005A44BA"/>
    <w:rsid w:val="005A4D8E"/>
    <w:rsid w:val="005A4D96"/>
    <w:rsid w:val="005A4F5B"/>
    <w:rsid w:val="005A4F68"/>
    <w:rsid w:val="005A5004"/>
    <w:rsid w:val="005A5297"/>
    <w:rsid w:val="005A5CF3"/>
    <w:rsid w:val="005A61BF"/>
    <w:rsid w:val="005A651C"/>
    <w:rsid w:val="005A6563"/>
    <w:rsid w:val="005A6661"/>
    <w:rsid w:val="005A68B0"/>
    <w:rsid w:val="005A697D"/>
    <w:rsid w:val="005A69B8"/>
    <w:rsid w:val="005A6C88"/>
    <w:rsid w:val="005A6E04"/>
    <w:rsid w:val="005A6E82"/>
    <w:rsid w:val="005A7964"/>
    <w:rsid w:val="005A7A5F"/>
    <w:rsid w:val="005A7BA9"/>
    <w:rsid w:val="005A7FE5"/>
    <w:rsid w:val="005B03B3"/>
    <w:rsid w:val="005B0C01"/>
    <w:rsid w:val="005B0DF3"/>
    <w:rsid w:val="005B1278"/>
    <w:rsid w:val="005B13F4"/>
    <w:rsid w:val="005B1B84"/>
    <w:rsid w:val="005B1FE7"/>
    <w:rsid w:val="005B21A5"/>
    <w:rsid w:val="005B2393"/>
    <w:rsid w:val="005B23C5"/>
    <w:rsid w:val="005B24A9"/>
    <w:rsid w:val="005B30CC"/>
    <w:rsid w:val="005B3106"/>
    <w:rsid w:val="005B313D"/>
    <w:rsid w:val="005B3535"/>
    <w:rsid w:val="005B386D"/>
    <w:rsid w:val="005B44D6"/>
    <w:rsid w:val="005B4710"/>
    <w:rsid w:val="005B47CF"/>
    <w:rsid w:val="005B4CC9"/>
    <w:rsid w:val="005B4ECC"/>
    <w:rsid w:val="005B50EA"/>
    <w:rsid w:val="005B523A"/>
    <w:rsid w:val="005B6A30"/>
    <w:rsid w:val="005B71D7"/>
    <w:rsid w:val="005B77DE"/>
    <w:rsid w:val="005B7AA8"/>
    <w:rsid w:val="005C0358"/>
    <w:rsid w:val="005C084D"/>
    <w:rsid w:val="005C0C05"/>
    <w:rsid w:val="005C0E5B"/>
    <w:rsid w:val="005C1066"/>
    <w:rsid w:val="005C1111"/>
    <w:rsid w:val="005C13BA"/>
    <w:rsid w:val="005C2FB4"/>
    <w:rsid w:val="005C3190"/>
    <w:rsid w:val="005C3326"/>
    <w:rsid w:val="005C33BB"/>
    <w:rsid w:val="005C3B46"/>
    <w:rsid w:val="005C3CE1"/>
    <w:rsid w:val="005C3D96"/>
    <w:rsid w:val="005C3DC9"/>
    <w:rsid w:val="005C3ECB"/>
    <w:rsid w:val="005C3F9E"/>
    <w:rsid w:val="005C45B8"/>
    <w:rsid w:val="005C4AA6"/>
    <w:rsid w:val="005C52E3"/>
    <w:rsid w:val="005C5467"/>
    <w:rsid w:val="005C5483"/>
    <w:rsid w:val="005C570F"/>
    <w:rsid w:val="005C5749"/>
    <w:rsid w:val="005C619D"/>
    <w:rsid w:val="005C62A7"/>
    <w:rsid w:val="005C6669"/>
    <w:rsid w:val="005C689C"/>
    <w:rsid w:val="005C6CA9"/>
    <w:rsid w:val="005C6CDA"/>
    <w:rsid w:val="005C6F20"/>
    <w:rsid w:val="005C72D0"/>
    <w:rsid w:val="005C73EC"/>
    <w:rsid w:val="005C74A2"/>
    <w:rsid w:val="005C7540"/>
    <w:rsid w:val="005C76B5"/>
    <w:rsid w:val="005C7B8C"/>
    <w:rsid w:val="005D01DD"/>
    <w:rsid w:val="005D081D"/>
    <w:rsid w:val="005D0E4A"/>
    <w:rsid w:val="005D0E9A"/>
    <w:rsid w:val="005D0EF4"/>
    <w:rsid w:val="005D21A3"/>
    <w:rsid w:val="005D266D"/>
    <w:rsid w:val="005D279F"/>
    <w:rsid w:val="005D28FE"/>
    <w:rsid w:val="005D29FE"/>
    <w:rsid w:val="005D2A11"/>
    <w:rsid w:val="005D32B2"/>
    <w:rsid w:val="005D3333"/>
    <w:rsid w:val="005D3633"/>
    <w:rsid w:val="005D3960"/>
    <w:rsid w:val="005D3A54"/>
    <w:rsid w:val="005D3F90"/>
    <w:rsid w:val="005D41B7"/>
    <w:rsid w:val="005D446B"/>
    <w:rsid w:val="005D45AA"/>
    <w:rsid w:val="005D4701"/>
    <w:rsid w:val="005D4845"/>
    <w:rsid w:val="005D4AB4"/>
    <w:rsid w:val="005D54E6"/>
    <w:rsid w:val="005D56EA"/>
    <w:rsid w:val="005D5841"/>
    <w:rsid w:val="005D5F4F"/>
    <w:rsid w:val="005D5FE6"/>
    <w:rsid w:val="005D61CC"/>
    <w:rsid w:val="005D6826"/>
    <w:rsid w:val="005D6C69"/>
    <w:rsid w:val="005D7410"/>
    <w:rsid w:val="005D75BF"/>
    <w:rsid w:val="005D788B"/>
    <w:rsid w:val="005E04BB"/>
    <w:rsid w:val="005E04E9"/>
    <w:rsid w:val="005E0890"/>
    <w:rsid w:val="005E0D58"/>
    <w:rsid w:val="005E0DC3"/>
    <w:rsid w:val="005E1161"/>
    <w:rsid w:val="005E11C1"/>
    <w:rsid w:val="005E1A66"/>
    <w:rsid w:val="005E1BAC"/>
    <w:rsid w:val="005E2334"/>
    <w:rsid w:val="005E252E"/>
    <w:rsid w:val="005E28A3"/>
    <w:rsid w:val="005E364F"/>
    <w:rsid w:val="005E37E8"/>
    <w:rsid w:val="005E4902"/>
    <w:rsid w:val="005E4B07"/>
    <w:rsid w:val="005E4DE0"/>
    <w:rsid w:val="005E4ECE"/>
    <w:rsid w:val="005E51E6"/>
    <w:rsid w:val="005E563B"/>
    <w:rsid w:val="005E602E"/>
    <w:rsid w:val="005E624D"/>
    <w:rsid w:val="005E6C9B"/>
    <w:rsid w:val="005E734F"/>
    <w:rsid w:val="005E758A"/>
    <w:rsid w:val="005E786E"/>
    <w:rsid w:val="005E7C0B"/>
    <w:rsid w:val="005F00CF"/>
    <w:rsid w:val="005F011F"/>
    <w:rsid w:val="005F057F"/>
    <w:rsid w:val="005F0B55"/>
    <w:rsid w:val="005F0B97"/>
    <w:rsid w:val="005F1168"/>
    <w:rsid w:val="005F1654"/>
    <w:rsid w:val="005F1F69"/>
    <w:rsid w:val="005F2696"/>
    <w:rsid w:val="005F2A80"/>
    <w:rsid w:val="005F2DA5"/>
    <w:rsid w:val="005F33F0"/>
    <w:rsid w:val="005F3958"/>
    <w:rsid w:val="005F3F2C"/>
    <w:rsid w:val="005F45A1"/>
    <w:rsid w:val="005F56A2"/>
    <w:rsid w:val="005F5731"/>
    <w:rsid w:val="005F593F"/>
    <w:rsid w:val="005F5BAF"/>
    <w:rsid w:val="005F608B"/>
    <w:rsid w:val="005F6B9C"/>
    <w:rsid w:val="005F6C17"/>
    <w:rsid w:val="005F6D52"/>
    <w:rsid w:val="005F6E39"/>
    <w:rsid w:val="005F7AF1"/>
    <w:rsid w:val="005F7FD0"/>
    <w:rsid w:val="006002CC"/>
    <w:rsid w:val="006003D4"/>
    <w:rsid w:val="00600582"/>
    <w:rsid w:val="0060067A"/>
    <w:rsid w:val="00600A43"/>
    <w:rsid w:val="006016DF"/>
    <w:rsid w:val="00601B01"/>
    <w:rsid w:val="00601B3F"/>
    <w:rsid w:val="006020C0"/>
    <w:rsid w:val="00602106"/>
    <w:rsid w:val="006025DD"/>
    <w:rsid w:val="00602E9A"/>
    <w:rsid w:val="006036ED"/>
    <w:rsid w:val="00603848"/>
    <w:rsid w:val="00604156"/>
    <w:rsid w:val="006044A6"/>
    <w:rsid w:val="00604682"/>
    <w:rsid w:val="00604AEC"/>
    <w:rsid w:val="00604B41"/>
    <w:rsid w:val="00604B9B"/>
    <w:rsid w:val="00605D2A"/>
    <w:rsid w:val="006060D7"/>
    <w:rsid w:val="00606226"/>
    <w:rsid w:val="00606521"/>
    <w:rsid w:val="0060660C"/>
    <w:rsid w:val="00606791"/>
    <w:rsid w:val="00606871"/>
    <w:rsid w:val="00607166"/>
    <w:rsid w:val="00607446"/>
    <w:rsid w:val="0060750F"/>
    <w:rsid w:val="00607834"/>
    <w:rsid w:val="00607ABA"/>
    <w:rsid w:val="00607B0E"/>
    <w:rsid w:val="00607CEA"/>
    <w:rsid w:val="00607D19"/>
    <w:rsid w:val="00607E25"/>
    <w:rsid w:val="006100A1"/>
    <w:rsid w:val="00610AE9"/>
    <w:rsid w:val="00610E9F"/>
    <w:rsid w:val="00611156"/>
    <w:rsid w:val="00612244"/>
    <w:rsid w:val="00612503"/>
    <w:rsid w:val="00612B76"/>
    <w:rsid w:val="00612E3C"/>
    <w:rsid w:val="006139D7"/>
    <w:rsid w:val="00613A38"/>
    <w:rsid w:val="00613D1D"/>
    <w:rsid w:val="00614186"/>
    <w:rsid w:val="0061433F"/>
    <w:rsid w:val="0061441F"/>
    <w:rsid w:val="00614580"/>
    <w:rsid w:val="00614869"/>
    <w:rsid w:val="00614AA5"/>
    <w:rsid w:val="00614CC5"/>
    <w:rsid w:val="006156B8"/>
    <w:rsid w:val="006159A8"/>
    <w:rsid w:val="00615FD6"/>
    <w:rsid w:val="0061654C"/>
    <w:rsid w:val="00616AF4"/>
    <w:rsid w:val="006176C5"/>
    <w:rsid w:val="00617992"/>
    <w:rsid w:val="00617B4D"/>
    <w:rsid w:val="00617B5E"/>
    <w:rsid w:val="00617C74"/>
    <w:rsid w:val="00617F90"/>
    <w:rsid w:val="006209DE"/>
    <w:rsid w:val="00621154"/>
    <w:rsid w:val="006214DA"/>
    <w:rsid w:val="0062177C"/>
    <w:rsid w:val="0062195E"/>
    <w:rsid w:val="0062275D"/>
    <w:rsid w:val="00622A48"/>
    <w:rsid w:val="00622DFF"/>
    <w:rsid w:val="006230E3"/>
    <w:rsid w:val="0062318A"/>
    <w:rsid w:val="00623618"/>
    <w:rsid w:val="0062377D"/>
    <w:rsid w:val="00624261"/>
    <w:rsid w:val="006247EF"/>
    <w:rsid w:val="00624F24"/>
    <w:rsid w:val="00624F36"/>
    <w:rsid w:val="00625198"/>
    <w:rsid w:val="00625328"/>
    <w:rsid w:val="00625C14"/>
    <w:rsid w:val="00625C3F"/>
    <w:rsid w:val="00625EC2"/>
    <w:rsid w:val="00626AF4"/>
    <w:rsid w:val="00626B51"/>
    <w:rsid w:val="00626DE7"/>
    <w:rsid w:val="00627317"/>
    <w:rsid w:val="006276D6"/>
    <w:rsid w:val="00627758"/>
    <w:rsid w:val="00627BDE"/>
    <w:rsid w:val="00627EEE"/>
    <w:rsid w:val="00630025"/>
    <w:rsid w:val="0063052B"/>
    <w:rsid w:val="006305EE"/>
    <w:rsid w:val="006307DC"/>
    <w:rsid w:val="00631461"/>
    <w:rsid w:val="006317D6"/>
    <w:rsid w:val="00631882"/>
    <w:rsid w:val="006318C8"/>
    <w:rsid w:val="0063205D"/>
    <w:rsid w:val="0063284D"/>
    <w:rsid w:val="00632D97"/>
    <w:rsid w:val="006331D3"/>
    <w:rsid w:val="00633454"/>
    <w:rsid w:val="006340C2"/>
    <w:rsid w:val="0063416C"/>
    <w:rsid w:val="006341C0"/>
    <w:rsid w:val="00634445"/>
    <w:rsid w:val="006347AD"/>
    <w:rsid w:val="00634B8E"/>
    <w:rsid w:val="006350F2"/>
    <w:rsid w:val="006355EE"/>
    <w:rsid w:val="00635A41"/>
    <w:rsid w:val="00635BDA"/>
    <w:rsid w:val="00635F71"/>
    <w:rsid w:val="00636B37"/>
    <w:rsid w:val="00637231"/>
    <w:rsid w:val="0063745E"/>
    <w:rsid w:val="00637E06"/>
    <w:rsid w:val="00640889"/>
    <w:rsid w:val="00641250"/>
    <w:rsid w:val="0064256E"/>
    <w:rsid w:val="00642637"/>
    <w:rsid w:val="00642749"/>
    <w:rsid w:val="00642978"/>
    <w:rsid w:val="006432D4"/>
    <w:rsid w:val="00643DA0"/>
    <w:rsid w:val="006450BD"/>
    <w:rsid w:val="0064513D"/>
    <w:rsid w:val="00645236"/>
    <w:rsid w:val="00645B31"/>
    <w:rsid w:val="00645D16"/>
    <w:rsid w:val="00645D2E"/>
    <w:rsid w:val="00646267"/>
    <w:rsid w:val="006462EA"/>
    <w:rsid w:val="00646B21"/>
    <w:rsid w:val="006475E5"/>
    <w:rsid w:val="0064775D"/>
    <w:rsid w:val="00647793"/>
    <w:rsid w:val="00647BAE"/>
    <w:rsid w:val="00647DA8"/>
    <w:rsid w:val="00647F2C"/>
    <w:rsid w:val="006501D0"/>
    <w:rsid w:val="0065029B"/>
    <w:rsid w:val="0065040E"/>
    <w:rsid w:val="00650CCD"/>
    <w:rsid w:val="006512BC"/>
    <w:rsid w:val="0065131E"/>
    <w:rsid w:val="00651B3E"/>
    <w:rsid w:val="006523D5"/>
    <w:rsid w:val="00652497"/>
    <w:rsid w:val="006526D8"/>
    <w:rsid w:val="0065285F"/>
    <w:rsid w:val="0065303F"/>
    <w:rsid w:val="00653586"/>
    <w:rsid w:val="00653667"/>
    <w:rsid w:val="0065392E"/>
    <w:rsid w:val="0065482E"/>
    <w:rsid w:val="0065501C"/>
    <w:rsid w:val="006555FA"/>
    <w:rsid w:val="00655969"/>
    <w:rsid w:val="00655B17"/>
    <w:rsid w:val="00655BF6"/>
    <w:rsid w:val="00655CC4"/>
    <w:rsid w:val="00656177"/>
    <w:rsid w:val="0065671D"/>
    <w:rsid w:val="006567EB"/>
    <w:rsid w:val="00656B2B"/>
    <w:rsid w:val="00656BD2"/>
    <w:rsid w:val="00656BDC"/>
    <w:rsid w:val="00657A0C"/>
    <w:rsid w:val="00657B91"/>
    <w:rsid w:val="006608F5"/>
    <w:rsid w:val="0066183B"/>
    <w:rsid w:val="00661CEF"/>
    <w:rsid w:val="00662186"/>
    <w:rsid w:val="006621AA"/>
    <w:rsid w:val="00662392"/>
    <w:rsid w:val="006625D3"/>
    <w:rsid w:val="00663867"/>
    <w:rsid w:val="006638E3"/>
    <w:rsid w:val="00663BFE"/>
    <w:rsid w:val="00663DE1"/>
    <w:rsid w:val="006640B2"/>
    <w:rsid w:val="00664229"/>
    <w:rsid w:val="00664CCE"/>
    <w:rsid w:val="006651A6"/>
    <w:rsid w:val="00665557"/>
    <w:rsid w:val="006655B7"/>
    <w:rsid w:val="00665881"/>
    <w:rsid w:val="00665B95"/>
    <w:rsid w:val="00665BDF"/>
    <w:rsid w:val="00666189"/>
    <w:rsid w:val="006666F7"/>
    <w:rsid w:val="00666AB5"/>
    <w:rsid w:val="00666B67"/>
    <w:rsid w:val="00667098"/>
    <w:rsid w:val="00667B49"/>
    <w:rsid w:val="00667D27"/>
    <w:rsid w:val="0067049C"/>
    <w:rsid w:val="00670861"/>
    <w:rsid w:val="006708BA"/>
    <w:rsid w:val="00670928"/>
    <w:rsid w:val="00671002"/>
    <w:rsid w:val="0067125F"/>
    <w:rsid w:val="00671261"/>
    <w:rsid w:val="0067140E"/>
    <w:rsid w:val="00671582"/>
    <w:rsid w:val="00671645"/>
    <w:rsid w:val="006718E7"/>
    <w:rsid w:val="00671E99"/>
    <w:rsid w:val="00672086"/>
    <w:rsid w:val="006729FB"/>
    <w:rsid w:val="00672CB8"/>
    <w:rsid w:val="0067329C"/>
    <w:rsid w:val="00674065"/>
    <w:rsid w:val="00674ACD"/>
    <w:rsid w:val="0067511B"/>
    <w:rsid w:val="00675A83"/>
    <w:rsid w:val="00676301"/>
    <w:rsid w:val="006763AE"/>
    <w:rsid w:val="00676559"/>
    <w:rsid w:val="006766D4"/>
    <w:rsid w:val="00676E47"/>
    <w:rsid w:val="00676E65"/>
    <w:rsid w:val="00676EA5"/>
    <w:rsid w:val="00676F4A"/>
    <w:rsid w:val="00676F7A"/>
    <w:rsid w:val="0067703F"/>
    <w:rsid w:val="0067730B"/>
    <w:rsid w:val="006773BC"/>
    <w:rsid w:val="006773E9"/>
    <w:rsid w:val="00677631"/>
    <w:rsid w:val="0067796C"/>
    <w:rsid w:val="00677C46"/>
    <w:rsid w:val="00680107"/>
    <w:rsid w:val="006808E9"/>
    <w:rsid w:val="006809AE"/>
    <w:rsid w:val="00680A74"/>
    <w:rsid w:val="00680BB1"/>
    <w:rsid w:val="006811CB"/>
    <w:rsid w:val="00681B01"/>
    <w:rsid w:val="00681D97"/>
    <w:rsid w:val="00682042"/>
    <w:rsid w:val="006829DC"/>
    <w:rsid w:val="00682BF3"/>
    <w:rsid w:val="00682F93"/>
    <w:rsid w:val="00683575"/>
    <w:rsid w:val="00683CA7"/>
    <w:rsid w:val="00683FCC"/>
    <w:rsid w:val="00684525"/>
    <w:rsid w:val="00684577"/>
    <w:rsid w:val="00684847"/>
    <w:rsid w:val="00684A2E"/>
    <w:rsid w:val="00684E22"/>
    <w:rsid w:val="00684F2D"/>
    <w:rsid w:val="006851B2"/>
    <w:rsid w:val="006853B2"/>
    <w:rsid w:val="00685522"/>
    <w:rsid w:val="00685DE5"/>
    <w:rsid w:val="00685E2F"/>
    <w:rsid w:val="006861EE"/>
    <w:rsid w:val="00686B8A"/>
    <w:rsid w:val="00686B8B"/>
    <w:rsid w:val="00687209"/>
    <w:rsid w:val="0068726B"/>
    <w:rsid w:val="0068771D"/>
    <w:rsid w:val="00687970"/>
    <w:rsid w:val="00687BDB"/>
    <w:rsid w:val="00690376"/>
    <w:rsid w:val="00690815"/>
    <w:rsid w:val="0069085C"/>
    <w:rsid w:val="00690C63"/>
    <w:rsid w:val="00691498"/>
    <w:rsid w:val="00691B71"/>
    <w:rsid w:val="006920C6"/>
    <w:rsid w:val="0069254B"/>
    <w:rsid w:val="00692628"/>
    <w:rsid w:val="006927E3"/>
    <w:rsid w:val="0069330E"/>
    <w:rsid w:val="00693967"/>
    <w:rsid w:val="00693A8F"/>
    <w:rsid w:val="00693C21"/>
    <w:rsid w:val="00693C38"/>
    <w:rsid w:val="0069402D"/>
    <w:rsid w:val="00694324"/>
    <w:rsid w:val="006949D4"/>
    <w:rsid w:val="00694C0C"/>
    <w:rsid w:val="006956CC"/>
    <w:rsid w:val="0069587C"/>
    <w:rsid w:val="00695AD4"/>
    <w:rsid w:val="00695CB5"/>
    <w:rsid w:val="0069600C"/>
    <w:rsid w:val="006965B0"/>
    <w:rsid w:val="006968A4"/>
    <w:rsid w:val="00696A27"/>
    <w:rsid w:val="00696A75"/>
    <w:rsid w:val="00696BD8"/>
    <w:rsid w:val="00696C39"/>
    <w:rsid w:val="00696F53"/>
    <w:rsid w:val="0069719B"/>
    <w:rsid w:val="006A04C5"/>
    <w:rsid w:val="006A0657"/>
    <w:rsid w:val="006A065A"/>
    <w:rsid w:val="006A0861"/>
    <w:rsid w:val="006A0A87"/>
    <w:rsid w:val="006A0BA1"/>
    <w:rsid w:val="006A10C0"/>
    <w:rsid w:val="006A1415"/>
    <w:rsid w:val="006A15B7"/>
    <w:rsid w:val="006A1A80"/>
    <w:rsid w:val="006A1B9A"/>
    <w:rsid w:val="006A22E6"/>
    <w:rsid w:val="006A23E4"/>
    <w:rsid w:val="006A251E"/>
    <w:rsid w:val="006A2A01"/>
    <w:rsid w:val="006A2B6A"/>
    <w:rsid w:val="006A2B7B"/>
    <w:rsid w:val="006A2F2F"/>
    <w:rsid w:val="006A349B"/>
    <w:rsid w:val="006A35F3"/>
    <w:rsid w:val="006A3911"/>
    <w:rsid w:val="006A3AA3"/>
    <w:rsid w:val="006A3F64"/>
    <w:rsid w:val="006A3F96"/>
    <w:rsid w:val="006A4168"/>
    <w:rsid w:val="006A463E"/>
    <w:rsid w:val="006A4748"/>
    <w:rsid w:val="006A4F12"/>
    <w:rsid w:val="006A50A6"/>
    <w:rsid w:val="006A51CD"/>
    <w:rsid w:val="006A531C"/>
    <w:rsid w:val="006A55C7"/>
    <w:rsid w:val="006A575C"/>
    <w:rsid w:val="006A5AFA"/>
    <w:rsid w:val="006A5CD8"/>
    <w:rsid w:val="006A5DD7"/>
    <w:rsid w:val="006A5E40"/>
    <w:rsid w:val="006A6496"/>
    <w:rsid w:val="006A67EF"/>
    <w:rsid w:val="006A6944"/>
    <w:rsid w:val="006A6E4F"/>
    <w:rsid w:val="006A7100"/>
    <w:rsid w:val="006A72C3"/>
    <w:rsid w:val="006A7C9A"/>
    <w:rsid w:val="006A7FE7"/>
    <w:rsid w:val="006AC8B7"/>
    <w:rsid w:val="006B04BE"/>
    <w:rsid w:val="006B0609"/>
    <w:rsid w:val="006B060D"/>
    <w:rsid w:val="006B07C1"/>
    <w:rsid w:val="006B0DEC"/>
    <w:rsid w:val="006B1389"/>
    <w:rsid w:val="006B17AC"/>
    <w:rsid w:val="006B17C8"/>
    <w:rsid w:val="006B17EC"/>
    <w:rsid w:val="006B1E80"/>
    <w:rsid w:val="006B2127"/>
    <w:rsid w:val="006B2281"/>
    <w:rsid w:val="006B2817"/>
    <w:rsid w:val="006B333D"/>
    <w:rsid w:val="006B3945"/>
    <w:rsid w:val="006B3B7C"/>
    <w:rsid w:val="006B3BA1"/>
    <w:rsid w:val="006B3BF3"/>
    <w:rsid w:val="006B4055"/>
    <w:rsid w:val="006B446C"/>
    <w:rsid w:val="006B46C6"/>
    <w:rsid w:val="006B4757"/>
    <w:rsid w:val="006B4894"/>
    <w:rsid w:val="006B49E2"/>
    <w:rsid w:val="006B4A86"/>
    <w:rsid w:val="006B4C2D"/>
    <w:rsid w:val="006B4D1C"/>
    <w:rsid w:val="006B5277"/>
    <w:rsid w:val="006B5339"/>
    <w:rsid w:val="006B57FA"/>
    <w:rsid w:val="006B580A"/>
    <w:rsid w:val="006B5B92"/>
    <w:rsid w:val="006B62A4"/>
    <w:rsid w:val="006B6B49"/>
    <w:rsid w:val="006B738F"/>
    <w:rsid w:val="006B740E"/>
    <w:rsid w:val="006B7510"/>
    <w:rsid w:val="006B7E04"/>
    <w:rsid w:val="006C012D"/>
    <w:rsid w:val="006C0253"/>
    <w:rsid w:val="006C03CA"/>
    <w:rsid w:val="006C0B72"/>
    <w:rsid w:val="006C11F7"/>
    <w:rsid w:val="006C1257"/>
    <w:rsid w:val="006C131B"/>
    <w:rsid w:val="006C17C9"/>
    <w:rsid w:val="006C1BD2"/>
    <w:rsid w:val="006C28EC"/>
    <w:rsid w:val="006C2A45"/>
    <w:rsid w:val="006C2BA7"/>
    <w:rsid w:val="006C3206"/>
    <w:rsid w:val="006C3245"/>
    <w:rsid w:val="006C368C"/>
    <w:rsid w:val="006C376A"/>
    <w:rsid w:val="006C37A6"/>
    <w:rsid w:val="006C380B"/>
    <w:rsid w:val="006C3E44"/>
    <w:rsid w:val="006C3E9B"/>
    <w:rsid w:val="006C53B2"/>
    <w:rsid w:val="006C53D8"/>
    <w:rsid w:val="006C55B5"/>
    <w:rsid w:val="006C5A76"/>
    <w:rsid w:val="006C5D96"/>
    <w:rsid w:val="006C5EE4"/>
    <w:rsid w:val="006C65EA"/>
    <w:rsid w:val="006C6B60"/>
    <w:rsid w:val="006C6F04"/>
    <w:rsid w:val="006C7229"/>
    <w:rsid w:val="006C7444"/>
    <w:rsid w:val="006C7BAC"/>
    <w:rsid w:val="006D053E"/>
    <w:rsid w:val="006D0659"/>
    <w:rsid w:val="006D0AD9"/>
    <w:rsid w:val="006D0CBA"/>
    <w:rsid w:val="006D145C"/>
    <w:rsid w:val="006D1511"/>
    <w:rsid w:val="006D1DD2"/>
    <w:rsid w:val="006D1EB9"/>
    <w:rsid w:val="006D21B1"/>
    <w:rsid w:val="006D280F"/>
    <w:rsid w:val="006D28DA"/>
    <w:rsid w:val="006D29A6"/>
    <w:rsid w:val="006D2A97"/>
    <w:rsid w:val="006D2CAC"/>
    <w:rsid w:val="006D3AB1"/>
    <w:rsid w:val="006D3C47"/>
    <w:rsid w:val="006D3E7C"/>
    <w:rsid w:val="006D42E7"/>
    <w:rsid w:val="006D441E"/>
    <w:rsid w:val="006D49D5"/>
    <w:rsid w:val="006D4AA4"/>
    <w:rsid w:val="006D4BDC"/>
    <w:rsid w:val="006D4DAE"/>
    <w:rsid w:val="006D4F02"/>
    <w:rsid w:val="006D4FBC"/>
    <w:rsid w:val="006D5454"/>
    <w:rsid w:val="006D56DF"/>
    <w:rsid w:val="006D5914"/>
    <w:rsid w:val="006D5C5C"/>
    <w:rsid w:val="006D5EC8"/>
    <w:rsid w:val="006D638C"/>
    <w:rsid w:val="006D6548"/>
    <w:rsid w:val="006D6B17"/>
    <w:rsid w:val="006D6F82"/>
    <w:rsid w:val="006D71A1"/>
    <w:rsid w:val="006D7EA3"/>
    <w:rsid w:val="006E07C2"/>
    <w:rsid w:val="006E088B"/>
    <w:rsid w:val="006E1740"/>
    <w:rsid w:val="006E191F"/>
    <w:rsid w:val="006E1A7B"/>
    <w:rsid w:val="006E1BDC"/>
    <w:rsid w:val="006E252F"/>
    <w:rsid w:val="006E27BD"/>
    <w:rsid w:val="006E2AE7"/>
    <w:rsid w:val="006E2CC1"/>
    <w:rsid w:val="006E2FE3"/>
    <w:rsid w:val="006E34ED"/>
    <w:rsid w:val="006E38CB"/>
    <w:rsid w:val="006E3BE6"/>
    <w:rsid w:val="006E3CCB"/>
    <w:rsid w:val="006E3DD4"/>
    <w:rsid w:val="006E3E80"/>
    <w:rsid w:val="006E3E92"/>
    <w:rsid w:val="006E415C"/>
    <w:rsid w:val="006E4A84"/>
    <w:rsid w:val="006E51FB"/>
    <w:rsid w:val="006E5427"/>
    <w:rsid w:val="006E5436"/>
    <w:rsid w:val="006E594D"/>
    <w:rsid w:val="006E5A6D"/>
    <w:rsid w:val="006E5E4C"/>
    <w:rsid w:val="006E62D2"/>
    <w:rsid w:val="006E66AE"/>
    <w:rsid w:val="006E6C6F"/>
    <w:rsid w:val="006E70A3"/>
    <w:rsid w:val="006E741B"/>
    <w:rsid w:val="006E74A5"/>
    <w:rsid w:val="006E7550"/>
    <w:rsid w:val="006E7866"/>
    <w:rsid w:val="006E7920"/>
    <w:rsid w:val="006E7A4D"/>
    <w:rsid w:val="006E7AE0"/>
    <w:rsid w:val="006F035A"/>
    <w:rsid w:val="006F104D"/>
    <w:rsid w:val="006F1F86"/>
    <w:rsid w:val="006F299D"/>
    <w:rsid w:val="006F2A7F"/>
    <w:rsid w:val="006F2BA2"/>
    <w:rsid w:val="006F2C6B"/>
    <w:rsid w:val="006F2E9D"/>
    <w:rsid w:val="006F3082"/>
    <w:rsid w:val="006F3900"/>
    <w:rsid w:val="006F3B16"/>
    <w:rsid w:val="006F3DE0"/>
    <w:rsid w:val="006F4917"/>
    <w:rsid w:val="006F4B60"/>
    <w:rsid w:val="006F4F5B"/>
    <w:rsid w:val="006F52EE"/>
    <w:rsid w:val="006F53F5"/>
    <w:rsid w:val="006F5B26"/>
    <w:rsid w:val="006F6804"/>
    <w:rsid w:val="006F6B3A"/>
    <w:rsid w:val="006F7B52"/>
    <w:rsid w:val="00700843"/>
    <w:rsid w:val="00700FAB"/>
    <w:rsid w:val="00701076"/>
    <w:rsid w:val="00701301"/>
    <w:rsid w:val="0070148B"/>
    <w:rsid w:val="007014D1"/>
    <w:rsid w:val="00701861"/>
    <w:rsid w:val="00701D50"/>
    <w:rsid w:val="00701DEA"/>
    <w:rsid w:val="007022D6"/>
    <w:rsid w:val="00703295"/>
    <w:rsid w:val="00704387"/>
    <w:rsid w:val="00704570"/>
    <w:rsid w:val="00704754"/>
    <w:rsid w:val="00704809"/>
    <w:rsid w:val="00705930"/>
    <w:rsid w:val="00705EC1"/>
    <w:rsid w:val="007075F7"/>
    <w:rsid w:val="00707C58"/>
    <w:rsid w:val="00710735"/>
    <w:rsid w:val="00710BB4"/>
    <w:rsid w:val="00710D85"/>
    <w:rsid w:val="00710E1C"/>
    <w:rsid w:val="00711A36"/>
    <w:rsid w:val="00711B9B"/>
    <w:rsid w:val="00711D71"/>
    <w:rsid w:val="0071205C"/>
    <w:rsid w:val="007120AF"/>
    <w:rsid w:val="00712AAF"/>
    <w:rsid w:val="00713266"/>
    <w:rsid w:val="00713833"/>
    <w:rsid w:val="00713A25"/>
    <w:rsid w:val="007144CB"/>
    <w:rsid w:val="00714753"/>
    <w:rsid w:val="00715088"/>
    <w:rsid w:val="00715A0A"/>
    <w:rsid w:val="00715BDA"/>
    <w:rsid w:val="00715E31"/>
    <w:rsid w:val="007166C9"/>
    <w:rsid w:val="00716AC2"/>
    <w:rsid w:val="007177AF"/>
    <w:rsid w:val="00717849"/>
    <w:rsid w:val="00717B43"/>
    <w:rsid w:val="00717D9C"/>
    <w:rsid w:val="0072070B"/>
    <w:rsid w:val="00720767"/>
    <w:rsid w:val="00720A3A"/>
    <w:rsid w:val="00720B5A"/>
    <w:rsid w:val="00720DC3"/>
    <w:rsid w:val="00721145"/>
    <w:rsid w:val="00721436"/>
    <w:rsid w:val="0072165B"/>
    <w:rsid w:val="007217DF"/>
    <w:rsid w:val="00721989"/>
    <w:rsid w:val="007219DD"/>
    <w:rsid w:val="00721AA5"/>
    <w:rsid w:val="00721E8D"/>
    <w:rsid w:val="00722AB9"/>
    <w:rsid w:val="00722D3C"/>
    <w:rsid w:val="0072313B"/>
    <w:rsid w:val="00723A7A"/>
    <w:rsid w:val="00723AD8"/>
    <w:rsid w:val="00723C48"/>
    <w:rsid w:val="00724E8B"/>
    <w:rsid w:val="00724F6E"/>
    <w:rsid w:val="00724FDC"/>
    <w:rsid w:val="00725642"/>
    <w:rsid w:val="00725658"/>
    <w:rsid w:val="00725DF3"/>
    <w:rsid w:val="0072638B"/>
    <w:rsid w:val="007267A4"/>
    <w:rsid w:val="00726A44"/>
    <w:rsid w:val="00726EF0"/>
    <w:rsid w:val="007275F7"/>
    <w:rsid w:val="007300A3"/>
    <w:rsid w:val="00730414"/>
    <w:rsid w:val="0073058E"/>
    <w:rsid w:val="00730A3E"/>
    <w:rsid w:val="007317D1"/>
    <w:rsid w:val="00731DEC"/>
    <w:rsid w:val="0073281C"/>
    <w:rsid w:val="00732B38"/>
    <w:rsid w:val="00732D54"/>
    <w:rsid w:val="00732E59"/>
    <w:rsid w:val="007332D7"/>
    <w:rsid w:val="00733461"/>
    <w:rsid w:val="007337E4"/>
    <w:rsid w:val="00733AB2"/>
    <w:rsid w:val="00733AD5"/>
    <w:rsid w:val="00733C53"/>
    <w:rsid w:val="00733EAF"/>
    <w:rsid w:val="0073414B"/>
    <w:rsid w:val="00734A11"/>
    <w:rsid w:val="00734C8F"/>
    <w:rsid w:val="00734D4F"/>
    <w:rsid w:val="00734ED7"/>
    <w:rsid w:val="007351CC"/>
    <w:rsid w:val="007352C4"/>
    <w:rsid w:val="00735C33"/>
    <w:rsid w:val="00735CDC"/>
    <w:rsid w:val="00735E85"/>
    <w:rsid w:val="00736116"/>
    <w:rsid w:val="007363F5"/>
    <w:rsid w:val="0073640D"/>
    <w:rsid w:val="00736ACD"/>
    <w:rsid w:val="00736D8C"/>
    <w:rsid w:val="00736EB9"/>
    <w:rsid w:val="007372F2"/>
    <w:rsid w:val="00737509"/>
    <w:rsid w:val="007377F3"/>
    <w:rsid w:val="00737C30"/>
    <w:rsid w:val="00737DE8"/>
    <w:rsid w:val="007409BA"/>
    <w:rsid w:val="007418CF"/>
    <w:rsid w:val="00741BEE"/>
    <w:rsid w:val="00741C06"/>
    <w:rsid w:val="00741E51"/>
    <w:rsid w:val="00742237"/>
    <w:rsid w:val="007423D8"/>
    <w:rsid w:val="007426DF"/>
    <w:rsid w:val="007429D2"/>
    <w:rsid w:val="007431AF"/>
    <w:rsid w:val="00743B6C"/>
    <w:rsid w:val="00743C28"/>
    <w:rsid w:val="00743D2D"/>
    <w:rsid w:val="00743E72"/>
    <w:rsid w:val="00743E89"/>
    <w:rsid w:val="00744056"/>
    <w:rsid w:val="007440C7"/>
    <w:rsid w:val="007443DD"/>
    <w:rsid w:val="00744462"/>
    <w:rsid w:val="00744B6C"/>
    <w:rsid w:val="007451AA"/>
    <w:rsid w:val="007454D3"/>
    <w:rsid w:val="00745672"/>
    <w:rsid w:val="00745767"/>
    <w:rsid w:val="00745A6A"/>
    <w:rsid w:val="00745B6B"/>
    <w:rsid w:val="00745BFE"/>
    <w:rsid w:val="00745CCE"/>
    <w:rsid w:val="00745DB7"/>
    <w:rsid w:val="00745F2D"/>
    <w:rsid w:val="00746A3A"/>
    <w:rsid w:val="00746AD8"/>
    <w:rsid w:val="00746B54"/>
    <w:rsid w:val="0074714C"/>
    <w:rsid w:val="0074716B"/>
    <w:rsid w:val="0074719B"/>
    <w:rsid w:val="00747688"/>
    <w:rsid w:val="00747A75"/>
    <w:rsid w:val="00747D5D"/>
    <w:rsid w:val="00747DD5"/>
    <w:rsid w:val="00747F28"/>
    <w:rsid w:val="00750331"/>
    <w:rsid w:val="00750CCA"/>
    <w:rsid w:val="0075111F"/>
    <w:rsid w:val="00751264"/>
    <w:rsid w:val="007518BB"/>
    <w:rsid w:val="007518CC"/>
    <w:rsid w:val="00752618"/>
    <w:rsid w:val="00752826"/>
    <w:rsid w:val="00752AF1"/>
    <w:rsid w:val="00752BB5"/>
    <w:rsid w:val="00752CA3"/>
    <w:rsid w:val="007531AE"/>
    <w:rsid w:val="007534D3"/>
    <w:rsid w:val="0075374A"/>
    <w:rsid w:val="00753ACC"/>
    <w:rsid w:val="00753F3E"/>
    <w:rsid w:val="00754D00"/>
    <w:rsid w:val="00754D8D"/>
    <w:rsid w:val="00754E1F"/>
    <w:rsid w:val="00755229"/>
    <w:rsid w:val="007553BC"/>
    <w:rsid w:val="00755B6D"/>
    <w:rsid w:val="00755CF6"/>
    <w:rsid w:val="00756517"/>
    <w:rsid w:val="00757131"/>
    <w:rsid w:val="007571BF"/>
    <w:rsid w:val="00757B98"/>
    <w:rsid w:val="00757C29"/>
    <w:rsid w:val="00760211"/>
    <w:rsid w:val="00760954"/>
    <w:rsid w:val="00761035"/>
    <w:rsid w:val="00761188"/>
    <w:rsid w:val="007611D9"/>
    <w:rsid w:val="007615EE"/>
    <w:rsid w:val="007618E3"/>
    <w:rsid w:val="007622E8"/>
    <w:rsid w:val="00762BF5"/>
    <w:rsid w:val="00762D2F"/>
    <w:rsid w:val="00762D82"/>
    <w:rsid w:val="0076306A"/>
    <w:rsid w:val="00763B30"/>
    <w:rsid w:val="00763BC3"/>
    <w:rsid w:val="007641EB"/>
    <w:rsid w:val="007642C8"/>
    <w:rsid w:val="00764569"/>
    <w:rsid w:val="0076457E"/>
    <w:rsid w:val="00764A92"/>
    <w:rsid w:val="007659CB"/>
    <w:rsid w:val="00765C40"/>
    <w:rsid w:val="00765F6B"/>
    <w:rsid w:val="007663C3"/>
    <w:rsid w:val="0076682D"/>
    <w:rsid w:val="00766AF8"/>
    <w:rsid w:val="00766B66"/>
    <w:rsid w:val="00767010"/>
    <w:rsid w:val="00767091"/>
    <w:rsid w:val="0076769F"/>
    <w:rsid w:val="00767731"/>
    <w:rsid w:val="007677E6"/>
    <w:rsid w:val="00767EFB"/>
    <w:rsid w:val="00770026"/>
    <w:rsid w:val="0077004B"/>
    <w:rsid w:val="00770205"/>
    <w:rsid w:val="00770247"/>
    <w:rsid w:val="00770524"/>
    <w:rsid w:val="00770922"/>
    <w:rsid w:val="007710D2"/>
    <w:rsid w:val="007716C8"/>
    <w:rsid w:val="00771975"/>
    <w:rsid w:val="00772895"/>
    <w:rsid w:val="00773501"/>
    <w:rsid w:val="00773CF1"/>
    <w:rsid w:val="007740BB"/>
    <w:rsid w:val="007741A0"/>
    <w:rsid w:val="00774587"/>
    <w:rsid w:val="007747D1"/>
    <w:rsid w:val="007748C6"/>
    <w:rsid w:val="007749BF"/>
    <w:rsid w:val="00774FC9"/>
    <w:rsid w:val="00775388"/>
    <w:rsid w:val="007753BE"/>
    <w:rsid w:val="00775BB6"/>
    <w:rsid w:val="007761F6"/>
    <w:rsid w:val="0077683D"/>
    <w:rsid w:val="007768AA"/>
    <w:rsid w:val="00776FE6"/>
    <w:rsid w:val="0077701B"/>
    <w:rsid w:val="00777252"/>
    <w:rsid w:val="0077736C"/>
    <w:rsid w:val="007779DD"/>
    <w:rsid w:val="007801D9"/>
    <w:rsid w:val="0078024F"/>
    <w:rsid w:val="00780399"/>
    <w:rsid w:val="00780508"/>
    <w:rsid w:val="007805DA"/>
    <w:rsid w:val="0078067C"/>
    <w:rsid w:val="00780EBB"/>
    <w:rsid w:val="00780EF1"/>
    <w:rsid w:val="00780F87"/>
    <w:rsid w:val="00781E69"/>
    <w:rsid w:val="0078236E"/>
    <w:rsid w:val="007824B3"/>
    <w:rsid w:val="00782C49"/>
    <w:rsid w:val="00782E12"/>
    <w:rsid w:val="0078340D"/>
    <w:rsid w:val="007838D7"/>
    <w:rsid w:val="00783AD0"/>
    <w:rsid w:val="00784269"/>
    <w:rsid w:val="007844B5"/>
    <w:rsid w:val="0078488B"/>
    <w:rsid w:val="00784C37"/>
    <w:rsid w:val="00785318"/>
    <w:rsid w:val="007853E1"/>
    <w:rsid w:val="007853E6"/>
    <w:rsid w:val="00786C38"/>
    <w:rsid w:val="007875BD"/>
    <w:rsid w:val="00787674"/>
    <w:rsid w:val="00787898"/>
    <w:rsid w:val="00787C37"/>
    <w:rsid w:val="00787D21"/>
    <w:rsid w:val="00787D41"/>
    <w:rsid w:val="00787E37"/>
    <w:rsid w:val="0079000A"/>
    <w:rsid w:val="00790500"/>
    <w:rsid w:val="00790BB3"/>
    <w:rsid w:val="00791111"/>
    <w:rsid w:val="00791466"/>
    <w:rsid w:val="00791722"/>
    <w:rsid w:val="0079190D"/>
    <w:rsid w:val="00791AB3"/>
    <w:rsid w:val="00791B7E"/>
    <w:rsid w:val="00791F41"/>
    <w:rsid w:val="00792079"/>
    <w:rsid w:val="0079297D"/>
    <w:rsid w:val="00792BA4"/>
    <w:rsid w:val="00792C88"/>
    <w:rsid w:val="0079318C"/>
    <w:rsid w:val="007932F4"/>
    <w:rsid w:val="007934AB"/>
    <w:rsid w:val="00793DD0"/>
    <w:rsid w:val="00794605"/>
    <w:rsid w:val="00794895"/>
    <w:rsid w:val="00794968"/>
    <w:rsid w:val="007949AD"/>
    <w:rsid w:val="00795068"/>
    <w:rsid w:val="0079550A"/>
    <w:rsid w:val="007959BD"/>
    <w:rsid w:val="00796456"/>
    <w:rsid w:val="00796543"/>
    <w:rsid w:val="007966EA"/>
    <w:rsid w:val="0079697F"/>
    <w:rsid w:val="00796C3F"/>
    <w:rsid w:val="00796E9D"/>
    <w:rsid w:val="00797072"/>
    <w:rsid w:val="007970E6"/>
    <w:rsid w:val="007972A7"/>
    <w:rsid w:val="007979D1"/>
    <w:rsid w:val="00797CA6"/>
    <w:rsid w:val="00797DDF"/>
    <w:rsid w:val="007A012A"/>
    <w:rsid w:val="007A020F"/>
    <w:rsid w:val="007A041D"/>
    <w:rsid w:val="007A0E6B"/>
    <w:rsid w:val="007A10A0"/>
    <w:rsid w:val="007A118C"/>
    <w:rsid w:val="007A15CC"/>
    <w:rsid w:val="007A17A6"/>
    <w:rsid w:val="007A1BEC"/>
    <w:rsid w:val="007A1C3E"/>
    <w:rsid w:val="007A1CC5"/>
    <w:rsid w:val="007A243D"/>
    <w:rsid w:val="007A255D"/>
    <w:rsid w:val="007A27BD"/>
    <w:rsid w:val="007A2F8B"/>
    <w:rsid w:val="007A2FBA"/>
    <w:rsid w:val="007A3110"/>
    <w:rsid w:val="007A3570"/>
    <w:rsid w:val="007A37AA"/>
    <w:rsid w:val="007A3A46"/>
    <w:rsid w:val="007A3AFF"/>
    <w:rsid w:val="007A42B3"/>
    <w:rsid w:val="007A44CD"/>
    <w:rsid w:val="007A4E28"/>
    <w:rsid w:val="007A4F00"/>
    <w:rsid w:val="007A4F78"/>
    <w:rsid w:val="007A52A3"/>
    <w:rsid w:val="007A5867"/>
    <w:rsid w:val="007A5FBF"/>
    <w:rsid w:val="007A5FD7"/>
    <w:rsid w:val="007A60A7"/>
    <w:rsid w:val="007A66AC"/>
    <w:rsid w:val="007A68F8"/>
    <w:rsid w:val="007A6C7E"/>
    <w:rsid w:val="007A7274"/>
    <w:rsid w:val="007A7C22"/>
    <w:rsid w:val="007A7CBF"/>
    <w:rsid w:val="007A7DFE"/>
    <w:rsid w:val="007B06F4"/>
    <w:rsid w:val="007B1153"/>
    <w:rsid w:val="007B14E6"/>
    <w:rsid w:val="007B1FD3"/>
    <w:rsid w:val="007B22FC"/>
    <w:rsid w:val="007B2F01"/>
    <w:rsid w:val="007B2F94"/>
    <w:rsid w:val="007B3286"/>
    <w:rsid w:val="007B3490"/>
    <w:rsid w:val="007B383D"/>
    <w:rsid w:val="007B3993"/>
    <w:rsid w:val="007B3B49"/>
    <w:rsid w:val="007B3D66"/>
    <w:rsid w:val="007B413B"/>
    <w:rsid w:val="007B4D03"/>
    <w:rsid w:val="007B5A9C"/>
    <w:rsid w:val="007B5B0D"/>
    <w:rsid w:val="007B62DC"/>
    <w:rsid w:val="007B6A36"/>
    <w:rsid w:val="007B6C4D"/>
    <w:rsid w:val="007B6C6D"/>
    <w:rsid w:val="007B6E85"/>
    <w:rsid w:val="007B6F30"/>
    <w:rsid w:val="007B7EC5"/>
    <w:rsid w:val="007B7ECE"/>
    <w:rsid w:val="007C0310"/>
    <w:rsid w:val="007C04BC"/>
    <w:rsid w:val="007C0D78"/>
    <w:rsid w:val="007C1A9C"/>
    <w:rsid w:val="007C291F"/>
    <w:rsid w:val="007C2B4D"/>
    <w:rsid w:val="007C2DBF"/>
    <w:rsid w:val="007C2F0F"/>
    <w:rsid w:val="007C314A"/>
    <w:rsid w:val="007C3249"/>
    <w:rsid w:val="007C3D89"/>
    <w:rsid w:val="007C3E22"/>
    <w:rsid w:val="007C41E4"/>
    <w:rsid w:val="007C422A"/>
    <w:rsid w:val="007C450A"/>
    <w:rsid w:val="007C460D"/>
    <w:rsid w:val="007C4F26"/>
    <w:rsid w:val="007C51D4"/>
    <w:rsid w:val="007C5B79"/>
    <w:rsid w:val="007C5E98"/>
    <w:rsid w:val="007C6223"/>
    <w:rsid w:val="007C68A8"/>
    <w:rsid w:val="007C723E"/>
    <w:rsid w:val="007C749E"/>
    <w:rsid w:val="007C7AAE"/>
    <w:rsid w:val="007C7AF0"/>
    <w:rsid w:val="007D0088"/>
    <w:rsid w:val="007D03EA"/>
    <w:rsid w:val="007D0901"/>
    <w:rsid w:val="007D0A14"/>
    <w:rsid w:val="007D1163"/>
    <w:rsid w:val="007D1B37"/>
    <w:rsid w:val="007D1C43"/>
    <w:rsid w:val="007D1DF9"/>
    <w:rsid w:val="007D2107"/>
    <w:rsid w:val="007D211B"/>
    <w:rsid w:val="007D224E"/>
    <w:rsid w:val="007D2317"/>
    <w:rsid w:val="007D26D3"/>
    <w:rsid w:val="007D2848"/>
    <w:rsid w:val="007D2E77"/>
    <w:rsid w:val="007D2F2E"/>
    <w:rsid w:val="007D377C"/>
    <w:rsid w:val="007D4126"/>
    <w:rsid w:val="007D4273"/>
    <w:rsid w:val="007D4B64"/>
    <w:rsid w:val="007D4E8C"/>
    <w:rsid w:val="007D56F2"/>
    <w:rsid w:val="007D584D"/>
    <w:rsid w:val="007D5EF1"/>
    <w:rsid w:val="007D67CA"/>
    <w:rsid w:val="007D67DB"/>
    <w:rsid w:val="007D6B72"/>
    <w:rsid w:val="007D721B"/>
    <w:rsid w:val="007D72E1"/>
    <w:rsid w:val="007D737A"/>
    <w:rsid w:val="007D754C"/>
    <w:rsid w:val="007D7B67"/>
    <w:rsid w:val="007D7B7F"/>
    <w:rsid w:val="007D7EC8"/>
    <w:rsid w:val="007E004B"/>
    <w:rsid w:val="007E005C"/>
    <w:rsid w:val="007E02B2"/>
    <w:rsid w:val="007E0FA2"/>
    <w:rsid w:val="007E1A1A"/>
    <w:rsid w:val="007E1E4A"/>
    <w:rsid w:val="007E2290"/>
    <w:rsid w:val="007E22F6"/>
    <w:rsid w:val="007E2D5B"/>
    <w:rsid w:val="007E3334"/>
    <w:rsid w:val="007E345F"/>
    <w:rsid w:val="007E398D"/>
    <w:rsid w:val="007E3FD6"/>
    <w:rsid w:val="007E48EB"/>
    <w:rsid w:val="007E4A3F"/>
    <w:rsid w:val="007E4A92"/>
    <w:rsid w:val="007E4B81"/>
    <w:rsid w:val="007E4BC7"/>
    <w:rsid w:val="007E4BFD"/>
    <w:rsid w:val="007E4D9E"/>
    <w:rsid w:val="007E5203"/>
    <w:rsid w:val="007E55E7"/>
    <w:rsid w:val="007E564F"/>
    <w:rsid w:val="007E56CB"/>
    <w:rsid w:val="007E57F5"/>
    <w:rsid w:val="007E6340"/>
    <w:rsid w:val="007E6952"/>
    <w:rsid w:val="007E743B"/>
    <w:rsid w:val="007E76BC"/>
    <w:rsid w:val="007F0496"/>
    <w:rsid w:val="007F0521"/>
    <w:rsid w:val="007F0BF5"/>
    <w:rsid w:val="007F0F37"/>
    <w:rsid w:val="007F0F75"/>
    <w:rsid w:val="007F1363"/>
    <w:rsid w:val="007F17D9"/>
    <w:rsid w:val="007F1DCE"/>
    <w:rsid w:val="007F1FA7"/>
    <w:rsid w:val="007F22CF"/>
    <w:rsid w:val="007F26A1"/>
    <w:rsid w:val="007F2DC6"/>
    <w:rsid w:val="007F4037"/>
    <w:rsid w:val="007F40B2"/>
    <w:rsid w:val="007F40F6"/>
    <w:rsid w:val="007F4145"/>
    <w:rsid w:val="007F46DE"/>
    <w:rsid w:val="007F524F"/>
    <w:rsid w:val="007F57E5"/>
    <w:rsid w:val="007F5AF8"/>
    <w:rsid w:val="007F5CED"/>
    <w:rsid w:val="007F5FF1"/>
    <w:rsid w:val="007F6264"/>
    <w:rsid w:val="007F6677"/>
    <w:rsid w:val="007F6B60"/>
    <w:rsid w:val="007F6EB0"/>
    <w:rsid w:val="007F714F"/>
    <w:rsid w:val="007F7847"/>
    <w:rsid w:val="007F7945"/>
    <w:rsid w:val="007F7990"/>
    <w:rsid w:val="007F7C55"/>
    <w:rsid w:val="007F7E09"/>
    <w:rsid w:val="007F7F48"/>
    <w:rsid w:val="007F7F71"/>
    <w:rsid w:val="00800AC8"/>
    <w:rsid w:val="00800E66"/>
    <w:rsid w:val="00801511"/>
    <w:rsid w:val="00801ADF"/>
    <w:rsid w:val="00801BD2"/>
    <w:rsid w:val="00801C5F"/>
    <w:rsid w:val="00801E8D"/>
    <w:rsid w:val="00801F08"/>
    <w:rsid w:val="00802120"/>
    <w:rsid w:val="00802FDE"/>
    <w:rsid w:val="00803870"/>
    <w:rsid w:val="008039B2"/>
    <w:rsid w:val="00803DA9"/>
    <w:rsid w:val="00804E40"/>
    <w:rsid w:val="00805430"/>
    <w:rsid w:val="008054E4"/>
    <w:rsid w:val="008055D4"/>
    <w:rsid w:val="00805C78"/>
    <w:rsid w:val="0080679A"/>
    <w:rsid w:val="008067C8"/>
    <w:rsid w:val="00806B30"/>
    <w:rsid w:val="008072DB"/>
    <w:rsid w:val="00807341"/>
    <w:rsid w:val="00807CEC"/>
    <w:rsid w:val="00807EAA"/>
    <w:rsid w:val="008100BA"/>
    <w:rsid w:val="008106C8"/>
    <w:rsid w:val="00810A6A"/>
    <w:rsid w:val="00810DA0"/>
    <w:rsid w:val="00810E23"/>
    <w:rsid w:val="00810F4A"/>
    <w:rsid w:val="00811058"/>
    <w:rsid w:val="008111F9"/>
    <w:rsid w:val="008112E6"/>
    <w:rsid w:val="008112E8"/>
    <w:rsid w:val="00811530"/>
    <w:rsid w:val="00811742"/>
    <w:rsid w:val="00811782"/>
    <w:rsid w:val="00811BDB"/>
    <w:rsid w:val="00811C26"/>
    <w:rsid w:val="00811C2F"/>
    <w:rsid w:val="00811CA2"/>
    <w:rsid w:val="00811F7E"/>
    <w:rsid w:val="0081236C"/>
    <w:rsid w:val="008124BE"/>
    <w:rsid w:val="0081255B"/>
    <w:rsid w:val="008129C4"/>
    <w:rsid w:val="00812EF9"/>
    <w:rsid w:val="0081352E"/>
    <w:rsid w:val="008135C7"/>
    <w:rsid w:val="008138B3"/>
    <w:rsid w:val="008146B6"/>
    <w:rsid w:val="0081482B"/>
    <w:rsid w:val="008149BC"/>
    <w:rsid w:val="00814DD9"/>
    <w:rsid w:val="008154ED"/>
    <w:rsid w:val="00815546"/>
    <w:rsid w:val="0081582B"/>
    <w:rsid w:val="00815CBA"/>
    <w:rsid w:val="00816557"/>
    <w:rsid w:val="008168D9"/>
    <w:rsid w:val="00816F9E"/>
    <w:rsid w:val="008177C8"/>
    <w:rsid w:val="008179FB"/>
    <w:rsid w:val="00817B06"/>
    <w:rsid w:val="00817D13"/>
    <w:rsid w:val="00817E46"/>
    <w:rsid w:val="00817F22"/>
    <w:rsid w:val="00820012"/>
    <w:rsid w:val="0082053D"/>
    <w:rsid w:val="00820DCB"/>
    <w:rsid w:val="00821020"/>
    <w:rsid w:val="008213A4"/>
    <w:rsid w:val="008214BF"/>
    <w:rsid w:val="00821785"/>
    <w:rsid w:val="008217E0"/>
    <w:rsid w:val="00821B4A"/>
    <w:rsid w:val="00821BA8"/>
    <w:rsid w:val="00821C21"/>
    <w:rsid w:val="00821C62"/>
    <w:rsid w:val="00821F03"/>
    <w:rsid w:val="0082216E"/>
    <w:rsid w:val="00822CFC"/>
    <w:rsid w:val="00823115"/>
    <w:rsid w:val="00823742"/>
    <w:rsid w:val="008238FF"/>
    <w:rsid w:val="00823A0F"/>
    <w:rsid w:val="00823ACA"/>
    <w:rsid w:val="00823D71"/>
    <w:rsid w:val="00824208"/>
    <w:rsid w:val="00824757"/>
    <w:rsid w:val="008248A4"/>
    <w:rsid w:val="00824946"/>
    <w:rsid w:val="00824DB4"/>
    <w:rsid w:val="00824EA7"/>
    <w:rsid w:val="0082506C"/>
    <w:rsid w:val="0082526A"/>
    <w:rsid w:val="00825641"/>
    <w:rsid w:val="00825A87"/>
    <w:rsid w:val="00825B98"/>
    <w:rsid w:val="00825C2B"/>
    <w:rsid w:val="00825F5C"/>
    <w:rsid w:val="0082626F"/>
    <w:rsid w:val="00826C29"/>
    <w:rsid w:val="00826E92"/>
    <w:rsid w:val="00827E21"/>
    <w:rsid w:val="00830049"/>
    <w:rsid w:val="00830409"/>
    <w:rsid w:val="00830438"/>
    <w:rsid w:val="008306FC"/>
    <w:rsid w:val="00830D81"/>
    <w:rsid w:val="00831227"/>
    <w:rsid w:val="008315D2"/>
    <w:rsid w:val="00831796"/>
    <w:rsid w:val="00831D72"/>
    <w:rsid w:val="00831FDE"/>
    <w:rsid w:val="00832394"/>
    <w:rsid w:val="008325A6"/>
    <w:rsid w:val="00832A5D"/>
    <w:rsid w:val="00832AB0"/>
    <w:rsid w:val="008332B5"/>
    <w:rsid w:val="00833797"/>
    <w:rsid w:val="00833ACF"/>
    <w:rsid w:val="00833AEE"/>
    <w:rsid w:val="00833B56"/>
    <w:rsid w:val="00833DD8"/>
    <w:rsid w:val="0083496B"/>
    <w:rsid w:val="00834B6C"/>
    <w:rsid w:val="008364CA"/>
    <w:rsid w:val="0083706F"/>
    <w:rsid w:val="00837290"/>
    <w:rsid w:val="008377DA"/>
    <w:rsid w:val="00837A64"/>
    <w:rsid w:val="00837A9E"/>
    <w:rsid w:val="00837D5B"/>
    <w:rsid w:val="0084006C"/>
    <w:rsid w:val="00840797"/>
    <w:rsid w:val="00840875"/>
    <w:rsid w:val="00840B21"/>
    <w:rsid w:val="00841E86"/>
    <w:rsid w:val="008427BE"/>
    <w:rsid w:val="00842D6F"/>
    <w:rsid w:val="0084303E"/>
    <w:rsid w:val="00843203"/>
    <w:rsid w:val="008434E1"/>
    <w:rsid w:val="00843841"/>
    <w:rsid w:val="00843AEB"/>
    <w:rsid w:val="00843E47"/>
    <w:rsid w:val="00843F7B"/>
    <w:rsid w:val="0084400D"/>
    <w:rsid w:val="00844062"/>
    <w:rsid w:val="00844C8B"/>
    <w:rsid w:val="00845200"/>
    <w:rsid w:val="0084529F"/>
    <w:rsid w:val="008454B5"/>
    <w:rsid w:val="0084577D"/>
    <w:rsid w:val="008458D5"/>
    <w:rsid w:val="00845AD8"/>
    <w:rsid w:val="00846061"/>
    <w:rsid w:val="00846592"/>
    <w:rsid w:val="008465C1"/>
    <w:rsid w:val="00846667"/>
    <w:rsid w:val="00846D54"/>
    <w:rsid w:val="00846F4B"/>
    <w:rsid w:val="00847786"/>
    <w:rsid w:val="00847956"/>
    <w:rsid w:val="00847B9D"/>
    <w:rsid w:val="00847C58"/>
    <w:rsid w:val="00847D31"/>
    <w:rsid w:val="008500BE"/>
    <w:rsid w:val="00850770"/>
    <w:rsid w:val="00850CE1"/>
    <w:rsid w:val="0085129C"/>
    <w:rsid w:val="008516CE"/>
    <w:rsid w:val="00851A3A"/>
    <w:rsid w:val="00851B12"/>
    <w:rsid w:val="008529A3"/>
    <w:rsid w:val="00852C11"/>
    <w:rsid w:val="00852D00"/>
    <w:rsid w:val="00852E3E"/>
    <w:rsid w:val="00853682"/>
    <w:rsid w:val="00854173"/>
    <w:rsid w:val="008541BA"/>
    <w:rsid w:val="008544C3"/>
    <w:rsid w:val="008552B9"/>
    <w:rsid w:val="00855607"/>
    <w:rsid w:val="00856092"/>
    <w:rsid w:val="008567A9"/>
    <w:rsid w:val="00856878"/>
    <w:rsid w:val="00856B8A"/>
    <w:rsid w:val="00856CD3"/>
    <w:rsid w:val="00856DD1"/>
    <w:rsid w:val="00857001"/>
    <w:rsid w:val="00857079"/>
    <w:rsid w:val="00857181"/>
    <w:rsid w:val="00857646"/>
    <w:rsid w:val="00857850"/>
    <w:rsid w:val="00857A02"/>
    <w:rsid w:val="00857D53"/>
    <w:rsid w:val="00857D57"/>
    <w:rsid w:val="00857E2A"/>
    <w:rsid w:val="0085C62F"/>
    <w:rsid w:val="008604A3"/>
    <w:rsid w:val="008604DB"/>
    <w:rsid w:val="00860568"/>
    <w:rsid w:val="008607E1"/>
    <w:rsid w:val="0086083C"/>
    <w:rsid w:val="00860A5B"/>
    <w:rsid w:val="00860F0E"/>
    <w:rsid w:val="00861F31"/>
    <w:rsid w:val="00862009"/>
    <w:rsid w:val="00862399"/>
    <w:rsid w:val="008623C6"/>
    <w:rsid w:val="00862483"/>
    <w:rsid w:val="008624A9"/>
    <w:rsid w:val="0086251D"/>
    <w:rsid w:val="00862696"/>
    <w:rsid w:val="00862E7C"/>
    <w:rsid w:val="008630E0"/>
    <w:rsid w:val="00863112"/>
    <w:rsid w:val="008632B3"/>
    <w:rsid w:val="008637EB"/>
    <w:rsid w:val="008641C5"/>
    <w:rsid w:val="00864384"/>
    <w:rsid w:val="00865BB1"/>
    <w:rsid w:val="00865C0D"/>
    <w:rsid w:val="00865DF6"/>
    <w:rsid w:val="008660DB"/>
    <w:rsid w:val="008666B0"/>
    <w:rsid w:val="008668C5"/>
    <w:rsid w:val="00866B03"/>
    <w:rsid w:val="00866B9E"/>
    <w:rsid w:val="00866C5F"/>
    <w:rsid w:val="00867095"/>
    <w:rsid w:val="008677B5"/>
    <w:rsid w:val="00867819"/>
    <w:rsid w:val="00867D5F"/>
    <w:rsid w:val="00870BB0"/>
    <w:rsid w:val="00870D3A"/>
    <w:rsid w:val="008712D3"/>
    <w:rsid w:val="008714D0"/>
    <w:rsid w:val="008714FF"/>
    <w:rsid w:val="008718F6"/>
    <w:rsid w:val="00871A6C"/>
    <w:rsid w:val="00871C51"/>
    <w:rsid w:val="008724F8"/>
    <w:rsid w:val="00872623"/>
    <w:rsid w:val="008729A8"/>
    <w:rsid w:val="00872E9C"/>
    <w:rsid w:val="0087332A"/>
    <w:rsid w:val="00874017"/>
    <w:rsid w:val="008743EF"/>
    <w:rsid w:val="00874AA4"/>
    <w:rsid w:val="00874D71"/>
    <w:rsid w:val="00874DB3"/>
    <w:rsid w:val="008752CC"/>
    <w:rsid w:val="008753BD"/>
    <w:rsid w:val="00875594"/>
    <w:rsid w:val="008756A3"/>
    <w:rsid w:val="00875A9E"/>
    <w:rsid w:val="00876953"/>
    <w:rsid w:val="008777EB"/>
    <w:rsid w:val="00877926"/>
    <w:rsid w:val="00877955"/>
    <w:rsid w:val="008801B8"/>
    <w:rsid w:val="00880304"/>
    <w:rsid w:val="008809D7"/>
    <w:rsid w:val="00880AE0"/>
    <w:rsid w:val="0088167A"/>
    <w:rsid w:val="00881814"/>
    <w:rsid w:val="00881B3D"/>
    <w:rsid w:val="00881B56"/>
    <w:rsid w:val="00881DD8"/>
    <w:rsid w:val="0088262B"/>
    <w:rsid w:val="00882667"/>
    <w:rsid w:val="00882772"/>
    <w:rsid w:val="008829D4"/>
    <w:rsid w:val="00882A56"/>
    <w:rsid w:val="00882F77"/>
    <w:rsid w:val="0088317C"/>
    <w:rsid w:val="008836C9"/>
    <w:rsid w:val="008838AD"/>
    <w:rsid w:val="00883E94"/>
    <w:rsid w:val="008842C9"/>
    <w:rsid w:val="008844DC"/>
    <w:rsid w:val="00884573"/>
    <w:rsid w:val="008845CA"/>
    <w:rsid w:val="00885040"/>
    <w:rsid w:val="00885A49"/>
    <w:rsid w:val="00885DCE"/>
    <w:rsid w:val="00885E35"/>
    <w:rsid w:val="00885F54"/>
    <w:rsid w:val="008861F5"/>
    <w:rsid w:val="0088671C"/>
    <w:rsid w:val="00886CF4"/>
    <w:rsid w:val="00886E1F"/>
    <w:rsid w:val="00886F44"/>
    <w:rsid w:val="008876A9"/>
    <w:rsid w:val="00887918"/>
    <w:rsid w:val="00890443"/>
    <w:rsid w:val="0089095F"/>
    <w:rsid w:val="00890FD0"/>
    <w:rsid w:val="00891053"/>
    <w:rsid w:val="00891A1F"/>
    <w:rsid w:val="00891AC0"/>
    <w:rsid w:val="008924A7"/>
    <w:rsid w:val="0089270B"/>
    <w:rsid w:val="00892FC5"/>
    <w:rsid w:val="00893353"/>
    <w:rsid w:val="0089354C"/>
    <w:rsid w:val="00893664"/>
    <w:rsid w:val="008937B5"/>
    <w:rsid w:val="0089394E"/>
    <w:rsid w:val="00893AAA"/>
    <w:rsid w:val="00893D15"/>
    <w:rsid w:val="00893EED"/>
    <w:rsid w:val="00894FEA"/>
    <w:rsid w:val="008950E7"/>
    <w:rsid w:val="008955D7"/>
    <w:rsid w:val="008957E5"/>
    <w:rsid w:val="00895BF7"/>
    <w:rsid w:val="00895EE9"/>
    <w:rsid w:val="00896060"/>
    <w:rsid w:val="00896634"/>
    <w:rsid w:val="008968D2"/>
    <w:rsid w:val="008969A2"/>
    <w:rsid w:val="00897329"/>
    <w:rsid w:val="008978B5"/>
    <w:rsid w:val="00897C6F"/>
    <w:rsid w:val="008A0047"/>
    <w:rsid w:val="008A006B"/>
    <w:rsid w:val="008A007F"/>
    <w:rsid w:val="008A0105"/>
    <w:rsid w:val="008A04FC"/>
    <w:rsid w:val="008A0589"/>
    <w:rsid w:val="008A093B"/>
    <w:rsid w:val="008A1056"/>
    <w:rsid w:val="008A1072"/>
    <w:rsid w:val="008A1086"/>
    <w:rsid w:val="008A11A5"/>
    <w:rsid w:val="008A11D6"/>
    <w:rsid w:val="008A162E"/>
    <w:rsid w:val="008A170F"/>
    <w:rsid w:val="008A1DA0"/>
    <w:rsid w:val="008A204D"/>
    <w:rsid w:val="008A2116"/>
    <w:rsid w:val="008A270B"/>
    <w:rsid w:val="008A28BE"/>
    <w:rsid w:val="008A29DD"/>
    <w:rsid w:val="008A2C50"/>
    <w:rsid w:val="008A33FF"/>
    <w:rsid w:val="008A37C5"/>
    <w:rsid w:val="008A3829"/>
    <w:rsid w:val="008A3894"/>
    <w:rsid w:val="008A38E1"/>
    <w:rsid w:val="008A3DE7"/>
    <w:rsid w:val="008A4308"/>
    <w:rsid w:val="008A4A28"/>
    <w:rsid w:val="008A4A33"/>
    <w:rsid w:val="008A4B86"/>
    <w:rsid w:val="008A4DB6"/>
    <w:rsid w:val="008A4F82"/>
    <w:rsid w:val="008A53E7"/>
    <w:rsid w:val="008A5467"/>
    <w:rsid w:val="008A5A29"/>
    <w:rsid w:val="008A5AA1"/>
    <w:rsid w:val="008A5AE4"/>
    <w:rsid w:val="008A5CFC"/>
    <w:rsid w:val="008A5D3D"/>
    <w:rsid w:val="008A6583"/>
    <w:rsid w:val="008A6E3A"/>
    <w:rsid w:val="008A725A"/>
    <w:rsid w:val="008A794A"/>
    <w:rsid w:val="008A7B02"/>
    <w:rsid w:val="008B0254"/>
    <w:rsid w:val="008B04D9"/>
    <w:rsid w:val="008B057B"/>
    <w:rsid w:val="008B1429"/>
    <w:rsid w:val="008B15A0"/>
    <w:rsid w:val="008B196D"/>
    <w:rsid w:val="008B1C05"/>
    <w:rsid w:val="008B1D53"/>
    <w:rsid w:val="008B1E00"/>
    <w:rsid w:val="008B2296"/>
    <w:rsid w:val="008B2D17"/>
    <w:rsid w:val="008B2F59"/>
    <w:rsid w:val="008B34F1"/>
    <w:rsid w:val="008B377D"/>
    <w:rsid w:val="008B384D"/>
    <w:rsid w:val="008B4073"/>
    <w:rsid w:val="008B415F"/>
    <w:rsid w:val="008B41F9"/>
    <w:rsid w:val="008B422F"/>
    <w:rsid w:val="008B45BE"/>
    <w:rsid w:val="008B4682"/>
    <w:rsid w:val="008B4684"/>
    <w:rsid w:val="008B47F9"/>
    <w:rsid w:val="008B533F"/>
    <w:rsid w:val="008B5734"/>
    <w:rsid w:val="008B5871"/>
    <w:rsid w:val="008B5E0A"/>
    <w:rsid w:val="008B5FC0"/>
    <w:rsid w:val="008B6014"/>
    <w:rsid w:val="008B649D"/>
    <w:rsid w:val="008B64DC"/>
    <w:rsid w:val="008B6D80"/>
    <w:rsid w:val="008B73D5"/>
    <w:rsid w:val="008B7498"/>
    <w:rsid w:val="008B796D"/>
    <w:rsid w:val="008B79D1"/>
    <w:rsid w:val="008B7B8F"/>
    <w:rsid w:val="008C0060"/>
    <w:rsid w:val="008C02B3"/>
    <w:rsid w:val="008C090A"/>
    <w:rsid w:val="008C0ABB"/>
    <w:rsid w:val="008C179D"/>
    <w:rsid w:val="008C1BF8"/>
    <w:rsid w:val="008C2146"/>
    <w:rsid w:val="008C22AF"/>
    <w:rsid w:val="008C25EC"/>
    <w:rsid w:val="008C2994"/>
    <w:rsid w:val="008C2E04"/>
    <w:rsid w:val="008C3508"/>
    <w:rsid w:val="008C362D"/>
    <w:rsid w:val="008C3A16"/>
    <w:rsid w:val="008C3B2A"/>
    <w:rsid w:val="008C3C6E"/>
    <w:rsid w:val="008C4238"/>
    <w:rsid w:val="008C43C2"/>
    <w:rsid w:val="008C495E"/>
    <w:rsid w:val="008C4B53"/>
    <w:rsid w:val="008C5127"/>
    <w:rsid w:val="008C52B4"/>
    <w:rsid w:val="008C5EDD"/>
    <w:rsid w:val="008C5F42"/>
    <w:rsid w:val="008C6053"/>
    <w:rsid w:val="008C6498"/>
    <w:rsid w:val="008C6A0E"/>
    <w:rsid w:val="008C7A55"/>
    <w:rsid w:val="008C7CA2"/>
    <w:rsid w:val="008C7D02"/>
    <w:rsid w:val="008D0029"/>
    <w:rsid w:val="008D13D2"/>
    <w:rsid w:val="008D19A7"/>
    <w:rsid w:val="008D1BD7"/>
    <w:rsid w:val="008D1D88"/>
    <w:rsid w:val="008D1E41"/>
    <w:rsid w:val="008D223F"/>
    <w:rsid w:val="008D2332"/>
    <w:rsid w:val="008D2A0E"/>
    <w:rsid w:val="008D2DB5"/>
    <w:rsid w:val="008D3186"/>
    <w:rsid w:val="008D3AE5"/>
    <w:rsid w:val="008D3E45"/>
    <w:rsid w:val="008D4066"/>
    <w:rsid w:val="008D42DC"/>
    <w:rsid w:val="008D439D"/>
    <w:rsid w:val="008D4CA1"/>
    <w:rsid w:val="008D5204"/>
    <w:rsid w:val="008D54E4"/>
    <w:rsid w:val="008D5858"/>
    <w:rsid w:val="008D5E9F"/>
    <w:rsid w:val="008D615D"/>
    <w:rsid w:val="008D6536"/>
    <w:rsid w:val="008D6F06"/>
    <w:rsid w:val="008D7321"/>
    <w:rsid w:val="008D7355"/>
    <w:rsid w:val="008D7820"/>
    <w:rsid w:val="008D7978"/>
    <w:rsid w:val="008D79CA"/>
    <w:rsid w:val="008D7BD3"/>
    <w:rsid w:val="008D7BFE"/>
    <w:rsid w:val="008D7E82"/>
    <w:rsid w:val="008E0308"/>
    <w:rsid w:val="008E26B0"/>
    <w:rsid w:val="008E2927"/>
    <w:rsid w:val="008E2C3D"/>
    <w:rsid w:val="008E3066"/>
    <w:rsid w:val="008E324B"/>
    <w:rsid w:val="008E372E"/>
    <w:rsid w:val="008E3C43"/>
    <w:rsid w:val="008E3D7F"/>
    <w:rsid w:val="008E4275"/>
    <w:rsid w:val="008E4A52"/>
    <w:rsid w:val="008E5294"/>
    <w:rsid w:val="008E5474"/>
    <w:rsid w:val="008E63D2"/>
    <w:rsid w:val="008E6453"/>
    <w:rsid w:val="008E65D1"/>
    <w:rsid w:val="008E6C3F"/>
    <w:rsid w:val="008E6E61"/>
    <w:rsid w:val="008E71DF"/>
    <w:rsid w:val="008E74C2"/>
    <w:rsid w:val="008E7714"/>
    <w:rsid w:val="008E7C7F"/>
    <w:rsid w:val="008E7FBA"/>
    <w:rsid w:val="008F07EC"/>
    <w:rsid w:val="008F0964"/>
    <w:rsid w:val="008F0A47"/>
    <w:rsid w:val="008F0C37"/>
    <w:rsid w:val="008F13B0"/>
    <w:rsid w:val="008F1403"/>
    <w:rsid w:val="008F143C"/>
    <w:rsid w:val="008F15EB"/>
    <w:rsid w:val="008F1652"/>
    <w:rsid w:val="008F16F4"/>
    <w:rsid w:val="008F1877"/>
    <w:rsid w:val="008F1C3A"/>
    <w:rsid w:val="008F1E23"/>
    <w:rsid w:val="008F23B7"/>
    <w:rsid w:val="008F249C"/>
    <w:rsid w:val="008F30B7"/>
    <w:rsid w:val="008F3171"/>
    <w:rsid w:val="008F334C"/>
    <w:rsid w:val="008F3470"/>
    <w:rsid w:val="008F374B"/>
    <w:rsid w:val="008F3953"/>
    <w:rsid w:val="008F3A7E"/>
    <w:rsid w:val="008F3AB2"/>
    <w:rsid w:val="008F3C24"/>
    <w:rsid w:val="008F3C65"/>
    <w:rsid w:val="008F3D04"/>
    <w:rsid w:val="008F48A8"/>
    <w:rsid w:val="008F4C24"/>
    <w:rsid w:val="008F4C96"/>
    <w:rsid w:val="008F4F9F"/>
    <w:rsid w:val="008F50C8"/>
    <w:rsid w:val="008F51D9"/>
    <w:rsid w:val="008F63F3"/>
    <w:rsid w:val="008F644C"/>
    <w:rsid w:val="008F6AC1"/>
    <w:rsid w:val="008F6FA3"/>
    <w:rsid w:val="008F7421"/>
    <w:rsid w:val="008F7430"/>
    <w:rsid w:val="008F753F"/>
    <w:rsid w:val="008F75F0"/>
    <w:rsid w:val="008F7B0A"/>
    <w:rsid w:val="008F7CDB"/>
    <w:rsid w:val="008F7D68"/>
    <w:rsid w:val="008F7E81"/>
    <w:rsid w:val="009002A1"/>
    <w:rsid w:val="00900627"/>
    <w:rsid w:val="009007B4"/>
    <w:rsid w:val="009016F2"/>
    <w:rsid w:val="009019E8"/>
    <w:rsid w:val="0090208B"/>
    <w:rsid w:val="0090250E"/>
    <w:rsid w:val="00902549"/>
    <w:rsid w:val="009025E1"/>
    <w:rsid w:val="00902D58"/>
    <w:rsid w:val="00903417"/>
    <w:rsid w:val="00903E81"/>
    <w:rsid w:val="00903F1B"/>
    <w:rsid w:val="00904240"/>
    <w:rsid w:val="0090450B"/>
    <w:rsid w:val="00904FD4"/>
    <w:rsid w:val="00905125"/>
    <w:rsid w:val="00905598"/>
    <w:rsid w:val="00905B32"/>
    <w:rsid w:val="009060B4"/>
    <w:rsid w:val="00906273"/>
    <w:rsid w:val="00906414"/>
    <w:rsid w:val="0090644F"/>
    <w:rsid w:val="009069F4"/>
    <w:rsid w:val="00907052"/>
    <w:rsid w:val="0090708B"/>
    <w:rsid w:val="009070BA"/>
    <w:rsid w:val="00907596"/>
    <w:rsid w:val="00907597"/>
    <w:rsid w:val="009075AB"/>
    <w:rsid w:val="0090762E"/>
    <w:rsid w:val="00907937"/>
    <w:rsid w:val="00907A32"/>
    <w:rsid w:val="00907AF7"/>
    <w:rsid w:val="00907E2E"/>
    <w:rsid w:val="009101EF"/>
    <w:rsid w:val="0091028F"/>
    <w:rsid w:val="00910619"/>
    <w:rsid w:val="00910696"/>
    <w:rsid w:val="009106B9"/>
    <w:rsid w:val="009108CC"/>
    <w:rsid w:val="0091092C"/>
    <w:rsid w:val="00911651"/>
    <w:rsid w:val="00911D2C"/>
    <w:rsid w:val="00911F47"/>
    <w:rsid w:val="0091210C"/>
    <w:rsid w:val="009121C3"/>
    <w:rsid w:val="009122C7"/>
    <w:rsid w:val="00912EAA"/>
    <w:rsid w:val="009133D3"/>
    <w:rsid w:val="009133E5"/>
    <w:rsid w:val="0091396C"/>
    <w:rsid w:val="00913B35"/>
    <w:rsid w:val="00913D64"/>
    <w:rsid w:val="00913E74"/>
    <w:rsid w:val="00913EDF"/>
    <w:rsid w:val="0091490D"/>
    <w:rsid w:val="0091492E"/>
    <w:rsid w:val="00914C99"/>
    <w:rsid w:val="00914CB8"/>
    <w:rsid w:val="0091560E"/>
    <w:rsid w:val="0091597C"/>
    <w:rsid w:val="00915EC1"/>
    <w:rsid w:val="009162BA"/>
    <w:rsid w:val="0091634D"/>
    <w:rsid w:val="009163F2"/>
    <w:rsid w:val="009164B9"/>
    <w:rsid w:val="00916517"/>
    <w:rsid w:val="00916B3A"/>
    <w:rsid w:val="00916B89"/>
    <w:rsid w:val="0091703E"/>
    <w:rsid w:val="009171F7"/>
    <w:rsid w:val="009176B2"/>
    <w:rsid w:val="009177DF"/>
    <w:rsid w:val="00917E02"/>
    <w:rsid w:val="00917EC5"/>
    <w:rsid w:val="00917FC8"/>
    <w:rsid w:val="0092033F"/>
    <w:rsid w:val="00920648"/>
    <w:rsid w:val="0092064D"/>
    <w:rsid w:val="00920709"/>
    <w:rsid w:val="00920A67"/>
    <w:rsid w:val="00920CAD"/>
    <w:rsid w:val="0092178E"/>
    <w:rsid w:val="00921BF5"/>
    <w:rsid w:val="00921F1A"/>
    <w:rsid w:val="00921F35"/>
    <w:rsid w:val="0092249D"/>
    <w:rsid w:val="00922610"/>
    <w:rsid w:val="00922712"/>
    <w:rsid w:val="0092283D"/>
    <w:rsid w:val="00922E17"/>
    <w:rsid w:val="00923054"/>
    <w:rsid w:val="0092361B"/>
    <w:rsid w:val="009237C1"/>
    <w:rsid w:val="009238FF"/>
    <w:rsid w:val="009242D6"/>
    <w:rsid w:val="0092444D"/>
    <w:rsid w:val="0092471E"/>
    <w:rsid w:val="0092489E"/>
    <w:rsid w:val="00924F6C"/>
    <w:rsid w:val="009255F9"/>
    <w:rsid w:val="00925B45"/>
    <w:rsid w:val="00925BEA"/>
    <w:rsid w:val="00925EB9"/>
    <w:rsid w:val="00925FAD"/>
    <w:rsid w:val="009261BC"/>
    <w:rsid w:val="009265EB"/>
    <w:rsid w:val="00926962"/>
    <w:rsid w:val="00926D0E"/>
    <w:rsid w:val="0092701C"/>
    <w:rsid w:val="009301BD"/>
    <w:rsid w:val="00930358"/>
    <w:rsid w:val="0093066C"/>
    <w:rsid w:val="0093077A"/>
    <w:rsid w:val="00930B27"/>
    <w:rsid w:val="00930B74"/>
    <w:rsid w:val="009312DC"/>
    <w:rsid w:val="00931445"/>
    <w:rsid w:val="0093153B"/>
    <w:rsid w:val="00931A16"/>
    <w:rsid w:val="00931AD6"/>
    <w:rsid w:val="00932142"/>
    <w:rsid w:val="0093257E"/>
    <w:rsid w:val="009326C9"/>
    <w:rsid w:val="00933A01"/>
    <w:rsid w:val="00933E1C"/>
    <w:rsid w:val="009340C8"/>
    <w:rsid w:val="00934157"/>
    <w:rsid w:val="00934273"/>
    <w:rsid w:val="00934714"/>
    <w:rsid w:val="00934D7D"/>
    <w:rsid w:val="00935131"/>
    <w:rsid w:val="00935757"/>
    <w:rsid w:val="00935BD9"/>
    <w:rsid w:val="00935E02"/>
    <w:rsid w:val="00936216"/>
    <w:rsid w:val="009364F7"/>
    <w:rsid w:val="00936AFD"/>
    <w:rsid w:val="009372CA"/>
    <w:rsid w:val="00937548"/>
    <w:rsid w:val="00937842"/>
    <w:rsid w:val="0094019A"/>
    <w:rsid w:val="00940CA4"/>
    <w:rsid w:val="0094110B"/>
    <w:rsid w:val="00941768"/>
    <w:rsid w:val="009418D4"/>
    <w:rsid w:val="00941CA2"/>
    <w:rsid w:val="009429E2"/>
    <w:rsid w:val="00942D09"/>
    <w:rsid w:val="009439BA"/>
    <w:rsid w:val="00944A15"/>
    <w:rsid w:val="00944AA6"/>
    <w:rsid w:val="00944E34"/>
    <w:rsid w:val="00945151"/>
    <w:rsid w:val="0094575E"/>
    <w:rsid w:val="00946332"/>
    <w:rsid w:val="0094648F"/>
    <w:rsid w:val="009465B1"/>
    <w:rsid w:val="009467C1"/>
    <w:rsid w:val="00946CBF"/>
    <w:rsid w:val="00947CF4"/>
    <w:rsid w:val="00950074"/>
    <w:rsid w:val="0095007F"/>
    <w:rsid w:val="00950362"/>
    <w:rsid w:val="009507F5"/>
    <w:rsid w:val="00950A77"/>
    <w:rsid w:val="00950E38"/>
    <w:rsid w:val="00950E4A"/>
    <w:rsid w:val="00950E6A"/>
    <w:rsid w:val="0095109E"/>
    <w:rsid w:val="0095153A"/>
    <w:rsid w:val="00951B32"/>
    <w:rsid w:val="0095212E"/>
    <w:rsid w:val="00952C0E"/>
    <w:rsid w:val="00952E15"/>
    <w:rsid w:val="00952FE3"/>
    <w:rsid w:val="0095318C"/>
    <w:rsid w:val="0095318E"/>
    <w:rsid w:val="009531C8"/>
    <w:rsid w:val="00953233"/>
    <w:rsid w:val="0095365D"/>
    <w:rsid w:val="00953D15"/>
    <w:rsid w:val="0095438C"/>
    <w:rsid w:val="009547CF"/>
    <w:rsid w:val="00954A62"/>
    <w:rsid w:val="00954E64"/>
    <w:rsid w:val="009552F6"/>
    <w:rsid w:val="009553DB"/>
    <w:rsid w:val="009558B3"/>
    <w:rsid w:val="00955A5D"/>
    <w:rsid w:val="00955DB2"/>
    <w:rsid w:val="009561D7"/>
    <w:rsid w:val="00956393"/>
    <w:rsid w:val="009568E6"/>
    <w:rsid w:val="00956940"/>
    <w:rsid w:val="00956D96"/>
    <w:rsid w:val="00956F2E"/>
    <w:rsid w:val="009570EB"/>
    <w:rsid w:val="00957376"/>
    <w:rsid w:val="009575A5"/>
    <w:rsid w:val="00957756"/>
    <w:rsid w:val="00960318"/>
    <w:rsid w:val="00960817"/>
    <w:rsid w:val="00960E89"/>
    <w:rsid w:val="009610C3"/>
    <w:rsid w:val="009616B9"/>
    <w:rsid w:val="00961CCC"/>
    <w:rsid w:val="00961F6F"/>
    <w:rsid w:val="009621CF"/>
    <w:rsid w:val="009623E6"/>
    <w:rsid w:val="00962546"/>
    <w:rsid w:val="00962577"/>
    <w:rsid w:val="00962723"/>
    <w:rsid w:val="00962B8B"/>
    <w:rsid w:val="00962C09"/>
    <w:rsid w:val="00962C42"/>
    <w:rsid w:val="00962ED9"/>
    <w:rsid w:val="009631CF"/>
    <w:rsid w:val="0096336E"/>
    <w:rsid w:val="00963486"/>
    <w:rsid w:val="0096358D"/>
    <w:rsid w:val="0096387E"/>
    <w:rsid w:val="009648C9"/>
    <w:rsid w:val="00964C8B"/>
    <w:rsid w:val="00964E08"/>
    <w:rsid w:val="00964F09"/>
    <w:rsid w:val="009654D8"/>
    <w:rsid w:val="009655A0"/>
    <w:rsid w:val="00965729"/>
    <w:rsid w:val="00965953"/>
    <w:rsid w:val="009659DA"/>
    <w:rsid w:val="00965F61"/>
    <w:rsid w:val="0096609B"/>
    <w:rsid w:val="0096697C"/>
    <w:rsid w:val="0096766E"/>
    <w:rsid w:val="00967705"/>
    <w:rsid w:val="009678DB"/>
    <w:rsid w:val="00967DD4"/>
    <w:rsid w:val="00970160"/>
    <w:rsid w:val="00970227"/>
    <w:rsid w:val="009702C8"/>
    <w:rsid w:val="0097046F"/>
    <w:rsid w:val="00970CCD"/>
    <w:rsid w:val="00970CEC"/>
    <w:rsid w:val="00970E98"/>
    <w:rsid w:val="00971081"/>
    <w:rsid w:val="0097173B"/>
    <w:rsid w:val="009718D6"/>
    <w:rsid w:val="00971DAC"/>
    <w:rsid w:val="0097305F"/>
    <w:rsid w:val="00973065"/>
    <w:rsid w:val="00973375"/>
    <w:rsid w:val="00973888"/>
    <w:rsid w:val="009738F9"/>
    <w:rsid w:val="00973A25"/>
    <w:rsid w:val="00974003"/>
    <w:rsid w:val="009740B0"/>
    <w:rsid w:val="0097465E"/>
    <w:rsid w:val="00974B0A"/>
    <w:rsid w:val="00974EE8"/>
    <w:rsid w:val="0097521B"/>
    <w:rsid w:val="0097538F"/>
    <w:rsid w:val="00975454"/>
    <w:rsid w:val="009755AD"/>
    <w:rsid w:val="00975F9D"/>
    <w:rsid w:val="009764F3"/>
    <w:rsid w:val="00976A0D"/>
    <w:rsid w:val="00976DAC"/>
    <w:rsid w:val="00976ED6"/>
    <w:rsid w:val="009771A6"/>
    <w:rsid w:val="009774BB"/>
    <w:rsid w:val="00977826"/>
    <w:rsid w:val="00977E15"/>
    <w:rsid w:val="00980313"/>
    <w:rsid w:val="0098071F"/>
    <w:rsid w:val="00980721"/>
    <w:rsid w:val="00980724"/>
    <w:rsid w:val="00980A54"/>
    <w:rsid w:val="00980C7D"/>
    <w:rsid w:val="00980CFC"/>
    <w:rsid w:val="00980D5D"/>
    <w:rsid w:val="00980FFE"/>
    <w:rsid w:val="0098185B"/>
    <w:rsid w:val="009819E8"/>
    <w:rsid w:val="009825B1"/>
    <w:rsid w:val="009825D8"/>
    <w:rsid w:val="00982DF7"/>
    <w:rsid w:val="009838DB"/>
    <w:rsid w:val="009838E3"/>
    <w:rsid w:val="00983B60"/>
    <w:rsid w:val="00983BAB"/>
    <w:rsid w:val="00983F88"/>
    <w:rsid w:val="00983FDA"/>
    <w:rsid w:val="009843EB"/>
    <w:rsid w:val="0098447B"/>
    <w:rsid w:val="00984736"/>
    <w:rsid w:val="009848C6"/>
    <w:rsid w:val="009848DC"/>
    <w:rsid w:val="00984F01"/>
    <w:rsid w:val="00985212"/>
    <w:rsid w:val="009856BB"/>
    <w:rsid w:val="00985871"/>
    <w:rsid w:val="00985B9D"/>
    <w:rsid w:val="00985D42"/>
    <w:rsid w:val="00985E71"/>
    <w:rsid w:val="00986253"/>
    <w:rsid w:val="0098625C"/>
    <w:rsid w:val="00986487"/>
    <w:rsid w:val="00987030"/>
    <w:rsid w:val="00987E4E"/>
    <w:rsid w:val="00990567"/>
    <w:rsid w:val="0099081D"/>
    <w:rsid w:val="00990FB2"/>
    <w:rsid w:val="00991067"/>
    <w:rsid w:val="00991095"/>
    <w:rsid w:val="009910F9"/>
    <w:rsid w:val="009911AA"/>
    <w:rsid w:val="00991273"/>
    <w:rsid w:val="0099198D"/>
    <w:rsid w:val="00992117"/>
    <w:rsid w:val="0099213B"/>
    <w:rsid w:val="0099217C"/>
    <w:rsid w:val="00992A3D"/>
    <w:rsid w:val="00992C2A"/>
    <w:rsid w:val="00992DBE"/>
    <w:rsid w:val="00992EBA"/>
    <w:rsid w:val="009931A9"/>
    <w:rsid w:val="00993226"/>
    <w:rsid w:val="0099352C"/>
    <w:rsid w:val="009937F2"/>
    <w:rsid w:val="009944C7"/>
    <w:rsid w:val="009945AC"/>
    <w:rsid w:val="00994651"/>
    <w:rsid w:val="0099478A"/>
    <w:rsid w:val="00994899"/>
    <w:rsid w:val="00995318"/>
    <w:rsid w:val="00995326"/>
    <w:rsid w:val="00995703"/>
    <w:rsid w:val="00995C89"/>
    <w:rsid w:val="009960B1"/>
    <w:rsid w:val="00996278"/>
    <w:rsid w:val="00996783"/>
    <w:rsid w:val="00996E32"/>
    <w:rsid w:val="00996FA0"/>
    <w:rsid w:val="00997090"/>
    <w:rsid w:val="009972ED"/>
    <w:rsid w:val="0099761D"/>
    <w:rsid w:val="00997837"/>
    <w:rsid w:val="009A0068"/>
    <w:rsid w:val="009A01E0"/>
    <w:rsid w:val="009A0321"/>
    <w:rsid w:val="009A0487"/>
    <w:rsid w:val="009A05CA"/>
    <w:rsid w:val="009A0903"/>
    <w:rsid w:val="009A1AC1"/>
    <w:rsid w:val="009A29CC"/>
    <w:rsid w:val="009A2E9A"/>
    <w:rsid w:val="009A2F1B"/>
    <w:rsid w:val="009A3214"/>
    <w:rsid w:val="009A39A7"/>
    <w:rsid w:val="009A3BF9"/>
    <w:rsid w:val="009A3C91"/>
    <w:rsid w:val="009A3D75"/>
    <w:rsid w:val="009A408B"/>
    <w:rsid w:val="009A4686"/>
    <w:rsid w:val="009A46F3"/>
    <w:rsid w:val="009A47AB"/>
    <w:rsid w:val="009A4A7D"/>
    <w:rsid w:val="009A4B13"/>
    <w:rsid w:val="009A4C6F"/>
    <w:rsid w:val="009A50AE"/>
    <w:rsid w:val="009A50D5"/>
    <w:rsid w:val="009A53AA"/>
    <w:rsid w:val="009A556A"/>
    <w:rsid w:val="009A56AA"/>
    <w:rsid w:val="009A56C5"/>
    <w:rsid w:val="009A5A31"/>
    <w:rsid w:val="009A5EC7"/>
    <w:rsid w:val="009A612E"/>
    <w:rsid w:val="009A61FF"/>
    <w:rsid w:val="009A6450"/>
    <w:rsid w:val="009A69BD"/>
    <w:rsid w:val="009A6B78"/>
    <w:rsid w:val="009A6BC4"/>
    <w:rsid w:val="009A6C8D"/>
    <w:rsid w:val="009A6C99"/>
    <w:rsid w:val="009A6D6C"/>
    <w:rsid w:val="009A6D8D"/>
    <w:rsid w:val="009A755A"/>
    <w:rsid w:val="009A7926"/>
    <w:rsid w:val="009A7A1B"/>
    <w:rsid w:val="009A7F90"/>
    <w:rsid w:val="009B0153"/>
    <w:rsid w:val="009B087E"/>
    <w:rsid w:val="009B10C3"/>
    <w:rsid w:val="009B1475"/>
    <w:rsid w:val="009B1568"/>
    <w:rsid w:val="009B1BF8"/>
    <w:rsid w:val="009B2122"/>
    <w:rsid w:val="009B224D"/>
    <w:rsid w:val="009B28D1"/>
    <w:rsid w:val="009B2D30"/>
    <w:rsid w:val="009B30F0"/>
    <w:rsid w:val="009B3141"/>
    <w:rsid w:val="009B3A9F"/>
    <w:rsid w:val="009B40D9"/>
    <w:rsid w:val="009B43D2"/>
    <w:rsid w:val="009B47BB"/>
    <w:rsid w:val="009B58CF"/>
    <w:rsid w:val="009B592A"/>
    <w:rsid w:val="009B624B"/>
    <w:rsid w:val="009B6501"/>
    <w:rsid w:val="009B76A0"/>
    <w:rsid w:val="009B79D6"/>
    <w:rsid w:val="009B7A46"/>
    <w:rsid w:val="009C04CD"/>
    <w:rsid w:val="009C06BB"/>
    <w:rsid w:val="009C079C"/>
    <w:rsid w:val="009C0BD9"/>
    <w:rsid w:val="009C0DAD"/>
    <w:rsid w:val="009C13F0"/>
    <w:rsid w:val="009C1428"/>
    <w:rsid w:val="009C14CD"/>
    <w:rsid w:val="009C15C8"/>
    <w:rsid w:val="009C19B2"/>
    <w:rsid w:val="009C1C62"/>
    <w:rsid w:val="009C1D3A"/>
    <w:rsid w:val="009C1D64"/>
    <w:rsid w:val="009C2026"/>
    <w:rsid w:val="009C2066"/>
    <w:rsid w:val="009C259B"/>
    <w:rsid w:val="009C269B"/>
    <w:rsid w:val="009C2913"/>
    <w:rsid w:val="009C2E31"/>
    <w:rsid w:val="009C2FBB"/>
    <w:rsid w:val="009C3221"/>
    <w:rsid w:val="009C32CD"/>
    <w:rsid w:val="009C389F"/>
    <w:rsid w:val="009C3CE7"/>
    <w:rsid w:val="009C43B3"/>
    <w:rsid w:val="009C45C0"/>
    <w:rsid w:val="009C495F"/>
    <w:rsid w:val="009C4B8A"/>
    <w:rsid w:val="009C4BC7"/>
    <w:rsid w:val="009C535A"/>
    <w:rsid w:val="009C568F"/>
    <w:rsid w:val="009C588F"/>
    <w:rsid w:val="009C5DB3"/>
    <w:rsid w:val="009C5FEF"/>
    <w:rsid w:val="009C654F"/>
    <w:rsid w:val="009C7220"/>
    <w:rsid w:val="009C76DE"/>
    <w:rsid w:val="009C7C71"/>
    <w:rsid w:val="009C7E20"/>
    <w:rsid w:val="009D01F5"/>
    <w:rsid w:val="009D01FB"/>
    <w:rsid w:val="009D031B"/>
    <w:rsid w:val="009D0814"/>
    <w:rsid w:val="009D08CB"/>
    <w:rsid w:val="009D0B50"/>
    <w:rsid w:val="009D0D25"/>
    <w:rsid w:val="009D0DE7"/>
    <w:rsid w:val="009D1236"/>
    <w:rsid w:val="009D13EE"/>
    <w:rsid w:val="009D198A"/>
    <w:rsid w:val="009D1BDC"/>
    <w:rsid w:val="009D1D9B"/>
    <w:rsid w:val="009D2556"/>
    <w:rsid w:val="009D2A30"/>
    <w:rsid w:val="009D2A38"/>
    <w:rsid w:val="009D2C50"/>
    <w:rsid w:val="009D2E21"/>
    <w:rsid w:val="009D315A"/>
    <w:rsid w:val="009D32B8"/>
    <w:rsid w:val="009D39B3"/>
    <w:rsid w:val="009D4051"/>
    <w:rsid w:val="009D4575"/>
    <w:rsid w:val="009D4E2A"/>
    <w:rsid w:val="009D4F5B"/>
    <w:rsid w:val="009D573D"/>
    <w:rsid w:val="009D576D"/>
    <w:rsid w:val="009D5942"/>
    <w:rsid w:val="009D5AF9"/>
    <w:rsid w:val="009D60F4"/>
    <w:rsid w:val="009D705B"/>
    <w:rsid w:val="009D71EA"/>
    <w:rsid w:val="009D7465"/>
    <w:rsid w:val="009D7D03"/>
    <w:rsid w:val="009D7D72"/>
    <w:rsid w:val="009E0595"/>
    <w:rsid w:val="009E06C9"/>
    <w:rsid w:val="009E0791"/>
    <w:rsid w:val="009E0869"/>
    <w:rsid w:val="009E0E50"/>
    <w:rsid w:val="009E0E8A"/>
    <w:rsid w:val="009E1513"/>
    <w:rsid w:val="009E1772"/>
    <w:rsid w:val="009E196F"/>
    <w:rsid w:val="009E1CB5"/>
    <w:rsid w:val="009E1D88"/>
    <w:rsid w:val="009E2DD1"/>
    <w:rsid w:val="009E30FD"/>
    <w:rsid w:val="009E31DA"/>
    <w:rsid w:val="009E31DE"/>
    <w:rsid w:val="009E3A78"/>
    <w:rsid w:val="009E3FB1"/>
    <w:rsid w:val="009E413F"/>
    <w:rsid w:val="009E43BB"/>
    <w:rsid w:val="009E4539"/>
    <w:rsid w:val="009E485B"/>
    <w:rsid w:val="009E4BA6"/>
    <w:rsid w:val="009E4E29"/>
    <w:rsid w:val="009E5207"/>
    <w:rsid w:val="009E52A0"/>
    <w:rsid w:val="009E5384"/>
    <w:rsid w:val="009E59CC"/>
    <w:rsid w:val="009E5DA2"/>
    <w:rsid w:val="009E603F"/>
    <w:rsid w:val="009E637E"/>
    <w:rsid w:val="009E63D7"/>
    <w:rsid w:val="009E6534"/>
    <w:rsid w:val="009E6578"/>
    <w:rsid w:val="009E673A"/>
    <w:rsid w:val="009E67CA"/>
    <w:rsid w:val="009E6FD6"/>
    <w:rsid w:val="009E70EA"/>
    <w:rsid w:val="009E7540"/>
    <w:rsid w:val="009E760B"/>
    <w:rsid w:val="009E783C"/>
    <w:rsid w:val="009E7A19"/>
    <w:rsid w:val="009E7DE4"/>
    <w:rsid w:val="009F0227"/>
    <w:rsid w:val="009F10D1"/>
    <w:rsid w:val="009F1198"/>
    <w:rsid w:val="009F13AB"/>
    <w:rsid w:val="009F1565"/>
    <w:rsid w:val="009F1593"/>
    <w:rsid w:val="009F169A"/>
    <w:rsid w:val="009F177B"/>
    <w:rsid w:val="009F1970"/>
    <w:rsid w:val="009F1BF1"/>
    <w:rsid w:val="009F285B"/>
    <w:rsid w:val="009F2B12"/>
    <w:rsid w:val="009F2B2A"/>
    <w:rsid w:val="009F2D73"/>
    <w:rsid w:val="009F3079"/>
    <w:rsid w:val="009F389F"/>
    <w:rsid w:val="009F3A2C"/>
    <w:rsid w:val="009F3A9B"/>
    <w:rsid w:val="009F3C6C"/>
    <w:rsid w:val="009F3EDB"/>
    <w:rsid w:val="009F3F03"/>
    <w:rsid w:val="009F405A"/>
    <w:rsid w:val="009F4724"/>
    <w:rsid w:val="009F4776"/>
    <w:rsid w:val="009F4BCE"/>
    <w:rsid w:val="009F4C1C"/>
    <w:rsid w:val="009F4F56"/>
    <w:rsid w:val="009F511D"/>
    <w:rsid w:val="009F5201"/>
    <w:rsid w:val="009F5663"/>
    <w:rsid w:val="009F5760"/>
    <w:rsid w:val="009F593F"/>
    <w:rsid w:val="009F5B0C"/>
    <w:rsid w:val="009F5DAB"/>
    <w:rsid w:val="009F5DDF"/>
    <w:rsid w:val="009F5F52"/>
    <w:rsid w:val="009F66E8"/>
    <w:rsid w:val="009F69A4"/>
    <w:rsid w:val="009F731A"/>
    <w:rsid w:val="009F7425"/>
    <w:rsid w:val="009F776B"/>
    <w:rsid w:val="009F78BF"/>
    <w:rsid w:val="00A00EDA"/>
    <w:rsid w:val="00A014A8"/>
    <w:rsid w:val="00A01621"/>
    <w:rsid w:val="00A0176A"/>
    <w:rsid w:val="00A01A92"/>
    <w:rsid w:val="00A01C1E"/>
    <w:rsid w:val="00A02105"/>
    <w:rsid w:val="00A02370"/>
    <w:rsid w:val="00A0251F"/>
    <w:rsid w:val="00A02701"/>
    <w:rsid w:val="00A02B7E"/>
    <w:rsid w:val="00A02E65"/>
    <w:rsid w:val="00A02EB2"/>
    <w:rsid w:val="00A03199"/>
    <w:rsid w:val="00A0325D"/>
    <w:rsid w:val="00A03439"/>
    <w:rsid w:val="00A035A7"/>
    <w:rsid w:val="00A0414A"/>
    <w:rsid w:val="00A042F3"/>
    <w:rsid w:val="00A043BA"/>
    <w:rsid w:val="00A049BE"/>
    <w:rsid w:val="00A04D9D"/>
    <w:rsid w:val="00A04E91"/>
    <w:rsid w:val="00A05244"/>
    <w:rsid w:val="00A05578"/>
    <w:rsid w:val="00A05AFD"/>
    <w:rsid w:val="00A05BF6"/>
    <w:rsid w:val="00A05CD7"/>
    <w:rsid w:val="00A06CA7"/>
    <w:rsid w:val="00A06ED4"/>
    <w:rsid w:val="00A071F9"/>
    <w:rsid w:val="00A07355"/>
    <w:rsid w:val="00A07632"/>
    <w:rsid w:val="00A0768F"/>
    <w:rsid w:val="00A07DA4"/>
    <w:rsid w:val="00A10AC0"/>
    <w:rsid w:val="00A10BDE"/>
    <w:rsid w:val="00A1108F"/>
    <w:rsid w:val="00A112CA"/>
    <w:rsid w:val="00A11424"/>
    <w:rsid w:val="00A114E9"/>
    <w:rsid w:val="00A117C7"/>
    <w:rsid w:val="00A11987"/>
    <w:rsid w:val="00A11C06"/>
    <w:rsid w:val="00A11DA9"/>
    <w:rsid w:val="00A1248E"/>
    <w:rsid w:val="00A1288E"/>
    <w:rsid w:val="00A128C9"/>
    <w:rsid w:val="00A135F1"/>
    <w:rsid w:val="00A13943"/>
    <w:rsid w:val="00A13E1C"/>
    <w:rsid w:val="00A1403C"/>
    <w:rsid w:val="00A140D0"/>
    <w:rsid w:val="00A14892"/>
    <w:rsid w:val="00A14DCE"/>
    <w:rsid w:val="00A15D74"/>
    <w:rsid w:val="00A16286"/>
    <w:rsid w:val="00A165AC"/>
    <w:rsid w:val="00A16785"/>
    <w:rsid w:val="00A168B2"/>
    <w:rsid w:val="00A16BD1"/>
    <w:rsid w:val="00A16E7E"/>
    <w:rsid w:val="00A170DE"/>
    <w:rsid w:val="00A174C7"/>
    <w:rsid w:val="00A17C9B"/>
    <w:rsid w:val="00A17D50"/>
    <w:rsid w:val="00A204DD"/>
    <w:rsid w:val="00A20920"/>
    <w:rsid w:val="00A21390"/>
    <w:rsid w:val="00A21414"/>
    <w:rsid w:val="00A21D19"/>
    <w:rsid w:val="00A22805"/>
    <w:rsid w:val="00A22A30"/>
    <w:rsid w:val="00A22AFD"/>
    <w:rsid w:val="00A22D3B"/>
    <w:rsid w:val="00A2302D"/>
    <w:rsid w:val="00A23408"/>
    <w:rsid w:val="00A23472"/>
    <w:rsid w:val="00A23781"/>
    <w:rsid w:val="00A23960"/>
    <w:rsid w:val="00A23DE3"/>
    <w:rsid w:val="00A23ED6"/>
    <w:rsid w:val="00A24206"/>
    <w:rsid w:val="00A2459F"/>
    <w:rsid w:val="00A24897"/>
    <w:rsid w:val="00A24A5D"/>
    <w:rsid w:val="00A24ABE"/>
    <w:rsid w:val="00A2514A"/>
    <w:rsid w:val="00A25BD6"/>
    <w:rsid w:val="00A26286"/>
    <w:rsid w:val="00A2686C"/>
    <w:rsid w:val="00A26A11"/>
    <w:rsid w:val="00A26C4D"/>
    <w:rsid w:val="00A26D2A"/>
    <w:rsid w:val="00A26D7C"/>
    <w:rsid w:val="00A27179"/>
    <w:rsid w:val="00A27486"/>
    <w:rsid w:val="00A2799B"/>
    <w:rsid w:val="00A27A3B"/>
    <w:rsid w:val="00A30585"/>
    <w:rsid w:val="00A311F7"/>
    <w:rsid w:val="00A314FD"/>
    <w:rsid w:val="00A31904"/>
    <w:rsid w:val="00A3195D"/>
    <w:rsid w:val="00A31E1F"/>
    <w:rsid w:val="00A32114"/>
    <w:rsid w:val="00A3360E"/>
    <w:rsid w:val="00A336C6"/>
    <w:rsid w:val="00A338AA"/>
    <w:rsid w:val="00A33C11"/>
    <w:rsid w:val="00A34029"/>
    <w:rsid w:val="00A340E0"/>
    <w:rsid w:val="00A34379"/>
    <w:rsid w:val="00A34651"/>
    <w:rsid w:val="00A347C7"/>
    <w:rsid w:val="00A34893"/>
    <w:rsid w:val="00A34957"/>
    <w:rsid w:val="00A34959"/>
    <w:rsid w:val="00A34A4C"/>
    <w:rsid w:val="00A34D11"/>
    <w:rsid w:val="00A34DE4"/>
    <w:rsid w:val="00A34F2E"/>
    <w:rsid w:val="00A350D1"/>
    <w:rsid w:val="00A3559F"/>
    <w:rsid w:val="00A35CAB"/>
    <w:rsid w:val="00A36198"/>
    <w:rsid w:val="00A36680"/>
    <w:rsid w:val="00A36922"/>
    <w:rsid w:val="00A369D1"/>
    <w:rsid w:val="00A375FF"/>
    <w:rsid w:val="00A37CD0"/>
    <w:rsid w:val="00A37DE8"/>
    <w:rsid w:val="00A404A1"/>
    <w:rsid w:val="00A404D3"/>
    <w:rsid w:val="00A40541"/>
    <w:rsid w:val="00A4079B"/>
    <w:rsid w:val="00A40A0A"/>
    <w:rsid w:val="00A41011"/>
    <w:rsid w:val="00A41450"/>
    <w:rsid w:val="00A418F7"/>
    <w:rsid w:val="00A41B17"/>
    <w:rsid w:val="00A41DEE"/>
    <w:rsid w:val="00A42303"/>
    <w:rsid w:val="00A4237D"/>
    <w:rsid w:val="00A423FA"/>
    <w:rsid w:val="00A42666"/>
    <w:rsid w:val="00A42ADC"/>
    <w:rsid w:val="00A433D9"/>
    <w:rsid w:val="00A43454"/>
    <w:rsid w:val="00A434CF"/>
    <w:rsid w:val="00A4372E"/>
    <w:rsid w:val="00A43D22"/>
    <w:rsid w:val="00A43EED"/>
    <w:rsid w:val="00A43F0E"/>
    <w:rsid w:val="00A44188"/>
    <w:rsid w:val="00A44453"/>
    <w:rsid w:val="00A4500E"/>
    <w:rsid w:val="00A4557C"/>
    <w:rsid w:val="00A46510"/>
    <w:rsid w:val="00A4677D"/>
    <w:rsid w:val="00A467BA"/>
    <w:rsid w:val="00A4693C"/>
    <w:rsid w:val="00A47304"/>
    <w:rsid w:val="00A47D04"/>
    <w:rsid w:val="00A50962"/>
    <w:rsid w:val="00A50A9D"/>
    <w:rsid w:val="00A50C9B"/>
    <w:rsid w:val="00A50EA8"/>
    <w:rsid w:val="00A51294"/>
    <w:rsid w:val="00A51380"/>
    <w:rsid w:val="00A5197C"/>
    <w:rsid w:val="00A52104"/>
    <w:rsid w:val="00A52251"/>
    <w:rsid w:val="00A52A68"/>
    <w:rsid w:val="00A53038"/>
    <w:rsid w:val="00A53269"/>
    <w:rsid w:val="00A53A40"/>
    <w:rsid w:val="00A53EBC"/>
    <w:rsid w:val="00A53EE8"/>
    <w:rsid w:val="00A54042"/>
    <w:rsid w:val="00A542D8"/>
    <w:rsid w:val="00A54801"/>
    <w:rsid w:val="00A54C3C"/>
    <w:rsid w:val="00A54E63"/>
    <w:rsid w:val="00A556CC"/>
    <w:rsid w:val="00A557D8"/>
    <w:rsid w:val="00A5598D"/>
    <w:rsid w:val="00A55A82"/>
    <w:rsid w:val="00A55B1C"/>
    <w:rsid w:val="00A55C34"/>
    <w:rsid w:val="00A55DCB"/>
    <w:rsid w:val="00A56246"/>
    <w:rsid w:val="00A5646A"/>
    <w:rsid w:val="00A565DD"/>
    <w:rsid w:val="00A56702"/>
    <w:rsid w:val="00A56954"/>
    <w:rsid w:val="00A5699B"/>
    <w:rsid w:val="00A573C7"/>
    <w:rsid w:val="00A57987"/>
    <w:rsid w:val="00A57AC9"/>
    <w:rsid w:val="00A57E27"/>
    <w:rsid w:val="00A60428"/>
    <w:rsid w:val="00A60525"/>
    <w:rsid w:val="00A6075E"/>
    <w:rsid w:val="00A60AB9"/>
    <w:rsid w:val="00A611C9"/>
    <w:rsid w:val="00A612E6"/>
    <w:rsid w:val="00A61C5B"/>
    <w:rsid w:val="00A61CDE"/>
    <w:rsid w:val="00A62300"/>
    <w:rsid w:val="00A6257B"/>
    <w:rsid w:val="00A62600"/>
    <w:rsid w:val="00A629BE"/>
    <w:rsid w:val="00A62DF1"/>
    <w:rsid w:val="00A62F04"/>
    <w:rsid w:val="00A63379"/>
    <w:rsid w:val="00A6363B"/>
    <w:rsid w:val="00A63729"/>
    <w:rsid w:val="00A63AD5"/>
    <w:rsid w:val="00A64080"/>
    <w:rsid w:val="00A64397"/>
    <w:rsid w:val="00A6449F"/>
    <w:rsid w:val="00A64A76"/>
    <w:rsid w:val="00A64DE8"/>
    <w:rsid w:val="00A65137"/>
    <w:rsid w:val="00A65215"/>
    <w:rsid w:val="00A65335"/>
    <w:rsid w:val="00A655F2"/>
    <w:rsid w:val="00A66021"/>
    <w:rsid w:val="00A6624A"/>
    <w:rsid w:val="00A6660E"/>
    <w:rsid w:val="00A6662E"/>
    <w:rsid w:val="00A66797"/>
    <w:rsid w:val="00A66A35"/>
    <w:rsid w:val="00A66BC4"/>
    <w:rsid w:val="00A66C93"/>
    <w:rsid w:val="00A677EC"/>
    <w:rsid w:val="00A67AFA"/>
    <w:rsid w:val="00A67DAA"/>
    <w:rsid w:val="00A7035D"/>
    <w:rsid w:val="00A7043C"/>
    <w:rsid w:val="00A705E1"/>
    <w:rsid w:val="00A70702"/>
    <w:rsid w:val="00A70AC6"/>
    <w:rsid w:val="00A70DD3"/>
    <w:rsid w:val="00A71A34"/>
    <w:rsid w:val="00A7271C"/>
    <w:rsid w:val="00A728C1"/>
    <w:rsid w:val="00A72A66"/>
    <w:rsid w:val="00A72E97"/>
    <w:rsid w:val="00A7354E"/>
    <w:rsid w:val="00A73778"/>
    <w:rsid w:val="00A73D96"/>
    <w:rsid w:val="00A74229"/>
    <w:rsid w:val="00A74415"/>
    <w:rsid w:val="00A746A2"/>
    <w:rsid w:val="00A746B1"/>
    <w:rsid w:val="00A75149"/>
    <w:rsid w:val="00A75766"/>
    <w:rsid w:val="00A75A2D"/>
    <w:rsid w:val="00A75FD0"/>
    <w:rsid w:val="00A76457"/>
    <w:rsid w:val="00A76604"/>
    <w:rsid w:val="00A768F5"/>
    <w:rsid w:val="00A76C7E"/>
    <w:rsid w:val="00A76CBA"/>
    <w:rsid w:val="00A76E9E"/>
    <w:rsid w:val="00A7774F"/>
    <w:rsid w:val="00A7781A"/>
    <w:rsid w:val="00A77983"/>
    <w:rsid w:val="00A7799F"/>
    <w:rsid w:val="00A77A81"/>
    <w:rsid w:val="00A77AAF"/>
    <w:rsid w:val="00A8007B"/>
    <w:rsid w:val="00A80554"/>
    <w:rsid w:val="00A80570"/>
    <w:rsid w:val="00A80786"/>
    <w:rsid w:val="00A80AB2"/>
    <w:rsid w:val="00A811F0"/>
    <w:rsid w:val="00A81239"/>
    <w:rsid w:val="00A8183E"/>
    <w:rsid w:val="00A81CF1"/>
    <w:rsid w:val="00A81D80"/>
    <w:rsid w:val="00A8262B"/>
    <w:rsid w:val="00A828A0"/>
    <w:rsid w:val="00A82A8B"/>
    <w:rsid w:val="00A82B1F"/>
    <w:rsid w:val="00A82B91"/>
    <w:rsid w:val="00A83709"/>
    <w:rsid w:val="00A839A2"/>
    <w:rsid w:val="00A84547"/>
    <w:rsid w:val="00A84667"/>
    <w:rsid w:val="00A84897"/>
    <w:rsid w:val="00A84A25"/>
    <w:rsid w:val="00A84B09"/>
    <w:rsid w:val="00A84C6E"/>
    <w:rsid w:val="00A84DB3"/>
    <w:rsid w:val="00A84FD4"/>
    <w:rsid w:val="00A850BE"/>
    <w:rsid w:val="00A85577"/>
    <w:rsid w:val="00A85E73"/>
    <w:rsid w:val="00A85ED2"/>
    <w:rsid w:val="00A85F2A"/>
    <w:rsid w:val="00A8618E"/>
    <w:rsid w:val="00A862E4"/>
    <w:rsid w:val="00A863F7"/>
    <w:rsid w:val="00A86849"/>
    <w:rsid w:val="00A8752C"/>
    <w:rsid w:val="00A87644"/>
    <w:rsid w:val="00A87AFE"/>
    <w:rsid w:val="00A9075B"/>
    <w:rsid w:val="00A90840"/>
    <w:rsid w:val="00A90B89"/>
    <w:rsid w:val="00A90C6B"/>
    <w:rsid w:val="00A90F3E"/>
    <w:rsid w:val="00A91232"/>
    <w:rsid w:val="00A91511"/>
    <w:rsid w:val="00A917A3"/>
    <w:rsid w:val="00A921FE"/>
    <w:rsid w:val="00A92F8F"/>
    <w:rsid w:val="00A93477"/>
    <w:rsid w:val="00A9376F"/>
    <w:rsid w:val="00A93771"/>
    <w:rsid w:val="00A93EEE"/>
    <w:rsid w:val="00A94048"/>
    <w:rsid w:val="00A940B7"/>
    <w:rsid w:val="00A94748"/>
    <w:rsid w:val="00A94BB4"/>
    <w:rsid w:val="00A94FE1"/>
    <w:rsid w:val="00A951D1"/>
    <w:rsid w:val="00A95222"/>
    <w:rsid w:val="00A95B5A"/>
    <w:rsid w:val="00A9639B"/>
    <w:rsid w:val="00A96457"/>
    <w:rsid w:val="00A9682B"/>
    <w:rsid w:val="00A96A37"/>
    <w:rsid w:val="00A96E0F"/>
    <w:rsid w:val="00A97720"/>
    <w:rsid w:val="00A97816"/>
    <w:rsid w:val="00A97A20"/>
    <w:rsid w:val="00A97FB1"/>
    <w:rsid w:val="00AA01DE"/>
    <w:rsid w:val="00AA03FD"/>
    <w:rsid w:val="00AA09A4"/>
    <w:rsid w:val="00AA1006"/>
    <w:rsid w:val="00AA1082"/>
    <w:rsid w:val="00AA126C"/>
    <w:rsid w:val="00AA19A3"/>
    <w:rsid w:val="00AA1B98"/>
    <w:rsid w:val="00AA262E"/>
    <w:rsid w:val="00AA3092"/>
    <w:rsid w:val="00AA30C7"/>
    <w:rsid w:val="00AA32A7"/>
    <w:rsid w:val="00AA37CD"/>
    <w:rsid w:val="00AA38D0"/>
    <w:rsid w:val="00AA3924"/>
    <w:rsid w:val="00AA3DEA"/>
    <w:rsid w:val="00AA42B2"/>
    <w:rsid w:val="00AA45C8"/>
    <w:rsid w:val="00AA4994"/>
    <w:rsid w:val="00AA4C74"/>
    <w:rsid w:val="00AA4D1B"/>
    <w:rsid w:val="00AA52C0"/>
    <w:rsid w:val="00AA5AF2"/>
    <w:rsid w:val="00AA6301"/>
    <w:rsid w:val="00AA66A8"/>
    <w:rsid w:val="00AA685B"/>
    <w:rsid w:val="00AA6EF0"/>
    <w:rsid w:val="00AA6FB3"/>
    <w:rsid w:val="00AA79B2"/>
    <w:rsid w:val="00AA7B17"/>
    <w:rsid w:val="00AA7CB7"/>
    <w:rsid w:val="00AA7F0E"/>
    <w:rsid w:val="00AA7FBF"/>
    <w:rsid w:val="00AB0088"/>
    <w:rsid w:val="00AB0583"/>
    <w:rsid w:val="00AB05C9"/>
    <w:rsid w:val="00AB0846"/>
    <w:rsid w:val="00AB0BF4"/>
    <w:rsid w:val="00AB0D24"/>
    <w:rsid w:val="00AB18BD"/>
    <w:rsid w:val="00AB192B"/>
    <w:rsid w:val="00AB1E1E"/>
    <w:rsid w:val="00AB21E8"/>
    <w:rsid w:val="00AB24AD"/>
    <w:rsid w:val="00AB2A5D"/>
    <w:rsid w:val="00AB2F7E"/>
    <w:rsid w:val="00AB2FA4"/>
    <w:rsid w:val="00AB37F0"/>
    <w:rsid w:val="00AB3E94"/>
    <w:rsid w:val="00AB418A"/>
    <w:rsid w:val="00AB450B"/>
    <w:rsid w:val="00AB48C1"/>
    <w:rsid w:val="00AB55F5"/>
    <w:rsid w:val="00AB59CC"/>
    <w:rsid w:val="00AB5BA2"/>
    <w:rsid w:val="00AB5D23"/>
    <w:rsid w:val="00AB5F0F"/>
    <w:rsid w:val="00AB66B4"/>
    <w:rsid w:val="00AB6992"/>
    <w:rsid w:val="00AB7C29"/>
    <w:rsid w:val="00AC063D"/>
    <w:rsid w:val="00AC0D56"/>
    <w:rsid w:val="00AC1141"/>
    <w:rsid w:val="00AC1193"/>
    <w:rsid w:val="00AC11E2"/>
    <w:rsid w:val="00AC14BB"/>
    <w:rsid w:val="00AC16BD"/>
    <w:rsid w:val="00AC1815"/>
    <w:rsid w:val="00AC18DF"/>
    <w:rsid w:val="00AC1D87"/>
    <w:rsid w:val="00AC1F31"/>
    <w:rsid w:val="00AC21E0"/>
    <w:rsid w:val="00AC2254"/>
    <w:rsid w:val="00AC254F"/>
    <w:rsid w:val="00AC28F9"/>
    <w:rsid w:val="00AC349D"/>
    <w:rsid w:val="00AC34BD"/>
    <w:rsid w:val="00AC36C8"/>
    <w:rsid w:val="00AC3B5F"/>
    <w:rsid w:val="00AC3EC0"/>
    <w:rsid w:val="00AC3F12"/>
    <w:rsid w:val="00AC441F"/>
    <w:rsid w:val="00AC4D90"/>
    <w:rsid w:val="00AC4E09"/>
    <w:rsid w:val="00AC4E56"/>
    <w:rsid w:val="00AC5181"/>
    <w:rsid w:val="00AC52F9"/>
    <w:rsid w:val="00AC5993"/>
    <w:rsid w:val="00AC5A70"/>
    <w:rsid w:val="00AC5C97"/>
    <w:rsid w:val="00AC622E"/>
    <w:rsid w:val="00AC650D"/>
    <w:rsid w:val="00AC6765"/>
    <w:rsid w:val="00AC69B9"/>
    <w:rsid w:val="00AC69BB"/>
    <w:rsid w:val="00AC6E2C"/>
    <w:rsid w:val="00AC766D"/>
    <w:rsid w:val="00AC76C5"/>
    <w:rsid w:val="00AC7773"/>
    <w:rsid w:val="00AC7840"/>
    <w:rsid w:val="00AC7B56"/>
    <w:rsid w:val="00AC7E96"/>
    <w:rsid w:val="00AC7EC9"/>
    <w:rsid w:val="00AD04F6"/>
    <w:rsid w:val="00AD07FF"/>
    <w:rsid w:val="00AD08FA"/>
    <w:rsid w:val="00AD0920"/>
    <w:rsid w:val="00AD0C22"/>
    <w:rsid w:val="00AD0D1D"/>
    <w:rsid w:val="00AD1083"/>
    <w:rsid w:val="00AD12B7"/>
    <w:rsid w:val="00AD1382"/>
    <w:rsid w:val="00AD1F87"/>
    <w:rsid w:val="00AD25D3"/>
    <w:rsid w:val="00AD2B16"/>
    <w:rsid w:val="00AD2F88"/>
    <w:rsid w:val="00AD37BC"/>
    <w:rsid w:val="00AD3914"/>
    <w:rsid w:val="00AD3E9A"/>
    <w:rsid w:val="00AD3F72"/>
    <w:rsid w:val="00AD4144"/>
    <w:rsid w:val="00AD556D"/>
    <w:rsid w:val="00AD5B48"/>
    <w:rsid w:val="00AD6036"/>
    <w:rsid w:val="00AD62D9"/>
    <w:rsid w:val="00AD66F3"/>
    <w:rsid w:val="00AD67F1"/>
    <w:rsid w:val="00AD6DD1"/>
    <w:rsid w:val="00AE0608"/>
    <w:rsid w:val="00AE092B"/>
    <w:rsid w:val="00AE0BA1"/>
    <w:rsid w:val="00AE0D46"/>
    <w:rsid w:val="00AE0FF4"/>
    <w:rsid w:val="00AE11F9"/>
    <w:rsid w:val="00AE13F2"/>
    <w:rsid w:val="00AE219F"/>
    <w:rsid w:val="00AE2470"/>
    <w:rsid w:val="00AE2631"/>
    <w:rsid w:val="00AE289C"/>
    <w:rsid w:val="00AE2E25"/>
    <w:rsid w:val="00AE34F5"/>
    <w:rsid w:val="00AE3C01"/>
    <w:rsid w:val="00AE450E"/>
    <w:rsid w:val="00AE488A"/>
    <w:rsid w:val="00AE4CB6"/>
    <w:rsid w:val="00AE4D3D"/>
    <w:rsid w:val="00AE4E3E"/>
    <w:rsid w:val="00AE56C4"/>
    <w:rsid w:val="00AE5DE0"/>
    <w:rsid w:val="00AE5E94"/>
    <w:rsid w:val="00AE607B"/>
    <w:rsid w:val="00AE645E"/>
    <w:rsid w:val="00AE65B0"/>
    <w:rsid w:val="00AE65D6"/>
    <w:rsid w:val="00AE684A"/>
    <w:rsid w:val="00AE6DA2"/>
    <w:rsid w:val="00AE6F7A"/>
    <w:rsid w:val="00AE71C2"/>
    <w:rsid w:val="00AE7347"/>
    <w:rsid w:val="00AE76EE"/>
    <w:rsid w:val="00AF11B4"/>
    <w:rsid w:val="00AF131D"/>
    <w:rsid w:val="00AF142B"/>
    <w:rsid w:val="00AF169B"/>
    <w:rsid w:val="00AF1A1A"/>
    <w:rsid w:val="00AF1D0E"/>
    <w:rsid w:val="00AF1EE7"/>
    <w:rsid w:val="00AF247F"/>
    <w:rsid w:val="00AF25FF"/>
    <w:rsid w:val="00AF28C1"/>
    <w:rsid w:val="00AF2F16"/>
    <w:rsid w:val="00AF3A93"/>
    <w:rsid w:val="00AF41F6"/>
    <w:rsid w:val="00AF4575"/>
    <w:rsid w:val="00AF484E"/>
    <w:rsid w:val="00AF4A08"/>
    <w:rsid w:val="00AF54A9"/>
    <w:rsid w:val="00AF5743"/>
    <w:rsid w:val="00AF57D4"/>
    <w:rsid w:val="00AF5B77"/>
    <w:rsid w:val="00AF5C9F"/>
    <w:rsid w:val="00AF5CD3"/>
    <w:rsid w:val="00AF6136"/>
    <w:rsid w:val="00AF68B7"/>
    <w:rsid w:val="00AF6E8A"/>
    <w:rsid w:val="00AF7165"/>
    <w:rsid w:val="00AF76B3"/>
    <w:rsid w:val="00B004D4"/>
    <w:rsid w:val="00B00827"/>
    <w:rsid w:val="00B00B3C"/>
    <w:rsid w:val="00B0120D"/>
    <w:rsid w:val="00B01A3E"/>
    <w:rsid w:val="00B01CD2"/>
    <w:rsid w:val="00B02109"/>
    <w:rsid w:val="00B02738"/>
    <w:rsid w:val="00B02937"/>
    <w:rsid w:val="00B02FC0"/>
    <w:rsid w:val="00B03353"/>
    <w:rsid w:val="00B0353E"/>
    <w:rsid w:val="00B03839"/>
    <w:rsid w:val="00B03AEF"/>
    <w:rsid w:val="00B03B47"/>
    <w:rsid w:val="00B03F4A"/>
    <w:rsid w:val="00B03FD1"/>
    <w:rsid w:val="00B04888"/>
    <w:rsid w:val="00B05067"/>
    <w:rsid w:val="00B05100"/>
    <w:rsid w:val="00B0589E"/>
    <w:rsid w:val="00B058D3"/>
    <w:rsid w:val="00B05B77"/>
    <w:rsid w:val="00B05C91"/>
    <w:rsid w:val="00B0644D"/>
    <w:rsid w:val="00B0652C"/>
    <w:rsid w:val="00B07501"/>
    <w:rsid w:val="00B100AC"/>
    <w:rsid w:val="00B101B7"/>
    <w:rsid w:val="00B10B28"/>
    <w:rsid w:val="00B10BCA"/>
    <w:rsid w:val="00B10D8B"/>
    <w:rsid w:val="00B111E5"/>
    <w:rsid w:val="00B1169B"/>
    <w:rsid w:val="00B1177C"/>
    <w:rsid w:val="00B11D5F"/>
    <w:rsid w:val="00B11F8D"/>
    <w:rsid w:val="00B120B0"/>
    <w:rsid w:val="00B12EC3"/>
    <w:rsid w:val="00B1303D"/>
    <w:rsid w:val="00B13226"/>
    <w:rsid w:val="00B13517"/>
    <w:rsid w:val="00B13734"/>
    <w:rsid w:val="00B13794"/>
    <w:rsid w:val="00B13873"/>
    <w:rsid w:val="00B14D76"/>
    <w:rsid w:val="00B15129"/>
    <w:rsid w:val="00B15302"/>
    <w:rsid w:val="00B15474"/>
    <w:rsid w:val="00B15A0D"/>
    <w:rsid w:val="00B15D58"/>
    <w:rsid w:val="00B15F3F"/>
    <w:rsid w:val="00B15FD6"/>
    <w:rsid w:val="00B16140"/>
    <w:rsid w:val="00B1653F"/>
    <w:rsid w:val="00B16BB2"/>
    <w:rsid w:val="00B16F9E"/>
    <w:rsid w:val="00B17294"/>
    <w:rsid w:val="00B17904"/>
    <w:rsid w:val="00B17D5D"/>
    <w:rsid w:val="00B200E6"/>
    <w:rsid w:val="00B20323"/>
    <w:rsid w:val="00B20450"/>
    <w:rsid w:val="00B20470"/>
    <w:rsid w:val="00B20546"/>
    <w:rsid w:val="00B20E65"/>
    <w:rsid w:val="00B21411"/>
    <w:rsid w:val="00B21573"/>
    <w:rsid w:val="00B21C07"/>
    <w:rsid w:val="00B21CD3"/>
    <w:rsid w:val="00B22583"/>
    <w:rsid w:val="00B22B13"/>
    <w:rsid w:val="00B23228"/>
    <w:rsid w:val="00B23DF4"/>
    <w:rsid w:val="00B23EFA"/>
    <w:rsid w:val="00B24207"/>
    <w:rsid w:val="00B24A3C"/>
    <w:rsid w:val="00B252F4"/>
    <w:rsid w:val="00B25818"/>
    <w:rsid w:val="00B258A0"/>
    <w:rsid w:val="00B25A03"/>
    <w:rsid w:val="00B2643F"/>
    <w:rsid w:val="00B26682"/>
    <w:rsid w:val="00B26B87"/>
    <w:rsid w:val="00B276E5"/>
    <w:rsid w:val="00B2779F"/>
    <w:rsid w:val="00B27BF9"/>
    <w:rsid w:val="00B27CEC"/>
    <w:rsid w:val="00B27D6C"/>
    <w:rsid w:val="00B27DBF"/>
    <w:rsid w:val="00B3003C"/>
    <w:rsid w:val="00B3041F"/>
    <w:rsid w:val="00B306B7"/>
    <w:rsid w:val="00B3074F"/>
    <w:rsid w:val="00B308F9"/>
    <w:rsid w:val="00B30C1E"/>
    <w:rsid w:val="00B30C53"/>
    <w:rsid w:val="00B30D15"/>
    <w:rsid w:val="00B30D68"/>
    <w:rsid w:val="00B30F44"/>
    <w:rsid w:val="00B3114D"/>
    <w:rsid w:val="00B31393"/>
    <w:rsid w:val="00B3193E"/>
    <w:rsid w:val="00B31C3F"/>
    <w:rsid w:val="00B31E98"/>
    <w:rsid w:val="00B3238C"/>
    <w:rsid w:val="00B325FE"/>
    <w:rsid w:val="00B32678"/>
    <w:rsid w:val="00B32B59"/>
    <w:rsid w:val="00B32E0E"/>
    <w:rsid w:val="00B330CE"/>
    <w:rsid w:val="00B33579"/>
    <w:rsid w:val="00B3378D"/>
    <w:rsid w:val="00B33B15"/>
    <w:rsid w:val="00B33CBC"/>
    <w:rsid w:val="00B33E1E"/>
    <w:rsid w:val="00B33FD8"/>
    <w:rsid w:val="00B34BF8"/>
    <w:rsid w:val="00B34E16"/>
    <w:rsid w:val="00B34E7B"/>
    <w:rsid w:val="00B3506D"/>
    <w:rsid w:val="00B3577B"/>
    <w:rsid w:val="00B35DEA"/>
    <w:rsid w:val="00B35ED2"/>
    <w:rsid w:val="00B36980"/>
    <w:rsid w:val="00B370AD"/>
    <w:rsid w:val="00B3749B"/>
    <w:rsid w:val="00B37713"/>
    <w:rsid w:val="00B37B8E"/>
    <w:rsid w:val="00B37DF7"/>
    <w:rsid w:val="00B37E14"/>
    <w:rsid w:val="00B40010"/>
    <w:rsid w:val="00B40102"/>
    <w:rsid w:val="00B40371"/>
    <w:rsid w:val="00B403EB"/>
    <w:rsid w:val="00B40662"/>
    <w:rsid w:val="00B40DC0"/>
    <w:rsid w:val="00B40F75"/>
    <w:rsid w:val="00B412DA"/>
    <w:rsid w:val="00B41C1B"/>
    <w:rsid w:val="00B41C37"/>
    <w:rsid w:val="00B41D10"/>
    <w:rsid w:val="00B42293"/>
    <w:rsid w:val="00B4229D"/>
    <w:rsid w:val="00B423E7"/>
    <w:rsid w:val="00B42D6F"/>
    <w:rsid w:val="00B43383"/>
    <w:rsid w:val="00B4372E"/>
    <w:rsid w:val="00B44036"/>
    <w:rsid w:val="00B44408"/>
    <w:rsid w:val="00B44AF0"/>
    <w:rsid w:val="00B45B56"/>
    <w:rsid w:val="00B45CFD"/>
    <w:rsid w:val="00B4630D"/>
    <w:rsid w:val="00B46559"/>
    <w:rsid w:val="00B467FC"/>
    <w:rsid w:val="00B4698F"/>
    <w:rsid w:val="00B46FC5"/>
    <w:rsid w:val="00B47178"/>
    <w:rsid w:val="00B47323"/>
    <w:rsid w:val="00B478EC"/>
    <w:rsid w:val="00B47A0B"/>
    <w:rsid w:val="00B47AF3"/>
    <w:rsid w:val="00B47CDB"/>
    <w:rsid w:val="00B50137"/>
    <w:rsid w:val="00B502AC"/>
    <w:rsid w:val="00B50399"/>
    <w:rsid w:val="00B507F3"/>
    <w:rsid w:val="00B50E57"/>
    <w:rsid w:val="00B50EF6"/>
    <w:rsid w:val="00B5108D"/>
    <w:rsid w:val="00B511D1"/>
    <w:rsid w:val="00B51304"/>
    <w:rsid w:val="00B51467"/>
    <w:rsid w:val="00B51517"/>
    <w:rsid w:val="00B51595"/>
    <w:rsid w:val="00B51BDC"/>
    <w:rsid w:val="00B51D0B"/>
    <w:rsid w:val="00B52091"/>
    <w:rsid w:val="00B521CA"/>
    <w:rsid w:val="00B52809"/>
    <w:rsid w:val="00B52EC3"/>
    <w:rsid w:val="00B530B1"/>
    <w:rsid w:val="00B53514"/>
    <w:rsid w:val="00B536A1"/>
    <w:rsid w:val="00B539BD"/>
    <w:rsid w:val="00B53BA3"/>
    <w:rsid w:val="00B53BDD"/>
    <w:rsid w:val="00B53DEE"/>
    <w:rsid w:val="00B54218"/>
    <w:rsid w:val="00B542C2"/>
    <w:rsid w:val="00B544DA"/>
    <w:rsid w:val="00B54814"/>
    <w:rsid w:val="00B549B3"/>
    <w:rsid w:val="00B550DB"/>
    <w:rsid w:val="00B5535D"/>
    <w:rsid w:val="00B553BF"/>
    <w:rsid w:val="00B55681"/>
    <w:rsid w:val="00B55853"/>
    <w:rsid w:val="00B55A87"/>
    <w:rsid w:val="00B55BB0"/>
    <w:rsid w:val="00B55DA8"/>
    <w:rsid w:val="00B55F25"/>
    <w:rsid w:val="00B55FF2"/>
    <w:rsid w:val="00B5672D"/>
    <w:rsid w:val="00B56758"/>
    <w:rsid w:val="00B56A2E"/>
    <w:rsid w:val="00B56B72"/>
    <w:rsid w:val="00B56BAD"/>
    <w:rsid w:val="00B56CF6"/>
    <w:rsid w:val="00B56EA6"/>
    <w:rsid w:val="00B575B8"/>
    <w:rsid w:val="00B5778B"/>
    <w:rsid w:val="00B578C0"/>
    <w:rsid w:val="00B57A63"/>
    <w:rsid w:val="00B57A7F"/>
    <w:rsid w:val="00B57EAE"/>
    <w:rsid w:val="00B602CF"/>
    <w:rsid w:val="00B6063B"/>
    <w:rsid w:val="00B60686"/>
    <w:rsid w:val="00B6081E"/>
    <w:rsid w:val="00B60829"/>
    <w:rsid w:val="00B60870"/>
    <w:rsid w:val="00B608F3"/>
    <w:rsid w:val="00B60F6A"/>
    <w:rsid w:val="00B6111B"/>
    <w:rsid w:val="00B61359"/>
    <w:rsid w:val="00B614EB"/>
    <w:rsid w:val="00B617F7"/>
    <w:rsid w:val="00B618E7"/>
    <w:rsid w:val="00B61CDF"/>
    <w:rsid w:val="00B624C8"/>
    <w:rsid w:val="00B624E5"/>
    <w:rsid w:val="00B6262E"/>
    <w:rsid w:val="00B627AA"/>
    <w:rsid w:val="00B63550"/>
    <w:rsid w:val="00B63603"/>
    <w:rsid w:val="00B63D71"/>
    <w:rsid w:val="00B649C8"/>
    <w:rsid w:val="00B651EF"/>
    <w:rsid w:val="00B653F9"/>
    <w:rsid w:val="00B65526"/>
    <w:rsid w:val="00B6572D"/>
    <w:rsid w:val="00B6589B"/>
    <w:rsid w:val="00B65976"/>
    <w:rsid w:val="00B65DF3"/>
    <w:rsid w:val="00B65FCB"/>
    <w:rsid w:val="00B663BD"/>
    <w:rsid w:val="00B6724E"/>
    <w:rsid w:val="00B67492"/>
    <w:rsid w:val="00B67A62"/>
    <w:rsid w:val="00B67C62"/>
    <w:rsid w:val="00B67CD1"/>
    <w:rsid w:val="00B708E6"/>
    <w:rsid w:val="00B70CF1"/>
    <w:rsid w:val="00B70E5A"/>
    <w:rsid w:val="00B710DB"/>
    <w:rsid w:val="00B71682"/>
    <w:rsid w:val="00B7174F"/>
    <w:rsid w:val="00B71A9F"/>
    <w:rsid w:val="00B71C27"/>
    <w:rsid w:val="00B71F4A"/>
    <w:rsid w:val="00B71F8D"/>
    <w:rsid w:val="00B72210"/>
    <w:rsid w:val="00B72399"/>
    <w:rsid w:val="00B7293A"/>
    <w:rsid w:val="00B73368"/>
    <w:rsid w:val="00B73426"/>
    <w:rsid w:val="00B7386D"/>
    <w:rsid w:val="00B73E5F"/>
    <w:rsid w:val="00B7408C"/>
    <w:rsid w:val="00B74168"/>
    <w:rsid w:val="00B74362"/>
    <w:rsid w:val="00B74A3A"/>
    <w:rsid w:val="00B74B97"/>
    <w:rsid w:val="00B75023"/>
    <w:rsid w:val="00B756D4"/>
    <w:rsid w:val="00B75BE2"/>
    <w:rsid w:val="00B75C52"/>
    <w:rsid w:val="00B760DE"/>
    <w:rsid w:val="00B76336"/>
    <w:rsid w:val="00B76583"/>
    <w:rsid w:val="00B768FA"/>
    <w:rsid w:val="00B76CF3"/>
    <w:rsid w:val="00B771D6"/>
    <w:rsid w:val="00B774C0"/>
    <w:rsid w:val="00B777C3"/>
    <w:rsid w:val="00B77B8B"/>
    <w:rsid w:val="00B77EBB"/>
    <w:rsid w:val="00B80001"/>
    <w:rsid w:val="00B807B7"/>
    <w:rsid w:val="00B80965"/>
    <w:rsid w:val="00B80DA5"/>
    <w:rsid w:val="00B80E12"/>
    <w:rsid w:val="00B818F1"/>
    <w:rsid w:val="00B81A91"/>
    <w:rsid w:val="00B81B19"/>
    <w:rsid w:val="00B822D5"/>
    <w:rsid w:val="00B82850"/>
    <w:rsid w:val="00B82E57"/>
    <w:rsid w:val="00B82E70"/>
    <w:rsid w:val="00B82F8C"/>
    <w:rsid w:val="00B830DC"/>
    <w:rsid w:val="00B83323"/>
    <w:rsid w:val="00B834D9"/>
    <w:rsid w:val="00B83561"/>
    <w:rsid w:val="00B8362E"/>
    <w:rsid w:val="00B8389D"/>
    <w:rsid w:val="00B83BC2"/>
    <w:rsid w:val="00B83CE3"/>
    <w:rsid w:val="00B83CEB"/>
    <w:rsid w:val="00B83D99"/>
    <w:rsid w:val="00B83EF8"/>
    <w:rsid w:val="00B84146"/>
    <w:rsid w:val="00B84736"/>
    <w:rsid w:val="00B84740"/>
    <w:rsid w:val="00B849D7"/>
    <w:rsid w:val="00B84C35"/>
    <w:rsid w:val="00B84D4A"/>
    <w:rsid w:val="00B8502D"/>
    <w:rsid w:val="00B8533B"/>
    <w:rsid w:val="00B85410"/>
    <w:rsid w:val="00B8573A"/>
    <w:rsid w:val="00B857A5"/>
    <w:rsid w:val="00B858EC"/>
    <w:rsid w:val="00B85C7A"/>
    <w:rsid w:val="00B85D88"/>
    <w:rsid w:val="00B8682C"/>
    <w:rsid w:val="00B86A59"/>
    <w:rsid w:val="00B86C96"/>
    <w:rsid w:val="00B86FF7"/>
    <w:rsid w:val="00B876E3"/>
    <w:rsid w:val="00B8789B"/>
    <w:rsid w:val="00B87D46"/>
    <w:rsid w:val="00B9004E"/>
    <w:rsid w:val="00B9067E"/>
    <w:rsid w:val="00B906B4"/>
    <w:rsid w:val="00B90B18"/>
    <w:rsid w:val="00B90E37"/>
    <w:rsid w:val="00B91317"/>
    <w:rsid w:val="00B913A5"/>
    <w:rsid w:val="00B91468"/>
    <w:rsid w:val="00B9150F"/>
    <w:rsid w:val="00B9185E"/>
    <w:rsid w:val="00B92513"/>
    <w:rsid w:val="00B9267F"/>
    <w:rsid w:val="00B9285A"/>
    <w:rsid w:val="00B92A46"/>
    <w:rsid w:val="00B92AF2"/>
    <w:rsid w:val="00B930AC"/>
    <w:rsid w:val="00B9319C"/>
    <w:rsid w:val="00B934F2"/>
    <w:rsid w:val="00B940FA"/>
    <w:rsid w:val="00B9441A"/>
    <w:rsid w:val="00B944D0"/>
    <w:rsid w:val="00B945C2"/>
    <w:rsid w:val="00B948D9"/>
    <w:rsid w:val="00B94901"/>
    <w:rsid w:val="00B954E2"/>
    <w:rsid w:val="00B9589F"/>
    <w:rsid w:val="00B95C1E"/>
    <w:rsid w:val="00B965D3"/>
    <w:rsid w:val="00B96EB2"/>
    <w:rsid w:val="00B96F0B"/>
    <w:rsid w:val="00B96FC0"/>
    <w:rsid w:val="00B97663"/>
    <w:rsid w:val="00B97938"/>
    <w:rsid w:val="00B97BD1"/>
    <w:rsid w:val="00B97C90"/>
    <w:rsid w:val="00B97DF6"/>
    <w:rsid w:val="00BA013C"/>
    <w:rsid w:val="00BA0151"/>
    <w:rsid w:val="00BA0447"/>
    <w:rsid w:val="00BA06CF"/>
    <w:rsid w:val="00BA07D8"/>
    <w:rsid w:val="00BA0B77"/>
    <w:rsid w:val="00BA121E"/>
    <w:rsid w:val="00BA12CD"/>
    <w:rsid w:val="00BA1401"/>
    <w:rsid w:val="00BA15C6"/>
    <w:rsid w:val="00BA1650"/>
    <w:rsid w:val="00BA16E1"/>
    <w:rsid w:val="00BA19A3"/>
    <w:rsid w:val="00BA21E6"/>
    <w:rsid w:val="00BA2212"/>
    <w:rsid w:val="00BA2462"/>
    <w:rsid w:val="00BA270C"/>
    <w:rsid w:val="00BA2FB1"/>
    <w:rsid w:val="00BA32F3"/>
    <w:rsid w:val="00BA3A0F"/>
    <w:rsid w:val="00BA3BB4"/>
    <w:rsid w:val="00BA3F24"/>
    <w:rsid w:val="00BA4289"/>
    <w:rsid w:val="00BA4366"/>
    <w:rsid w:val="00BA4596"/>
    <w:rsid w:val="00BA4C0B"/>
    <w:rsid w:val="00BA4CC4"/>
    <w:rsid w:val="00BA4DBE"/>
    <w:rsid w:val="00BA4E81"/>
    <w:rsid w:val="00BA5236"/>
    <w:rsid w:val="00BA5B02"/>
    <w:rsid w:val="00BA5DA2"/>
    <w:rsid w:val="00BA63DC"/>
    <w:rsid w:val="00BA6940"/>
    <w:rsid w:val="00BA6C58"/>
    <w:rsid w:val="00BA7044"/>
    <w:rsid w:val="00BA7047"/>
    <w:rsid w:val="00BA7098"/>
    <w:rsid w:val="00BA7138"/>
    <w:rsid w:val="00BA72A0"/>
    <w:rsid w:val="00BA73C3"/>
    <w:rsid w:val="00BA7979"/>
    <w:rsid w:val="00BA7CCC"/>
    <w:rsid w:val="00BB040D"/>
    <w:rsid w:val="00BB052F"/>
    <w:rsid w:val="00BB06AC"/>
    <w:rsid w:val="00BB0744"/>
    <w:rsid w:val="00BB0B38"/>
    <w:rsid w:val="00BB0EF1"/>
    <w:rsid w:val="00BB0F87"/>
    <w:rsid w:val="00BB16F9"/>
    <w:rsid w:val="00BB20DC"/>
    <w:rsid w:val="00BB235C"/>
    <w:rsid w:val="00BB237A"/>
    <w:rsid w:val="00BB237D"/>
    <w:rsid w:val="00BB252B"/>
    <w:rsid w:val="00BB261B"/>
    <w:rsid w:val="00BB2AE3"/>
    <w:rsid w:val="00BB2C25"/>
    <w:rsid w:val="00BB30EC"/>
    <w:rsid w:val="00BB31CC"/>
    <w:rsid w:val="00BB325B"/>
    <w:rsid w:val="00BB34CA"/>
    <w:rsid w:val="00BB43D9"/>
    <w:rsid w:val="00BB4644"/>
    <w:rsid w:val="00BB48B1"/>
    <w:rsid w:val="00BB4CAD"/>
    <w:rsid w:val="00BB4E67"/>
    <w:rsid w:val="00BB4E77"/>
    <w:rsid w:val="00BB4F6B"/>
    <w:rsid w:val="00BB4FA7"/>
    <w:rsid w:val="00BB50CC"/>
    <w:rsid w:val="00BB5241"/>
    <w:rsid w:val="00BB526D"/>
    <w:rsid w:val="00BB5588"/>
    <w:rsid w:val="00BB577F"/>
    <w:rsid w:val="00BB58E5"/>
    <w:rsid w:val="00BB5984"/>
    <w:rsid w:val="00BB5B1A"/>
    <w:rsid w:val="00BB5BE9"/>
    <w:rsid w:val="00BB5C27"/>
    <w:rsid w:val="00BB5C3B"/>
    <w:rsid w:val="00BB5F90"/>
    <w:rsid w:val="00BB605B"/>
    <w:rsid w:val="00BB691F"/>
    <w:rsid w:val="00BB693E"/>
    <w:rsid w:val="00BB6B72"/>
    <w:rsid w:val="00BB6BA4"/>
    <w:rsid w:val="00BB72BE"/>
    <w:rsid w:val="00BB7302"/>
    <w:rsid w:val="00BB7F10"/>
    <w:rsid w:val="00BC08AF"/>
    <w:rsid w:val="00BC08B0"/>
    <w:rsid w:val="00BC0C8E"/>
    <w:rsid w:val="00BC0EA2"/>
    <w:rsid w:val="00BC1A9B"/>
    <w:rsid w:val="00BC1EA0"/>
    <w:rsid w:val="00BC1EAC"/>
    <w:rsid w:val="00BC2045"/>
    <w:rsid w:val="00BC24E8"/>
    <w:rsid w:val="00BC28AD"/>
    <w:rsid w:val="00BC295E"/>
    <w:rsid w:val="00BC2C77"/>
    <w:rsid w:val="00BC308F"/>
    <w:rsid w:val="00BC3538"/>
    <w:rsid w:val="00BC39E7"/>
    <w:rsid w:val="00BC3D33"/>
    <w:rsid w:val="00BC3D6D"/>
    <w:rsid w:val="00BC43A0"/>
    <w:rsid w:val="00BC4533"/>
    <w:rsid w:val="00BC4F15"/>
    <w:rsid w:val="00BC4F20"/>
    <w:rsid w:val="00BC5DCA"/>
    <w:rsid w:val="00BC62D2"/>
    <w:rsid w:val="00BC6A03"/>
    <w:rsid w:val="00BC6D20"/>
    <w:rsid w:val="00BC6ED3"/>
    <w:rsid w:val="00BC6FB5"/>
    <w:rsid w:val="00BC702B"/>
    <w:rsid w:val="00BC741E"/>
    <w:rsid w:val="00BC766A"/>
    <w:rsid w:val="00BC7D6C"/>
    <w:rsid w:val="00BC7E49"/>
    <w:rsid w:val="00BC7FA8"/>
    <w:rsid w:val="00BD07FF"/>
    <w:rsid w:val="00BD0C43"/>
    <w:rsid w:val="00BD0D56"/>
    <w:rsid w:val="00BD1D28"/>
    <w:rsid w:val="00BD1F95"/>
    <w:rsid w:val="00BD20E1"/>
    <w:rsid w:val="00BD262E"/>
    <w:rsid w:val="00BD2D7E"/>
    <w:rsid w:val="00BD2E02"/>
    <w:rsid w:val="00BD2F05"/>
    <w:rsid w:val="00BD316D"/>
    <w:rsid w:val="00BD31D6"/>
    <w:rsid w:val="00BD31E0"/>
    <w:rsid w:val="00BD3AFC"/>
    <w:rsid w:val="00BD3CC1"/>
    <w:rsid w:val="00BD3D1D"/>
    <w:rsid w:val="00BD3F25"/>
    <w:rsid w:val="00BD4075"/>
    <w:rsid w:val="00BD475C"/>
    <w:rsid w:val="00BD4B63"/>
    <w:rsid w:val="00BD4B91"/>
    <w:rsid w:val="00BD5088"/>
    <w:rsid w:val="00BD52A9"/>
    <w:rsid w:val="00BD5415"/>
    <w:rsid w:val="00BD58F9"/>
    <w:rsid w:val="00BD6119"/>
    <w:rsid w:val="00BD6408"/>
    <w:rsid w:val="00BD649C"/>
    <w:rsid w:val="00BD655A"/>
    <w:rsid w:val="00BD688C"/>
    <w:rsid w:val="00BD7398"/>
    <w:rsid w:val="00BD7419"/>
    <w:rsid w:val="00BD7D12"/>
    <w:rsid w:val="00BD7E36"/>
    <w:rsid w:val="00BE00BD"/>
    <w:rsid w:val="00BE0604"/>
    <w:rsid w:val="00BE0EAC"/>
    <w:rsid w:val="00BE0EB3"/>
    <w:rsid w:val="00BE108E"/>
    <w:rsid w:val="00BE1868"/>
    <w:rsid w:val="00BE18F5"/>
    <w:rsid w:val="00BE1E34"/>
    <w:rsid w:val="00BE2347"/>
    <w:rsid w:val="00BE2392"/>
    <w:rsid w:val="00BE23F9"/>
    <w:rsid w:val="00BE246A"/>
    <w:rsid w:val="00BE27C7"/>
    <w:rsid w:val="00BE298D"/>
    <w:rsid w:val="00BE29CE"/>
    <w:rsid w:val="00BE2C39"/>
    <w:rsid w:val="00BE332E"/>
    <w:rsid w:val="00BE384D"/>
    <w:rsid w:val="00BE3868"/>
    <w:rsid w:val="00BE38A8"/>
    <w:rsid w:val="00BE3B59"/>
    <w:rsid w:val="00BE3E03"/>
    <w:rsid w:val="00BE4756"/>
    <w:rsid w:val="00BE4A4A"/>
    <w:rsid w:val="00BE5747"/>
    <w:rsid w:val="00BE5C3E"/>
    <w:rsid w:val="00BE6971"/>
    <w:rsid w:val="00BE69E7"/>
    <w:rsid w:val="00BE6AED"/>
    <w:rsid w:val="00BE6DF3"/>
    <w:rsid w:val="00BE6F8B"/>
    <w:rsid w:val="00BE6FB7"/>
    <w:rsid w:val="00BE72ED"/>
    <w:rsid w:val="00BE733B"/>
    <w:rsid w:val="00BE7439"/>
    <w:rsid w:val="00BE7765"/>
    <w:rsid w:val="00BE7A49"/>
    <w:rsid w:val="00BE7AF5"/>
    <w:rsid w:val="00BE7E25"/>
    <w:rsid w:val="00BF0739"/>
    <w:rsid w:val="00BF09FD"/>
    <w:rsid w:val="00BF1499"/>
    <w:rsid w:val="00BF16F4"/>
    <w:rsid w:val="00BF1A64"/>
    <w:rsid w:val="00BF1BD5"/>
    <w:rsid w:val="00BF22C9"/>
    <w:rsid w:val="00BF27C9"/>
    <w:rsid w:val="00BF2EBD"/>
    <w:rsid w:val="00BF2EF8"/>
    <w:rsid w:val="00BF397B"/>
    <w:rsid w:val="00BF3A49"/>
    <w:rsid w:val="00BF41B2"/>
    <w:rsid w:val="00BF4F33"/>
    <w:rsid w:val="00BF52CB"/>
    <w:rsid w:val="00BF5E47"/>
    <w:rsid w:val="00BF7285"/>
    <w:rsid w:val="00BF74E4"/>
    <w:rsid w:val="00BF7815"/>
    <w:rsid w:val="00C0008D"/>
    <w:rsid w:val="00C005E4"/>
    <w:rsid w:val="00C00698"/>
    <w:rsid w:val="00C0087B"/>
    <w:rsid w:val="00C00C53"/>
    <w:rsid w:val="00C00CF3"/>
    <w:rsid w:val="00C01892"/>
    <w:rsid w:val="00C01964"/>
    <w:rsid w:val="00C01CC1"/>
    <w:rsid w:val="00C01E6E"/>
    <w:rsid w:val="00C02771"/>
    <w:rsid w:val="00C039C0"/>
    <w:rsid w:val="00C03AA8"/>
    <w:rsid w:val="00C03B80"/>
    <w:rsid w:val="00C03C4E"/>
    <w:rsid w:val="00C03EE3"/>
    <w:rsid w:val="00C04008"/>
    <w:rsid w:val="00C040F6"/>
    <w:rsid w:val="00C04197"/>
    <w:rsid w:val="00C04208"/>
    <w:rsid w:val="00C044D1"/>
    <w:rsid w:val="00C04AE4"/>
    <w:rsid w:val="00C04F0E"/>
    <w:rsid w:val="00C05525"/>
    <w:rsid w:val="00C060B8"/>
    <w:rsid w:val="00C06631"/>
    <w:rsid w:val="00C0682C"/>
    <w:rsid w:val="00C06E03"/>
    <w:rsid w:val="00C07D43"/>
    <w:rsid w:val="00C07E8F"/>
    <w:rsid w:val="00C101A4"/>
    <w:rsid w:val="00C10228"/>
    <w:rsid w:val="00C106BC"/>
    <w:rsid w:val="00C10D66"/>
    <w:rsid w:val="00C112BD"/>
    <w:rsid w:val="00C11E1C"/>
    <w:rsid w:val="00C12364"/>
    <w:rsid w:val="00C127C8"/>
    <w:rsid w:val="00C12CA0"/>
    <w:rsid w:val="00C130B7"/>
    <w:rsid w:val="00C13171"/>
    <w:rsid w:val="00C1318F"/>
    <w:rsid w:val="00C1393E"/>
    <w:rsid w:val="00C13CDD"/>
    <w:rsid w:val="00C148AF"/>
    <w:rsid w:val="00C15154"/>
    <w:rsid w:val="00C154BB"/>
    <w:rsid w:val="00C15F5C"/>
    <w:rsid w:val="00C15FE3"/>
    <w:rsid w:val="00C166A5"/>
    <w:rsid w:val="00C17412"/>
    <w:rsid w:val="00C1742D"/>
    <w:rsid w:val="00C1752A"/>
    <w:rsid w:val="00C176A8"/>
    <w:rsid w:val="00C17A33"/>
    <w:rsid w:val="00C17AC5"/>
    <w:rsid w:val="00C20282"/>
    <w:rsid w:val="00C204EE"/>
    <w:rsid w:val="00C206F7"/>
    <w:rsid w:val="00C207E2"/>
    <w:rsid w:val="00C2085D"/>
    <w:rsid w:val="00C2097C"/>
    <w:rsid w:val="00C20A58"/>
    <w:rsid w:val="00C21F32"/>
    <w:rsid w:val="00C222C0"/>
    <w:rsid w:val="00C22583"/>
    <w:rsid w:val="00C22886"/>
    <w:rsid w:val="00C22926"/>
    <w:rsid w:val="00C22D7C"/>
    <w:rsid w:val="00C2314E"/>
    <w:rsid w:val="00C2315D"/>
    <w:rsid w:val="00C233D5"/>
    <w:rsid w:val="00C23943"/>
    <w:rsid w:val="00C23998"/>
    <w:rsid w:val="00C23C3C"/>
    <w:rsid w:val="00C23F12"/>
    <w:rsid w:val="00C24026"/>
    <w:rsid w:val="00C24482"/>
    <w:rsid w:val="00C24712"/>
    <w:rsid w:val="00C253D8"/>
    <w:rsid w:val="00C2571D"/>
    <w:rsid w:val="00C2589E"/>
    <w:rsid w:val="00C25A37"/>
    <w:rsid w:val="00C26269"/>
    <w:rsid w:val="00C26348"/>
    <w:rsid w:val="00C2676A"/>
    <w:rsid w:val="00C26B0C"/>
    <w:rsid w:val="00C276F9"/>
    <w:rsid w:val="00C27D1B"/>
    <w:rsid w:val="00C27E3E"/>
    <w:rsid w:val="00C3018C"/>
    <w:rsid w:val="00C306BA"/>
    <w:rsid w:val="00C30B83"/>
    <w:rsid w:val="00C30D40"/>
    <w:rsid w:val="00C30F31"/>
    <w:rsid w:val="00C31482"/>
    <w:rsid w:val="00C317AC"/>
    <w:rsid w:val="00C319D3"/>
    <w:rsid w:val="00C31D7D"/>
    <w:rsid w:val="00C3290A"/>
    <w:rsid w:val="00C32B53"/>
    <w:rsid w:val="00C32C9B"/>
    <w:rsid w:val="00C32CA8"/>
    <w:rsid w:val="00C3350E"/>
    <w:rsid w:val="00C33877"/>
    <w:rsid w:val="00C33F30"/>
    <w:rsid w:val="00C33F52"/>
    <w:rsid w:val="00C34054"/>
    <w:rsid w:val="00C3411B"/>
    <w:rsid w:val="00C34492"/>
    <w:rsid w:val="00C3487E"/>
    <w:rsid w:val="00C355D5"/>
    <w:rsid w:val="00C35D00"/>
    <w:rsid w:val="00C35D94"/>
    <w:rsid w:val="00C35EA2"/>
    <w:rsid w:val="00C367D8"/>
    <w:rsid w:val="00C36AE2"/>
    <w:rsid w:val="00C36BBF"/>
    <w:rsid w:val="00C36F34"/>
    <w:rsid w:val="00C37194"/>
    <w:rsid w:val="00C372D7"/>
    <w:rsid w:val="00C3785D"/>
    <w:rsid w:val="00C37D29"/>
    <w:rsid w:val="00C37E3B"/>
    <w:rsid w:val="00C40198"/>
    <w:rsid w:val="00C40647"/>
    <w:rsid w:val="00C40B3E"/>
    <w:rsid w:val="00C40BA2"/>
    <w:rsid w:val="00C40C71"/>
    <w:rsid w:val="00C40DC9"/>
    <w:rsid w:val="00C40FB0"/>
    <w:rsid w:val="00C4100E"/>
    <w:rsid w:val="00C4106F"/>
    <w:rsid w:val="00C4126E"/>
    <w:rsid w:val="00C4127A"/>
    <w:rsid w:val="00C42497"/>
    <w:rsid w:val="00C4297C"/>
    <w:rsid w:val="00C43016"/>
    <w:rsid w:val="00C433B6"/>
    <w:rsid w:val="00C43513"/>
    <w:rsid w:val="00C43519"/>
    <w:rsid w:val="00C439CA"/>
    <w:rsid w:val="00C43ADF"/>
    <w:rsid w:val="00C43EC4"/>
    <w:rsid w:val="00C44663"/>
    <w:rsid w:val="00C44CB3"/>
    <w:rsid w:val="00C451AE"/>
    <w:rsid w:val="00C45488"/>
    <w:rsid w:val="00C457EC"/>
    <w:rsid w:val="00C4604F"/>
    <w:rsid w:val="00C46217"/>
    <w:rsid w:val="00C462CD"/>
    <w:rsid w:val="00C46626"/>
    <w:rsid w:val="00C46654"/>
    <w:rsid w:val="00C46CBD"/>
    <w:rsid w:val="00C46FEC"/>
    <w:rsid w:val="00C47026"/>
    <w:rsid w:val="00C47639"/>
    <w:rsid w:val="00C4767D"/>
    <w:rsid w:val="00C47826"/>
    <w:rsid w:val="00C47BD8"/>
    <w:rsid w:val="00C50256"/>
    <w:rsid w:val="00C50524"/>
    <w:rsid w:val="00C50585"/>
    <w:rsid w:val="00C5061E"/>
    <w:rsid w:val="00C50C8C"/>
    <w:rsid w:val="00C51111"/>
    <w:rsid w:val="00C51727"/>
    <w:rsid w:val="00C51904"/>
    <w:rsid w:val="00C51B96"/>
    <w:rsid w:val="00C527C0"/>
    <w:rsid w:val="00C52983"/>
    <w:rsid w:val="00C52CF7"/>
    <w:rsid w:val="00C52F0E"/>
    <w:rsid w:val="00C5313F"/>
    <w:rsid w:val="00C532EC"/>
    <w:rsid w:val="00C533D8"/>
    <w:rsid w:val="00C544BE"/>
    <w:rsid w:val="00C547C8"/>
    <w:rsid w:val="00C55238"/>
    <w:rsid w:val="00C55500"/>
    <w:rsid w:val="00C5567C"/>
    <w:rsid w:val="00C55B50"/>
    <w:rsid w:val="00C56067"/>
    <w:rsid w:val="00C56082"/>
    <w:rsid w:val="00C56162"/>
    <w:rsid w:val="00C563C7"/>
    <w:rsid w:val="00C56650"/>
    <w:rsid w:val="00C56BA7"/>
    <w:rsid w:val="00C56DC0"/>
    <w:rsid w:val="00C5728D"/>
    <w:rsid w:val="00C572B7"/>
    <w:rsid w:val="00C57708"/>
    <w:rsid w:val="00C57C51"/>
    <w:rsid w:val="00C57EAF"/>
    <w:rsid w:val="00C60172"/>
    <w:rsid w:val="00C60225"/>
    <w:rsid w:val="00C6025E"/>
    <w:rsid w:val="00C60AFE"/>
    <w:rsid w:val="00C61052"/>
    <w:rsid w:val="00C614CD"/>
    <w:rsid w:val="00C61A86"/>
    <w:rsid w:val="00C61AA8"/>
    <w:rsid w:val="00C61C71"/>
    <w:rsid w:val="00C61CBB"/>
    <w:rsid w:val="00C620CE"/>
    <w:rsid w:val="00C6237C"/>
    <w:rsid w:val="00C62390"/>
    <w:rsid w:val="00C623F3"/>
    <w:rsid w:val="00C62C44"/>
    <w:rsid w:val="00C63B39"/>
    <w:rsid w:val="00C63E32"/>
    <w:rsid w:val="00C646A5"/>
    <w:rsid w:val="00C647C9"/>
    <w:rsid w:val="00C64B1D"/>
    <w:rsid w:val="00C64C08"/>
    <w:rsid w:val="00C64E6E"/>
    <w:rsid w:val="00C64E96"/>
    <w:rsid w:val="00C64F99"/>
    <w:rsid w:val="00C65B3E"/>
    <w:rsid w:val="00C66143"/>
    <w:rsid w:val="00C66EA9"/>
    <w:rsid w:val="00C671B0"/>
    <w:rsid w:val="00C675EF"/>
    <w:rsid w:val="00C67CF8"/>
    <w:rsid w:val="00C67E7C"/>
    <w:rsid w:val="00C67F31"/>
    <w:rsid w:val="00C704E0"/>
    <w:rsid w:val="00C70956"/>
    <w:rsid w:val="00C7098D"/>
    <w:rsid w:val="00C70CBA"/>
    <w:rsid w:val="00C71194"/>
    <w:rsid w:val="00C71723"/>
    <w:rsid w:val="00C71803"/>
    <w:rsid w:val="00C71B20"/>
    <w:rsid w:val="00C71CC2"/>
    <w:rsid w:val="00C71D47"/>
    <w:rsid w:val="00C72194"/>
    <w:rsid w:val="00C7230D"/>
    <w:rsid w:val="00C7287D"/>
    <w:rsid w:val="00C72A7C"/>
    <w:rsid w:val="00C72CAB"/>
    <w:rsid w:val="00C733A9"/>
    <w:rsid w:val="00C734B3"/>
    <w:rsid w:val="00C734F6"/>
    <w:rsid w:val="00C73A7B"/>
    <w:rsid w:val="00C73BCC"/>
    <w:rsid w:val="00C73F2D"/>
    <w:rsid w:val="00C73FEE"/>
    <w:rsid w:val="00C74748"/>
    <w:rsid w:val="00C76204"/>
    <w:rsid w:val="00C76237"/>
    <w:rsid w:val="00C767A9"/>
    <w:rsid w:val="00C768FD"/>
    <w:rsid w:val="00C771D5"/>
    <w:rsid w:val="00C773DE"/>
    <w:rsid w:val="00C77575"/>
    <w:rsid w:val="00C802F5"/>
    <w:rsid w:val="00C80BC4"/>
    <w:rsid w:val="00C81658"/>
    <w:rsid w:val="00C8213E"/>
    <w:rsid w:val="00C825DD"/>
    <w:rsid w:val="00C82746"/>
    <w:rsid w:val="00C830FA"/>
    <w:rsid w:val="00C83174"/>
    <w:rsid w:val="00C83200"/>
    <w:rsid w:val="00C8377D"/>
    <w:rsid w:val="00C83859"/>
    <w:rsid w:val="00C83F5A"/>
    <w:rsid w:val="00C84080"/>
    <w:rsid w:val="00C84868"/>
    <w:rsid w:val="00C84992"/>
    <w:rsid w:val="00C84FE6"/>
    <w:rsid w:val="00C850D3"/>
    <w:rsid w:val="00C85891"/>
    <w:rsid w:val="00C85931"/>
    <w:rsid w:val="00C859B8"/>
    <w:rsid w:val="00C86091"/>
    <w:rsid w:val="00C869FC"/>
    <w:rsid w:val="00C87013"/>
    <w:rsid w:val="00C8727B"/>
    <w:rsid w:val="00C8746A"/>
    <w:rsid w:val="00C8758F"/>
    <w:rsid w:val="00C876ED"/>
    <w:rsid w:val="00C87D5C"/>
    <w:rsid w:val="00C87F14"/>
    <w:rsid w:val="00C90210"/>
    <w:rsid w:val="00C9051A"/>
    <w:rsid w:val="00C906B3"/>
    <w:rsid w:val="00C908A5"/>
    <w:rsid w:val="00C90CD1"/>
    <w:rsid w:val="00C9196F"/>
    <w:rsid w:val="00C91B85"/>
    <w:rsid w:val="00C91CCE"/>
    <w:rsid w:val="00C91FD1"/>
    <w:rsid w:val="00C921E4"/>
    <w:rsid w:val="00C9293E"/>
    <w:rsid w:val="00C929AE"/>
    <w:rsid w:val="00C92AA7"/>
    <w:rsid w:val="00C93054"/>
    <w:rsid w:val="00C93119"/>
    <w:rsid w:val="00C931FD"/>
    <w:rsid w:val="00C933F7"/>
    <w:rsid w:val="00C93412"/>
    <w:rsid w:val="00C942AC"/>
    <w:rsid w:val="00C942D1"/>
    <w:rsid w:val="00C942FE"/>
    <w:rsid w:val="00C94A39"/>
    <w:rsid w:val="00C94B41"/>
    <w:rsid w:val="00C94FCB"/>
    <w:rsid w:val="00C953C5"/>
    <w:rsid w:val="00C954B0"/>
    <w:rsid w:val="00C95A7E"/>
    <w:rsid w:val="00C95EB3"/>
    <w:rsid w:val="00C9629D"/>
    <w:rsid w:val="00C962D8"/>
    <w:rsid w:val="00C964CC"/>
    <w:rsid w:val="00C96C87"/>
    <w:rsid w:val="00C96C95"/>
    <w:rsid w:val="00C97866"/>
    <w:rsid w:val="00C9788F"/>
    <w:rsid w:val="00C97EC0"/>
    <w:rsid w:val="00CA009F"/>
    <w:rsid w:val="00CA0566"/>
    <w:rsid w:val="00CA0582"/>
    <w:rsid w:val="00CA05BA"/>
    <w:rsid w:val="00CA0B6D"/>
    <w:rsid w:val="00CA1056"/>
    <w:rsid w:val="00CA1B6D"/>
    <w:rsid w:val="00CA23BC"/>
    <w:rsid w:val="00CA280B"/>
    <w:rsid w:val="00CA2CE2"/>
    <w:rsid w:val="00CA2F41"/>
    <w:rsid w:val="00CA2F9A"/>
    <w:rsid w:val="00CA3203"/>
    <w:rsid w:val="00CA326C"/>
    <w:rsid w:val="00CA34A9"/>
    <w:rsid w:val="00CA3678"/>
    <w:rsid w:val="00CA3A50"/>
    <w:rsid w:val="00CA3D20"/>
    <w:rsid w:val="00CA4039"/>
    <w:rsid w:val="00CA40FB"/>
    <w:rsid w:val="00CA41C5"/>
    <w:rsid w:val="00CA4517"/>
    <w:rsid w:val="00CA4677"/>
    <w:rsid w:val="00CA4768"/>
    <w:rsid w:val="00CA4A3F"/>
    <w:rsid w:val="00CA4DBE"/>
    <w:rsid w:val="00CA4F69"/>
    <w:rsid w:val="00CA5505"/>
    <w:rsid w:val="00CA5D54"/>
    <w:rsid w:val="00CA6B1E"/>
    <w:rsid w:val="00CA73B3"/>
    <w:rsid w:val="00CA76C3"/>
    <w:rsid w:val="00CA77E9"/>
    <w:rsid w:val="00CA7F33"/>
    <w:rsid w:val="00CB020D"/>
    <w:rsid w:val="00CB096E"/>
    <w:rsid w:val="00CB0BE3"/>
    <w:rsid w:val="00CB0ECC"/>
    <w:rsid w:val="00CB0F7B"/>
    <w:rsid w:val="00CB1042"/>
    <w:rsid w:val="00CB12B0"/>
    <w:rsid w:val="00CB1628"/>
    <w:rsid w:val="00CB17F7"/>
    <w:rsid w:val="00CB188C"/>
    <w:rsid w:val="00CB1B06"/>
    <w:rsid w:val="00CB1D88"/>
    <w:rsid w:val="00CB1DD7"/>
    <w:rsid w:val="00CB2FCD"/>
    <w:rsid w:val="00CB3356"/>
    <w:rsid w:val="00CB3665"/>
    <w:rsid w:val="00CB3670"/>
    <w:rsid w:val="00CB3C93"/>
    <w:rsid w:val="00CB3D8F"/>
    <w:rsid w:val="00CB4423"/>
    <w:rsid w:val="00CB4773"/>
    <w:rsid w:val="00CB4B97"/>
    <w:rsid w:val="00CB55BA"/>
    <w:rsid w:val="00CB5600"/>
    <w:rsid w:val="00CB5754"/>
    <w:rsid w:val="00CB5F0B"/>
    <w:rsid w:val="00CB5F6C"/>
    <w:rsid w:val="00CB5FC5"/>
    <w:rsid w:val="00CB617C"/>
    <w:rsid w:val="00CB62C7"/>
    <w:rsid w:val="00CB644D"/>
    <w:rsid w:val="00CB69CE"/>
    <w:rsid w:val="00CB69CF"/>
    <w:rsid w:val="00CB6AAD"/>
    <w:rsid w:val="00CB6FE1"/>
    <w:rsid w:val="00CB7210"/>
    <w:rsid w:val="00CB73AD"/>
    <w:rsid w:val="00CB7E04"/>
    <w:rsid w:val="00CB7F70"/>
    <w:rsid w:val="00CC01B2"/>
    <w:rsid w:val="00CC0422"/>
    <w:rsid w:val="00CC0456"/>
    <w:rsid w:val="00CC0B8F"/>
    <w:rsid w:val="00CC0C3B"/>
    <w:rsid w:val="00CC0C7E"/>
    <w:rsid w:val="00CC2251"/>
    <w:rsid w:val="00CC2429"/>
    <w:rsid w:val="00CC2683"/>
    <w:rsid w:val="00CC317D"/>
    <w:rsid w:val="00CC34C8"/>
    <w:rsid w:val="00CC3843"/>
    <w:rsid w:val="00CC3B06"/>
    <w:rsid w:val="00CC41CC"/>
    <w:rsid w:val="00CC42DF"/>
    <w:rsid w:val="00CC4465"/>
    <w:rsid w:val="00CC46BB"/>
    <w:rsid w:val="00CC5372"/>
    <w:rsid w:val="00CC613D"/>
    <w:rsid w:val="00CC6828"/>
    <w:rsid w:val="00CC6912"/>
    <w:rsid w:val="00CC6B0A"/>
    <w:rsid w:val="00CC6BD4"/>
    <w:rsid w:val="00CC6E4C"/>
    <w:rsid w:val="00CC7000"/>
    <w:rsid w:val="00CC7A6A"/>
    <w:rsid w:val="00CC7A85"/>
    <w:rsid w:val="00CD09BE"/>
    <w:rsid w:val="00CD0F0C"/>
    <w:rsid w:val="00CD0FED"/>
    <w:rsid w:val="00CD1106"/>
    <w:rsid w:val="00CD16D0"/>
    <w:rsid w:val="00CD182E"/>
    <w:rsid w:val="00CD1920"/>
    <w:rsid w:val="00CD214F"/>
    <w:rsid w:val="00CD22B9"/>
    <w:rsid w:val="00CD247F"/>
    <w:rsid w:val="00CD2703"/>
    <w:rsid w:val="00CD2E86"/>
    <w:rsid w:val="00CD3548"/>
    <w:rsid w:val="00CD3753"/>
    <w:rsid w:val="00CD41A7"/>
    <w:rsid w:val="00CD4284"/>
    <w:rsid w:val="00CD43FC"/>
    <w:rsid w:val="00CD4D3A"/>
    <w:rsid w:val="00CD4F7D"/>
    <w:rsid w:val="00CD5A00"/>
    <w:rsid w:val="00CD5EB3"/>
    <w:rsid w:val="00CD62B9"/>
    <w:rsid w:val="00CD663F"/>
    <w:rsid w:val="00CD6661"/>
    <w:rsid w:val="00CD6981"/>
    <w:rsid w:val="00CD6A7F"/>
    <w:rsid w:val="00CD7D32"/>
    <w:rsid w:val="00CE0245"/>
    <w:rsid w:val="00CE072E"/>
    <w:rsid w:val="00CE0879"/>
    <w:rsid w:val="00CE08C6"/>
    <w:rsid w:val="00CE0959"/>
    <w:rsid w:val="00CE1109"/>
    <w:rsid w:val="00CE15EB"/>
    <w:rsid w:val="00CE15F6"/>
    <w:rsid w:val="00CE178C"/>
    <w:rsid w:val="00CE1AA1"/>
    <w:rsid w:val="00CE1E36"/>
    <w:rsid w:val="00CE222E"/>
    <w:rsid w:val="00CE2281"/>
    <w:rsid w:val="00CE24D7"/>
    <w:rsid w:val="00CE2581"/>
    <w:rsid w:val="00CE26DF"/>
    <w:rsid w:val="00CE286A"/>
    <w:rsid w:val="00CE2C9E"/>
    <w:rsid w:val="00CE2F0D"/>
    <w:rsid w:val="00CE3475"/>
    <w:rsid w:val="00CE413E"/>
    <w:rsid w:val="00CE4174"/>
    <w:rsid w:val="00CE4326"/>
    <w:rsid w:val="00CE4A00"/>
    <w:rsid w:val="00CE4FA4"/>
    <w:rsid w:val="00CE53A6"/>
    <w:rsid w:val="00CE53C6"/>
    <w:rsid w:val="00CE56A8"/>
    <w:rsid w:val="00CE5A68"/>
    <w:rsid w:val="00CE5B1D"/>
    <w:rsid w:val="00CE5D80"/>
    <w:rsid w:val="00CE6BED"/>
    <w:rsid w:val="00CE6EC3"/>
    <w:rsid w:val="00CE7BA3"/>
    <w:rsid w:val="00CF02EE"/>
    <w:rsid w:val="00CF03F8"/>
    <w:rsid w:val="00CF055E"/>
    <w:rsid w:val="00CF0591"/>
    <w:rsid w:val="00CF067E"/>
    <w:rsid w:val="00CF0700"/>
    <w:rsid w:val="00CF070C"/>
    <w:rsid w:val="00CF11BB"/>
    <w:rsid w:val="00CF13C1"/>
    <w:rsid w:val="00CF1500"/>
    <w:rsid w:val="00CF2332"/>
    <w:rsid w:val="00CF25B5"/>
    <w:rsid w:val="00CF2910"/>
    <w:rsid w:val="00CF2C14"/>
    <w:rsid w:val="00CF2C26"/>
    <w:rsid w:val="00CF319B"/>
    <w:rsid w:val="00CF31B8"/>
    <w:rsid w:val="00CF322D"/>
    <w:rsid w:val="00CF3C05"/>
    <w:rsid w:val="00CF3C9F"/>
    <w:rsid w:val="00CF3D79"/>
    <w:rsid w:val="00CF3DAE"/>
    <w:rsid w:val="00CF3DCB"/>
    <w:rsid w:val="00CF3F20"/>
    <w:rsid w:val="00CF413B"/>
    <w:rsid w:val="00CF4362"/>
    <w:rsid w:val="00CF4422"/>
    <w:rsid w:val="00CF4643"/>
    <w:rsid w:val="00CF4789"/>
    <w:rsid w:val="00CF4A76"/>
    <w:rsid w:val="00CF4C1C"/>
    <w:rsid w:val="00CF4CDF"/>
    <w:rsid w:val="00CF4F8D"/>
    <w:rsid w:val="00CF4FF3"/>
    <w:rsid w:val="00CF5276"/>
    <w:rsid w:val="00CF563E"/>
    <w:rsid w:val="00CF57DC"/>
    <w:rsid w:val="00CF5C94"/>
    <w:rsid w:val="00CF65F8"/>
    <w:rsid w:val="00CF6966"/>
    <w:rsid w:val="00CF7235"/>
    <w:rsid w:val="00CF74FD"/>
    <w:rsid w:val="00CF7802"/>
    <w:rsid w:val="00CF7ED3"/>
    <w:rsid w:val="00D00187"/>
    <w:rsid w:val="00D00190"/>
    <w:rsid w:val="00D00331"/>
    <w:rsid w:val="00D00427"/>
    <w:rsid w:val="00D004A1"/>
    <w:rsid w:val="00D00C59"/>
    <w:rsid w:val="00D010A9"/>
    <w:rsid w:val="00D011BD"/>
    <w:rsid w:val="00D0146E"/>
    <w:rsid w:val="00D01965"/>
    <w:rsid w:val="00D01DBF"/>
    <w:rsid w:val="00D01E15"/>
    <w:rsid w:val="00D01F01"/>
    <w:rsid w:val="00D021CA"/>
    <w:rsid w:val="00D02305"/>
    <w:rsid w:val="00D02A5A"/>
    <w:rsid w:val="00D02FEC"/>
    <w:rsid w:val="00D03635"/>
    <w:rsid w:val="00D03660"/>
    <w:rsid w:val="00D03E99"/>
    <w:rsid w:val="00D03F42"/>
    <w:rsid w:val="00D03F5D"/>
    <w:rsid w:val="00D04281"/>
    <w:rsid w:val="00D045BD"/>
    <w:rsid w:val="00D04E6A"/>
    <w:rsid w:val="00D05102"/>
    <w:rsid w:val="00D0579E"/>
    <w:rsid w:val="00D05A2B"/>
    <w:rsid w:val="00D05AA8"/>
    <w:rsid w:val="00D05E6D"/>
    <w:rsid w:val="00D0693D"/>
    <w:rsid w:val="00D070C5"/>
    <w:rsid w:val="00D07667"/>
    <w:rsid w:val="00D077E2"/>
    <w:rsid w:val="00D07B87"/>
    <w:rsid w:val="00D101F8"/>
    <w:rsid w:val="00D102CC"/>
    <w:rsid w:val="00D103AC"/>
    <w:rsid w:val="00D10475"/>
    <w:rsid w:val="00D10637"/>
    <w:rsid w:val="00D10718"/>
    <w:rsid w:val="00D1071A"/>
    <w:rsid w:val="00D107C1"/>
    <w:rsid w:val="00D10843"/>
    <w:rsid w:val="00D109E1"/>
    <w:rsid w:val="00D10BFC"/>
    <w:rsid w:val="00D10EDA"/>
    <w:rsid w:val="00D113BF"/>
    <w:rsid w:val="00D119E0"/>
    <w:rsid w:val="00D12349"/>
    <w:rsid w:val="00D1250F"/>
    <w:rsid w:val="00D12C22"/>
    <w:rsid w:val="00D13259"/>
    <w:rsid w:val="00D136F5"/>
    <w:rsid w:val="00D1388B"/>
    <w:rsid w:val="00D13E2F"/>
    <w:rsid w:val="00D143EC"/>
    <w:rsid w:val="00D1446C"/>
    <w:rsid w:val="00D15586"/>
    <w:rsid w:val="00D157E0"/>
    <w:rsid w:val="00D15D57"/>
    <w:rsid w:val="00D15E9E"/>
    <w:rsid w:val="00D15EAC"/>
    <w:rsid w:val="00D15FB9"/>
    <w:rsid w:val="00D16C3B"/>
    <w:rsid w:val="00D16C59"/>
    <w:rsid w:val="00D1716B"/>
    <w:rsid w:val="00D17187"/>
    <w:rsid w:val="00D17192"/>
    <w:rsid w:val="00D17195"/>
    <w:rsid w:val="00D1759E"/>
    <w:rsid w:val="00D17B24"/>
    <w:rsid w:val="00D17C36"/>
    <w:rsid w:val="00D17C85"/>
    <w:rsid w:val="00D17D51"/>
    <w:rsid w:val="00D200E9"/>
    <w:rsid w:val="00D2064F"/>
    <w:rsid w:val="00D2077D"/>
    <w:rsid w:val="00D216BE"/>
    <w:rsid w:val="00D21739"/>
    <w:rsid w:val="00D22276"/>
    <w:rsid w:val="00D223CA"/>
    <w:rsid w:val="00D22A32"/>
    <w:rsid w:val="00D22C77"/>
    <w:rsid w:val="00D2358D"/>
    <w:rsid w:val="00D23992"/>
    <w:rsid w:val="00D24749"/>
    <w:rsid w:val="00D2487F"/>
    <w:rsid w:val="00D248FE"/>
    <w:rsid w:val="00D24A7F"/>
    <w:rsid w:val="00D24B67"/>
    <w:rsid w:val="00D24E99"/>
    <w:rsid w:val="00D24EB5"/>
    <w:rsid w:val="00D25783"/>
    <w:rsid w:val="00D2596F"/>
    <w:rsid w:val="00D259D3"/>
    <w:rsid w:val="00D25AE7"/>
    <w:rsid w:val="00D25BF5"/>
    <w:rsid w:val="00D26A07"/>
    <w:rsid w:val="00D271EA"/>
    <w:rsid w:val="00D27410"/>
    <w:rsid w:val="00D300D9"/>
    <w:rsid w:val="00D30335"/>
    <w:rsid w:val="00D30359"/>
    <w:rsid w:val="00D30F46"/>
    <w:rsid w:val="00D30FAA"/>
    <w:rsid w:val="00D30FDC"/>
    <w:rsid w:val="00D311D7"/>
    <w:rsid w:val="00D31270"/>
    <w:rsid w:val="00D314EC"/>
    <w:rsid w:val="00D31F53"/>
    <w:rsid w:val="00D32BF8"/>
    <w:rsid w:val="00D32C74"/>
    <w:rsid w:val="00D3377D"/>
    <w:rsid w:val="00D33A1A"/>
    <w:rsid w:val="00D33B11"/>
    <w:rsid w:val="00D3475B"/>
    <w:rsid w:val="00D34BDC"/>
    <w:rsid w:val="00D35030"/>
    <w:rsid w:val="00D352E2"/>
    <w:rsid w:val="00D35415"/>
    <w:rsid w:val="00D356B1"/>
    <w:rsid w:val="00D356EB"/>
    <w:rsid w:val="00D35941"/>
    <w:rsid w:val="00D35F03"/>
    <w:rsid w:val="00D363F5"/>
    <w:rsid w:val="00D364F8"/>
    <w:rsid w:val="00D36533"/>
    <w:rsid w:val="00D36623"/>
    <w:rsid w:val="00D3684B"/>
    <w:rsid w:val="00D3696F"/>
    <w:rsid w:val="00D36E47"/>
    <w:rsid w:val="00D36E63"/>
    <w:rsid w:val="00D3710C"/>
    <w:rsid w:val="00D37244"/>
    <w:rsid w:val="00D3793C"/>
    <w:rsid w:val="00D379AD"/>
    <w:rsid w:val="00D402F4"/>
    <w:rsid w:val="00D408D9"/>
    <w:rsid w:val="00D40A80"/>
    <w:rsid w:val="00D40F4B"/>
    <w:rsid w:val="00D40F90"/>
    <w:rsid w:val="00D412F2"/>
    <w:rsid w:val="00D41367"/>
    <w:rsid w:val="00D41378"/>
    <w:rsid w:val="00D42051"/>
    <w:rsid w:val="00D42492"/>
    <w:rsid w:val="00D424A1"/>
    <w:rsid w:val="00D42A8C"/>
    <w:rsid w:val="00D43276"/>
    <w:rsid w:val="00D43F16"/>
    <w:rsid w:val="00D4427B"/>
    <w:rsid w:val="00D44BFE"/>
    <w:rsid w:val="00D45136"/>
    <w:rsid w:val="00D45765"/>
    <w:rsid w:val="00D45FBA"/>
    <w:rsid w:val="00D4640F"/>
    <w:rsid w:val="00D46490"/>
    <w:rsid w:val="00D465F4"/>
    <w:rsid w:val="00D466AE"/>
    <w:rsid w:val="00D46963"/>
    <w:rsid w:val="00D46C44"/>
    <w:rsid w:val="00D46FCF"/>
    <w:rsid w:val="00D47054"/>
    <w:rsid w:val="00D472A5"/>
    <w:rsid w:val="00D474CC"/>
    <w:rsid w:val="00D47888"/>
    <w:rsid w:val="00D47ABB"/>
    <w:rsid w:val="00D47BE7"/>
    <w:rsid w:val="00D47C9F"/>
    <w:rsid w:val="00D5055B"/>
    <w:rsid w:val="00D5055E"/>
    <w:rsid w:val="00D505A5"/>
    <w:rsid w:val="00D50944"/>
    <w:rsid w:val="00D5102F"/>
    <w:rsid w:val="00D5164B"/>
    <w:rsid w:val="00D51784"/>
    <w:rsid w:val="00D51BC6"/>
    <w:rsid w:val="00D52146"/>
    <w:rsid w:val="00D52D9A"/>
    <w:rsid w:val="00D53143"/>
    <w:rsid w:val="00D53410"/>
    <w:rsid w:val="00D5355C"/>
    <w:rsid w:val="00D53CDC"/>
    <w:rsid w:val="00D53E07"/>
    <w:rsid w:val="00D5410E"/>
    <w:rsid w:val="00D5489D"/>
    <w:rsid w:val="00D54DF1"/>
    <w:rsid w:val="00D54EA4"/>
    <w:rsid w:val="00D55059"/>
    <w:rsid w:val="00D551AC"/>
    <w:rsid w:val="00D55454"/>
    <w:rsid w:val="00D5565E"/>
    <w:rsid w:val="00D568BE"/>
    <w:rsid w:val="00D56A2C"/>
    <w:rsid w:val="00D56E55"/>
    <w:rsid w:val="00D571B2"/>
    <w:rsid w:val="00D57248"/>
    <w:rsid w:val="00D57311"/>
    <w:rsid w:val="00D57C2B"/>
    <w:rsid w:val="00D57FD8"/>
    <w:rsid w:val="00D60B7F"/>
    <w:rsid w:val="00D61075"/>
    <w:rsid w:val="00D61B6F"/>
    <w:rsid w:val="00D61DBE"/>
    <w:rsid w:val="00D62026"/>
    <w:rsid w:val="00D62DC7"/>
    <w:rsid w:val="00D63603"/>
    <w:rsid w:val="00D636B8"/>
    <w:rsid w:val="00D642D3"/>
    <w:rsid w:val="00D643E7"/>
    <w:rsid w:val="00D64CEA"/>
    <w:rsid w:val="00D64F47"/>
    <w:rsid w:val="00D65ADB"/>
    <w:rsid w:val="00D65CA4"/>
    <w:rsid w:val="00D666A2"/>
    <w:rsid w:val="00D6672A"/>
    <w:rsid w:val="00D668A9"/>
    <w:rsid w:val="00D66B66"/>
    <w:rsid w:val="00D672C4"/>
    <w:rsid w:val="00D67A42"/>
    <w:rsid w:val="00D67B70"/>
    <w:rsid w:val="00D67E73"/>
    <w:rsid w:val="00D702DE"/>
    <w:rsid w:val="00D70703"/>
    <w:rsid w:val="00D707A9"/>
    <w:rsid w:val="00D70EF0"/>
    <w:rsid w:val="00D70FF2"/>
    <w:rsid w:val="00D710ED"/>
    <w:rsid w:val="00D7112E"/>
    <w:rsid w:val="00D71200"/>
    <w:rsid w:val="00D71503"/>
    <w:rsid w:val="00D71729"/>
    <w:rsid w:val="00D7181B"/>
    <w:rsid w:val="00D718A3"/>
    <w:rsid w:val="00D71D3F"/>
    <w:rsid w:val="00D71DCD"/>
    <w:rsid w:val="00D71EEB"/>
    <w:rsid w:val="00D71F76"/>
    <w:rsid w:val="00D71FB6"/>
    <w:rsid w:val="00D729FA"/>
    <w:rsid w:val="00D729FD"/>
    <w:rsid w:val="00D72B06"/>
    <w:rsid w:val="00D73218"/>
    <w:rsid w:val="00D737C2"/>
    <w:rsid w:val="00D738A6"/>
    <w:rsid w:val="00D73B41"/>
    <w:rsid w:val="00D73F4F"/>
    <w:rsid w:val="00D74663"/>
    <w:rsid w:val="00D7473E"/>
    <w:rsid w:val="00D74F1C"/>
    <w:rsid w:val="00D751D4"/>
    <w:rsid w:val="00D755E2"/>
    <w:rsid w:val="00D755E5"/>
    <w:rsid w:val="00D75ABC"/>
    <w:rsid w:val="00D75AFA"/>
    <w:rsid w:val="00D75B31"/>
    <w:rsid w:val="00D75C82"/>
    <w:rsid w:val="00D76A4C"/>
    <w:rsid w:val="00D76D6F"/>
    <w:rsid w:val="00D777A4"/>
    <w:rsid w:val="00D8004D"/>
    <w:rsid w:val="00D80D43"/>
    <w:rsid w:val="00D81154"/>
    <w:rsid w:val="00D8150F"/>
    <w:rsid w:val="00D81BA9"/>
    <w:rsid w:val="00D81F20"/>
    <w:rsid w:val="00D8251B"/>
    <w:rsid w:val="00D825DE"/>
    <w:rsid w:val="00D82634"/>
    <w:rsid w:val="00D831AE"/>
    <w:rsid w:val="00D83A08"/>
    <w:rsid w:val="00D83BCF"/>
    <w:rsid w:val="00D83CAA"/>
    <w:rsid w:val="00D83EBF"/>
    <w:rsid w:val="00D84CE0"/>
    <w:rsid w:val="00D84ED2"/>
    <w:rsid w:val="00D84FF7"/>
    <w:rsid w:val="00D851E1"/>
    <w:rsid w:val="00D854CC"/>
    <w:rsid w:val="00D8578F"/>
    <w:rsid w:val="00D85A38"/>
    <w:rsid w:val="00D8619B"/>
    <w:rsid w:val="00D862F2"/>
    <w:rsid w:val="00D86443"/>
    <w:rsid w:val="00D86770"/>
    <w:rsid w:val="00D86BC4"/>
    <w:rsid w:val="00D86FF5"/>
    <w:rsid w:val="00D87318"/>
    <w:rsid w:val="00D8744A"/>
    <w:rsid w:val="00D874F1"/>
    <w:rsid w:val="00D87730"/>
    <w:rsid w:val="00D87A08"/>
    <w:rsid w:val="00D87D95"/>
    <w:rsid w:val="00D9045B"/>
    <w:rsid w:val="00D904C6"/>
    <w:rsid w:val="00D90A4D"/>
    <w:rsid w:val="00D90D23"/>
    <w:rsid w:val="00D91A53"/>
    <w:rsid w:val="00D92667"/>
    <w:rsid w:val="00D92BAC"/>
    <w:rsid w:val="00D9321D"/>
    <w:rsid w:val="00D9324D"/>
    <w:rsid w:val="00D93264"/>
    <w:rsid w:val="00D93C1D"/>
    <w:rsid w:val="00D94589"/>
    <w:rsid w:val="00D94950"/>
    <w:rsid w:val="00D94CF3"/>
    <w:rsid w:val="00D94F89"/>
    <w:rsid w:val="00D9516D"/>
    <w:rsid w:val="00D951A8"/>
    <w:rsid w:val="00D953A1"/>
    <w:rsid w:val="00D954F7"/>
    <w:rsid w:val="00D95744"/>
    <w:rsid w:val="00D95AB9"/>
    <w:rsid w:val="00D95B1E"/>
    <w:rsid w:val="00D96095"/>
    <w:rsid w:val="00D96378"/>
    <w:rsid w:val="00D96997"/>
    <w:rsid w:val="00D969DA"/>
    <w:rsid w:val="00D96D34"/>
    <w:rsid w:val="00D972C7"/>
    <w:rsid w:val="00D972E2"/>
    <w:rsid w:val="00D97604"/>
    <w:rsid w:val="00D97DC0"/>
    <w:rsid w:val="00DA042C"/>
    <w:rsid w:val="00DA0D48"/>
    <w:rsid w:val="00DA0FCF"/>
    <w:rsid w:val="00DA1515"/>
    <w:rsid w:val="00DA1916"/>
    <w:rsid w:val="00DA1C16"/>
    <w:rsid w:val="00DA1C79"/>
    <w:rsid w:val="00DA1D11"/>
    <w:rsid w:val="00DA23AF"/>
    <w:rsid w:val="00DA24C7"/>
    <w:rsid w:val="00DA284D"/>
    <w:rsid w:val="00DA28C2"/>
    <w:rsid w:val="00DA2910"/>
    <w:rsid w:val="00DA2BD7"/>
    <w:rsid w:val="00DA2CBC"/>
    <w:rsid w:val="00DA397C"/>
    <w:rsid w:val="00DA3DB4"/>
    <w:rsid w:val="00DA3DC0"/>
    <w:rsid w:val="00DA4165"/>
    <w:rsid w:val="00DA42F7"/>
    <w:rsid w:val="00DA459C"/>
    <w:rsid w:val="00DA47F5"/>
    <w:rsid w:val="00DA4950"/>
    <w:rsid w:val="00DA4B00"/>
    <w:rsid w:val="00DA5097"/>
    <w:rsid w:val="00DA5747"/>
    <w:rsid w:val="00DA5C03"/>
    <w:rsid w:val="00DA5F80"/>
    <w:rsid w:val="00DA6B4A"/>
    <w:rsid w:val="00DB02BE"/>
    <w:rsid w:val="00DB074A"/>
    <w:rsid w:val="00DB0793"/>
    <w:rsid w:val="00DB08F6"/>
    <w:rsid w:val="00DB1248"/>
    <w:rsid w:val="00DB1439"/>
    <w:rsid w:val="00DB187E"/>
    <w:rsid w:val="00DB256A"/>
    <w:rsid w:val="00DB28B4"/>
    <w:rsid w:val="00DB3022"/>
    <w:rsid w:val="00DB3754"/>
    <w:rsid w:val="00DB3A79"/>
    <w:rsid w:val="00DB3C8D"/>
    <w:rsid w:val="00DB3E95"/>
    <w:rsid w:val="00DB3F4A"/>
    <w:rsid w:val="00DB4013"/>
    <w:rsid w:val="00DB41CF"/>
    <w:rsid w:val="00DB42CD"/>
    <w:rsid w:val="00DB451F"/>
    <w:rsid w:val="00DB4C01"/>
    <w:rsid w:val="00DB4CC5"/>
    <w:rsid w:val="00DB4ED2"/>
    <w:rsid w:val="00DB5278"/>
    <w:rsid w:val="00DB5E19"/>
    <w:rsid w:val="00DB6043"/>
    <w:rsid w:val="00DB6374"/>
    <w:rsid w:val="00DB6B2A"/>
    <w:rsid w:val="00DB792A"/>
    <w:rsid w:val="00DB7D78"/>
    <w:rsid w:val="00DC0149"/>
    <w:rsid w:val="00DC04AB"/>
    <w:rsid w:val="00DC0D42"/>
    <w:rsid w:val="00DC160B"/>
    <w:rsid w:val="00DC1799"/>
    <w:rsid w:val="00DC2090"/>
    <w:rsid w:val="00DC27D7"/>
    <w:rsid w:val="00DC2B8D"/>
    <w:rsid w:val="00DC2D63"/>
    <w:rsid w:val="00DC2E53"/>
    <w:rsid w:val="00DC3239"/>
    <w:rsid w:val="00DC36D6"/>
    <w:rsid w:val="00DC3B7D"/>
    <w:rsid w:val="00DC3C2B"/>
    <w:rsid w:val="00DC4005"/>
    <w:rsid w:val="00DC4E21"/>
    <w:rsid w:val="00DC5435"/>
    <w:rsid w:val="00DC5747"/>
    <w:rsid w:val="00DC634D"/>
    <w:rsid w:val="00DC6510"/>
    <w:rsid w:val="00DC6664"/>
    <w:rsid w:val="00DC6784"/>
    <w:rsid w:val="00DC6DAE"/>
    <w:rsid w:val="00DC6E7E"/>
    <w:rsid w:val="00DC6EE5"/>
    <w:rsid w:val="00DC70B4"/>
    <w:rsid w:val="00DC7169"/>
    <w:rsid w:val="00DC719B"/>
    <w:rsid w:val="00DC737B"/>
    <w:rsid w:val="00DC7ECD"/>
    <w:rsid w:val="00DD03F2"/>
    <w:rsid w:val="00DD09B0"/>
    <w:rsid w:val="00DD0BAD"/>
    <w:rsid w:val="00DD0CDD"/>
    <w:rsid w:val="00DD0D6F"/>
    <w:rsid w:val="00DD15D8"/>
    <w:rsid w:val="00DD17AF"/>
    <w:rsid w:val="00DD1DB3"/>
    <w:rsid w:val="00DD20C8"/>
    <w:rsid w:val="00DD29AF"/>
    <w:rsid w:val="00DD2D72"/>
    <w:rsid w:val="00DD2E33"/>
    <w:rsid w:val="00DD2EBC"/>
    <w:rsid w:val="00DD3073"/>
    <w:rsid w:val="00DD34DD"/>
    <w:rsid w:val="00DD3530"/>
    <w:rsid w:val="00DD355B"/>
    <w:rsid w:val="00DD39B5"/>
    <w:rsid w:val="00DD3A49"/>
    <w:rsid w:val="00DD3F41"/>
    <w:rsid w:val="00DD4004"/>
    <w:rsid w:val="00DD48CE"/>
    <w:rsid w:val="00DD515B"/>
    <w:rsid w:val="00DD51C9"/>
    <w:rsid w:val="00DD5480"/>
    <w:rsid w:val="00DD5514"/>
    <w:rsid w:val="00DD5663"/>
    <w:rsid w:val="00DD5943"/>
    <w:rsid w:val="00DD682C"/>
    <w:rsid w:val="00DD70F2"/>
    <w:rsid w:val="00DD74B8"/>
    <w:rsid w:val="00DD7543"/>
    <w:rsid w:val="00DD7AFB"/>
    <w:rsid w:val="00DD7EC4"/>
    <w:rsid w:val="00DE04B4"/>
    <w:rsid w:val="00DE0C08"/>
    <w:rsid w:val="00DE110D"/>
    <w:rsid w:val="00DE1313"/>
    <w:rsid w:val="00DE152B"/>
    <w:rsid w:val="00DE163D"/>
    <w:rsid w:val="00DE1BBD"/>
    <w:rsid w:val="00DE213D"/>
    <w:rsid w:val="00DE2310"/>
    <w:rsid w:val="00DE2827"/>
    <w:rsid w:val="00DE293C"/>
    <w:rsid w:val="00DE2AA8"/>
    <w:rsid w:val="00DE2C9C"/>
    <w:rsid w:val="00DE3077"/>
    <w:rsid w:val="00DE3718"/>
    <w:rsid w:val="00DE382A"/>
    <w:rsid w:val="00DE3DD1"/>
    <w:rsid w:val="00DE3E2F"/>
    <w:rsid w:val="00DE403D"/>
    <w:rsid w:val="00DE40F7"/>
    <w:rsid w:val="00DE4761"/>
    <w:rsid w:val="00DE48EE"/>
    <w:rsid w:val="00DE49D6"/>
    <w:rsid w:val="00DE4AAF"/>
    <w:rsid w:val="00DE501A"/>
    <w:rsid w:val="00DE5069"/>
    <w:rsid w:val="00DE513E"/>
    <w:rsid w:val="00DE5217"/>
    <w:rsid w:val="00DE52D7"/>
    <w:rsid w:val="00DE535C"/>
    <w:rsid w:val="00DE5E78"/>
    <w:rsid w:val="00DE62BF"/>
    <w:rsid w:val="00DE63D0"/>
    <w:rsid w:val="00DE6468"/>
    <w:rsid w:val="00DE652E"/>
    <w:rsid w:val="00DE674F"/>
    <w:rsid w:val="00DE6968"/>
    <w:rsid w:val="00DE6BA7"/>
    <w:rsid w:val="00DE6D44"/>
    <w:rsid w:val="00DE7196"/>
    <w:rsid w:val="00DE721F"/>
    <w:rsid w:val="00DE73F7"/>
    <w:rsid w:val="00DE7531"/>
    <w:rsid w:val="00DE773A"/>
    <w:rsid w:val="00DE7918"/>
    <w:rsid w:val="00DE7C29"/>
    <w:rsid w:val="00DF025A"/>
    <w:rsid w:val="00DF02AC"/>
    <w:rsid w:val="00DF0BD9"/>
    <w:rsid w:val="00DF1348"/>
    <w:rsid w:val="00DF1432"/>
    <w:rsid w:val="00DF16FE"/>
    <w:rsid w:val="00DF1747"/>
    <w:rsid w:val="00DF18EF"/>
    <w:rsid w:val="00DF1D76"/>
    <w:rsid w:val="00DF1DF3"/>
    <w:rsid w:val="00DF1FF1"/>
    <w:rsid w:val="00DF2027"/>
    <w:rsid w:val="00DF233C"/>
    <w:rsid w:val="00DF2670"/>
    <w:rsid w:val="00DF2909"/>
    <w:rsid w:val="00DF2A97"/>
    <w:rsid w:val="00DF2B2C"/>
    <w:rsid w:val="00DF2D4F"/>
    <w:rsid w:val="00DF33CA"/>
    <w:rsid w:val="00DF37BE"/>
    <w:rsid w:val="00DF3C70"/>
    <w:rsid w:val="00DF47BA"/>
    <w:rsid w:val="00DF4806"/>
    <w:rsid w:val="00DF4860"/>
    <w:rsid w:val="00DF48E0"/>
    <w:rsid w:val="00DF4D4B"/>
    <w:rsid w:val="00DF53F7"/>
    <w:rsid w:val="00DF5601"/>
    <w:rsid w:val="00DF563F"/>
    <w:rsid w:val="00DF5A59"/>
    <w:rsid w:val="00DF6041"/>
    <w:rsid w:val="00DF6B18"/>
    <w:rsid w:val="00DF70CE"/>
    <w:rsid w:val="00DF796D"/>
    <w:rsid w:val="00DF7D59"/>
    <w:rsid w:val="00DF7DA7"/>
    <w:rsid w:val="00E009FB"/>
    <w:rsid w:val="00E00C77"/>
    <w:rsid w:val="00E00DF6"/>
    <w:rsid w:val="00E0146D"/>
    <w:rsid w:val="00E0160F"/>
    <w:rsid w:val="00E01667"/>
    <w:rsid w:val="00E01A97"/>
    <w:rsid w:val="00E02702"/>
    <w:rsid w:val="00E03250"/>
    <w:rsid w:val="00E03458"/>
    <w:rsid w:val="00E035FA"/>
    <w:rsid w:val="00E037B6"/>
    <w:rsid w:val="00E03983"/>
    <w:rsid w:val="00E041B9"/>
    <w:rsid w:val="00E04322"/>
    <w:rsid w:val="00E04334"/>
    <w:rsid w:val="00E04D25"/>
    <w:rsid w:val="00E04ECD"/>
    <w:rsid w:val="00E050CC"/>
    <w:rsid w:val="00E055AD"/>
    <w:rsid w:val="00E056D8"/>
    <w:rsid w:val="00E056EF"/>
    <w:rsid w:val="00E05770"/>
    <w:rsid w:val="00E060D7"/>
    <w:rsid w:val="00E066CA"/>
    <w:rsid w:val="00E06DA3"/>
    <w:rsid w:val="00E0707B"/>
    <w:rsid w:val="00E070D9"/>
    <w:rsid w:val="00E072AB"/>
    <w:rsid w:val="00E07726"/>
    <w:rsid w:val="00E077D0"/>
    <w:rsid w:val="00E07879"/>
    <w:rsid w:val="00E07F45"/>
    <w:rsid w:val="00E1046B"/>
    <w:rsid w:val="00E106D6"/>
    <w:rsid w:val="00E107C4"/>
    <w:rsid w:val="00E10A48"/>
    <w:rsid w:val="00E10ACE"/>
    <w:rsid w:val="00E1100A"/>
    <w:rsid w:val="00E1165E"/>
    <w:rsid w:val="00E1173A"/>
    <w:rsid w:val="00E11B14"/>
    <w:rsid w:val="00E120D6"/>
    <w:rsid w:val="00E123E3"/>
    <w:rsid w:val="00E126C5"/>
    <w:rsid w:val="00E129DD"/>
    <w:rsid w:val="00E12AF4"/>
    <w:rsid w:val="00E12E77"/>
    <w:rsid w:val="00E13101"/>
    <w:rsid w:val="00E132ED"/>
    <w:rsid w:val="00E1339A"/>
    <w:rsid w:val="00E13B4B"/>
    <w:rsid w:val="00E13CFC"/>
    <w:rsid w:val="00E13D73"/>
    <w:rsid w:val="00E13E75"/>
    <w:rsid w:val="00E14249"/>
    <w:rsid w:val="00E142B1"/>
    <w:rsid w:val="00E14442"/>
    <w:rsid w:val="00E14607"/>
    <w:rsid w:val="00E14889"/>
    <w:rsid w:val="00E14DAD"/>
    <w:rsid w:val="00E14E95"/>
    <w:rsid w:val="00E152DA"/>
    <w:rsid w:val="00E15357"/>
    <w:rsid w:val="00E156A2"/>
    <w:rsid w:val="00E15882"/>
    <w:rsid w:val="00E15AA8"/>
    <w:rsid w:val="00E161AC"/>
    <w:rsid w:val="00E162B8"/>
    <w:rsid w:val="00E163C3"/>
    <w:rsid w:val="00E165D6"/>
    <w:rsid w:val="00E170E1"/>
    <w:rsid w:val="00E17B05"/>
    <w:rsid w:val="00E17D8D"/>
    <w:rsid w:val="00E17DCD"/>
    <w:rsid w:val="00E2002F"/>
    <w:rsid w:val="00E201A0"/>
    <w:rsid w:val="00E2046D"/>
    <w:rsid w:val="00E207F9"/>
    <w:rsid w:val="00E20820"/>
    <w:rsid w:val="00E208A8"/>
    <w:rsid w:val="00E20F1F"/>
    <w:rsid w:val="00E21011"/>
    <w:rsid w:val="00E21298"/>
    <w:rsid w:val="00E21A07"/>
    <w:rsid w:val="00E21A18"/>
    <w:rsid w:val="00E21F0E"/>
    <w:rsid w:val="00E2201F"/>
    <w:rsid w:val="00E223EF"/>
    <w:rsid w:val="00E22707"/>
    <w:rsid w:val="00E22FF2"/>
    <w:rsid w:val="00E235A7"/>
    <w:rsid w:val="00E23765"/>
    <w:rsid w:val="00E23782"/>
    <w:rsid w:val="00E23BF8"/>
    <w:rsid w:val="00E246ED"/>
    <w:rsid w:val="00E2471F"/>
    <w:rsid w:val="00E2483B"/>
    <w:rsid w:val="00E249BB"/>
    <w:rsid w:val="00E24A6E"/>
    <w:rsid w:val="00E24A93"/>
    <w:rsid w:val="00E24B22"/>
    <w:rsid w:val="00E24E56"/>
    <w:rsid w:val="00E24E9A"/>
    <w:rsid w:val="00E25106"/>
    <w:rsid w:val="00E25205"/>
    <w:rsid w:val="00E25734"/>
    <w:rsid w:val="00E25826"/>
    <w:rsid w:val="00E25849"/>
    <w:rsid w:val="00E258A7"/>
    <w:rsid w:val="00E25A36"/>
    <w:rsid w:val="00E25F94"/>
    <w:rsid w:val="00E260E0"/>
    <w:rsid w:val="00E26134"/>
    <w:rsid w:val="00E26184"/>
    <w:rsid w:val="00E267A9"/>
    <w:rsid w:val="00E267AD"/>
    <w:rsid w:val="00E26826"/>
    <w:rsid w:val="00E268A6"/>
    <w:rsid w:val="00E26934"/>
    <w:rsid w:val="00E26D12"/>
    <w:rsid w:val="00E26DBC"/>
    <w:rsid w:val="00E26F28"/>
    <w:rsid w:val="00E26F2E"/>
    <w:rsid w:val="00E26FE8"/>
    <w:rsid w:val="00E2751B"/>
    <w:rsid w:val="00E27591"/>
    <w:rsid w:val="00E27884"/>
    <w:rsid w:val="00E27B6C"/>
    <w:rsid w:val="00E27CA8"/>
    <w:rsid w:val="00E30068"/>
    <w:rsid w:val="00E307D3"/>
    <w:rsid w:val="00E3109F"/>
    <w:rsid w:val="00E310F4"/>
    <w:rsid w:val="00E3175A"/>
    <w:rsid w:val="00E31F0B"/>
    <w:rsid w:val="00E32590"/>
    <w:rsid w:val="00E32C6D"/>
    <w:rsid w:val="00E32E4F"/>
    <w:rsid w:val="00E336CC"/>
    <w:rsid w:val="00E338B3"/>
    <w:rsid w:val="00E33A66"/>
    <w:rsid w:val="00E3400B"/>
    <w:rsid w:val="00E34187"/>
    <w:rsid w:val="00E34208"/>
    <w:rsid w:val="00E34844"/>
    <w:rsid w:val="00E34DAD"/>
    <w:rsid w:val="00E3511B"/>
    <w:rsid w:val="00E354A9"/>
    <w:rsid w:val="00E35D79"/>
    <w:rsid w:val="00E360DE"/>
    <w:rsid w:val="00E366A4"/>
    <w:rsid w:val="00E36957"/>
    <w:rsid w:val="00E36E8B"/>
    <w:rsid w:val="00E3724A"/>
    <w:rsid w:val="00E37258"/>
    <w:rsid w:val="00E37675"/>
    <w:rsid w:val="00E37739"/>
    <w:rsid w:val="00E37D7D"/>
    <w:rsid w:val="00E404E5"/>
    <w:rsid w:val="00E40E3E"/>
    <w:rsid w:val="00E40E6E"/>
    <w:rsid w:val="00E40F77"/>
    <w:rsid w:val="00E41225"/>
    <w:rsid w:val="00E4134F"/>
    <w:rsid w:val="00E41767"/>
    <w:rsid w:val="00E419B4"/>
    <w:rsid w:val="00E41A3B"/>
    <w:rsid w:val="00E41B61"/>
    <w:rsid w:val="00E4226E"/>
    <w:rsid w:val="00E422E1"/>
    <w:rsid w:val="00E42403"/>
    <w:rsid w:val="00E42C7C"/>
    <w:rsid w:val="00E4322E"/>
    <w:rsid w:val="00E43605"/>
    <w:rsid w:val="00E43823"/>
    <w:rsid w:val="00E438EA"/>
    <w:rsid w:val="00E43DC8"/>
    <w:rsid w:val="00E44410"/>
    <w:rsid w:val="00E445ED"/>
    <w:rsid w:val="00E446CF"/>
    <w:rsid w:val="00E44705"/>
    <w:rsid w:val="00E44AC0"/>
    <w:rsid w:val="00E4597D"/>
    <w:rsid w:val="00E459EA"/>
    <w:rsid w:val="00E45A35"/>
    <w:rsid w:val="00E45AF2"/>
    <w:rsid w:val="00E45C01"/>
    <w:rsid w:val="00E45DFB"/>
    <w:rsid w:val="00E466DE"/>
    <w:rsid w:val="00E468AA"/>
    <w:rsid w:val="00E46C15"/>
    <w:rsid w:val="00E46F84"/>
    <w:rsid w:val="00E47107"/>
    <w:rsid w:val="00E47214"/>
    <w:rsid w:val="00E472B9"/>
    <w:rsid w:val="00E473B0"/>
    <w:rsid w:val="00E473FA"/>
    <w:rsid w:val="00E47445"/>
    <w:rsid w:val="00E476A9"/>
    <w:rsid w:val="00E47C9C"/>
    <w:rsid w:val="00E47CEF"/>
    <w:rsid w:val="00E47EEC"/>
    <w:rsid w:val="00E50B0E"/>
    <w:rsid w:val="00E5119E"/>
    <w:rsid w:val="00E511E2"/>
    <w:rsid w:val="00E51719"/>
    <w:rsid w:val="00E51734"/>
    <w:rsid w:val="00E51A55"/>
    <w:rsid w:val="00E51AEE"/>
    <w:rsid w:val="00E51C02"/>
    <w:rsid w:val="00E52941"/>
    <w:rsid w:val="00E52FFA"/>
    <w:rsid w:val="00E541DD"/>
    <w:rsid w:val="00E54237"/>
    <w:rsid w:val="00E54477"/>
    <w:rsid w:val="00E5466F"/>
    <w:rsid w:val="00E54BDA"/>
    <w:rsid w:val="00E54C24"/>
    <w:rsid w:val="00E54E3D"/>
    <w:rsid w:val="00E55252"/>
    <w:rsid w:val="00E554CE"/>
    <w:rsid w:val="00E5630B"/>
    <w:rsid w:val="00E563F8"/>
    <w:rsid w:val="00E567AC"/>
    <w:rsid w:val="00E569C0"/>
    <w:rsid w:val="00E569E8"/>
    <w:rsid w:val="00E56F4E"/>
    <w:rsid w:val="00E5726D"/>
    <w:rsid w:val="00E577D0"/>
    <w:rsid w:val="00E57C5E"/>
    <w:rsid w:val="00E6006D"/>
    <w:rsid w:val="00E6014C"/>
    <w:rsid w:val="00E60A29"/>
    <w:rsid w:val="00E60B62"/>
    <w:rsid w:val="00E60F02"/>
    <w:rsid w:val="00E611D3"/>
    <w:rsid w:val="00E614F6"/>
    <w:rsid w:val="00E61E95"/>
    <w:rsid w:val="00E61EFF"/>
    <w:rsid w:val="00E6226C"/>
    <w:rsid w:val="00E62F12"/>
    <w:rsid w:val="00E62FC5"/>
    <w:rsid w:val="00E631D1"/>
    <w:rsid w:val="00E633CF"/>
    <w:rsid w:val="00E6374A"/>
    <w:rsid w:val="00E64237"/>
    <w:rsid w:val="00E64A92"/>
    <w:rsid w:val="00E64AF4"/>
    <w:rsid w:val="00E64EEB"/>
    <w:rsid w:val="00E653EA"/>
    <w:rsid w:val="00E65603"/>
    <w:rsid w:val="00E66018"/>
    <w:rsid w:val="00E66308"/>
    <w:rsid w:val="00E666C4"/>
    <w:rsid w:val="00E66995"/>
    <w:rsid w:val="00E6713D"/>
    <w:rsid w:val="00E67370"/>
    <w:rsid w:val="00E6790A"/>
    <w:rsid w:val="00E67F48"/>
    <w:rsid w:val="00E705D8"/>
    <w:rsid w:val="00E70B09"/>
    <w:rsid w:val="00E71883"/>
    <w:rsid w:val="00E71AF9"/>
    <w:rsid w:val="00E71C2C"/>
    <w:rsid w:val="00E71EA3"/>
    <w:rsid w:val="00E71EBD"/>
    <w:rsid w:val="00E71FB5"/>
    <w:rsid w:val="00E7261D"/>
    <w:rsid w:val="00E72708"/>
    <w:rsid w:val="00E72DA0"/>
    <w:rsid w:val="00E72DCB"/>
    <w:rsid w:val="00E72EA4"/>
    <w:rsid w:val="00E73055"/>
    <w:rsid w:val="00E732B3"/>
    <w:rsid w:val="00E732D1"/>
    <w:rsid w:val="00E732F2"/>
    <w:rsid w:val="00E7338B"/>
    <w:rsid w:val="00E7371A"/>
    <w:rsid w:val="00E7390D"/>
    <w:rsid w:val="00E73A13"/>
    <w:rsid w:val="00E73F42"/>
    <w:rsid w:val="00E74048"/>
    <w:rsid w:val="00E75207"/>
    <w:rsid w:val="00E75433"/>
    <w:rsid w:val="00E75D6F"/>
    <w:rsid w:val="00E76322"/>
    <w:rsid w:val="00E7659E"/>
    <w:rsid w:val="00E769EF"/>
    <w:rsid w:val="00E76FA1"/>
    <w:rsid w:val="00E77328"/>
    <w:rsid w:val="00E7767C"/>
    <w:rsid w:val="00E7774E"/>
    <w:rsid w:val="00E77CA2"/>
    <w:rsid w:val="00E77CD3"/>
    <w:rsid w:val="00E77EBC"/>
    <w:rsid w:val="00E77F88"/>
    <w:rsid w:val="00E77F91"/>
    <w:rsid w:val="00E80042"/>
    <w:rsid w:val="00E801CF"/>
    <w:rsid w:val="00E801FF"/>
    <w:rsid w:val="00E8030C"/>
    <w:rsid w:val="00E80816"/>
    <w:rsid w:val="00E80E30"/>
    <w:rsid w:val="00E812E4"/>
    <w:rsid w:val="00E8134C"/>
    <w:rsid w:val="00E819D2"/>
    <w:rsid w:val="00E82174"/>
    <w:rsid w:val="00E823A1"/>
    <w:rsid w:val="00E8240F"/>
    <w:rsid w:val="00E8241E"/>
    <w:rsid w:val="00E824B3"/>
    <w:rsid w:val="00E828F3"/>
    <w:rsid w:val="00E82CA9"/>
    <w:rsid w:val="00E82CD6"/>
    <w:rsid w:val="00E82D41"/>
    <w:rsid w:val="00E82DEB"/>
    <w:rsid w:val="00E82E5E"/>
    <w:rsid w:val="00E83074"/>
    <w:rsid w:val="00E837DA"/>
    <w:rsid w:val="00E83BBB"/>
    <w:rsid w:val="00E83CB1"/>
    <w:rsid w:val="00E8401B"/>
    <w:rsid w:val="00E841DD"/>
    <w:rsid w:val="00E84461"/>
    <w:rsid w:val="00E84701"/>
    <w:rsid w:val="00E8478C"/>
    <w:rsid w:val="00E848F4"/>
    <w:rsid w:val="00E849B5"/>
    <w:rsid w:val="00E84A9F"/>
    <w:rsid w:val="00E84B53"/>
    <w:rsid w:val="00E84BDE"/>
    <w:rsid w:val="00E84CFB"/>
    <w:rsid w:val="00E84EBF"/>
    <w:rsid w:val="00E85104"/>
    <w:rsid w:val="00E852E7"/>
    <w:rsid w:val="00E853E5"/>
    <w:rsid w:val="00E85AC2"/>
    <w:rsid w:val="00E85B64"/>
    <w:rsid w:val="00E8664F"/>
    <w:rsid w:val="00E86FD3"/>
    <w:rsid w:val="00E878CA"/>
    <w:rsid w:val="00E87A46"/>
    <w:rsid w:val="00E87A68"/>
    <w:rsid w:val="00E87BB2"/>
    <w:rsid w:val="00E87F5E"/>
    <w:rsid w:val="00E90349"/>
    <w:rsid w:val="00E90501"/>
    <w:rsid w:val="00E90F64"/>
    <w:rsid w:val="00E918EF"/>
    <w:rsid w:val="00E91C9F"/>
    <w:rsid w:val="00E92179"/>
    <w:rsid w:val="00E92341"/>
    <w:rsid w:val="00E9293A"/>
    <w:rsid w:val="00E92B0E"/>
    <w:rsid w:val="00E92C42"/>
    <w:rsid w:val="00E92EF3"/>
    <w:rsid w:val="00E932AC"/>
    <w:rsid w:val="00E93341"/>
    <w:rsid w:val="00E93494"/>
    <w:rsid w:val="00E94D07"/>
    <w:rsid w:val="00E95026"/>
    <w:rsid w:val="00E952AA"/>
    <w:rsid w:val="00E9536B"/>
    <w:rsid w:val="00E953EF"/>
    <w:rsid w:val="00E958D3"/>
    <w:rsid w:val="00E95A15"/>
    <w:rsid w:val="00E95BF3"/>
    <w:rsid w:val="00E95CE4"/>
    <w:rsid w:val="00E95EA2"/>
    <w:rsid w:val="00E95F97"/>
    <w:rsid w:val="00E96055"/>
    <w:rsid w:val="00E96491"/>
    <w:rsid w:val="00E9669C"/>
    <w:rsid w:val="00E96B19"/>
    <w:rsid w:val="00E96CA4"/>
    <w:rsid w:val="00E96CB4"/>
    <w:rsid w:val="00E96F93"/>
    <w:rsid w:val="00E971CC"/>
    <w:rsid w:val="00E97568"/>
    <w:rsid w:val="00E97C59"/>
    <w:rsid w:val="00EA043E"/>
    <w:rsid w:val="00EA079A"/>
    <w:rsid w:val="00EA0A3B"/>
    <w:rsid w:val="00EA0B2D"/>
    <w:rsid w:val="00EA0BC0"/>
    <w:rsid w:val="00EA131E"/>
    <w:rsid w:val="00EA16DA"/>
    <w:rsid w:val="00EA1876"/>
    <w:rsid w:val="00EA187B"/>
    <w:rsid w:val="00EA1BE6"/>
    <w:rsid w:val="00EA1CD2"/>
    <w:rsid w:val="00EA251F"/>
    <w:rsid w:val="00EA25B0"/>
    <w:rsid w:val="00EA28FF"/>
    <w:rsid w:val="00EA320C"/>
    <w:rsid w:val="00EA38A9"/>
    <w:rsid w:val="00EA3B55"/>
    <w:rsid w:val="00EA3C50"/>
    <w:rsid w:val="00EA41FB"/>
    <w:rsid w:val="00EA4D00"/>
    <w:rsid w:val="00EA4E1E"/>
    <w:rsid w:val="00EA5020"/>
    <w:rsid w:val="00EA5452"/>
    <w:rsid w:val="00EA5630"/>
    <w:rsid w:val="00EA5A1D"/>
    <w:rsid w:val="00EA6491"/>
    <w:rsid w:val="00EA6D97"/>
    <w:rsid w:val="00EA6ED4"/>
    <w:rsid w:val="00EA7212"/>
    <w:rsid w:val="00EA7397"/>
    <w:rsid w:val="00EA759A"/>
    <w:rsid w:val="00EB05FB"/>
    <w:rsid w:val="00EB06B7"/>
    <w:rsid w:val="00EB09DD"/>
    <w:rsid w:val="00EB0C55"/>
    <w:rsid w:val="00EB0CB2"/>
    <w:rsid w:val="00EB0D10"/>
    <w:rsid w:val="00EB1461"/>
    <w:rsid w:val="00EB1AED"/>
    <w:rsid w:val="00EB2A86"/>
    <w:rsid w:val="00EB2E40"/>
    <w:rsid w:val="00EB2EA0"/>
    <w:rsid w:val="00EB2EFA"/>
    <w:rsid w:val="00EB306B"/>
    <w:rsid w:val="00EB31A7"/>
    <w:rsid w:val="00EB3462"/>
    <w:rsid w:val="00EB3D8D"/>
    <w:rsid w:val="00EB3DFC"/>
    <w:rsid w:val="00EB40FB"/>
    <w:rsid w:val="00EB45BA"/>
    <w:rsid w:val="00EB45FF"/>
    <w:rsid w:val="00EB4AE0"/>
    <w:rsid w:val="00EB5388"/>
    <w:rsid w:val="00EB566D"/>
    <w:rsid w:val="00EB63B7"/>
    <w:rsid w:val="00EB63E5"/>
    <w:rsid w:val="00EB6BA1"/>
    <w:rsid w:val="00EB6C49"/>
    <w:rsid w:val="00EB6D73"/>
    <w:rsid w:val="00EB6ECD"/>
    <w:rsid w:val="00EB7816"/>
    <w:rsid w:val="00EB7A9F"/>
    <w:rsid w:val="00EB7AD7"/>
    <w:rsid w:val="00EC04AF"/>
    <w:rsid w:val="00EC04EF"/>
    <w:rsid w:val="00EC06FA"/>
    <w:rsid w:val="00EC0AB1"/>
    <w:rsid w:val="00EC0B77"/>
    <w:rsid w:val="00EC0DCD"/>
    <w:rsid w:val="00EC0DE7"/>
    <w:rsid w:val="00EC0F79"/>
    <w:rsid w:val="00EC11AB"/>
    <w:rsid w:val="00EC13C5"/>
    <w:rsid w:val="00EC145C"/>
    <w:rsid w:val="00EC21FD"/>
    <w:rsid w:val="00EC27F7"/>
    <w:rsid w:val="00EC2B6A"/>
    <w:rsid w:val="00EC3364"/>
    <w:rsid w:val="00EC340A"/>
    <w:rsid w:val="00EC368B"/>
    <w:rsid w:val="00EC374D"/>
    <w:rsid w:val="00EC3827"/>
    <w:rsid w:val="00EC3D88"/>
    <w:rsid w:val="00EC41D7"/>
    <w:rsid w:val="00EC4494"/>
    <w:rsid w:val="00EC4A9F"/>
    <w:rsid w:val="00EC4AD2"/>
    <w:rsid w:val="00EC50FD"/>
    <w:rsid w:val="00EC543C"/>
    <w:rsid w:val="00EC5AC5"/>
    <w:rsid w:val="00EC5C6C"/>
    <w:rsid w:val="00EC5F92"/>
    <w:rsid w:val="00EC60BF"/>
    <w:rsid w:val="00EC6448"/>
    <w:rsid w:val="00EC7060"/>
    <w:rsid w:val="00EC748B"/>
    <w:rsid w:val="00ED0021"/>
    <w:rsid w:val="00ED049F"/>
    <w:rsid w:val="00ED08D7"/>
    <w:rsid w:val="00ED08FB"/>
    <w:rsid w:val="00ED0DE8"/>
    <w:rsid w:val="00ED0E1B"/>
    <w:rsid w:val="00ED0EB6"/>
    <w:rsid w:val="00ED0F40"/>
    <w:rsid w:val="00ED1163"/>
    <w:rsid w:val="00ED15DE"/>
    <w:rsid w:val="00ED1A66"/>
    <w:rsid w:val="00ED1BED"/>
    <w:rsid w:val="00ED2077"/>
    <w:rsid w:val="00ED2300"/>
    <w:rsid w:val="00ED24A2"/>
    <w:rsid w:val="00ED265C"/>
    <w:rsid w:val="00ED2DDB"/>
    <w:rsid w:val="00ED5536"/>
    <w:rsid w:val="00ED59B1"/>
    <w:rsid w:val="00ED6000"/>
    <w:rsid w:val="00ED6040"/>
    <w:rsid w:val="00ED634B"/>
    <w:rsid w:val="00ED6557"/>
    <w:rsid w:val="00ED65B4"/>
    <w:rsid w:val="00ED7280"/>
    <w:rsid w:val="00ED751D"/>
    <w:rsid w:val="00ED7D25"/>
    <w:rsid w:val="00EE03B8"/>
    <w:rsid w:val="00EE0706"/>
    <w:rsid w:val="00EE0888"/>
    <w:rsid w:val="00EE0952"/>
    <w:rsid w:val="00EE1277"/>
    <w:rsid w:val="00EE1310"/>
    <w:rsid w:val="00EE1790"/>
    <w:rsid w:val="00EE1C08"/>
    <w:rsid w:val="00EE1C14"/>
    <w:rsid w:val="00EE2651"/>
    <w:rsid w:val="00EE2A26"/>
    <w:rsid w:val="00EE2CD9"/>
    <w:rsid w:val="00EE2DEF"/>
    <w:rsid w:val="00EE3228"/>
    <w:rsid w:val="00EE332B"/>
    <w:rsid w:val="00EE3781"/>
    <w:rsid w:val="00EE37C6"/>
    <w:rsid w:val="00EE3946"/>
    <w:rsid w:val="00EE3D1D"/>
    <w:rsid w:val="00EE3E2F"/>
    <w:rsid w:val="00EE3F31"/>
    <w:rsid w:val="00EE452B"/>
    <w:rsid w:val="00EE47A6"/>
    <w:rsid w:val="00EE4913"/>
    <w:rsid w:val="00EE4E17"/>
    <w:rsid w:val="00EE500B"/>
    <w:rsid w:val="00EE525C"/>
    <w:rsid w:val="00EE53C4"/>
    <w:rsid w:val="00EE5660"/>
    <w:rsid w:val="00EE6333"/>
    <w:rsid w:val="00EE6960"/>
    <w:rsid w:val="00EE6E74"/>
    <w:rsid w:val="00EE719C"/>
    <w:rsid w:val="00EE7437"/>
    <w:rsid w:val="00EE758A"/>
    <w:rsid w:val="00EE7D9F"/>
    <w:rsid w:val="00EF00DD"/>
    <w:rsid w:val="00EF04ED"/>
    <w:rsid w:val="00EF05AD"/>
    <w:rsid w:val="00EF093C"/>
    <w:rsid w:val="00EF09F8"/>
    <w:rsid w:val="00EF14DF"/>
    <w:rsid w:val="00EF1AD8"/>
    <w:rsid w:val="00EF20C3"/>
    <w:rsid w:val="00EF2727"/>
    <w:rsid w:val="00EF2D23"/>
    <w:rsid w:val="00EF3989"/>
    <w:rsid w:val="00EF3C26"/>
    <w:rsid w:val="00EF3D7C"/>
    <w:rsid w:val="00EF3DF1"/>
    <w:rsid w:val="00EF45BA"/>
    <w:rsid w:val="00EF4AFD"/>
    <w:rsid w:val="00EF4F11"/>
    <w:rsid w:val="00EF5069"/>
    <w:rsid w:val="00EF5A19"/>
    <w:rsid w:val="00EF6161"/>
    <w:rsid w:val="00EF6399"/>
    <w:rsid w:val="00EF6439"/>
    <w:rsid w:val="00EF66B0"/>
    <w:rsid w:val="00EF68CC"/>
    <w:rsid w:val="00EF6934"/>
    <w:rsid w:val="00EF7539"/>
    <w:rsid w:val="00EF7AEE"/>
    <w:rsid w:val="00EF7DD3"/>
    <w:rsid w:val="00F00B54"/>
    <w:rsid w:val="00F00D7C"/>
    <w:rsid w:val="00F00FCA"/>
    <w:rsid w:val="00F00FCF"/>
    <w:rsid w:val="00F0105A"/>
    <w:rsid w:val="00F01597"/>
    <w:rsid w:val="00F01CA4"/>
    <w:rsid w:val="00F01DC3"/>
    <w:rsid w:val="00F022AD"/>
    <w:rsid w:val="00F02347"/>
    <w:rsid w:val="00F02914"/>
    <w:rsid w:val="00F029A1"/>
    <w:rsid w:val="00F02A90"/>
    <w:rsid w:val="00F02BDE"/>
    <w:rsid w:val="00F02C5E"/>
    <w:rsid w:val="00F02CE8"/>
    <w:rsid w:val="00F036B5"/>
    <w:rsid w:val="00F03831"/>
    <w:rsid w:val="00F03D29"/>
    <w:rsid w:val="00F04132"/>
    <w:rsid w:val="00F04571"/>
    <w:rsid w:val="00F04F43"/>
    <w:rsid w:val="00F051A1"/>
    <w:rsid w:val="00F05A1C"/>
    <w:rsid w:val="00F05CE0"/>
    <w:rsid w:val="00F06A20"/>
    <w:rsid w:val="00F06D8B"/>
    <w:rsid w:val="00F075D0"/>
    <w:rsid w:val="00F079F7"/>
    <w:rsid w:val="00F07AC5"/>
    <w:rsid w:val="00F07CB6"/>
    <w:rsid w:val="00F07D1C"/>
    <w:rsid w:val="00F07D20"/>
    <w:rsid w:val="00F105FE"/>
    <w:rsid w:val="00F10732"/>
    <w:rsid w:val="00F1080D"/>
    <w:rsid w:val="00F10964"/>
    <w:rsid w:val="00F10AC2"/>
    <w:rsid w:val="00F10B91"/>
    <w:rsid w:val="00F10DD9"/>
    <w:rsid w:val="00F10E7F"/>
    <w:rsid w:val="00F10EEC"/>
    <w:rsid w:val="00F10F2B"/>
    <w:rsid w:val="00F11270"/>
    <w:rsid w:val="00F116F6"/>
    <w:rsid w:val="00F1176B"/>
    <w:rsid w:val="00F117FA"/>
    <w:rsid w:val="00F1197F"/>
    <w:rsid w:val="00F11F04"/>
    <w:rsid w:val="00F12472"/>
    <w:rsid w:val="00F12D59"/>
    <w:rsid w:val="00F12E2A"/>
    <w:rsid w:val="00F12F03"/>
    <w:rsid w:val="00F1316E"/>
    <w:rsid w:val="00F133A5"/>
    <w:rsid w:val="00F134CC"/>
    <w:rsid w:val="00F13513"/>
    <w:rsid w:val="00F1390A"/>
    <w:rsid w:val="00F139CA"/>
    <w:rsid w:val="00F13AF8"/>
    <w:rsid w:val="00F13F8E"/>
    <w:rsid w:val="00F141E2"/>
    <w:rsid w:val="00F14C90"/>
    <w:rsid w:val="00F15077"/>
    <w:rsid w:val="00F1520C"/>
    <w:rsid w:val="00F15579"/>
    <w:rsid w:val="00F15920"/>
    <w:rsid w:val="00F15A3A"/>
    <w:rsid w:val="00F15C02"/>
    <w:rsid w:val="00F163ED"/>
    <w:rsid w:val="00F1641A"/>
    <w:rsid w:val="00F1644C"/>
    <w:rsid w:val="00F166FF"/>
    <w:rsid w:val="00F168AD"/>
    <w:rsid w:val="00F17532"/>
    <w:rsid w:val="00F17791"/>
    <w:rsid w:val="00F17A3F"/>
    <w:rsid w:val="00F17A7D"/>
    <w:rsid w:val="00F17DC7"/>
    <w:rsid w:val="00F200F7"/>
    <w:rsid w:val="00F2038E"/>
    <w:rsid w:val="00F2040A"/>
    <w:rsid w:val="00F2069C"/>
    <w:rsid w:val="00F20955"/>
    <w:rsid w:val="00F21097"/>
    <w:rsid w:val="00F2121C"/>
    <w:rsid w:val="00F214F9"/>
    <w:rsid w:val="00F215D7"/>
    <w:rsid w:val="00F21B9B"/>
    <w:rsid w:val="00F21BC6"/>
    <w:rsid w:val="00F21DBC"/>
    <w:rsid w:val="00F21FD0"/>
    <w:rsid w:val="00F21FF4"/>
    <w:rsid w:val="00F23ADA"/>
    <w:rsid w:val="00F24912"/>
    <w:rsid w:val="00F2522D"/>
    <w:rsid w:val="00F253EF"/>
    <w:rsid w:val="00F25431"/>
    <w:rsid w:val="00F25686"/>
    <w:rsid w:val="00F25BE8"/>
    <w:rsid w:val="00F25EF7"/>
    <w:rsid w:val="00F25F33"/>
    <w:rsid w:val="00F262DF"/>
    <w:rsid w:val="00F269A5"/>
    <w:rsid w:val="00F27889"/>
    <w:rsid w:val="00F27980"/>
    <w:rsid w:val="00F27EBB"/>
    <w:rsid w:val="00F27FDA"/>
    <w:rsid w:val="00F302A5"/>
    <w:rsid w:val="00F302EB"/>
    <w:rsid w:val="00F30428"/>
    <w:rsid w:val="00F30833"/>
    <w:rsid w:val="00F308B4"/>
    <w:rsid w:val="00F30A98"/>
    <w:rsid w:val="00F30C05"/>
    <w:rsid w:val="00F30C18"/>
    <w:rsid w:val="00F30EA9"/>
    <w:rsid w:val="00F31023"/>
    <w:rsid w:val="00F3117F"/>
    <w:rsid w:val="00F31292"/>
    <w:rsid w:val="00F3133E"/>
    <w:rsid w:val="00F3140B"/>
    <w:rsid w:val="00F31416"/>
    <w:rsid w:val="00F31AF2"/>
    <w:rsid w:val="00F31CD2"/>
    <w:rsid w:val="00F31D48"/>
    <w:rsid w:val="00F31E23"/>
    <w:rsid w:val="00F324E2"/>
    <w:rsid w:val="00F325E0"/>
    <w:rsid w:val="00F32816"/>
    <w:rsid w:val="00F328A8"/>
    <w:rsid w:val="00F32C43"/>
    <w:rsid w:val="00F33C4E"/>
    <w:rsid w:val="00F33D27"/>
    <w:rsid w:val="00F33E83"/>
    <w:rsid w:val="00F342AE"/>
    <w:rsid w:val="00F347A8"/>
    <w:rsid w:val="00F34E2E"/>
    <w:rsid w:val="00F34FFD"/>
    <w:rsid w:val="00F35269"/>
    <w:rsid w:val="00F3553A"/>
    <w:rsid w:val="00F357CD"/>
    <w:rsid w:val="00F3590B"/>
    <w:rsid w:val="00F35B2C"/>
    <w:rsid w:val="00F36C8F"/>
    <w:rsid w:val="00F37013"/>
    <w:rsid w:val="00F375A2"/>
    <w:rsid w:val="00F37659"/>
    <w:rsid w:val="00F37686"/>
    <w:rsid w:val="00F37ED6"/>
    <w:rsid w:val="00F4045E"/>
    <w:rsid w:val="00F40A52"/>
    <w:rsid w:val="00F40E51"/>
    <w:rsid w:val="00F414E6"/>
    <w:rsid w:val="00F415C0"/>
    <w:rsid w:val="00F418B5"/>
    <w:rsid w:val="00F422C1"/>
    <w:rsid w:val="00F4230C"/>
    <w:rsid w:val="00F42459"/>
    <w:rsid w:val="00F42B29"/>
    <w:rsid w:val="00F42D54"/>
    <w:rsid w:val="00F4392F"/>
    <w:rsid w:val="00F43F44"/>
    <w:rsid w:val="00F440FF"/>
    <w:rsid w:val="00F44DDB"/>
    <w:rsid w:val="00F450CF"/>
    <w:rsid w:val="00F45887"/>
    <w:rsid w:val="00F4592B"/>
    <w:rsid w:val="00F45F61"/>
    <w:rsid w:val="00F46E4E"/>
    <w:rsid w:val="00F46F34"/>
    <w:rsid w:val="00F4700F"/>
    <w:rsid w:val="00F4746D"/>
    <w:rsid w:val="00F479BC"/>
    <w:rsid w:val="00F479EF"/>
    <w:rsid w:val="00F47C3C"/>
    <w:rsid w:val="00F47C6F"/>
    <w:rsid w:val="00F47E74"/>
    <w:rsid w:val="00F501A9"/>
    <w:rsid w:val="00F501D3"/>
    <w:rsid w:val="00F507AB"/>
    <w:rsid w:val="00F50EEE"/>
    <w:rsid w:val="00F51C05"/>
    <w:rsid w:val="00F52211"/>
    <w:rsid w:val="00F52B95"/>
    <w:rsid w:val="00F52D1A"/>
    <w:rsid w:val="00F52E68"/>
    <w:rsid w:val="00F52E7B"/>
    <w:rsid w:val="00F52EA1"/>
    <w:rsid w:val="00F52ED2"/>
    <w:rsid w:val="00F53225"/>
    <w:rsid w:val="00F53638"/>
    <w:rsid w:val="00F5369A"/>
    <w:rsid w:val="00F543CC"/>
    <w:rsid w:val="00F54615"/>
    <w:rsid w:val="00F54722"/>
    <w:rsid w:val="00F54A08"/>
    <w:rsid w:val="00F5547F"/>
    <w:rsid w:val="00F554B6"/>
    <w:rsid w:val="00F554BF"/>
    <w:rsid w:val="00F55AE6"/>
    <w:rsid w:val="00F56178"/>
    <w:rsid w:val="00F567C4"/>
    <w:rsid w:val="00F56BBD"/>
    <w:rsid w:val="00F56F5F"/>
    <w:rsid w:val="00F571A0"/>
    <w:rsid w:val="00F572C8"/>
    <w:rsid w:val="00F60177"/>
    <w:rsid w:val="00F60725"/>
    <w:rsid w:val="00F613CE"/>
    <w:rsid w:val="00F618C9"/>
    <w:rsid w:val="00F61B27"/>
    <w:rsid w:val="00F61D3E"/>
    <w:rsid w:val="00F61ED2"/>
    <w:rsid w:val="00F621DF"/>
    <w:rsid w:val="00F6282E"/>
    <w:rsid w:val="00F62861"/>
    <w:rsid w:val="00F62957"/>
    <w:rsid w:val="00F63124"/>
    <w:rsid w:val="00F64042"/>
    <w:rsid w:val="00F64A53"/>
    <w:rsid w:val="00F6669F"/>
    <w:rsid w:val="00F66D05"/>
    <w:rsid w:val="00F670A5"/>
    <w:rsid w:val="00F67A10"/>
    <w:rsid w:val="00F702A3"/>
    <w:rsid w:val="00F70434"/>
    <w:rsid w:val="00F7065A"/>
    <w:rsid w:val="00F707E1"/>
    <w:rsid w:val="00F70B51"/>
    <w:rsid w:val="00F70BEC"/>
    <w:rsid w:val="00F70C94"/>
    <w:rsid w:val="00F70FE7"/>
    <w:rsid w:val="00F71038"/>
    <w:rsid w:val="00F71A24"/>
    <w:rsid w:val="00F71DC0"/>
    <w:rsid w:val="00F71E5E"/>
    <w:rsid w:val="00F71EB5"/>
    <w:rsid w:val="00F71EF5"/>
    <w:rsid w:val="00F71F2B"/>
    <w:rsid w:val="00F721BF"/>
    <w:rsid w:val="00F7251D"/>
    <w:rsid w:val="00F73702"/>
    <w:rsid w:val="00F73A2D"/>
    <w:rsid w:val="00F73E12"/>
    <w:rsid w:val="00F73F33"/>
    <w:rsid w:val="00F741A5"/>
    <w:rsid w:val="00F7444E"/>
    <w:rsid w:val="00F74E86"/>
    <w:rsid w:val="00F75F4C"/>
    <w:rsid w:val="00F762A9"/>
    <w:rsid w:val="00F762B2"/>
    <w:rsid w:val="00F76724"/>
    <w:rsid w:val="00F769A5"/>
    <w:rsid w:val="00F76DA9"/>
    <w:rsid w:val="00F779D9"/>
    <w:rsid w:val="00F77B8D"/>
    <w:rsid w:val="00F77CAF"/>
    <w:rsid w:val="00F77DDA"/>
    <w:rsid w:val="00F8017E"/>
    <w:rsid w:val="00F806F0"/>
    <w:rsid w:val="00F80A4B"/>
    <w:rsid w:val="00F80ADE"/>
    <w:rsid w:val="00F80C6F"/>
    <w:rsid w:val="00F80CEB"/>
    <w:rsid w:val="00F810BB"/>
    <w:rsid w:val="00F812DF"/>
    <w:rsid w:val="00F81345"/>
    <w:rsid w:val="00F81400"/>
    <w:rsid w:val="00F81509"/>
    <w:rsid w:val="00F818AF"/>
    <w:rsid w:val="00F81A08"/>
    <w:rsid w:val="00F81ABC"/>
    <w:rsid w:val="00F81F21"/>
    <w:rsid w:val="00F82045"/>
    <w:rsid w:val="00F8214C"/>
    <w:rsid w:val="00F8288E"/>
    <w:rsid w:val="00F828AE"/>
    <w:rsid w:val="00F82F8C"/>
    <w:rsid w:val="00F83149"/>
    <w:rsid w:val="00F83338"/>
    <w:rsid w:val="00F83506"/>
    <w:rsid w:val="00F8360F"/>
    <w:rsid w:val="00F83827"/>
    <w:rsid w:val="00F8399C"/>
    <w:rsid w:val="00F8399E"/>
    <w:rsid w:val="00F83A9F"/>
    <w:rsid w:val="00F83AD7"/>
    <w:rsid w:val="00F83E6A"/>
    <w:rsid w:val="00F8433A"/>
    <w:rsid w:val="00F84C0E"/>
    <w:rsid w:val="00F84E38"/>
    <w:rsid w:val="00F84FE4"/>
    <w:rsid w:val="00F85188"/>
    <w:rsid w:val="00F85788"/>
    <w:rsid w:val="00F85973"/>
    <w:rsid w:val="00F85ABF"/>
    <w:rsid w:val="00F85C3A"/>
    <w:rsid w:val="00F85C4F"/>
    <w:rsid w:val="00F85D2D"/>
    <w:rsid w:val="00F85FB8"/>
    <w:rsid w:val="00F86202"/>
    <w:rsid w:val="00F86534"/>
    <w:rsid w:val="00F867EB"/>
    <w:rsid w:val="00F86C7F"/>
    <w:rsid w:val="00F871B7"/>
    <w:rsid w:val="00F87258"/>
    <w:rsid w:val="00F9030E"/>
    <w:rsid w:val="00F908E3"/>
    <w:rsid w:val="00F91396"/>
    <w:rsid w:val="00F91624"/>
    <w:rsid w:val="00F91668"/>
    <w:rsid w:val="00F91709"/>
    <w:rsid w:val="00F91AED"/>
    <w:rsid w:val="00F91B71"/>
    <w:rsid w:val="00F927BD"/>
    <w:rsid w:val="00F92DDA"/>
    <w:rsid w:val="00F935FB"/>
    <w:rsid w:val="00F93695"/>
    <w:rsid w:val="00F93C66"/>
    <w:rsid w:val="00F93CED"/>
    <w:rsid w:val="00F942F8"/>
    <w:rsid w:val="00F943BA"/>
    <w:rsid w:val="00F94799"/>
    <w:rsid w:val="00F94CC7"/>
    <w:rsid w:val="00F95BA2"/>
    <w:rsid w:val="00F964B3"/>
    <w:rsid w:val="00F9691B"/>
    <w:rsid w:val="00F96F1E"/>
    <w:rsid w:val="00F9753E"/>
    <w:rsid w:val="00FA01C6"/>
    <w:rsid w:val="00FA0455"/>
    <w:rsid w:val="00FA0AAF"/>
    <w:rsid w:val="00FA0F5A"/>
    <w:rsid w:val="00FA0F75"/>
    <w:rsid w:val="00FA1F0C"/>
    <w:rsid w:val="00FA207F"/>
    <w:rsid w:val="00FA2271"/>
    <w:rsid w:val="00FA25AC"/>
    <w:rsid w:val="00FA2623"/>
    <w:rsid w:val="00FA2B36"/>
    <w:rsid w:val="00FA3491"/>
    <w:rsid w:val="00FA3526"/>
    <w:rsid w:val="00FA3A26"/>
    <w:rsid w:val="00FA3A96"/>
    <w:rsid w:val="00FA4183"/>
    <w:rsid w:val="00FA41D2"/>
    <w:rsid w:val="00FA4C3D"/>
    <w:rsid w:val="00FA519E"/>
    <w:rsid w:val="00FA56D2"/>
    <w:rsid w:val="00FA5B4A"/>
    <w:rsid w:val="00FA6859"/>
    <w:rsid w:val="00FA71DE"/>
    <w:rsid w:val="00FA72AB"/>
    <w:rsid w:val="00FA7365"/>
    <w:rsid w:val="00FA78E8"/>
    <w:rsid w:val="00FB0049"/>
    <w:rsid w:val="00FB0C06"/>
    <w:rsid w:val="00FB0C74"/>
    <w:rsid w:val="00FB0E55"/>
    <w:rsid w:val="00FB0EA7"/>
    <w:rsid w:val="00FB19E1"/>
    <w:rsid w:val="00FB1C28"/>
    <w:rsid w:val="00FB1FF8"/>
    <w:rsid w:val="00FB2365"/>
    <w:rsid w:val="00FB2F97"/>
    <w:rsid w:val="00FB333D"/>
    <w:rsid w:val="00FB3777"/>
    <w:rsid w:val="00FB3B0B"/>
    <w:rsid w:val="00FB3E27"/>
    <w:rsid w:val="00FB3ED7"/>
    <w:rsid w:val="00FB3EE7"/>
    <w:rsid w:val="00FB41ED"/>
    <w:rsid w:val="00FB43AB"/>
    <w:rsid w:val="00FB4EC6"/>
    <w:rsid w:val="00FB5393"/>
    <w:rsid w:val="00FB5658"/>
    <w:rsid w:val="00FB5A55"/>
    <w:rsid w:val="00FB60B7"/>
    <w:rsid w:val="00FB674D"/>
    <w:rsid w:val="00FB69E4"/>
    <w:rsid w:val="00FB6E7B"/>
    <w:rsid w:val="00FB7581"/>
    <w:rsid w:val="00FB7CC3"/>
    <w:rsid w:val="00FB7E96"/>
    <w:rsid w:val="00FB7F5E"/>
    <w:rsid w:val="00FC0185"/>
    <w:rsid w:val="00FC0389"/>
    <w:rsid w:val="00FC059E"/>
    <w:rsid w:val="00FC0972"/>
    <w:rsid w:val="00FC0C15"/>
    <w:rsid w:val="00FC0D52"/>
    <w:rsid w:val="00FC0E0C"/>
    <w:rsid w:val="00FC0FB9"/>
    <w:rsid w:val="00FC206D"/>
    <w:rsid w:val="00FC2416"/>
    <w:rsid w:val="00FC26BE"/>
    <w:rsid w:val="00FC2CCE"/>
    <w:rsid w:val="00FC3448"/>
    <w:rsid w:val="00FC350C"/>
    <w:rsid w:val="00FC350D"/>
    <w:rsid w:val="00FC3558"/>
    <w:rsid w:val="00FC3632"/>
    <w:rsid w:val="00FC38D4"/>
    <w:rsid w:val="00FC3E9A"/>
    <w:rsid w:val="00FC3EBF"/>
    <w:rsid w:val="00FC3F7D"/>
    <w:rsid w:val="00FC40DF"/>
    <w:rsid w:val="00FC46BC"/>
    <w:rsid w:val="00FC4DC8"/>
    <w:rsid w:val="00FC59E4"/>
    <w:rsid w:val="00FC5AF0"/>
    <w:rsid w:val="00FC6188"/>
    <w:rsid w:val="00FC659A"/>
    <w:rsid w:val="00FC6907"/>
    <w:rsid w:val="00FC6951"/>
    <w:rsid w:val="00FC71E6"/>
    <w:rsid w:val="00FC726A"/>
    <w:rsid w:val="00FC7295"/>
    <w:rsid w:val="00FC7691"/>
    <w:rsid w:val="00FC781F"/>
    <w:rsid w:val="00FC79A2"/>
    <w:rsid w:val="00FC7F84"/>
    <w:rsid w:val="00FD04D1"/>
    <w:rsid w:val="00FD054C"/>
    <w:rsid w:val="00FD0863"/>
    <w:rsid w:val="00FD0C07"/>
    <w:rsid w:val="00FD109A"/>
    <w:rsid w:val="00FD1389"/>
    <w:rsid w:val="00FD16A5"/>
    <w:rsid w:val="00FD1E9D"/>
    <w:rsid w:val="00FD20D0"/>
    <w:rsid w:val="00FD223E"/>
    <w:rsid w:val="00FD23CF"/>
    <w:rsid w:val="00FD26F2"/>
    <w:rsid w:val="00FD29C5"/>
    <w:rsid w:val="00FD2B55"/>
    <w:rsid w:val="00FD307E"/>
    <w:rsid w:val="00FD328D"/>
    <w:rsid w:val="00FD3323"/>
    <w:rsid w:val="00FD33BE"/>
    <w:rsid w:val="00FD37B2"/>
    <w:rsid w:val="00FD393B"/>
    <w:rsid w:val="00FD3F03"/>
    <w:rsid w:val="00FD42DF"/>
    <w:rsid w:val="00FD45B4"/>
    <w:rsid w:val="00FD470C"/>
    <w:rsid w:val="00FD4FB2"/>
    <w:rsid w:val="00FD50A1"/>
    <w:rsid w:val="00FD5197"/>
    <w:rsid w:val="00FD59A2"/>
    <w:rsid w:val="00FD5D51"/>
    <w:rsid w:val="00FD61C2"/>
    <w:rsid w:val="00FD6219"/>
    <w:rsid w:val="00FD63CE"/>
    <w:rsid w:val="00FD64B7"/>
    <w:rsid w:val="00FD64E6"/>
    <w:rsid w:val="00FD66D7"/>
    <w:rsid w:val="00FD6B95"/>
    <w:rsid w:val="00FD6D0A"/>
    <w:rsid w:val="00FD6DE5"/>
    <w:rsid w:val="00FD6E1B"/>
    <w:rsid w:val="00FD6EBC"/>
    <w:rsid w:val="00FD7B7B"/>
    <w:rsid w:val="00FE00E7"/>
    <w:rsid w:val="00FE04AB"/>
    <w:rsid w:val="00FE060E"/>
    <w:rsid w:val="00FE067E"/>
    <w:rsid w:val="00FE0869"/>
    <w:rsid w:val="00FE0A7B"/>
    <w:rsid w:val="00FE0ADC"/>
    <w:rsid w:val="00FE0D3D"/>
    <w:rsid w:val="00FE0FE9"/>
    <w:rsid w:val="00FE110A"/>
    <w:rsid w:val="00FE1AAA"/>
    <w:rsid w:val="00FE1C91"/>
    <w:rsid w:val="00FE220B"/>
    <w:rsid w:val="00FE26CD"/>
    <w:rsid w:val="00FE29D3"/>
    <w:rsid w:val="00FE2B7C"/>
    <w:rsid w:val="00FE2F4C"/>
    <w:rsid w:val="00FE3436"/>
    <w:rsid w:val="00FE3DC2"/>
    <w:rsid w:val="00FE422F"/>
    <w:rsid w:val="00FE42B7"/>
    <w:rsid w:val="00FE4559"/>
    <w:rsid w:val="00FE4824"/>
    <w:rsid w:val="00FE4C4C"/>
    <w:rsid w:val="00FE4FEE"/>
    <w:rsid w:val="00FE55D6"/>
    <w:rsid w:val="00FE56BE"/>
    <w:rsid w:val="00FE59D8"/>
    <w:rsid w:val="00FE5A8C"/>
    <w:rsid w:val="00FE5E25"/>
    <w:rsid w:val="00FE5FB7"/>
    <w:rsid w:val="00FE5FE0"/>
    <w:rsid w:val="00FE6281"/>
    <w:rsid w:val="00FE66D4"/>
    <w:rsid w:val="00FE6FCE"/>
    <w:rsid w:val="00FE767C"/>
    <w:rsid w:val="00FE79DA"/>
    <w:rsid w:val="00FF0375"/>
    <w:rsid w:val="00FF0384"/>
    <w:rsid w:val="00FF043D"/>
    <w:rsid w:val="00FF0610"/>
    <w:rsid w:val="00FF0799"/>
    <w:rsid w:val="00FF08CB"/>
    <w:rsid w:val="00FF0A0A"/>
    <w:rsid w:val="00FF10C1"/>
    <w:rsid w:val="00FF12F2"/>
    <w:rsid w:val="00FF131B"/>
    <w:rsid w:val="00FF137A"/>
    <w:rsid w:val="00FF14C8"/>
    <w:rsid w:val="00FF1624"/>
    <w:rsid w:val="00FF1684"/>
    <w:rsid w:val="00FF1E4F"/>
    <w:rsid w:val="00FF2067"/>
    <w:rsid w:val="00FF21E2"/>
    <w:rsid w:val="00FF2B4C"/>
    <w:rsid w:val="00FF2FA2"/>
    <w:rsid w:val="00FF326C"/>
    <w:rsid w:val="00FF336C"/>
    <w:rsid w:val="00FF39B0"/>
    <w:rsid w:val="00FF3C55"/>
    <w:rsid w:val="00FF3F2F"/>
    <w:rsid w:val="00FF413E"/>
    <w:rsid w:val="00FF4AB3"/>
    <w:rsid w:val="00FF4B69"/>
    <w:rsid w:val="00FF4D10"/>
    <w:rsid w:val="00FF5149"/>
    <w:rsid w:val="00FF52B7"/>
    <w:rsid w:val="00FF5608"/>
    <w:rsid w:val="00FF5DF9"/>
    <w:rsid w:val="00FF5ED7"/>
    <w:rsid w:val="00FF6371"/>
    <w:rsid w:val="00FF6499"/>
    <w:rsid w:val="00FF6B30"/>
    <w:rsid w:val="00FF6C28"/>
    <w:rsid w:val="00FF7111"/>
    <w:rsid w:val="00FF7B07"/>
    <w:rsid w:val="00FF7E25"/>
    <w:rsid w:val="00FF7E2D"/>
    <w:rsid w:val="00FF7EB6"/>
    <w:rsid w:val="0124EEDE"/>
    <w:rsid w:val="01299E42"/>
    <w:rsid w:val="014FA71F"/>
    <w:rsid w:val="0158FD51"/>
    <w:rsid w:val="0165CD2F"/>
    <w:rsid w:val="016F2E92"/>
    <w:rsid w:val="0179C126"/>
    <w:rsid w:val="01805A56"/>
    <w:rsid w:val="01853623"/>
    <w:rsid w:val="01B34E95"/>
    <w:rsid w:val="01D556F6"/>
    <w:rsid w:val="01E1A532"/>
    <w:rsid w:val="01E26CC3"/>
    <w:rsid w:val="0209FD94"/>
    <w:rsid w:val="02355A43"/>
    <w:rsid w:val="02373710"/>
    <w:rsid w:val="0237E8D7"/>
    <w:rsid w:val="024E09FD"/>
    <w:rsid w:val="026211F3"/>
    <w:rsid w:val="02C8D175"/>
    <w:rsid w:val="02DBA91E"/>
    <w:rsid w:val="02E1F3B1"/>
    <w:rsid w:val="02F03CDD"/>
    <w:rsid w:val="02FDF8F5"/>
    <w:rsid w:val="030DDEE9"/>
    <w:rsid w:val="032969F3"/>
    <w:rsid w:val="035301F4"/>
    <w:rsid w:val="03881742"/>
    <w:rsid w:val="03985EAF"/>
    <w:rsid w:val="03A43C3F"/>
    <w:rsid w:val="03A6CD10"/>
    <w:rsid w:val="03C3ABA3"/>
    <w:rsid w:val="03C3E4EF"/>
    <w:rsid w:val="03F90F7F"/>
    <w:rsid w:val="0435C12A"/>
    <w:rsid w:val="043D14F8"/>
    <w:rsid w:val="044E22A7"/>
    <w:rsid w:val="047328E1"/>
    <w:rsid w:val="0473F6BE"/>
    <w:rsid w:val="049AFBF1"/>
    <w:rsid w:val="04B48ECF"/>
    <w:rsid w:val="04C71CC2"/>
    <w:rsid w:val="04CFA083"/>
    <w:rsid w:val="05092425"/>
    <w:rsid w:val="052856AA"/>
    <w:rsid w:val="052E2A7F"/>
    <w:rsid w:val="05ACF160"/>
    <w:rsid w:val="05B3C125"/>
    <w:rsid w:val="05BFA9A0"/>
    <w:rsid w:val="05C9A58F"/>
    <w:rsid w:val="05CCB692"/>
    <w:rsid w:val="05DF7648"/>
    <w:rsid w:val="05F4621A"/>
    <w:rsid w:val="05F54150"/>
    <w:rsid w:val="05F54F5A"/>
    <w:rsid w:val="05F6917E"/>
    <w:rsid w:val="0604DDF8"/>
    <w:rsid w:val="06094B0F"/>
    <w:rsid w:val="06145D91"/>
    <w:rsid w:val="064BD1F2"/>
    <w:rsid w:val="0650DDC8"/>
    <w:rsid w:val="066C8A86"/>
    <w:rsid w:val="0687D0D5"/>
    <w:rsid w:val="0688422C"/>
    <w:rsid w:val="06906889"/>
    <w:rsid w:val="06964389"/>
    <w:rsid w:val="06A2B80B"/>
    <w:rsid w:val="06B1A04C"/>
    <w:rsid w:val="06E40A99"/>
    <w:rsid w:val="06F7A9CB"/>
    <w:rsid w:val="0707C7C0"/>
    <w:rsid w:val="071847AA"/>
    <w:rsid w:val="071FB2FC"/>
    <w:rsid w:val="07427F8C"/>
    <w:rsid w:val="074A067A"/>
    <w:rsid w:val="074E8A81"/>
    <w:rsid w:val="074FFD79"/>
    <w:rsid w:val="076DDE2F"/>
    <w:rsid w:val="0799C6B5"/>
    <w:rsid w:val="07B53C8B"/>
    <w:rsid w:val="07D30734"/>
    <w:rsid w:val="07FC6E3D"/>
    <w:rsid w:val="0812D59B"/>
    <w:rsid w:val="082B7952"/>
    <w:rsid w:val="0864F546"/>
    <w:rsid w:val="088765C0"/>
    <w:rsid w:val="088911B0"/>
    <w:rsid w:val="08D19A25"/>
    <w:rsid w:val="08D87B74"/>
    <w:rsid w:val="08E1037F"/>
    <w:rsid w:val="08FAEC62"/>
    <w:rsid w:val="08FE9916"/>
    <w:rsid w:val="090699AE"/>
    <w:rsid w:val="0908CE35"/>
    <w:rsid w:val="090B97E2"/>
    <w:rsid w:val="090DF839"/>
    <w:rsid w:val="0944B7D5"/>
    <w:rsid w:val="09549A66"/>
    <w:rsid w:val="095E06DD"/>
    <w:rsid w:val="0963F810"/>
    <w:rsid w:val="09963878"/>
    <w:rsid w:val="09AC75EE"/>
    <w:rsid w:val="09C120E3"/>
    <w:rsid w:val="09D8B266"/>
    <w:rsid w:val="09E8BEA6"/>
    <w:rsid w:val="09E8EB0E"/>
    <w:rsid w:val="09EC697D"/>
    <w:rsid w:val="09F80CC8"/>
    <w:rsid w:val="09FDD165"/>
    <w:rsid w:val="0A103FAB"/>
    <w:rsid w:val="0A1BACD7"/>
    <w:rsid w:val="0A1C06E6"/>
    <w:rsid w:val="0A1ED0C7"/>
    <w:rsid w:val="0A269469"/>
    <w:rsid w:val="0A2C075E"/>
    <w:rsid w:val="0A2C8FBA"/>
    <w:rsid w:val="0A5A218E"/>
    <w:rsid w:val="0A676C0A"/>
    <w:rsid w:val="0A69B9A8"/>
    <w:rsid w:val="0A8145E9"/>
    <w:rsid w:val="0A81C810"/>
    <w:rsid w:val="0A85E693"/>
    <w:rsid w:val="0A9201FE"/>
    <w:rsid w:val="0AAE3BA1"/>
    <w:rsid w:val="0AD3A62A"/>
    <w:rsid w:val="0AE72D0D"/>
    <w:rsid w:val="0AEEE3BF"/>
    <w:rsid w:val="0AF8C8AE"/>
    <w:rsid w:val="0B042B9B"/>
    <w:rsid w:val="0B083B1B"/>
    <w:rsid w:val="0B2057D9"/>
    <w:rsid w:val="0B2DCDA5"/>
    <w:rsid w:val="0B53F28B"/>
    <w:rsid w:val="0B69C4DD"/>
    <w:rsid w:val="0B895152"/>
    <w:rsid w:val="0B8F1FB2"/>
    <w:rsid w:val="0BA4594A"/>
    <w:rsid w:val="0BA88457"/>
    <w:rsid w:val="0BC8E44C"/>
    <w:rsid w:val="0BE6BCAE"/>
    <w:rsid w:val="0BF1203F"/>
    <w:rsid w:val="0C084FDC"/>
    <w:rsid w:val="0C19349C"/>
    <w:rsid w:val="0C353021"/>
    <w:rsid w:val="0C6A8FEA"/>
    <w:rsid w:val="0C6ADF3A"/>
    <w:rsid w:val="0C9B6237"/>
    <w:rsid w:val="0CBF93BB"/>
    <w:rsid w:val="0CD55097"/>
    <w:rsid w:val="0CEC45A3"/>
    <w:rsid w:val="0D0D839B"/>
    <w:rsid w:val="0D154811"/>
    <w:rsid w:val="0D1A5BEA"/>
    <w:rsid w:val="0D26BEC5"/>
    <w:rsid w:val="0D9F3140"/>
    <w:rsid w:val="0DA1100D"/>
    <w:rsid w:val="0DB8FF67"/>
    <w:rsid w:val="0DC2057C"/>
    <w:rsid w:val="0DCD04D3"/>
    <w:rsid w:val="0DCD0587"/>
    <w:rsid w:val="0E4F0775"/>
    <w:rsid w:val="0E539235"/>
    <w:rsid w:val="0E5FCE9C"/>
    <w:rsid w:val="0E7CACE7"/>
    <w:rsid w:val="0E876691"/>
    <w:rsid w:val="0E952E70"/>
    <w:rsid w:val="0E957C87"/>
    <w:rsid w:val="0EAA4F59"/>
    <w:rsid w:val="0EB9F125"/>
    <w:rsid w:val="0ECC2325"/>
    <w:rsid w:val="0EE3EF2D"/>
    <w:rsid w:val="0EEB3858"/>
    <w:rsid w:val="0EF32420"/>
    <w:rsid w:val="0EF60D1D"/>
    <w:rsid w:val="0EF82ECA"/>
    <w:rsid w:val="0F0D9C98"/>
    <w:rsid w:val="0F1774E6"/>
    <w:rsid w:val="0F22BEFE"/>
    <w:rsid w:val="0F2EAAB1"/>
    <w:rsid w:val="0F345E75"/>
    <w:rsid w:val="0F5112C7"/>
    <w:rsid w:val="0F6AEACC"/>
    <w:rsid w:val="0F74205D"/>
    <w:rsid w:val="0F7F9673"/>
    <w:rsid w:val="0F86B010"/>
    <w:rsid w:val="0FA71D36"/>
    <w:rsid w:val="0FB0706B"/>
    <w:rsid w:val="0FD1BBE2"/>
    <w:rsid w:val="0FEFFD07"/>
    <w:rsid w:val="0FF93C8C"/>
    <w:rsid w:val="100A3BE8"/>
    <w:rsid w:val="10187D48"/>
    <w:rsid w:val="102769D6"/>
    <w:rsid w:val="1030FED1"/>
    <w:rsid w:val="1044F7F9"/>
    <w:rsid w:val="1064152C"/>
    <w:rsid w:val="10972A99"/>
    <w:rsid w:val="10AE38EA"/>
    <w:rsid w:val="10E04D5B"/>
    <w:rsid w:val="10E0AC0A"/>
    <w:rsid w:val="10E308DE"/>
    <w:rsid w:val="1125EB3F"/>
    <w:rsid w:val="113C7992"/>
    <w:rsid w:val="11517663"/>
    <w:rsid w:val="1153DC10"/>
    <w:rsid w:val="1170E81D"/>
    <w:rsid w:val="11AC1E8B"/>
    <w:rsid w:val="11D9CAD6"/>
    <w:rsid w:val="11EEC091"/>
    <w:rsid w:val="121622BF"/>
    <w:rsid w:val="121766F3"/>
    <w:rsid w:val="123BCB99"/>
    <w:rsid w:val="12500C56"/>
    <w:rsid w:val="1253EFD8"/>
    <w:rsid w:val="1275B9A9"/>
    <w:rsid w:val="12920011"/>
    <w:rsid w:val="12D03404"/>
    <w:rsid w:val="12D14FCC"/>
    <w:rsid w:val="12DB926D"/>
    <w:rsid w:val="12E05B31"/>
    <w:rsid w:val="12EFAC71"/>
    <w:rsid w:val="12FC6D67"/>
    <w:rsid w:val="12FFD80C"/>
    <w:rsid w:val="130ADA56"/>
    <w:rsid w:val="1315E024"/>
    <w:rsid w:val="132EAB04"/>
    <w:rsid w:val="134D10F2"/>
    <w:rsid w:val="13701BFD"/>
    <w:rsid w:val="1392387E"/>
    <w:rsid w:val="13B8273F"/>
    <w:rsid w:val="13C00BAA"/>
    <w:rsid w:val="13C1FD64"/>
    <w:rsid w:val="1404BE19"/>
    <w:rsid w:val="1409EF4D"/>
    <w:rsid w:val="142A3923"/>
    <w:rsid w:val="1430F2D0"/>
    <w:rsid w:val="14361940"/>
    <w:rsid w:val="143E6F01"/>
    <w:rsid w:val="145F5EB0"/>
    <w:rsid w:val="1461B88B"/>
    <w:rsid w:val="1495056E"/>
    <w:rsid w:val="1497C246"/>
    <w:rsid w:val="14ABA2ED"/>
    <w:rsid w:val="14CDC32C"/>
    <w:rsid w:val="14D2C60E"/>
    <w:rsid w:val="14E97F78"/>
    <w:rsid w:val="14ED0285"/>
    <w:rsid w:val="150B529B"/>
    <w:rsid w:val="15331ECD"/>
    <w:rsid w:val="1535AC1C"/>
    <w:rsid w:val="1563634E"/>
    <w:rsid w:val="15736C5B"/>
    <w:rsid w:val="157CBB1F"/>
    <w:rsid w:val="15811ED8"/>
    <w:rsid w:val="1591B6EF"/>
    <w:rsid w:val="15A64ACA"/>
    <w:rsid w:val="162FDD60"/>
    <w:rsid w:val="163986F4"/>
    <w:rsid w:val="1655D584"/>
    <w:rsid w:val="16579C2F"/>
    <w:rsid w:val="16656B05"/>
    <w:rsid w:val="166A0C6A"/>
    <w:rsid w:val="167ED227"/>
    <w:rsid w:val="16843121"/>
    <w:rsid w:val="16D196B9"/>
    <w:rsid w:val="16F5EC9B"/>
    <w:rsid w:val="171EBB3D"/>
    <w:rsid w:val="172E1C51"/>
    <w:rsid w:val="1738525C"/>
    <w:rsid w:val="174F58A6"/>
    <w:rsid w:val="17645F4A"/>
    <w:rsid w:val="1776D8ED"/>
    <w:rsid w:val="177E3F3C"/>
    <w:rsid w:val="1788CE2D"/>
    <w:rsid w:val="1799CC24"/>
    <w:rsid w:val="17ABD885"/>
    <w:rsid w:val="17B29CDB"/>
    <w:rsid w:val="17C9BE3E"/>
    <w:rsid w:val="17E07F69"/>
    <w:rsid w:val="18180771"/>
    <w:rsid w:val="181E1782"/>
    <w:rsid w:val="18455111"/>
    <w:rsid w:val="184575DD"/>
    <w:rsid w:val="187045C6"/>
    <w:rsid w:val="1892F0B9"/>
    <w:rsid w:val="18973F64"/>
    <w:rsid w:val="1950AB7F"/>
    <w:rsid w:val="19574369"/>
    <w:rsid w:val="196F9EB7"/>
    <w:rsid w:val="19A00814"/>
    <w:rsid w:val="19A841D1"/>
    <w:rsid w:val="19BA88C2"/>
    <w:rsid w:val="19C22994"/>
    <w:rsid w:val="19C2A94F"/>
    <w:rsid w:val="1A3DE174"/>
    <w:rsid w:val="1A7769C8"/>
    <w:rsid w:val="1A92B179"/>
    <w:rsid w:val="1A9751F3"/>
    <w:rsid w:val="1AA7E85F"/>
    <w:rsid w:val="1AC8312E"/>
    <w:rsid w:val="1AEE13ED"/>
    <w:rsid w:val="1AF99E74"/>
    <w:rsid w:val="1B124E61"/>
    <w:rsid w:val="1B1D66D5"/>
    <w:rsid w:val="1B26FA25"/>
    <w:rsid w:val="1B484E5F"/>
    <w:rsid w:val="1B55E89E"/>
    <w:rsid w:val="1B5D6FA5"/>
    <w:rsid w:val="1B7C40C8"/>
    <w:rsid w:val="1B8B1850"/>
    <w:rsid w:val="1B969F46"/>
    <w:rsid w:val="1BA67B9F"/>
    <w:rsid w:val="1BAB7071"/>
    <w:rsid w:val="1BBA6904"/>
    <w:rsid w:val="1BD19A24"/>
    <w:rsid w:val="1C0B9B4C"/>
    <w:rsid w:val="1C247D87"/>
    <w:rsid w:val="1C36B591"/>
    <w:rsid w:val="1C3AF377"/>
    <w:rsid w:val="1C454A87"/>
    <w:rsid w:val="1C4BB98D"/>
    <w:rsid w:val="1C4DCB34"/>
    <w:rsid w:val="1C53F735"/>
    <w:rsid w:val="1C85689B"/>
    <w:rsid w:val="1C9091A2"/>
    <w:rsid w:val="1C99E6A9"/>
    <w:rsid w:val="1CA3C513"/>
    <w:rsid w:val="1CB9AA22"/>
    <w:rsid w:val="1CBBD94E"/>
    <w:rsid w:val="1CEF3873"/>
    <w:rsid w:val="1CEFF50E"/>
    <w:rsid w:val="1CF1B8FF"/>
    <w:rsid w:val="1D035AF4"/>
    <w:rsid w:val="1D4162B0"/>
    <w:rsid w:val="1D4D9F37"/>
    <w:rsid w:val="1D7E7E40"/>
    <w:rsid w:val="1D96694C"/>
    <w:rsid w:val="1D988C91"/>
    <w:rsid w:val="1D9A4466"/>
    <w:rsid w:val="1D9FF028"/>
    <w:rsid w:val="1DB0BAE2"/>
    <w:rsid w:val="1DE872C6"/>
    <w:rsid w:val="1DED1617"/>
    <w:rsid w:val="1E0C9D97"/>
    <w:rsid w:val="1E13D05C"/>
    <w:rsid w:val="1E2D7CFC"/>
    <w:rsid w:val="1E36C769"/>
    <w:rsid w:val="1E3B5251"/>
    <w:rsid w:val="1E4B54A4"/>
    <w:rsid w:val="1E7A5B96"/>
    <w:rsid w:val="1EC42990"/>
    <w:rsid w:val="1EC70C3D"/>
    <w:rsid w:val="1ED6AD8B"/>
    <w:rsid w:val="1F0517A2"/>
    <w:rsid w:val="1F202539"/>
    <w:rsid w:val="1F4AE9C8"/>
    <w:rsid w:val="1F5896D4"/>
    <w:rsid w:val="1F7270D8"/>
    <w:rsid w:val="1F90D680"/>
    <w:rsid w:val="1FBDCDAE"/>
    <w:rsid w:val="1FE61C7F"/>
    <w:rsid w:val="1FE9D291"/>
    <w:rsid w:val="1FFE832F"/>
    <w:rsid w:val="2009BAF0"/>
    <w:rsid w:val="2016A64E"/>
    <w:rsid w:val="203054D3"/>
    <w:rsid w:val="20579329"/>
    <w:rsid w:val="2067B216"/>
    <w:rsid w:val="20796819"/>
    <w:rsid w:val="20CF71FB"/>
    <w:rsid w:val="214CA132"/>
    <w:rsid w:val="21647503"/>
    <w:rsid w:val="2173A209"/>
    <w:rsid w:val="21A0DF57"/>
    <w:rsid w:val="22001416"/>
    <w:rsid w:val="22162F83"/>
    <w:rsid w:val="225A1ED8"/>
    <w:rsid w:val="2269D734"/>
    <w:rsid w:val="22BDE6BF"/>
    <w:rsid w:val="22C4443A"/>
    <w:rsid w:val="22CFFFD4"/>
    <w:rsid w:val="22E46CD7"/>
    <w:rsid w:val="22FE4B22"/>
    <w:rsid w:val="231341D4"/>
    <w:rsid w:val="2316E8FA"/>
    <w:rsid w:val="23294357"/>
    <w:rsid w:val="2354A6A1"/>
    <w:rsid w:val="2379299C"/>
    <w:rsid w:val="238AF8BC"/>
    <w:rsid w:val="238BC92A"/>
    <w:rsid w:val="239F489A"/>
    <w:rsid w:val="23A822FC"/>
    <w:rsid w:val="23B42861"/>
    <w:rsid w:val="23DF5651"/>
    <w:rsid w:val="23E913F4"/>
    <w:rsid w:val="23F5939F"/>
    <w:rsid w:val="242233E5"/>
    <w:rsid w:val="24374DD5"/>
    <w:rsid w:val="243B9827"/>
    <w:rsid w:val="24500A05"/>
    <w:rsid w:val="2457A419"/>
    <w:rsid w:val="249CDDD8"/>
    <w:rsid w:val="24ADC2D6"/>
    <w:rsid w:val="24DC0183"/>
    <w:rsid w:val="24E5D547"/>
    <w:rsid w:val="24F4509C"/>
    <w:rsid w:val="2514B965"/>
    <w:rsid w:val="2521A4A7"/>
    <w:rsid w:val="253C1EBB"/>
    <w:rsid w:val="253FB5B2"/>
    <w:rsid w:val="25587B75"/>
    <w:rsid w:val="25609CF7"/>
    <w:rsid w:val="25633FF4"/>
    <w:rsid w:val="25A92554"/>
    <w:rsid w:val="25B1B555"/>
    <w:rsid w:val="25D5CB1D"/>
    <w:rsid w:val="25DCACCB"/>
    <w:rsid w:val="25F52E54"/>
    <w:rsid w:val="260BB128"/>
    <w:rsid w:val="261E7A7F"/>
    <w:rsid w:val="2638EAD9"/>
    <w:rsid w:val="2649C608"/>
    <w:rsid w:val="2659D94C"/>
    <w:rsid w:val="26631E07"/>
    <w:rsid w:val="266D993B"/>
    <w:rsid w:val="26754735"/>
    <w:rsid w:val="2678DE2F"/>
    <w:rsid w:val="267C5FC9"/>
    <w:rsid w:val="268816D4"/>
    <w:rsid w:val="26A0425E"/>
    <w:rsid w:val="26AABA61"/>
    <w:rsid w:val="26B4176B"/>
    <w:rsid w:val="26CAEAB0"/>
    <w:rsid w:val="2721811D"/>
    <w:rsid w:val="2736F75A"/>
    <w:rsid w:val="273A00EF"/>
    <w:rsid w:val="273BDC6E"/>
    <w:rsid w:val="2750910A"/>
    <w:rsid w:val="2789BC53"/>
    <w:rsid w:val="2793FEAB"/>
    <w:rsid w:val="27B32335"/>
    <w:rsid w:val="27B3EC83"/>
    <w:rsid w:val="27CDE16E"/>
    <w:rsid w:val="280472C6"/>
    <w:rsid w:val="2806F3B1"/>
    <w:rsid w:val="2835920D"/>
    <w:rsid w:val="283C17A6"/>
    <w:rsid w:val="2857A855"/>
    <w:rsid w:val="2874C109"/>
    <w:rsid w:val="288787E5"/>
    <w:rsid w:val="28972CA8"/>
    <w:rsid w:val="28AAF51A"/>
    <w:rsid w:val="28AC61BD"/>
    <w:rsid w:val="28B6DA60"/>
    <w:rsid w:val="28CF13AA"/>
    <w:rsid w:val="28D23E13"/>
    <w:rsid w:val="28D3BB7F"/>
    <w:rsid w:val="28EA3AD4"/>
    <w:rsid w:val="2901DAEA"/>
    <w:rsid w:val="2916582D"/>
    <w:rsid w:val="29281FE4"/>
    <w:rsid w:val="292ABE94"/>
    <w:rsid w:val="293F4AD5"/>
    <w:rsid w:val="295DD43A"/>
    <w:rsid w:val="296031E8"/>
    <w:rsid w:val="296165EB"/>
    <w:rsid w:val="297168B6"/>
    <w:rsid w:val="29975E9A"/>
    <w:rsid w:val="29A1D1D8"/>
    <w:rsid w:val="29B06267"/>
    <w:rsid w:val="29F59492"/>
    <w:rsid w:val="29F9D570"/>
    <w:rsid w:val="2A27DBA2"/>
    <w:rsid w:val="2A2E0F73"/>
    <w:rsid w:val="2A36478A"/>
    <w:rsid w:val="2A41061A"/>
    <w:rsid w:val="2A417252"/>
    <w:rsid w:val="2A7EFF32"/>
    <w:rsid w:val="2A8B7D31"/>
    <w:rsid w:val="2A91CD5D"/>
    <w:rsid w:val="2A9E5B8C"/>
    <w:rsid w:val="2AD34193"/>
    <w:rsid w:val="2AD91F45"/>
    <w:rsid w:val="2B1CA283"/>
    <w:rsid w:val="2B1E93ED"/>
    <w:rsid w:val="2B23C86B"/>
    <w:rsid w:val="2B5275BA"/>
    <w:rsid w:val="2B5BA7EE"/>
    <w:rsid w:val="2B86135A"/>
    <w:rsid w:val="2B909551"/>
    <w:rsid w:val="2B93852D"/>
    <w:rsid w:val="2B954AF0"/>
    <w:rsid w:val="2BAC949C"/>
    <w:rsid w:val="2BB46A65"/>
    <w:rsid w:val="2BB6C82C"/>
    <w:rsid w:val="2BC6195D"/>
    <w:rsid w:val="2BF411F1"/>
    <w:rsid w:val="2C099AEA"/>
    <w:rsid w:val="2C11F220"/>
    <w:rsid w:val="2C6C1F13"/>
    <w:rsid w:val="2CB0B928"/>
    <w:rsid w:val="2CB45077"/>
    <w:rsid w:val="2CEB80F3"/>
    <w:rsid w:val="2CFA6D8E"/>
    <w:rsid w:val="2D06A2ED"/>
    <w:rsid w:val="2D11B971"/>
    <w:rsid w:val="2D329B88"/>
    <w:rsid w:val="2D644F31"/>
    <w:rsid w:val="2D706E04"/>
    <w:rsid w:val="2D8F1C76"/>
    <w:rsid w:val="2D963673"/>
    <w:rsid w:val="2D980961"/>
    <w:rsid w:val="2DAC3D6A"/>
    <w:rsid w:val="2DB0F365"/>
    <w:rsid w:val="2DB56AE2"/>
    <w:rsid w:val="2DF1D958"/>
    <w:rsid w:val="2DFBF048"/>
    <w:rsid w:val="2E0D4B8C"/>
    <w:rsid w:val="2E14EBD4"/>
    <w:rsid w:val="2E1B5FF2"/>
    <w:rsid w:val="2E2DE378"/>
    <w:rsid w:val="2E3FCE4C"/>
    <w:rsid w:val="2E570A42"/>
    <w:rsid w:val="2E65B3B6"/>
    <w:rsid w:val="2E6670F0"/>
    <w:rsid w:val="2E7269E3"/>
    <w:rsid w:val="2E9D7324"/>
    <w:rsid w:val="2EA45237"/>
    <w:rsid w:val="2EC233D8"/>
    <w:rsid w:val="2EDA152E"/>
    <w:rsid w:val="2EE62DB5"/>
    <w:rsid w:val="2EFA4F2A"/>
    <w:rsid w:val="2F170C7A"/>
    <w:rsid w:val="2F2010D2"/>
    <w:rsid w:val="2F423CED"/>
    <w:rsid w:val="2F51760E"/>
    <w:rsid w:val="2F6C2249"/>
    <w:rsid w:val="2F721D56"/>
    <w:rsid w:val="2F79BAFE"/>
    <w:rsid w:val="2F8C1F25"/>
    <w:rsid w:val="2FA50884"/>
    <w:rsid w:val="2FCDDBB4"/>
    <w:rsid w:val="2FD7D735"/>
    <w:rsid w:val="2FEB8282"/>
    <w:rsid w:val="30055A93"/>
    <w:rsid w:val="30103DDE"/>
    <w:rsid w:val="308FD38D"/>
    <w:rsid w:val="30B73C97"/>
    <w:rsid w:val="30E20944"/>
    <w:rsid w:val="30E6B780"/>
    <w:rsid w:val="30EB0B55"/>
    <w:rsid w:val="30F270A3"/>
    <w:rsid w:val="310D9415"/>
    <w:rsid w:val="3162BC4F"/>
    <w:rsid w:val="319056C5"/>
    <w:rsid w:val="319F8152"/>
    <w:rsid w:val="31B0F20E"/>
    <w:rsid w:val="31C784DB"/>
    <w:rsid w:val="31CCEB73"/>
    <w:rsid w:val="31D8F283"/>
    <w:rsid w:val="31DB5AFB"/>
    <w:rsid w:val="31E6D456"/>
    <w:rsid w:val="31EEA311"/>
    <w:rsid w:val="320A689A"/>
    <w:rsid w:val="323D509C"/>
    <w:rsid w:val="32411028"/>
    <w:rsid w:val="32528333"/>
    <w:rsid w:val="3261DEAD"/>
    <w:rsid w:val="3275B7EB"/>
    <w:rsid w:val="3275D16F"/>
    <w:rsid w:val="32849759"/>
    <w:rsid w:val="328C36E4"/>
    <w:rsid w:val="3299265B"/>
    <w:rsid w:val="32A26493"/>
    <w:rsid w:val="32A900F6"/>
    <w:rsid w:val="32AD7CEF"/>
    <w:rsid w:val="32D79892"/>
    <w:rsid w:val="33114E56"/>
    <w:rsid w:val="3317973A"/>
    <w:rsid w:val="33206598"/>
    <w:rsid w:val="332B7283"/>
    <w:rsid w:val="332BA6D8"/>
    <w:rsid w:val="33912EE6"/>
    <w:rsid w:val="33AA7C5A"/>
    <w:rsid w:val="33AE0742"/>
    <w:rsid w:val="33C87113"/>
    <w:rsid w:val="33E165FA"/>
    <w:rsid w:val="33ED182C"/>
    <w:rsid w:val="33FBEA4E"/>
    <w:rsid w:val="34089686"/>
    <w:rsid w:val="3427E007"/>
    <w:rsid w:val="34420FB7"/>
    <w:rsid w:val="3455CE44"/>
    <w:rsid w:val="3458F654"/>
    <w:rsid w:val="345C2D03"/>
    <w:rsid w:val="347E4D62"/>
    <w:rsid w:val="348B60F5"/>
    <w:rsid w:val="34A8100B"/>
    <w:rsid w:val="34BD311A"/>
    <w:rsid w:val="34D886B0"/>
    <w:rsid w:val="34DB853B"/>
    <w:rsid w:val="3513AA42"/>
    <w:rsid w:val="35249B3B"/>
    <w:rsid w:val="353128A9"/>
    <w:rsid w:val="35506851"/>
    <w:rsid w:val="356CCD6A"/>
    <w:rsid w:val="3570E4CA"/>
    <w:rsid w:val="35980CCE"/>
    <w:rsid w:val="35CA0C93"/>
    <w:rsid w:val="35D1BDC2"/>
    <w:rsid w:val="35E01852"/>
    <w:rsid w:val="35F0DA27"/>
    <w:rsid w:val="360113E0"/>
    <w:rsid w:val="360247CF"/>
    <w:rsid w:val="3619124C"/>
    <w:rsid w:val="363538A2"/>
    <w:rsid w:val="3646C7D8"/>
    <w:rsid w:val="36555586"/>
    <w:rsid w:val="366ECF08"/>
    <w:rsid w:val="36724077"/>
    <w:rsid w:val="367721A5"/>
    <w:rsid w:val="3697FE4D"/>
    <w:rsid w:val="36A1EE58"/>
    <w:rsid w:val="36C95276"/>
    <w:rsid w:val="36D36F61"/>
    <w:rsid w:val="3725288C"/>
    <w:rsid w:val="37275897"/>
    <w:rsid w:val="3760D6F7"/>
    <w:rsid w:val="3788E14A"/>
    <w:rsid w:val="37911CC6"/>
    <w:rsid w:val="37A99843"/>
    <w:rsid w:val="37B17BA2"/>
    <w:rsid w:val="37B8E67A"/>
    <w:rsid w:val="37DE23AA"/>
    <w:rsid w:val="37FA6B44"/>
    <w:rsid w:val="382BF830"/>
    <w:rsid w:val="3847FFBA"/>
    <w:rsid w:val="38527C09"/>
    <w:rsid w:val="3864D20F"/>
    <w:rsid w:val="386F132F"/>
    <w:rsid w:val="388AB83B"/>
    <w:rsid w:val="38977296"/>
    <w:rsid w:val="38A55A32"/>
    <w:rsid w:val="38AF6ECE"/>
    <w:rsid w:val="38CE6EA0"/>
    <w:rsid w:val="3913D398"/>
    <w:rsid w:val="39206720"/>
    <w:rsid w:val="3931B809"/>
    <w:rsid w:val="39A68BBF"/>
    <w:rsid w:val="39AC1A89"/>
    <w:rsid w:val="39C87F26"/>
    <w:rsid w:val="39D4EAD1"/>
    <w:rsid w:val="39DA367A"/>
    <w:rsid w:val="39E28D77"/>
    <w:rsid w:val="39E9A46B"/>
    <w:rsid w:val="3A13C094"/>
    <w:rsid w:val="3A1799F2"/>
    <w:rsid w:val="3A3249A3"/>
    <w:rsid w:val="3A36DFB5"/>
    <w:rsid w:val="3A486C2C"/>
    <w:rsid w:val="3A4AA484"/>
    <w:rsid w:val="3A5029FA"/>
    <w:rsid w:val="3A50BE59"/>
    <w:rsid w:val="3A7EC5AB"/>
    <w:rsid w:val="3A87D45A"/>
    <w:rsid w:val="3A93CB0F"/>
    <w:rsid w:val="3A9EA794"/>
    <w:rsid w:val="3AA50279"/>
    <w:rsid w:val="3AC5D696"/>
    <w:rsid w:val="3AE07755"/>
    <w:rsid w:val="3B077096"/>
    <w:rsid w:val="3B085EB5"/>
    <w:rsid w:val="3B2453C3"/>
    <w:rsid w:val="3B6BCCD3"/>
    <w:rsid w:val="3B83D0D8"/>
    <w:rsid w:val="3B8C4B4A"/>
    <w:rsid w:val="3B8F89B7"/>
    <w:rsid w:val="3BC8A7D0"/>
    <w:rsid w:val="3BCE1B3D"/>
    <w:rsid w:val="3BE0F30A"/>
    <w:rsid w:val="3C20BFF5"/>
    <w:rsid w:val="3C3032E3"/>
    <w:rsid w:val="3C467AC9"/>
    <w:rsid w:val="3C51167B"/>
    <w:rsid w:val="3C605BEE"/>
    <w:rsid w:val="3C61F83E"/>
    <w:rsid w:val="3C664437"/>
    <w:rsid w:val="3C6958CB"/>
    <w:rsid w:val="3CA7B87B"/>
    <w:rsid w:val="3CB4F453"/>
    <w:rsid w:val="3CBC0521"/>
    <w:rsid w:val="3CC51DE4"/>
    <w:rsid w:val="3CDB9DEC"/>
    <w:rsid w:val="3CFE8768"/>
    <w:rsid w:val="3D5E560F"/>
    <w:rsid w:val="3D9E38F6"/>
    <w:rsid w:val="3DDB52D8"/>
    <w:rsid w:val="3DFE2B8A"/>
    <w:rsid w:val="3E05292C"/>
    <w:rsid w:val="3E0FA64F"/>
    <w:rsid w:val="3E10CFB2"/>
    <w:rsid w:val="3E11F9EE"/>
    <w:rsid w:val="3E21478A"/>
    <w:rsid w:val="3E2FC4C6"/>
    <w:rsid w:val="3E37696B"/>
    <w:rsid w:val="3E86A3A4"/>
    <w:rsid w:val="3E9A8486"/>
    <w:rsid w:val="3EA6764D"/>
    <w:rsid w:val="3ECBE058"/>
    <w:rsid w:val="3EF40DE5"/>
    <w:rsid w:val="3F0CAB32"/>
    <w:rsid w:val="3F34EEB8"/>
    <w:rsid w:val="3F3985ED"/>
    <w:rsid w:val="3F3B7A96"/>
    <w:rsid w:val="3F438C01"/>
    <w:rsid w:val="3F56CD20"/>
    <w:rsid w:val="3F6DC8A5"/>
    <w:rsid w:val="3F7BCF80"/>
    <w:rsid w:val="3F838B54"/>
    <w:rsid w:val="3FB9C8D7"/>
    <w:rsid w:val="3FC9BC96"/>
    <w:rsid w:val="401E9A11"/>
    <w:rsid w:val="40208CF8"/>
    <w:rsid w:val="404A3DA6"/>
    <w:rsid w:val="406ABEEE"/>
    <w:rsid w:val="40730FDA"/>
    <w:rsid w:val="40BC9B5F"/>
    <w:rsid w:val="40C8FA3C"/>
    <w:rsid w:val="40CF2C64"/>
    <w:rsid w:val="4123C8E8"/>
    <w:rsid w:val="4126F98A"/>
    <w:rsid w:val="4134DFF8"/>
    <w:rsid w:val="41417939"/>
    <w:rsid w:val="414437E3"/>
    <w:rsid w:val="4158DC67"/>
    <w:rsid w:val="417DDCB5"/>
    <w:rsid w:val="417E0CCF"/>
    <w:rsid w:val="41AA2E9A"/>
    <w:rsid w:val="41C4EEB2"/>
    <w:rsid w:val="41D621A3"/>
    <w:rsid w:val="421B232A"/>
    <w:rsid w:val="42229294"/>
    <w:rsid w:val="42278F45"/>
    <w:rsid w:val="4227D630"/>
    <w:rsid w:val="42318F65"/>
    <w:rsid w:val="423C8149"/>
    <w:rsid w:val="424BB241"/>
    <w:rsid w:val="426BE209"/>
    <w:rsid w:val="4273A754"/>
    <w:rsid w:val="42B3816F"/>
    <w:rsid w:val="42E22D43"/>
    <w:rsid w:val="42FB881D"/>
    <w:rsid w:val="4310FA62"/>
    <w:rsid w:val="4311A7C2"/>
    <w:rsid w:val="433256B3"/>
    <w:rsid w:val="434F658C"/>
    <w:rsid w:val="434FAE2C"/>
    <w:rsid w:val="43725FBE"/>
    <w:rsid w:val="43779DB1"/>
    <w:rsid w:val="438D0CBE"/>
    <w:rsid w:val="439A9498"/>
    <w:rsid w:val="43D9FE53"/>
    <w:rsid w:val="43E6D874"/>
    <w:rsid w:val="43F1A2E6"/>
    <w:rsid w:val="44273E53"/>
    <w:rsid w:val="443E1368"/>
    <w:rsid w:val="445BE927"/>
    <w:rsid w:val="44B8F582"/>
    <w:rsid w:val="44D5674C"/>
    <w:rsid w:val="44ECCC30"/>
    <w:rsid w:val="451EBC6C"/>
    <w:rsid w:val="4555ED8E"/>
    <w:rsid w:val="457A31C8"/>
    <w:rsid w:val="45845E6E"/>
    <w:rsid w:val="45A44680"/>
    <w:rsid w:val="45B27FFF"/>
    <w:rsid w:val="45D1821B"/>
    <w:rsid w:val="45DDE1F3"/>
    <w:rsid w:val="45E24D03"/>
    <w:rsid w:val="4603EF49"/>
    <w:rsid w:val="4610233C"/>
    <w:rsid w:val="461A2B54"/>
    <w:rsid w:val="4644E7B5"/>
    <w:rsid w:val="464F71FD"/>
    <w:rsid w:val="4652F6C4"/>
    <w:rsid w:val="4673CE30"/>
    <w:rsid w:val="46874EEE"/>
    <w:rsid w:val="46985FD5"/>
    <w:rsid w:val="46A9B752"/>
    <w:rsid w:val="46B53B45"/>
    <w:rsid w:val="46BE7CE2"/>
    <w:rsid w:val="46C3972B"/>
    <w:rsid w:val="46CDB037"/>
    <w:rsid w:val="46DD92AC"/>
    <w:rsid w:val="46E763C6"/>
    <w:rsid w:val="46E82FDF"/>
    <w:rsid w:val="46EB9C2A"/>
    <w:rsid w:val="47160229"/>
    <w:rsid w:val="47395DE4"/>
    <w:rsid w:val="473B8618"/>
    <w:rsid w:val="4761EBB8"/>
    <w:rsid w:val="4763A2F6"/>
    <w:rsid w:val="47A3E770"/>
    <w:rsid w:val="47D0BE27"/>
    <w:rsid w:val="47D3DB5E"/>
    <w:rsid w:val="4816B2B6"/>
    <w:rsid w:val="481E5B2B"/>
    <w:rsid w:val="481EDB2D"/>
    <w:rsid w:val="48210E34"/>
    <w:rsid w:val="48231F4F"/>
    <w:rsid w:val="4828C15A"/>
    <w:rsid w:val="4864FD55"/>
    <w:rsid w:val="487ED371"/>
    <w:rsid w:val="489192C5"/>
    <w:rsid w:val="48C2BC33"/>
    <w:rsid w:val="48C9823A"/>
    <w:rsid w:val="48D3155D"/>
    <w:rsid w:val="48D69092"/>
    <w:rsid w:val="48DF2A34"/>
    <w:rsid w:val="491DFA05"/>
    <w:rsid w:val="49369582"/>
    <w:rsid w:val="4938BE1A"/>
    <w:rsid w:val="4970AE73"/>
    <w:rsid w:val="4976257D"/>
    <w:rsid w:val="497ED961"/>
    <w:rsid w:val="49A44987"/>
    <w:rsid w:val="49BE4056"/>
    <w:rsid w:val="49CA881F"/>
    <w:rsid w:val="49D7CE1F"/>
    <w:rsid w:val="49DEFCFF"/>
    <w:rsid w:val="4A0424D1"/>
    <w:rsid w:val="4A2A8C5A"/>
    <w:rsid w:val="4A46D368"/>
    <w:rsid w:val="4A5EFA81"/>
    <w:rsid w:val="4A6A338C"/>
    <w:rsid w:val="4A6C2837"/>
    <w:rsid w:val="4A71921A"/>
    <w:rsid w:val="4A76D0B4"/>
    <w:rsid w:val="4AE18217"/>
    <w:rsid w:val="4B015DBE"/>
    <w:rsid w:val="4B19FFFC"/>
    <w:rsid w:val="4B29BAD2"/>
    <w:rsid w:val="4B3D4E02"/>
    <w:rsid w:val="4B61AC03"/>
    <w:rsid w:val="4B73F054"/>
    <w:rsid w:val="4B7D12F3"/>
    <w:rsid w:val="4B861E82"/>
    <w:rsid w:val="4BB605FF"/>
    <w:rsid w:val="4BE30EDE"/>
    <w:rsid w:val="4BE868BA"/>
    <w:rsid w:val="4BED24A8"/>
    <w:rsid w:val="4BF39142"/>
    <w:rsid w:val="4C0AEEB7"/>
    <w:rsid w:val="4C0BC989"/>
    <w:rsid w:val="4C384520"/>
    <w:rsid w:val="4C3C2AAC"/>
    <w:rsid w:val="4C3CD80C"/>
    <w:rsid w:val="4C400105"/>
    <w:rsid w:val="4C4B0574"/>
    <w:rsid w:val="4C958DF5"/>
    <w:rsid w:val="4C9852C9"/>
    <w:rsid w:val="4CBF0487"/>
    <w:rsid w:val="4CC89A28"/>
    <w:rsid w:val="4CD1B9A9"/>
    <w:rsid w:val="4CEA112F"/>
    <w:rsid w:val="4CF261AB"/>
    <w:rsid w:val="4CF26AED"/>
    <w:rsid w:val="4CFFF0B6"/>
    <w:rsid w:val="4D2059D0"/>
    <w:rsid w:val="4D51905D"/>
    <w:rsid w:val="4D5538F1"/>
    <w:rsid w:val="4D56A54A"/>
    <w:rsid w:val="4D5ACB30"/>
    <w:rsid w:val="4D794BBC"/>
    <w:rsid w:val="4D820290"/>
    <w:rsid w:val="4D8CC112"/>
    <w:rsid w:val="4DB9E7ED"/>
    <w:rsid w:val="4DF8A98D"/>
    <w:rsid w:val="4E2F54EC"/>
    <w:rsid w:val="4E5EEB05"/>
    <w:rsid w:val="4E6B923C"/>
    <w:rsid w:val="4E950D48"/>
    <w:rsid w:val="4EB68289"/>
    <w:rsid w:val="4EB8A3EA"/>
    <w:rsid w:val="4EBBCD06"/>
    <w:rsid w:val="4ED2606C"/>
    <w:rsid w:val="4EFFE892"/>
    <w:rsid w:val="4F2690DE"/>
    <w:rsid w:val="4F37B876"/>
    <w:rsid w:val="4F8E0DE1"/>
    <w:rsid w:val="4F904B44"/>
    <w:rsid w:val="4FA2A540"/>
    <w:rsid w:val="4FA33BBD"/>
    <w:rsid w:val="4FA9A555"/>
    <w:rsid w:val="4FAF06C9"/>
    <w:rsid w:val="4FE0B642"/>
    <w:rsid w:val="4FEF1397"/>
    <w:rsid w:val="4FFABB66"/>
    <w:rsid w:val="4FFC804D"/>
    <w:rsid w:val="500A9DC2"/>
    <w:rsid w:val="5067DE7E"/>
    <w:rsid w:val="50891A92"/>
    <w:rsid w:val="50B91B4A"/>
    <w:rsid w:val="50D1B20A"/>
    <w:rsid w:val="50E549CB"/>
    <w:rsid w:val="50EADD14"/>
    <w:rsid w:val="511162C0"/>
    <w:rsid w:val="511F21D1"/>
    <w:rsid w:val="5133836A"/>
    <w:rsid w:val="51530189"/>
    <w:rsid w:val="5167132A"/>
    <w:rsid w:val="51851702"/>
    <w:rsid w:val="5190F504"/>
    <w:rsid w:val="5195C5C5"/>
    <w:rsid w:val="51E1A3CC"/>
    <w:rsid w:val="51EB7B3D"/>
    <w:rsid w:val="51F3CAF3"/>
    <w:rsid w:val="520046A2"/>
    <w:rsid w:val="523717ED"/>
    <w:rsid w:val="52DA2CF0"/>
    <w:rsid w:val="52DFA060"/>
    <w:rsid w:val="52E2D49D"/>
    <w:rsid w:val="52E330FC"/>
    <w:rsid w:val="532A4B4B"/>
    <w:rsid w:val="53373797"/>
    <w:rsid w:val="53A69588"/>
    <w:rsid w:val="53ACBE71"/>
    <w:rsid w:val="53B2C103"/>
    <w:rsid w:val="53D81E18"/>
    <w:rsid w:val="54056EDA"/>
    <w:rsid w:val="541590D3"/>
    <w:rsid w:val="54258F70"/>
    <w:rsid w:val="54423639"/>
    <w:rsid w:val="5460CCD8"/>
    <w:rsid w:val="547FE5CD"/>
    <w:rsid w:val="54A86622"/>
    <w:rsid w:val="54A9E45A"/>
    <w:rsid w:val="54ABBF99"/>
    <w:rsid w:val="54AF568E"/>
    <w:rsid w:val="54BD75DC"/>
    <w:rsid w:val="551A9FC9"/>
    <w:rsid w:val="551CEEAE"/>
    <w:rsid w:val="5523C06A"/>
    <w:rsid w:val="5529222B"/>
    <w:rsid w:val="552EAF8F"/>
    <w:rsid w:val="556DA06D"/>
    <w:rsid w:val="55B4E6F8"/>
    <w:rsid w:val="55D0DED5"/>
    <w:rsid w:val="55D22635"/>
    <w:rsid w:val="55D56675"/>
    <w:rsid w:val="55ED4DD4"/>
    <w:rsid w:val="55F12607"/>
    <w:rsid w:val="5600DB83"/>
    <w:rsid w:val="5600FDD4"/>
    <w:rsid w:val="560F243D"/>
    <w:rsid w:val="56454A2D"/>
    <w:rsid w:val="565D16B0"/>
    <w:rsid w:val="56789C5F"/>
    <w:rsid w:val="56991ECE"/>
    <w:rsid w:val="56AEF754"/>
    <w:rsid w:val="56B809DC"/>
    <w:rsid w:val="56BF56D2"/>
    <w:rsid w:val="56EA61C5"/>
    <w:rsid w:val="56ED10C9"/>
    <w:rsid w:val="571E40E5"/>
    <w:rsid w:val="5736AF06"/>
    <w:rsid w:val="573BBADC"/>
    <w:rsid w:val="57456CB4"/>
    <w:rsid w:val="574BC81B"/>
    <w:rsid w:val="578B8624"/>
    <w:rsid w:val="579FBD3B"/>
    <w:rsid w:val="57DF52AD"/>
    <w:rsid w:val="57ECA4EE"/>
    <w:rsid w:val="58040A5E"/>
    <w:rsid w:val="5806FB27"/>
    <w:rsid w:val="5823CD08"/>
    <w:rsid w:val="5835583F"/>
    <w:rsid w:val="5838C388"/>
    <w:rsid w:val="584215F0"/>
    <w:rsid w:val="5850BC02"/>
    <w:rsid w:val="589C8900"/>
    <w:rsid w:val="58B03081"/>
    <w:rsid w:val="58B59B7E"/>
    <w:rsid w:val="58D5502D"/>
    <w:rsid w:val="58D774B1"/>
    <w:rsid w:val="58D8DFFD"/>
    <w:rsid w:val="5907D96A"/>
    <w:rsid w:val="59087F97"/>
    <w:rsid w:val="591CA32F"/>
    <w:rsid w:val="59215C54"/>
    <w:rsid w:val="593C6B24"/>
    <w:rsid w:val="598F1115"/>
    <w:rsid w:val="599135AC"/>
    <w:rsid w:val="59A525BE"/>
    <w:rsid w:val="59A5ED1D"/>
    <w:rsid w:val="59A9838A"/>
    <w:rsid w:val="59ADC378"/>
    <w:rsid w:val="59ADF975"/>
    <w:rsid w:val="59B37A93"/>
    <w:rsid w:val="59BA153F"/>
    <w:rsid w:val="59BEA920"/>
    <w:rsid w:val="59E62448"/>
    <w:rsid w:val="59EFE580"/>
    <w:rsid w:val="59F303A8"/>
    <w:rsid w:val="59FCE2C2"/>
    <w:rsid w:val="59FFBC8B"/>
    <w:rsid w:val="5A143AC5"/>
    <w:rsid w:val="5A389A33"/>
    <w:rsid w:val="5A3DFED5"/>
    <w:rsid w:val="5A82406D"/>
    <w:rsid w:val="5A854F84"/>
    <w:rsid w:val="5AA35FED"/>
    <w:rsid w:val="5AD87233"/>
    <w:rsid w:val="5AD9E754"/>
    <w:rsid w:val="5B017203"/>
    <w:rsid w:val="5B3C225E"/>
    <w:rsid w:val="5B4F2CFC"/>
    <w:rsid w:val="5B668FB4"/>
    <w:rsid w:val="5B8FCDB4"/>
    <w:rsid w:val="5BD095D8"/>
    <w:rsid w:val="5BEDD9F7"/>
    <w:rsid w:val="5BFA8919"/>
    <w:rsid w:val="5BFB2AD5"/>
    <w:rsid w:val="5BFC3631"/>
    <w:rsid w:val="5C18CBB1"/>
    <w:rsid w:val="5C2E8CEF"/>
    <w:rsid w:val="5C4A6603"/>
    <w:rsid w:val="5C4B4C9B"/>
    <w:rsid w:val="5C59B3F7"/>
    <w:rsid w:val="5C6661BC"/>
    <w:rsid w:val="5C6DD5EB"/>
    <w:rsid w:val="5C736915"/>
    <w:rsid w:val="5CA33865"/>
    <w:rsid w:val="5CB2BF95"/>
    <w:rsid w:val="5CC20DBA"/>
    <w:rsid w:val="5CD8C348"/>
    <w:rsid w:val="5D0D6778"/>
    <w:rsid w:val="5D10D821"/>
    <w:rsid w:val="5D2B7D3C"/>
    <w:rsid w:val="5D360A4D"/>
    <w:rsid w:val="5D734ED7"/>
    <w:rsid w:val="5D788D0E"/>
    <w:rsid w:val="5D9328C3"/>
    <w:rsid w:val="5D97BB1E"/>
    <w:rsid w:val="5DC02048"/>
    <w:rsid w:val="5DC2C85D"/>
    <w:rsid w:val="5DCF4A33"/>
    <w:rsid w:val="5DE3CFBC"/>
    <w:rsid w:val="5DEA7164"/>
    <w:rsid w:val="5DEFB523"/>
    <w:rsid w:val="5E020BFF"/>
    <w:rsid w:val="5E0CDA55"/>
    <w:rsid w:val="5E225A7D"/>
    <w:rsid w:val="5E5D997A"/>
    <w:rsid w:val="5E7DB895"/>
    <w:rsid w:val="5E86EBB6"/>
    <w:rsid w:val="5E897FB3"/>
    <w:rsid w:val="5E8D201E"/>
    <w:rsid w:val="5E8F957A"/>
    <w:rsid w:val="5EB3CB40"/>
    <w:rsid w:val="5EBE6926"/>
    <w:rsid w:val="5ED64971"/>
    <w:rsid w:val="5EDDC7F9"/>
    <w:rsid w:val="5EE8CC5A"/>
    <w:rsid w:val="5EF34016"/>
    <w:rsid w:val="5F3DEC2D"/>
    <w:rsid w:val="5F7742FE"/>
    <w:rsid w:val="5F86908F"/>
    <w:rsid w:val="5F8FAABF"/>
    <w:rsid w:val="5FA16647"/>
    <w:rsid w:val="5FA2C222"/>
    <w:rsid w:val="5FD09BE9"/>
    <w:rsid w:val="5FE9153B"/>
    <w:rsid w:val="5FF57A8B"/>
    <w:rsid w:val="6016454B"/>
    <w:rsid w:val="6018666D"/>
    <w:rsid w:val="601D5825"/>
    <w:rsid w:val="602DF643"/>
    <w:rsid w:val="60552B47"/>
    <w:rsid w:val="607ACF84"/>
    <w:rsid w:val="6111B82C"/>
    <w:rsid w:val="6130007B"/>
    <w:rsid w:val="6134F2AD"/>
    <w:rsid w:val="614556D2"/>
    <w:rsid w:val="614B320D"/>
    <w:rsid w:val="6178C0A8"/>
    <w:rsid w:val="6195076B"/>
    <w:rsid w:val="6198A34F"/>
    <w:rsid w:val="61B3AB5B"/>
    <w:rsid w:val="61CCA47E"/>
    <w:rsid w:val="61D1642C"/>
    <w:rsid w:val="61DADF7E"/>
    <w:rsid w:val="62021061"/>
    <w:rsid w:val="622A8CC9"/>
    <w:rsid w:val="62381CAB"/>
    <w:rsid w:val="626E876C"/>
    <w:rsid w:val="62989594"/>
    <w:rsid w:val="62A8EA1B"/>
    <w:rsid w:val="62AAE114"/>
    <w:rsid w:val="62EF501A"/>
    <w:rsid w:val="62FC3726"/>
    <w:rsid w:val="630F6A80"/>
    <w:rsid w:val="631191D4"/>
    <w:rsid w:val="6317A4D7"/>
    <w:rsid w:val="632B59A7"/>
    <w:rsid w:val="633F99FA"/>
    <w:rsid w:val="635D81D3"/>
    <w:rsid w:val="6367C805"/>
    <w:rsid w:val="63691DF3"/>
    <w:rsid w:val="636BC364"/>
    <w:rsid w:val="637AE4C8"/>
    <w:rsid w:val="637FCB5A"/>
    <w:rsid w:val="6392C7A5"/>
    <w:rsid w:val="63A2C1A5"/>
    <w:rsid w:val="63A39DCA"/>
    <w:rsid w:val="63D14BE4"/>
    <w:rsid w:val="63E898E6"/>
    <w:rsid w:val="64015C2A"/>
    <w:rsid w:val="6429D79D"/>
    <w:rsid w:val="6452D7D5"/>
    <w:rsid w:val="64569056"/>
    <w:rsid w:val="646659CA"/>
    <w:rsid w:val="646FAD39"/>
    <w:rsid w:val="64757A2F"/>
    <w:rsid w:val="64763A37"/>
    <w:rsid w:val="648E3C2B"/>
    <w:rsid w:val="648F4565"/>
    <w:rsid w:val="649746E7"/>
    <w:rsid w:val="64D886AB"/>
    <w:rsid w:val="64ED47F2"/>
    <w:rsid w:val="64F824F2"/>
    <w:rsid w:val="652D5807"/>
    <w:rsid w:val="65313B72"/>
    <w:rsid w:val="6541DAA7"/>
    <w:rsid w:val="6564F488"/>
    <w:rsid w:val="65B2414C"/>
    <w:rsid w:val="65D92A87"/>
    <w:rsid w:val="65E2DF52"/>
    <w:rsid w:val="65E44194"/>
    <w:rsid w:val="65E51BCD"/>
    <w:rsid w:val="65F06F36"/>
    <w:rsid w:val="661BB1BA"/>
    <w:rsid w:val="6634B257"/>
    <w:rsid w:val="664E0646"/>
    <w:rsid w:val="66503187"/>
    <w:rsid w:val="666AF3AD"/>
    <w:rsid w:val="66863023"/>
    <w:rsid w:val="6691FD9B"/>
    <w:rsid w:val="669DDF4A"/>
    <w:rsid w:val="66C1AA44"/>
    <w:rsid w:val="67002D15"/>
    <w:rsid w:val="672261BC"/>
    <w:rsid w:val="67281566"/>
    <w:rsid w:val="672C5B81"/>
    <w:rsid w:val="673EDD20"/>
    <w:rsid w:val="67768E71"/>
    <w:rsid w:val="677F49E0"/>
    <w:rsid w:val="67858984"/>
    <w:rsid w:val="679D216F"/>
    <w:rsid w:val="67B0A514"/>
    <w:rsid w:val="67B36C05"/>
    <w:rsid w:val="67D2F54F"/>
    <w:rsid w:val="67E44A26"/>
    <w:rsid w:val="68256ACA"/>
    <w:rsid w:val="68376A3B"/>
    <w:rsid w:val="6849241A"/>
    <w:rsid w:val="68762265"/>
    <w:rsid w:val="68AB6040"/>
    <w:rsid w:val="68AD395F"/>
    <w:rsid w:val="68CBBF97"/>
    <w:rsid w:val="68DFA0BF"/>
    <w:rsid w:val="68F4800D"/>
    <w:rsid w:val="6915A998"/>
    <w:rsid w:val="69240D45"/>
    <w:rsid w:val="6930FE41"/>
    <w:rsid w:val="6934A4B6"/>
    <w:rsid w:val="695DE070"/>
    <w:rsid w:val="695ECD8A"/>
    <w:rsid w:val="6988B75B"/>
    <w:rsid w:val="698E59D8"/>
    <w:rsid w:val="69915847"/>
    <w:rsid w:val="69BADECA"/>
    <w:rsid w:val="69CB9812"/>
    <w:rsid w:val="69D4BB9F"/>
    <w:rsid w:val="69D77133"/>
    <w:rsid w:val="69DE97DA"/>
    <w:rsid w:val="69E0DB80"/>
    <w:rsid w:val="6A226237"/>
    <w:rsid w:val="6A3660CA"/>
    <w:rsid w:val="6A3F00AB"/>
    <w:rsid w:val="6A489414"/>
    <w:rsid w:val="6A577C31"/>
    <w:rsid w:val="6A5E9947"/>
    <w:rsid w:val="6A67DAE0"/>
    <w:rsid w:val="6A71ABCB"/>
    <w:rsid w:val="6A96FD80"/>
    <w:rsid w:val="6A9BC57A"/>
    <w:rsid w:val="6AB90A7C"/>
    <w:rsid w:val="6AE4BBB3"/>
    <w:rsid w:val="6AFBEAF0"/>
    <w:rsid w:val="6B035272"/>
    <w:rsid w:val="6B085D9F"/>
    <w:rsid w:val="6B2E0245"/>
    <w:rsid w:val="6B2ED360"/>
    <w:rsid w:val="6B668565"/>
    <w:rsid w:val="6B918CC7"/>
    <w:rsid w:val="6BA3B925"/>
    <w:rsid w:val="6BCAA5B4"/>
    <w:rsid w:val="6BD33D95"/>
    <w:rsid w:val="6C0D900A"/>
    <w:rsid w:val="6C15E370"/>
    <w:rsid w:val="6C194C7D"/>
    <w:rsid w:val="6C23497B"/>
    <w:rsid w:val="6C5D0ECD"/>
    <w:rsid w:val="6C71C5F8"/>
    <w:rsid w:val="6C869787"/>
    <w:rsid w:val="6C881411"/>
    <w:rsid w:val="6CBC276D"/>
    <w:rsid w:val="6CC528F4"/>
    <w:rsid w:val="6CD6897E"/>
    <w:rsid w:val="6CE41501"/>
    <w:rsid w:val="6CE60A19"/>
    <w:rsid w:val="6D03F2AC"/>
    <w:rsid w:val="6D0A0A03"/>
    <w:rsid w:val="6D1F3618"/>
    <w:rsid w:val="6D52DC9D"/>
    <w:rsid w:val="6D5F1B09"/>
    <w:rsid w:val="6D5FE737"/>
    <w:rsid w:val="6D689D5B"/>
    <w:rsid w:val="6D77DB2D"/>
    <w:rsid w:val="6D8E4C45"/>
    <w:rsid w:val="6DC8461C"/>
    <w:rsid w:val="6DCB3D37"/>
    <w:rsid w:val="6DE2FCF2"/>
    <w:rsid w:val="6DF5AD68"/>
    <w:rsid w:val="6DF6848E"/>
    <w:rsid w:val="6E2630F8"/>
    <w:rsid w:val="6E56B647"/>
    <w:rsid w:val="6E695134"/>
    <w:rsid w:val="6E7DAE69"/>
    <w:rsid w:val="6E803C87"/>
    <w:rsid w:val="6E83621C"/>
    <w:rsid w:val="6EA629B4"/>
    <w:rsid w:val="6EA70E4C"/>
    <w:rsid w:val="6EB1F8CF"/>
    <w:rsid w:val="6EB6890B"/>
    <w:rsid w:val="6F0F084E"/>
    <w:rsid w:val="6F451CEE"/>
    <w:rsid w:val="6F4A46B1"/>
    <w:rsid w:val="6F7FE8CA"/>
    <w:rsid w:val="6F9B1132"/>
    <w:rsid w:val="6FA27FB9"/>
    <w:rsid w:val="6FB82CD6"/>
    <w:rsid w:val="6FB88487"/>
    <w:rsid w:val="6FC82C07"/>
    <w:rsid w:val="70002F9D"/>
    <w:rsid w:val="7018614B"/>
    <w:rsid w:val="7026D926"/>
    <w:rsid w:val="702816CD"/>
    <w:rsid w:val="70385ACB"/>
    <w:rsid w:val="7038DFE1"/>
    <w:rsid w:val="7042305B"/>
    <w:rsid w:val="70638B62"/>
    <w:rsid w:val="70652A12"/>
    <w:rsid w:val="70984C93"/>
    <w:rsid w:val="70A0B09F"/>
    <w:rsid w:val="70A199E4"/>
    <w:rsid w:val="70D2C2F2"/>
    <w:rsid w:val="70F6DD79"/>
    <w:rsid w:val="70F8FA9A"/>
    <w:rsid w:val="7117965D"/>
    <w:rsid w:val="71187A6F"/>
    <w:rsid w:val="71516FF5"/>
    <w:rsid w:val="715948B3"/>
    <w:rsid w:val="7160624E"/>
    <w:rsid w:val="7163195B"/>
    <w:rsid w:val="7166038F"/>
    <w:rsid w:val="71726C57"/>
    <w:rsid w:val="718C393B"/>
    <w:rsid w:val="718FFBAC"/>
    <w:rsid w:val="71B1C274"/>
    <w:rsid w:val="71CBB41F"/>
    <w:rsid w:val="71CE0E0A"/>
    <w:rsid w:val="71D3E6F4"/>
    <w:rsid w:val="71DC9DC8"/>
    <w:rsid w:val="7205BF53"/>
    <w:rsid w:val="721668C3"/>
    <w:rsid w:val="721D2088"/>
    <w:rsid w:val="722803CB"/>
    <w:rsid w:val="7243F648"/>
    <w:rsid w:val="7245FC36"/>
    <w:rsid w:val="7261BD68"/>
    <w:rsid w:val="7269AD6F"/>
    <w:rsid w:val="728AB235"/>
    <w:rsid w:val="72C70A55"/>
    <w:rsid w:val="72EC01FC"/>
    <w:rsid w:val="72EFCDB1"/>
    <w:rsid w:val="733C2262"/>
    <w:rsid w:val="7345AF1F"/>
    <w:rsid w:val="734D92D5"/>
    <w:rsid w:val="73652012"/>
    <w:rsid w:val="736961C3"/>
    <w:rsid w:val="736A2B11"/>
    <w:rsid w:val="736FB755"/>
    <w:rsid w:val="736FFB8D"/>
    <w:rsid w:val="737217B5"/>
    <w:rsid w:val="739FC88C"/>
    <w:rsid w:val="73A0203D"/>
    <w:rsid w:val="73B01F04"/>
    <w:rsid w:val="73B7FF49"/>
    <w:rsid w:val="73C3F96B"/>
    <w:rsid w:val="73DCBC26"/>
    <w:rsid w:val="73DF8945"/>
    <w:rsid w:val="73F1E874"/>
    <w:rsid w:val="740D9335"/>
    <w:rsid w:val="7433706E"/>
    <w:rsid w:val="7433CE1D"/>
    <w:rsid w:val="747EF0DE"/>
    <w:rsid w:val="74BC49BE"/>
    <w:rsid w:val="74C18659"/>
    <w:rsid w:val="74DA457D"/>
    <w:rsid w:val="74DF88E3"/>
    <w:rsid w:val="75021A80"/>
    <w:rsid w:val="750C5104"/>
    <w:rsid w:val="75137E2B"/>
    <w:rsid w:val="751AE3DC"/>
    <w:rsid w:val="755E194C"/>
    <w:rsid w:val="757014C7"/>
    <w:rsid w:val="75C263BC"/>
    <w:rsid w:val="75C79B10"/>
    <w:rsid w:val="75D7376B"/>
    <w:rsid w:val="75E700FB"/>
    <w:rsid w:val="75F791F5"/>
    <w:rsid w:val="7609E560"/>
    <w:rsid w:val="76150D74"/>
    <w:rsid w:val="763B297F"/>
    <w:rsid w:val="763BF7F9"/>
    <w:rsid w:val="764AC1F7"/>
    <w:rsid w:val="765E8F09"/>
    <w:rsid w:val="76684D8F"/>
    <w:rsid w:val="766EB213"/>
    <w:rsid w:val="769995B5"/>
    <w:rsid w:val="76A82165"/>
    <w:rsid w:val="76C92076"/>
    <w:rsid w:val="76C96C99"/>
    <w:rsid w:val="76D17CE7"/>
    <w:rsid w:val="76E9A05D"/>
    <w:rsid w:val="76F00C2B"/>
    <w:rsid w:val="770961CC"/>
    <w:rsid w:val="7722932C"/>
    <w:rsid w:val="772B7F86"/>
    <w:rsid w:val="777F3E50"/>
    <w:rsid w:val="7783AD82"/>
    <w:rsid w:val="77A42AF2"/>
    <w:rsid w:val="77AC4268"/>
    <w:rsid w:val="77B199BD"/>
    <w:rsid w:val="77D2CDBA"/>
    <w:rsid w:val="78028A13"/>
    <w:rsid w:val="7807B192"/>
    <w:rsid w:val="7814F539"/>
    <w:rsid w:val="7826E3E8"/>
    <w:rsid w:val="787339AF"/>
    <w:rsid w:val="7892B1A1"/>
    <w:rsid w:val="78A0D676"/>
    <w:rsid w:val="78A87DE4"/>
    <w:rsid w:val="78BD66FE"/>
    <w:rsid w:val="78C64460"/>
    <w:rsid w:val="78C97841"/>
    <w:rsid w:val="78D57B66"/>
    <w:rsid w:val="790E5201"/>
    <w:rsid w:val="791155C6"/>
    <w:rsid w:val="7956F8A1"/>
    <w:rsid w:val="7963A09C"/>
    <w:rsid w:val="79670754"/>
    <w:rsid w:val="7978996E"/>
    <w:rsid w:val="799346CF"/>
    <w:rsid w:val="79A6BB48"/>
    <w:rsid w:val="79A9A3F6"/>
    <w:rsid w:val="79B816C9"/>
    <w:rsid w:val="79E7AFAD"/>
    <w:rsid w:val="7A28FBD4"/>
    <w:rsid w:val="7A424495"/>
    <w:rsid w:val="7A469D8F"/>
    <w:rsid w:val="7A48D86D"/>
    <w:rsid w:val="7A7A72D5"/>
    <w:rsid w:val="7A865DCA"/>
    <w:rsid w:val="7A9B83F7"/>
    <w:rsid w:val="7AB1B862"/>
    <w:rsid w:val="7AC5C405"/>
    <w:rsid w:val="7ADCBF0B"/>
    <w:rsid w:val="7B360DAA"/>
    <w:rsid w:val="7B50FB74"/>
    <w:rsid w:val="7B596E08"/>
    <w:rsid w:val="7B61A0DD"/>
    <w:rsid w:val="7B9C0160"/>
    <w:rsid w:val="7BA60EBA"/>
    <w:rsid w:val="7BA6208E"/>
    <w:rsid w:val="7BB09A36"/>
    <w:rsid w:val="7BD3FF5E"/>
    <w:rsid w:val="7BFA8D0D"/>
    <w:rsid w:val="7BFC421B"/>
    <w:rsid w:val="7C0F2B16"/>
    <w:rsid w:val="7C13CA42"/>
    <w:rsid w:val="7C22C348"/>
    <w:rsid w:val="7C5749D3"/>
    <w:rsid w:val="7C834554"/>
    <w:rsid w:val="7CB925A5"/>
    <w:rsid w:val="7CC48E9D"/>
    <w:rsid w:val="7CF76991"/>
    <w:rsid w:val="7D0C630E"/>
    <w:rsid w:val="7D3061BB"/>
    <w:rsid w:val="7D3704CB"/>
    <w:rsid w:val="7D4E256C"/>
    <w:rsid w:val="7D97AAD8"/>
    <w:rsid w:val="7DB1C343"/>
    <w:rsid w:val="7DB48388"/>
    <w:rsid w:val="7DC69CDA"/>
    <w:rsid w:val="7DC798F9"/>
    <w:rsid w:val="7DC90A47"/>
    <w:rsid w:val="7DE0FBF4"/>
    <w:rsid w:val="7E025B8F"/>
    <w:rsid w:val="7E034AB7"/>
    <w:rsid w:val="7E2671E0"/>
    <w:rsid w:val="7E33440D"/>
    <w:rsid w:val="7E38CEB4"/>
    <w:rsid w:val="7E55A0C5"/>
    <w:rsid w:val="7E5C2CA3"/>
    <w:rsid w:val="7E76710D"/>
    <w:rsid w:val="7E8EAC41"/>
    <w:rsid w:val="7E9C7EC6"/>
    <w:rsid w:val="7EE2584E"/>
    <w:rsid w:val="7EE9F5CD"/>
    <w:rsid w:val="7EF65939"/>
    <w:rsid w:val="7F13014F"/>
    <w:rsid w:val="7F15C050"/>
    <w:rsid w:val="7F2D7123"/>
    <w:rsid w:val="7F74ED2D"/>
    <w:rsid w:val="7F885048"/>
    <w:rsid w:val="7FA2501B"/>
    <w:rsid w:val="7FC8D9F4"/>
    <w:rsid w:val="7FCF146E"/>
    <w:rsid w:val="7FF185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52A9D"/>
  <w15:docId w15:val="{2FDA0526-ED1D-4BD5-9083-FFC6509DB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C89"/>
    <w:rPr>
      <w:lang w:val="en-GB"/>
    </w:rPr>
  </w:style>
  <w:style w:type="paragraph" w:styleId="Heading1">
    <w:name w:val="heading 1"/>
    <w:basedOn w:val="Normal"/>
    <w:next w:val="Normal"/>
    <w:link w:val="Heading1Char1"/>
    <w:uiPriority w:val="9"/>
    <w:qFormat/>
    <w:pPr>
      <w:keepNext/>
      <w:keepLines/>
      <w:spacing w:before="240" w:after="120" w:line="240" w:lineRule="auto"/>
      <w:jc w:val="both"/>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1"/>
    <w:uiPriority w:val="9"/>
    <w:unhideWhenUsed/>
    <w:qFormat/>
    <w:pPr>
      <w:keepNext/>
      <w:keepLines/>
      <w:spacing w:before="40" w:after="120" w:line="240" w:lineRule="auto"/>
      <w:jc w:val="both"/>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1"/>
    <w:uiPriority w:val="9"/>
    <w:unhideWhenUsed/>
    <w:qFormat/>
    <w:pPr>
      <w:keepNext/>
      <w:keepLines/>
      <w:spacing w:before="40" w:after="120" w:line="240" w:lineRule="auto"/>
      <w:jc w:val="both"/>
      <w:outlineLvl w:val="2"/>
    </w:pPr>
    <w:rPr>
      <w:rFonts w:asciiTheme="majorHAnsi" w:eastAsiaTheme="majorEastAsia" w:hAnsiTheme="majorHAnsi" w:cstheme="majorBidi"/>
      <w:color w:val="1F3763" w:themeColor="accent1" w:themeShade="7F"/>
      <w:lang w:val="en-US"/>
    </w:rPr>
  </w:style>
  <w:style w:type="paragraph" w:styleId="Heading4">
    <w:name w:val="heading 4"/>
    <w:basedOn w:val="Normal"/>
    <w:next w:val="Normal"/>
    <w:link w:val="Heading4Char1"/>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1"/>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1"/>
    <w:uiPriority w:val="9"/>
    <w:unhideWhenUsed/>
    <w:qFormat/>
    <w:pPr>
      <w:keepNext/>
      <w:keepLines/>
      <w:spacing w:before="320" w:after="200"/>
      <w:outlineLvl w:val="5"/>
    </w:pPr>
    <w:rPr>
      <w:rFonts w:ascii="Arial" w:eastAsia="Arial" w:hAnsi="Arial" w:cs="Arial"/>
      <w:b/>
      <w:bCs/>
    </w:rPr>
  </w:style>
  <w:style w:type="paragraph" w:styleId="Heading7">
    <w:name w:val="heading 7"/>
    <w:basedOn w:val="Normal"/>
    <w:next w:val="Normal"/>
    <w:link w:val="Heading7Char1"/>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1"/>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Heading9Char1"/>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1">
    <w:name w:val="Heading 4 Char1"/>
    <w:basedOn w:val="DefaultParagraphFont"/>
    <w:link w:val="Heading4"/>
    <w:uiPriority w:val="9"/>
    <w:rPr>
      <w:rFonts w:ascii="Arial" w:eastAsia="Arial" w:hAnsi="Arial" w:cs="Arial"/>
      <w:b/>
      <w:bCs/>
      <w:sz w:val="26"/>
      <w:szCs w:val="26"/>
    </w:rPr>
  </w:style>
  <w:style w:type="character" w:customStyle="1" w:styleId="Heading5Char1">
    <w:name w:val="Heading 5 Char1"/>
    <w:basedOn w:val="DefaultParagraphFont"/>
    <w:link w:val="Heading5"/>
    <w:uiPriority w:val="9"/>
    <w:rPr>
      <w:rFonts w:ascii="Arial" w:eastAsia="Arial" w:hAnsi="Arial" w:cs="Arial"/>
      <w:b/>
      <w:bCs/>
      <w:sz w:val="24"/>
      <w:szCs w:val="24"/>
    </w:rPr>
  </w:style>
  <w:style w:type="character" w:customStyle="1" w:styleId="Heading6Char1">
    <w:name w:val="Heading 6 Char1"/>
    <w:basedOn w:val="DefaultParagraphFont"/>
    <w:link w:val="Heading6"/>
    <w:uiPriority w:val="9"/>
    <w:rPr>
      <w:rFonts w:ascii="Arial" w:eastAsia="Arial" w:hAnsi="Arial" w:cs="Arial"/>
      <w:b/>
      <w:bCs/>
      <w:sz w:val="22"/>
      <w:szCs w:val="22"/>
    </w:rPr>
  </w:style>
  <w:style w:type="character" w:customStyle="1" w:styleId="Heading7Char1">
    <w:name w:val="Heading 7 Char1"/>
    <w:basedOn w:val="DefaultParagraphFont"/>
    <w:link w:val="Heading7"/>
    <w:uiPriority w:val="9"/>
    <w:rPr>
      <w:rFonts w:ascii="Arial" w:eastAsia="Arial" w:hAnsi="Arial" w:cs="Arial"/>
      <w:b/>
      <w:bCs/>
      <w:i/>
      <w:iCs/>
      <w:sz w:val="22"/>
      <w:szCs w:val="22"/>
    </w:rPr>
  </w:style>
  <w:style w:type="character" w:customStyle="1" w:styleId="Heading8Char1">
    <w:name w:val="Heading 8 Char1"/>
    <w:basedOn w:val="DefaultParagraphFont"/>
    <w:link w:val="Heading8"/>
    <w:uiPriority w:val="9"/>
    <w:rPr>
      <w:rFonts w:ascii="Arial" w:eastAsia="Arial" w:hAnsi="Arial" w:cs="Arial"/>
      <w:i/>
      <w:iCs/>
      <w:sz w:val="22"/>
      <w:szCs w:val="22"/>
    </w:rPr>
  </w:style>
  <w:style w:type="character" w:customStyle="1" w:styleId="Heading9Char1">
    <w:name w:val="Heading 9 Char1"/>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1"/>
    <w:uiPriority w:val="10"/>
    <w:qFormat/>
    <w:pPr>
      <w:spacing w:before="300" w:after="200"/>
      <w:contextualSpacing/>
    </w:pPr>
    <w:rPr>
      <w:sz w:val="48"/>
      <w:szCs w:val="48"/>
    </w:rPr>
  </w:style>
  <w:style w:type="character" w:customStyle="1" w:styleId="TitleChar1">
    <w:name w:val="Title Char1"/>
    <w:basedOn w:val="DefaultParagraphFont"/>
    <w:link w:val="Title"/>
    <w:uiPriority w:val="10"/>
    <w:rPr>
      <w:sz w:val="48"/>
      <w:szCs w:val="48"/>
    </w:rPr>
  </w:style>
  <w:style w:type="paragraph" w:styleId="Subtitle">
    <w:name w:val="Subtitle"/>
    <w:basedOn w:val="Normal"/>
    <w:next w:val="Normal"/>
    <w:link w:val="SubtitleChar1"/>
    <w:uiPriority w:val="11"/>
    <w:qFormat/>
    <w:pPr>
      <w:spacing w:before="200" w:after="200"/>
    </w:pPr>
    <w:rPr>
      <w:sz w:val="24"/>
      <w:szCs w:val="24"/>
    </w:rPr>
  </w:style>
  <w:style w:type="character" w:customStyle="1" w:styleId="SubtitleChar1">
    <w:name w:val="Subtitle Char1"/>
    <w:basedOn w:val="DefaultParagraphFont"/>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uiPriority w:val="35"/>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1">
    <w:name w:val="Grid Table 5 Dark - Accent 2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sz w:val="18"/>
    </w:rPr>
  </w:style>
  <w:style w:type="paragraph" w:styleId="EndnoteText">
    <w:name w:val="endnote text"/>
    <w:basedOn w:val="Normal"/>
    <w:link w:val="EndnoteTextChar1"/>
    <w:uiPriority w:val="99"/>
    <w:semiHidden/>
    <w:unhideWhenUsed/>
    <w:pPr>
      <w:spacing w:after="0" w:line="240" w:lineRule="auto"/>
    </w:pPr>
    <w:rPr>
      <w:sz w:val="20"/>
    </w:rPr>
  </w:style>
  <w:style w:type="character" w:customStyle="1" w:styleId="EndnoteTextChar1">
    <w:name w:val="Endnote Text Char1"/>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ableofFigures">
    <w:name w:val="table of figures"/>
    <w:basedOn w:val="Normal"/>
    <w:next w:val="Normal"/>
    <w:uiPriority w:val="99"/>
    <w:unhideWhenUsed/>
    <w:pPr>
      <w:spacing w:after="0"/>
    </w:pPr>
  </w:style>
  <w:style w:type="table" w:styleId="TableGrid">
    <w:name w:val="Table Grid"/>
    <w:basedOn w:val="TableNormal"/>
    <w:uiPriority w:val="39"/>
    <w:pPr>
      <w:spacing w:after="0" w:line="240" w:lineRule="auto"/>
    </w:pPr>
    <w:rPr>
      <w:rFonts w:ascii="Times New Roman" w:eastAsia="Times New Roman" w:hAnsi="Times New Roman" w:cs="Times New Roman"/>
      <w:sz w:val="20"/>
      <w:szCs w:val="20"/>
      <w:lang w:eastAsia="en-C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basedOn w:val="DefaultParagraphFont"/>
    <w:link w:val="Heading1"/>
    <w:uiPriority w:val="9"/>
    <w:rPr>
      <w:rFonts w:asciiTheme="majorHAnsi" w:eastAsiaTheme="majorEastAsia" w:hAnsiTheme="majorHAnsi" w:cstheme="majorBidi"/>
      <w:color w:val="2F5496" w:themeColor="accent1" w:themeShade="BF"/>
      <w:sz w:val="32"/>
      <w:szCs w:val="32"/>
      <w:lang w:val="en-US"/>
    </w:rPr>
  </w:style>
  <w:style w:type="character" w:customStyle="1" w:styleId="Heading2Char1">
    <w:name w:val="Heading 2 Char1"/>
    <w:basedOn w:val="DefaultParagraphFont"/>
    <w:link w:val="Heading2"/>
    <w:uiPriority w:val="9"/>
    <w:rPr>
      <w:rFonts w:asciiTheme="majorHAnsi" w:eastAsiaTheme="majorEastAsia" w:hAnsiTheme="majorHAnsi" w:cstheme="majorBidi"/>
      <w:color w:val="2F5496" w:themeColor="accent1" w:themeShade="BF"/>
      <w:sz w:val="26"/>
      <w:szCs w:val="26"/>
      <w:lang w:val="en-US"/>
    </w:rPr>
  </w:style>
  <w:style w:type="character" w:customStyle="1" w:styleId="Heading3Char1">
    <w:name w:val="Heading 3 Char1"/>
    <w:basedOn w:val="DefaultParagraphFont"/>
    <w:link w:val="Heading3"/>
    <w:uiPriority w:val="9"/>
    <w:rPr>
      <w:rFonts w:asciiTheme="majorHAnsi" w:eastAsiaTheme="majorEastAsia" w:hAnsiTheme="majorHAnsi" w:cstheme="majorBidi"/>
      <w:color w:val="1F3763" w:themeColor="accent1" w:themeShade="7F"/>
      <w:lang w:val="en-US"/>
    </w:rPr>
  </w:style>
  <w:style w:type="paragraph" w:styleId="NormalWeb">
    <w:name w:val="Normal (Web)"/>
    <w:basedOn w:val="Normal"/>
    <w:link w:val="NormalWebChar"/>
    <w:uiPriority w:val="99"/>
    <w:unhideWhenUsed/>
    <w:pPr>
      <w:spacing w:before="100" w:beforeAutospacing="1" w:after="100" w:afterAutospacing="1" w:line="240" w:lineRule="auto"/>
      <w:jc w:val="both"/>
    </w:pPr>
    <w:rPr>
      <w:rFonts w:ascii="Times New Roman" w:eastAsia="Times New Roman" w:hAnsi="Times New Roman" w:cs="Times New Roman"/>
      <w:lang w:val="en-US"/>
      <w14:ligatures w14:val="none"/>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qFormat/>
    <w:pPr>
      <w:spacing w:before="120" w:after="120" w:line="240" w:lineRule="auto"/>
      <w:jc w:val="both"/>
    </w:pPr>
    <w:rPr>
      <w:rFonts w:cs="Times New Roman"/>
      <w:sz w:val="20"/>
      <w:szCs w:val="20"/>
      <w:lang w:val="en-US"/>
    </w:rPr>
  </w:style>
  <w:style w:type="character" w:customStyle="1" w:styleId="CommentTextChar">
    <w:name w:val="Comment Text Char"/>
    <w:basedOn w:val="DefaultParagraphFont"/>
    <w:link w:val="CommentText"/>
    <w:uiPriority w:val="99"/>
    <w:qFormat/>
    <w:rPr>
      <w:rFonts w:cs="Times New Roman"/>
      <w:sz w:val="20"/>
      <w:szCs w:val="20"/>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cs="Times New Roman"/>
      <w:b/>
      <w:bCs/>
      <w:sz w:val="20"/>
      <w:szCs w:val="20"/>
      <w:lang w:val="en-US"/>
    </w:rPr>
  </w:style>
  <w:style w:type="paragraph" w:styleId="Revision">
    <w:name w:val="Revision"/>
    <w:hidden/>
    <w:uiPriority w:val="99"/>
    <w:semiHidden/>
    <w:pPr>
      <w:spacing w:before="120" w:after="240" w:line="240" w:lineRule="auto"/>
      <w:jc w:val="both"/>
    </w:pPr>
    <w:rPr>
      <w:sz w:val="24"/>
      <w:szCs w:val="24"/>
      <w:lang w:val="en-US"/>
    </w:rPr>
  </w:style>
  <w:style w:type="numbering" w:customStyle="1" w:styleId="CurrentList1">
    <w:name w:val="Current List1"/>
    <w:uiPriority w:val="99"/>
    <w:pPr>
      <w:numPr>
        <w:numId w:val="1"/>
      </w:numPr>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1"/>
    <w:uiPriority w:val="99"/>
    <w:unhideWhenUsed/>
    <w:qFormat/>
    <w:pPr>
      <w:spacing w:before="120" w:after="120" w:line="240" w:lineRule="auto"/>
      <w:jc w:val="both"/>
    </w:pPr>
    <w:rPr>
      <w:rFonts w:cs="Times New Roman"/>
      <w:sz w:val="20"/>
      <w:szCs w:val="20"/>
      <w:lang w:val="en-US"/>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basedOn w:val="DefaultParagraphFont"/>
    <w:link w:val="FootnoteText"/>
    <w:uiPriority w:val="99"/>
    <w:rPr>
      <w:rFonts w:cs="Times New Roman"/>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rPr>
      <w:vertAlign w:val="superscript"/>
    </w:rPr>
  </w:style>
  <w:style w:type="paragraph" w:styleId="ListParagraph">
    <w:name w:val="List Paragraph"/>
    <w:basedOn w:val="Normal"/>
    <w:link w:val="ListParagraphChar"/>
    <w:uiPriority w:val="34"/>
    <w:qFormat/>
    <w:pPr>
      <w:spacing w:before="120" w:after="120" w:line="240" w:lineRule="auto"/>
      <w:ind w:left="720"/>
      <w:contextualSpacing/>
      <w:jc w:val="both"/>
    </w:pPr>
    <w:rPr>
      <w:rFonts w:cs="Times New Roman"/>
      <w:lang w:val="en-US"/>
    </w:rPr>
  </w:style>
  <w:style w:type="paragraph" w:styleId="Header">
    <w:name w:val="header"/>
    <w:basedOn w:val="Normal"/>
    <w:link w:val="HeaderChar1"/>
    <w:uiPriority w:val="99"/>
    <w:unhideWhenUsed/>
    <w:pPr>
      <w:tabs>
        <w:tab w:val="center" w:pos="4680"/>
        <w:tab w:val="right" w:pos="9360"/>
      </w:tabs>
      <w:spacing w:before="120" w:after="120" w:line="240" w:lineRule="auto"/>
      <w:jc w:val="both"/>
    </w:pPr>
    <w:rPr>
      <w:rFonts w:cs="Times New Roman"/>
      <w:lang w:val="en-US"/>
    </w:rPr>
  </w:style>
  <w:style w:type="character" w:customStyle="1" w:styleId="HeaderChar1">
    <w:name w:val="Header Char1"/>
    <w:basedOn w:val="DefaultParagraphFont"/>
    <w:link w:val="Header"/>
    <w:uiPriority w:val="99"/>
    <w:rPr>
      <w:rFonts w:cs="Times New Roman"/>
      <w:lang w:val="en-US"/>
    </w:rPr>
  </w:style>
  <w:style w:type="paragraph" w:styleId="Footer">
    <w:name w:val="footer"/>
    <w:basedOn w:val="Normal"/>
    <w:link w:val="FooterChar1"/>
    <w:uiPriority w:val="99"/>
    <w:unhideWhenUsed/>
    <w:pPr>
      <w:tabs>
        <w:tab w:val="center" w:pos="4680"/>
        <w:tab w:val="right" w:pos="9360"/>
      </w:tabs>
      <w:spacing w:before="120" w:after="120" w:line="240" w:lineRule="auto"/>
      <w:jc w:val="both"/>
    </w:pPr>
    <w:rPr>
      <w:rFonts w:cs="Times New Roman"/>
      <w:lang w:val="en-US"/>
    </w:rPr>
  </w:style>
  <w:style w:type="character" w:customStyle="1" w:styleId="FooterChar1">
    <w:name w:val="Footer Char1"/>
    <w:basedOn w:val="DefaultParagraphFont"/>
    <w:link w:val="Footer"/>
    <w:uiPriority w:val="99"/>
    <w:rPr>
      <w:rFonts w:cs="Times New Roman"/>
      <w:lang w:val="en-US"/>
    </w:r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pPr>
      <w:spacing w:before="120" w:after="240" w:line="240" w:lineRule="auto"/>
      <w:jc w:val="both"/>
    </w:pPr>
    <w:rPr>
      <w:rFonts w:ascii="Times New Roman" w:hAnsi="Times New Roman" w:cs="Times New Roman"/>
      <w:color w:val="000000"/>
      <w:sz w:val="24"/>
      <w:szCs w:val="24"/>
      <w:lang w:val="en-GB"/>
    </w:rPr>
  </w:style>
  <w:style w:type="paragraph" w:styleId="TOCHeading">
    <w:name w:val="TOC Heading"/>
    <w:basedOn w:val="Heading1"/>
    <w:next w:val="Normal"/>
    <w:uiPriority w:val="39"/>
    <w:unhideWhenUsed/>
    <w:qFormat/>
    <w:pPr>
      <w:spacing w:after="0" w:line="259" w:lineRule="auto"/>
      <w:jc w:val="left"/>
      <w:outlineLvl w:val="9"/>
    </w:pPr>
    <w:rPr>
      <w14:ligatures w14:val="non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customStyle="1" w:styleId="Para1">
    <w:name w:val="Para1"/>
    <w:basedOn w:val="Normal"/>
    <w:link w:val="Para1Char1"/>
    <w:pPr>
      <w:numPr>
        <w:numId w:val="2"/>
      </w:numPr>
      <w:spacing w:before="120" w:after="120" w:line="240" w:lineRule="auto"/>
      <w:jc w:val="both"/>
    </w:pPr>
    <w:rPr>
      <w:rFonts w:ascii="Times New Roman" w:eastAsia="Times New Roman" w:hAnsi="Times New Roman" w:cs="Times New Roman"/>
      <w:szCs w:val="18"/>
      <w14:ligatures w14:val="none"/>
    </w:rPr>
  </w:style>
  <w:style w:type="paragraph" w:customStyle="1" w:styleId="Para3">
    <w:name w:val="Para3"/>
    <w:basedOn w:val="Normal"/>
    <w:uiPriority w:val="99"/>
    <w:pPr>
      <w:numPr>
        <w:ilvl w:val="2"/>
        <w:numId w:val="2"/>
      </w:numPr>
      <w:tabs>
        <w:tab w:val="left" w:pos="1980"/>
      </w:tabs>
      <w:spacing w:before="80" w:after="80" w:line="240" w:lineRule="auto"/>
      <w:jc w:val="both"/>
    </w:pPr>
    <w:rPr>
      <w:rFonts w:ascii="Times New Roman" w:eastAsia="Times New Roman" w:hAnsi="Times New Roman" w:cs="Times New Roman"/>
      <w:szCs w:val="20"/>
      <w14:ligatures w14:val="none"/>
    </w:rPr>
  </w:style>
  <w:style w:type="paragraph" w:customStyle="1" w:styleId="Cornernotation">
    <w:name w:val="Corner notation"/>
    <w:basedOn w:val="Normal"/>
    <w:pPr>
      <w:spacing w:after="0" w:line="240" w:lineRule="auto"/>
      <w:ind w:left="284" w:right="4398" w:hanging="284"/>
    </w:pPr>
    <w:rPr>
      <w:rFonts w:ascii="Times New Roman" w:eastAsia="Times New Roman" w:hAnsi="Times New Roman" w:cs="Times New Roman"/>
      <w14:ligatures w14:val="none"/>
    </w:rPr>
  </w:style>
  <w:style w:type="paragraph" w:customStyle="1" w:styleId="Heading-plain">
    <w:name w:val="Heading - plain"/>
    <w:basedOn w:val="Heading2"/>
    <w:next w:val="BodyText"/>
    <w:uiPriority w:val="99"/>
    <w:pPr>
      <w:keepLines w:val="0"/>
      <w:spacing w:before="120"/>
      <w:jc w:val="center"/>
    </w:pPr>
    <w:rPr>
      <w:rFonts w:ascii="Times New Roman" w:eastAsia="Times New Roman" w:hAnsi="Times New Roman" w:cs="Times New Roman"/>
      <w:b/>
      <w:bCs/>
      <w:i/>
      <w:iCs/>
      <w:color w:val="auto"/>
      <w:sz w:val="22"/>
      <w:szCs w:val="24"/>
      <w:lang w:val="en-GB"/>
      <w14:ligatures w14:val="none"/>
    </w:rPr>
  </w:style>
  <w:style w:type="character" w:customStyle="1" w:styleId="Para1Char1">
    <w:name w:val="Para1 Char1"/>
    <w:link w:val="Para1"/>
    <w:rPr>
      <w:rFonts w:ascii="Times New Roman" w:eastAsia="Times New Roman" w:hAnsi="Times New Roman" w:cs="Times New Roman"/>
      <w:szCs w:val="18"/>
      <w:lang w:val="en-GB"/>
      <w14:ligatures w14:val="none"/>
    </w:rPr>
  </w:style>
  <w:style w:type="paragraph" w:customStyle="1" w:styleId="subhead">
    <w:name w:val="subhead"/>
    <w:basedOn w:val="Normal"/>
    <w:next w:val="Para1"/>
    <w:uiPriority w:val="99"/>
    <w:pPr>
      <w:spacing w:before="120" w:after="120" w:line="240" w:lineRule="auto"/>
      <w:jc w:val="center"/>
    </w:pPr>
    <w:rPr>
      <w:rFonts w:ascii="Times New Roman" w:eastAsia="Times New Roman" w:hAnsi="Times New Roman" w:cs="Times New Roman"/>
      <w:i/>
      <w:szCs w:val="20"/>
      <w14:ligatures w14:val="none"/>
    </w:rPr>
  </w:style>
  <w:style w:type="table" w:customStyle="1" w:styleId="TableGrid1">
    <w:name w:val="Table Grid1"/>
    <w:basedOn w:val="TableNormal"/>
    <w:next w:val="TableGrid"/>
    <w:uiPriority w:val="59"/>
    <w:pPr>
      <w:spacing w:after="0" w:line="240" w:lineRule="auto"/>
    </w:pPr>
    <w:rPr>
      <w:rFonts w:eastAsiaTheme="minorEastAsia"/>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2">
    <w:name w:val="Para 2"/>
    <w:uiPriority w:val="99"/>
    <w:qFormat/>
    <w:pPr>
      <w:numPr>
        <w:numId w:val="3"/>
      </w:numPr>
      <w:tabs>
        <w:tab w:val="left" w:pos="1701"/>
      </w:tabs>
      <w:spacing w:before="120" w:after="120" w:line="240" w:lineRule="auto"/>
      <w:jc w:val="both"/>
    </w:pPr>
    <w:rPr>
      <w:rFonts w:ascii="Times New Roman" w:eastAsia="Times New Roman" w:hAnsi="Times New Roman" w:cs="Times New Roman"/>
      <w:szCs w:val="24"/>
      <w14:ligatures w14:val="none"/>
    </w:rPr>
  </w:style>
  <w:style w:type="paragraph" w:styleId="BodyText">
    <w:name w:val="Body Text"/>
    <w:basedOn w:val="Normal"/>
    <w:link w:val="BodyTextChar"/>
    <w:uiPriority w:val="99"/>
    <w:semiHidden/>
    <w:unhideWhenUsed/>
    <w:pPr>
      <w:spacing w:before="120" w:after="120" w:line="240" w:lineRule="auto"/>
      <w:jc w:val="both"/>
    </w:pPr>
    <w:rPr>
      <w:rFonts w:cs="Times New Roman"/>
      <w:lang w:val="en-US"/>
    </w:rPr>
  </w:style>
  <w:style w:type="character" w:customStyle="1" w:styleId="BodyTextChar">
    <w:name w:val="Body Text Char"/>
    <w:basedOn w:val="DefaultParagraphFont"/>
    <w:link w:val="BodyText"/>
    <w:uiPriority w:val="99"/>
    <w:semiHidden/>
    <w:rPr>
      <w:rFonts w:cs="Times New Roman"/>
      <w:lang w:val="en-US"/>
    </w:rPr>
  </w:style>
  <w:style w:type="character" w:styleId="LineNumber">
    <w:name w:val="line number"/>
    <w:basedOn w:val="DefaultParagraphFont"/>
    <w:uiPriority w:val="99"/>
    <w:semiHidden/>
    <w:unhideWhenUsed/>
  </w:style>
  <w:style w:type="character" w:styleId="PlaceholderText">
    <w:name w:val="Placeholder Text"/>
    <w:basedOn w:val="DefaultParagraphFont"/>
    <w:uiPriority w:val="99"/>
    <w:semiHidden/>
    <w:rPr>
      <w:color w:val="808080"/>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character" w:customStyle="1" w:styleId="author">
    <w:name w:val="author"/>
    <w:basedOn w:val="DefaultParagraphFont"/>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None">
    <w:name w:val="None"/>
    <w:rsid w:val="00484128"/>
  </w:style>
  <w:style w:type="numbering" w:customStyle="1" w:styleId="Bullets">
    <w:name w:val="Bullets"/>
    <w:rsid w:val="008677B5"/>
    <w:pPr>
      <w:numPr>
        <w:numId w:val="21"/>
      </w:numPr>
    </w:pPr>
  </w:style>
  <w:style w:type="paragraph" w:customStyle="1" w:styleId="NoParagraphStyle">
    <w:name w:val="[No Paragraph Style]"/>
    <w:uiPriority w:val="99"/>
    <w:rsid w:val="00573538"/>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 w:val="24"/>
      <w:szCs w:val="24"/>
      <w:lang w:val="en-GB"/>
      <w14:ligatures w14:val="none"/>
    </w:rPr>
  </w:style>
  <w:style w:type="paragraph" w:customStyle="1" w:styleId="tabletext">
    <w:name w:val="tabletext"/>
    <w:basedOn w:val="Normal"/>
    <w:uiPriority w:val="99"/>
    <w:rsid w:val="00573538"/>
    <w:pPr>
      <w:widowControl w:val="0"/>
      <w:suppressAutoHyphens/>
      <w:autoSpaceDE w:val="0"/>
      <w:autoSpaceDN w:val="0"/>
      <w:adjustRightInd w:val="0"/>
      <w:spacing w:after="57" w:line="240" w:lineRule="atLeast"/>
      <w:textAlignment w:val="center"/>
    </w:pPr>
    <w:rPr>
      <w:rFonts w:ascii="TradeGothicLT-Light" w:eastAsia="Times New Roman" w:hAnsi="TradeGothicLT-Light" w:cs="TradeGothicLT-Light"/>
      <w:color w:val="000000"/>
      <w:sz w:val="18"/>
      <w:szCs w:val="18"/>
      <w14:ligatures w14:val="none"/>
    </w:rPr>
  </w:style>
  <w:style w:type="character" w:customStyle="1" w:styleId="Bold">
    <w:name w:val="Bold"/>
    <w:uiPriority w:val="99"/>
    <w:rsid w:val="00573538"/>
    <w:rPr>
      <w:b/>
    </w:rPr>
  </w:style>
  <w:style w:type="character" w:customStyle="1" w:styleId="ui-provider">
    <w:name w:val="ui-provider"/>
    <w:basedOn w:val="DefaultParagraphFont"/>
    <w:rsid w:val="00F964B3"/>
  </w:style>
  <w:style w:type="character" w:customStyle="1" w:styleId="hi">
    <w:name w:val="hi"/>
    <w:basedOn w:val="DefaultParagraphFont"/>
    <w:rsid w:val="004F2ED0"/>
  </w:style>
  <w:style w:type="character" w:styleId="Strong">
    <w:name w:val="Strong"/>
    <w:basedOn w:val="DefaultParagraphFont"/>
    <w:uiPriority w:val="22"/>
    <w:qFormat/>
    <w:rsid w:val="00DF1FF1"/>
    <w:rPr>
      <w:b/>
      <w:bCs/>
    </w:rPr>
  </w:style>
  <w:style w:type="character" w:styleId="UnresolvedMention">
    <w:name w:val="Unresolved Mention"/>
    <w:basedOn w:val="DefaultParagraphFont"/>
    <w:uiPriority w:val="99"/>
    <w:semiHidden/>
    <w:unhideWhenUsed/>
    <w:rsid w:val="00882A56"/>
    <w:rPr>
      <w:color w:val="605E5C"/>
      <w:shd w:val="clear" w:color="auto" w:fill="E1DFDD"/>
    </w:rPr>
  </w:style>
  <w:style w:type="character" w:customStyle="1" w:styleId="ListParagraphChar">
    <w:name w:val="List Paragraph Char"/>
    <w:basedOn w:val="DefaultParagraphFont"/>
    <w:link w:val="ListParagraph"/>
    <w:uiPriority w:val="34"/>
    <w:rsid w:val="005A651C"/>
    <w:rPr>
      <w:rFonts w:cs="Times New Roman"/>
      <w:lang w:val="en-US"/>
    </w:rPr>
  </w:style>
  <w:style w:type="character" w:styleId="Emphasis">
    <w:name w:val="Emphasis"/>
    <w:basedOn w:val="DefaultParagraphFont"/>
    <w:uiPriority w:val="20"/>
    <w:qFormat/>
    <w:rsid w:val="00A170DE"/>
    <w:rPr>
      <w:i/>
      <w:iCs/>
    </w:rPr>
  </w:style>
  <w:style w:type="character" w:customStyle="1" w:styleId="cf01">
    <w:name w:val="cf01"/>
    <w:basedOn w:val="DefaultParagraphFont"/>
    <w:rsid w:val="00A170DE"/>
    <w:rPr>
      <w:rFonts w:ascii="Segoe UI" w:hAnsi="Segoe UI" w:cs="Segoe UI" w:hint="default"/>
      <w:sz w:val="18"/>
      <w:szCs w:val="18"/>
    </w:rPr>
  </w:style>
  <w:style w:type="character" w:customStyle="1" w:styleId="cit-volume">
    <w:name w:val="cit-volume"/>
    <w:basedOn w:val="DefaultParagraphFont"/>
    <w:rsid w:val="00A170DE"/>
  </w:style>
  <w:style w:type="character" w:customStyle="1" w:styleId="cit-issue">
    <w:name w:val="cit-issue"/>
    <w:basedOn w:val="DefaultParagraphFont"/>
    <w:rsid w:val="00A170DE"/>
  </w:style>
  <w:style w:type="character" w:customStyle="1" w:styleId="cit-pagerange">
    <w:name w:val="cit-pagerange"/>
    <w:basedOn w:val="DefaultParagraphFont"/>
    <w:rsid w:val="00A170DE"/>
  </w:style>
  <w:style w:type="paragraph" w:customStyle="1" w:styleId="pf0">
    <w:name w:val="pf0"/>
    <w:basedOn w:val="Normal"/>
    <w:rsid w:val="00A170DE"/>
    <w:pPr>
      <w:spacing w:before="100" w:beforeAutospacing="1" w:after="100" w:afterAutospacing="1" w:line="240" w:lineRule="auto"/>
    </w:pPr>
    <w:rPr>
      <w:rFonts w:ascii="Times New Roman" w:eastAsia="Times New Roman" w:hAnsi="Times New Roman" w:cs="Times New Roman"/>
      <w:sz w:val="24"/>
      <w:szCs w:val="24"/>
      <w:lang w:val="en-AU" w:eastAsia="en-AU"/>
      <w14:ligatures w14:val="none"/>
    </w:rPr>
  </w:style>
  <w:style w:type="character" w:customStyle="1" w:styleId="A3">
    <w:name w:val="A3"/>
    <w:uiPriority w:val="99"/>
    <w:rsid w:val="00A170DE"/>
    <w:rPr>
      <w:rFonts w:cs="Proxima Nova"/>
      <w:b/>
      <w:bCs/>
      <w:color w:val="57585A"/>
      <w:sz w:val="18"/>
      <w:szCs w:val="18"/>
    </w:rPr>
  </w:style>
  <w:style w:type="character" w:customStyle="1" w:styleId="cf11">
    <w:name w:val="cf11"/>
    <w:basedOn w:val="DefaultParagraphFont"/>
    <w:rsid w:val="00A170DE"/>
    <w:rPr>
      <w:rFonts w:ascii="Segoe UI" w:hAnsi="Segoe UI" w:cs="Segoe UI" w:hint="default"/>
      <w:sz w:val="18"/>
      <w:szCs w:val="18"/>
    </w:rPr>
  </w:style>
  <w:style w:type="character" w:customStyle="1" w:styleId="doi">
    <w:name w:val="doi"/>
    <w:basedOn w:val="DefaultParagraphFont"/>
    <w:rsid w:val="00A170DE"/>
  </w:style>
  <w:style w:type="character" w:customStyle="1" w:styleId="anchor-text">
    <w:name w:val="anchor-text"/>
    <w:basedOn w:val="DefaultParagraphFont"/>
    <w:rsid w:val="00A170DE"/>
  </w:style>
  <w:style w:type="character" w:customStyle="1" w:styleId="button-link-text">
    <w:name w:val="button-link-text"/>
    <w:basedOn w:val="DefaultParagraphFont"/>
    <w:rsid w:val="00A170DE"/>
  </w:style>
  <w:style w:type="character" w:customStyle="1" w:styleId="react-xocs-alternative-link">
    <w:name w:val="react-xocs-alternative-link"/>
    <w:basedOn w:val="DefaultParagraphFont"/>
    <w:rsid w:val="00A170DE"/>
  </w:style>
  <w:style w:type="character" w:customStyle="1" w:styleId="given-name">
    <w:name w:val="given-name"/>
    <w:basedOn w:val="DefaultParagraphFont"/>
    <w:rsid w:val="00A170DE"/>
  </w:style>
  <w:style w:type="character" w:customStyle="1" w:styleId="text">
    <w:name w:val="text"/>
    <w:basedOn w:val="DefaultParagraphFont"/>
    <w:rsid w:val="00A170DE"/>
  </w:style>
  <w:style w:type="character" w:customStyle="1" w:styleId="author-ref">
    <w:name w:val="author-ref"/>
    <w:basedOn w:val="DefaultParagraphFont"/>
    <w:rsid w:val="00A170DE"/>
  </w:style>
  <w:style w:type="character" w:customStyle="1" w:styleId="title-text">
    <w:name w:val="title-text"/>
    <w:basedOn w:val="DefaultParagraphFont"/>
    <w:rsid w:val="00A170DE"/>
  </w:style>
  <w:style w:type="paragraph" w:customStyle="1" w:styleId="Para30">
    <w:name w:val="Para 3"/>
    <w:basedOn w:val="Normal"/>
    <w:uiPriority w:val="99"/>
    <w:qFormat/>
    <w:rsid w:val="00034451"/>
    <w:pPr>
      <w:tabs>
        <w:tab w:val="left" w:pos="1701"/>
      </w:tabs>
      <w:spacing w:before="120" w:after="120" w:line="240" w:lineRule="auto"/>
      <w:ind w:left="1134"/>
      <w:jc w:val="both"/>
    </w:pPr>
    <w:rPr>
      <w:rFonts w:ascii="Times New Roman" w:eastAsia="Times New Roman" w:hAnsi="Times New Roman" w:cs="Times New Roman"/>
      <w:szCs w:val="24"/>
      <w14:ligatures w14:val="none"/>
    </w:rPr>
  </w:style>
  <w:style w:type="character" w:customStyle="1" w:styleId="NormalWebChar">
    <w:name w:val="Normal (Web) Char"/>
    <w:basedOn w:val="DefaultParagraphFont"/>
    <w:link w:val="NormalWeb"/>
    <w:uiPriority w:val="99"/>
    <w:rsid w:val="00B2643F"/>
    <w:rPr>
      <w:rFonts w:ascii="Times New Roman" w:eastAsia="Times New Roman" w:hAnsi="Times New Roman" w:cs="Times New Roman"/>
      <w:lang w:val="en-US"/>
      <w14:ligatures w14:val="none"/>
    </w:rPr>
  </w:style>
  <w:style w:type="paragraph" w:customStyle="1" w:styleId="msonormal0">
    <w:name w:val="msonormal"/>
    <w:basedOn w:val="Normal"/>
    <w:uiPriority w:val="99"/>
    <w:rsid w:val="00B05C91"/>
    <w:pPr>
      <w:spacing w:before="100" w:beforeAutospacing="1" w:after="100" w:afterAutospacing="1" w:line="240" w:lineRule="auto"/>
      <w:jc w:val="both"/>
    </w:pPr>
    <w:rPr>
      <w:rFonts w:ascii="Times New Roman" w:eastAsia="Times New Roman" w:hAnsi="Times New Roman" w:cs="Times New Roman"/>
      <w:lang w:val="en-US"/>
      <w14:ligatures w14:val="none"/>
    </w:rPr>
  </w:style>
  <w:style w:type="character" w:styleId="Mention">
    <w:name w:val="Mention"/>
    <w:basedOn w:val="DefaultParagraphFont"/>
    <w:uiPriority w:val="99"/>
    <w:unhideWhenUsed/>
    <w:rsid w:val="0038125D"/>
    <w:rPr>
      <w:color w:val="2B579A"/>
      <w:shd w:val="clear" w:color="auto" w:fill="E1DFDD"/>
    </w:rPr>
  </w:style>
  <w:style w:type="paragraph" w:customStyle="1" w:styleId="paragraph">
    <w:name w:val="paragraph"/>
    <w:basedOn w:val="Normal"/>
    <w:rsid w:val="00E060D7"/>
    <w:pPr>
      <w:spacing w:before="100" w:beforeAutospacing="1" w:after="100" w:afterAutospacing="1" w:line="240" w:lineRule="auto"/>
    </w:pPr>
    <w:rPr>
      <w:rFonts w:ascii="Times New Roman" w:eastAsia="Times New Roman" w:hAnsi="Times New Roman" w:cs="Times New Roman"/>
      <w:sz w:val="24"/>
      <w:szCs w:val="24"/>
      <w:lang w:val="en-US" w:eastAsia="zh-CN"/>
      <w14:ligatures w14:val="none"/>
    </w:rPr>
  </w:style>
  <w:style w:type="character" w:customStyle="1" w:styleId="eop">
    <w:name w:val="eop"/>
    <w:basedOn w:val="DefaultParagraphFont"/>
    <w:rsid w:val="00E060D7"/>
  </w:style>
  <w:style w:type="character" w:customStyle="1" w:styleId="normaltextrun">
    <w:name w:val="normaltextrun"/>
    <w:basedOn w:val="DefaultParagraphFont"/>
    <w:rsid w:val="00E060D7"/>
  </w:style>
  <w:style w:type="character" w:customStyle="1" w:styleId="tabchar">
    <w:name w:val="tabchar"/>
    <w:basedOn w:val="DefaultParagraphFont"/>
    <w:rsid w:val="00E060D7"/>
  </w:style>
  <w:style w:type="paragraph" w:customStyle="1" w:styleId="EndNoteBibliographyTitle">
    <w:name w:val="EndNote Bibliography Title"/>
    <w:basedOn w:val="Normal"/>
    <w:link w:val="EndNoteBibliographyTitleChar"/>
    <w:rsid w:val="00E060D7"/>
    <w:pPr>
      <w:spacing w:before="120" w:after="0" w:line="240" w:lineRule="auto"/>
      <w:jc w:val="center"/>
    </w:pPr>
    <w:rPr>
      <w:rFonts w:ascii="Calibri" w:eastAsia="Times New Roman" w:hAnsi="Calibri" w:cs="Calibri"/>
      <w:noProof/>
      <w:kern w:val="2"/>
      <w:lang w:val="en-US"/>
      <w14:ligatures w14:val="none"/>
    </w:rPr>
  </w:style>
  <w:style w:type="character" w:customStyle="1" w:styleId="EndNoteBibliographyTitleChar">
    <w:name w:val="EndNote Bibliography Title Char"/>
    <w:basedOn w:val="NormalWebChar"/>
    <w:link w:val="EndNoteBibliographyTitle"/>
    <w:rsid w:val="00E060D7"/>
    <w:rPr>
      <w:rFonts w:ascii="Calibri" w:eastAsia="Times New Roman" w:hAnsi="Calibri" w:cs="Calibri"/>
      <w:noProof/>
      <w:kern w:val="2"/>
      <w:lang w:val="en-US"/>
      <w14:ligatures w14:val="none"/>
    </w:rPr>
  </w:style>
  <w:style w:type="paragraph" w:customStyle="1" w:styleId="EndNoteBibliography">
    <w:name w:val="EndNote Bibliography"/>
    <w:basedOn w:val="Normal"/>
    <w:link w:val="EndNoteBibliographyChar"/>
    <w:rsid w:val="00E060D7"/>
    <w:pPr>
      <w:spacing w:before="120" w:after="120" w:line="240" w:lineRule="auto"/>
      <w:jc w:val="both"/>
    </w:pPr>
    <w:rPr>
      <w:rFonts w:ascii="Calibri" w:eastAsia="Times New Roman" w:hAnsi="Calibri" w:cs="Calibri"/>
      <w:noProof/>
      <w:kern w:val="2"/>
      <w:lang w:val="en-US"/>
      <w14:ligatures w14:val="none"/>
    </w:rPr>
  </w:style>
  <w:style w:type="character" w:customStyle="1" w:styleId="EndNoteBibliographyChar">
    <w:name w:val="EndNote Bibliography Char"/>
    <w:basedOn w:val="NormalWebChar"/>
    <w:link w:val="EndNoteBibliography"/>
    <w:rsid w:val="00E060D7"/>
    <w:rPr>
      <w:rFonts w:ascii="Calibri" w:eastAsia="Times New Roman" w:hAnsi="Calibri" w:cs="Calibri"/>
      <w:noProof/>
      <w:kern w:val="2"/>
      <w:lang w:val="en-US"/>
      <w14:ligatures w14:val="none"/>
    </w:rPr>
  </w:style>
  <w:style w:type="paragraph" w:customStyle="1" w:styleId="Pa12">
    <w:name w:val="Pa12"/>
    <w:basedOn w:val="Default"/>
    <w:next w:val="Default"/>
    <w:uiPriority w:val="99"/>
    <w:rsid w:val="00E060D7"/>
    <w:pPr>
      <w:autoSpaceDE w:val="0"/>
      <w:autoSpaceDN w:val="0"/>
      <w:adjustRightInd w:val="0"/>
      <w:spacing w:before="0" w:after="0" w:line="221" w:lineRule="atLeast"/>
      <w:jc w:val="left"/>
    </w:pPr>
    <w:rPr>
      <w:rFonts w:ascii="Museo Slab 900" w:hAnsi="Museo Slab 900" w:cstheme="minorBidi"/>
      <w:color w:val="auto"/>
      <w14:ligatures w14:val="none"/>
    </w:rPr>
  </w:style>
  <w:style w:type="paragraph" w:customStyle="1" w:styleId="Pa1">
    <w:name w:val="Pa1"/>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16">
    <w:name w:val="Pa16"/>
    <w:basedOn w:val="Default"/>
    <w:next w:val="Default"/>
    <w:uiPriority w:val="99"/>
    <w:rsid w:val="00E060D7"/>
    <w:pPr>
      <w:autoSpaceDE w:val="0"/>
      <w:autoSpaceDN w:val="0"/>
      <w:adjustRightInd w:val="0"/>
      <w:spacing w:before="0" w:after="0" w:line="281" w:lineRule="atLeast"/>
      <w:jc w:val="left"/>
    </w:pPr>
    <w:rPr>
      <w:rFonts w:ascii="Museo Slab 900" w:hAnsi="Museo Slab 900" w:cstheme="minorBidi"/>
      <w:color w:val="auto"/>
      <w14:ligatures w14:val="none"/>
    </w:rPr>
  </w:style>
  <w:style w:type="paragraph" w:customStyle="1" w:styleId="Pa11">
    <w:name w:val="Pa11"/>
    <w:basedOn w:val="Default"/>
    <w:next w:val="Default"/>
    <w:uiPriority w:val="99"/>
    <w:rsid w:val="00E060D7"/>
    <w:pPr>
      <w:autoSpaceDE w:val="0"/>
      <w:autoSpaceDN w:val="0"/>
      <w:adjustRightInd w:val="0"/>
      <w:spacing w:before="0" w:after="0" w:line="241" w:lineRule="atLeast"/>
      <w:jc w:val="left"/>
    </w:pPr>
    <w:rPr>
      <w:rFonts w:ascii="Proxima Nova" w:hAnsi="Proxima Nova" w:cstheme="minorBidi"/>
      <w:color w:val="auto"/>
      <w14:ligatures w14:val="none"/>
    </w:rPr>
  </w:style>
  <w:style w:type="character" w:customStyle="1" w:styleId="A8">
    <w:name w:val="A8"/>
    <w:uiPriority w:val="99"/>
    <w:rsid w:val="00E060D7"/>
    <w:rPr>
      <w:rFonts w:cs="Proxima Nova"/>
      <w:b/>
      <w:bCs/>
      <w:color w:val="00628E"/>
      <w:sz w:val="16"/>
      <w:szCs w:val="16"/>
    </w:rPr>
  </w:style>
  <w:style w:type="paragraph" w:customStyle="1" w:styleId="Pa28">
    <w:name w:val="Pa28"/>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34">
    <w:name w:val="Pa34"/>
    <w:basedOn w:val="Default"/>
    <w:next w:val="Default"/>
    <w:uiPriority w:val="99"/>
    <w:rsid w:val="00E060D7"/>
    <w:pPr>
      <w:autoSpaceDE w:val="0"/>
      <w:autoSpaceDN w:val="0"/>
      <w:adjustRightInd w:val="0"/>
      <w:spacing w:before="0" w:after="0" w:line="241" w:lineRule="atLeast"/>
      <w:jc w:val="left"/>
    </w:pPr>
    <w:rPr>
      <w:rFonts w:ascii="Museo Slab 900" w:hAnsi="Museo Slab 900" w:cstheme="minorBidi"/>
      <w:color w:val="auto"/>
      <w14:ligatures w14:val="none"/>
    </w:rPr>
  </w:style>
  <w:style w:type="paragraph" w:customStyle="1" w:styleId="Pa5">
    <w:name w:val="Pa5"/>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EndNoteCategoryHeading">
    <w:name w:val="EndNote Category Heading"/>
    <w:basedOn w:val="Normal"/>
    <w:link w:val="EndNoteCategoryHeadingChar"/>
    <w:rsid w:val="00E060D7"/>
    <w:pPr>
      <w:numPr>
        <w:numId w:val="14"/>
      </w:numPr>
      <w:spacing w:before="120" w:after="120"/>
      <w:ind w:left="0" w:firstLine="0"/>
    </w:pPr>
    <w:rPr>
      <w:rFonts w:cs="Times New Roman"/>
      <w:b/>
      <w:noProof/>
      <w:lang w:val="en-US"/>
      <w14:ligatures w14:val="none"/>
    </w:rPr>
  </w:style>
  <w:style w:type="character" w:customStyle="1" w:styleId="EndNoteCategoryHeadingChar">
    <w:name w:val="EndNote Category Heading Char"/>
    <w:basedOn w:val="ListParagraphChar"/>
    <w:link w:val="EndNoteCategoryHeading"/>
    <w:rsid w:val="00E060D7"/>
    <w:rPr>
      <w:rFonts w:cs="Times New Roman"/>
      <w:b/>
      <w:noProof/>
      <w:lang w:val="en-US"/>
      <w14:ligatures w14:val="none"/>
    </w:rPr>
  </w:style>
  <w:style w:type="character" w:customStyle="1" w:styleId="A12">
    <w:name w:val="A12"/>
    <w:uiPriority w:val="99"/>
    <w:rsid w:val="00E060D7"/>
    <w:rPr>
      <w:rFonts w:cs="Proxima Nova"/>
      <w:color w:val="57585A"/>
      <w:sz w:val="15"/>
      <w:szCs w:val="15"/>
    </w:rPr>
  </w:style>
  <w:style w:type="paragraph" w:customStyle="1" w:styleId="Pa19">
    <w:name w:val="Pa19"/>
    <w:basedOn w:val="Default"/>
    <w:next w:val="Default"/>
    <w:uiPriority w:val="99"/>
    <w:rsid w:val="00E060D7"/>
    <w:pPr>
      <w:autoSpaceDE w:val="0"/>
      <w:autoSpaceDN w:val="0"/>
      <w:adjustRightInd w:val="0"/>
      <w:spacing w:before="0" w:after="0" w:line="181" w:lineRule="atLeast"/>
      <w:jc w:val="left"/>
    </w:pPr>
    <w:rPr>
      <w:rFonts w:ascii="Proxima Nova Extrabold" w:hAnsi="Proxima Nova Extrabold" w:cstheme="minorBidi"/>
      <w:color w:val="auto"/>
      <w14:ligatures w14:val="none"/>
    </w:rPr>
  </w:style>
  <w:style w:type="character" w:customStyle="1" w:styleId="u-font-serif">
    <w:name w:val="u-font-serif"/>
    <w:basedOn w:val="DefaultParagraphFont"/>
    <w:rsid w:val="00E060D7"/>
  </w:style>
  <w:style w:type="character" w:styleId="PageNumber">
    <w:name w:val="page number"/>
    <w:basedOn w:val="DefaultParagraphFont"/>
    <w:uiPriority w:val="99"/>
    <w:semiHidden/>
    <w:unhideWhenUsed/>
    <w:rsid w:val="00E060D7"/>
  </w:style>
  <w:style w:type="paragraph" w:customStyle="1" w:styleId="CharCharCharCharCar">
    <w:name w:val="Char Char Char Char Car"/>
    <w:basedOn w:val="Normal"/>
    <w:rsid w:val="00E060D7"/>
    <w:pPr>
      <w:spacing w:line="240" w:lineRule="exact"/>
      <w:jc w:val="right"/>
    </w:pPr>
    <w:rPr>
      <w:rFonts w:ascii="Calibri" w:eastAsia="Times New Roman" w:hAnsi="Calibri" w:cs="Arial"/>
      <w:lang w:val="es-MX"/>
      <w14:ligatures w14:val="none"/>
    </w:rPr>
  </w:style>
  <w:style w:type="character" w:customStyle="1" w:styleId="identifier">
    <w:name w:val="identifier"/>
    <w:basedOn w:val="DefaultParagraphFont"/>
    <w:rsid w:val="00E060D7"/>
  </w:style>
  <w:style w:type="character" w:customStyle="1" w:styleId="c-bibliographic-informationvalue">
    <w:name w:val="c-bibliographic-information__value"/>
    <w:basedOn w:val="DefaultParagraphFont"/>
    <w:rsid w:val="00E060D7"/>
  </w:style>
  <w:style w:type="character" w:customStyle="1" w:styleId="id-label">
    <w:name w:val="id-label"/>
    <w:basedOn w:val="DefaultParagraphFont"/>
    <w:rsid w:val="00E060D7"/>
  </w:style>
  <w:style w:type="paragraph" w:styleId="Bibliography">
    <w:name w:val="Bibliography"/>
    <w:basedOn w:val="Normal"/>
    <w:next w:val="Normal"/>
    <w:uiPriority w:val="37"/>
    <w:semiHidden/>
    <w:unhideWhenUsed/>
    <w:rsid w:val="00E060D7"/>
    <w:pPr>
      <w:spacing w:before="120" w:after="120" w:line="240" w:lineRule="auto"/>
      <w:jc w:val="both"/>
    </w:pPr>
    <w:rPr>
      <w:rFonts w:cs="Times New Roman"/>
      <w:kern w:val="2"/>
      <w:lang w:val="en-US"/>
    </w:rPr>
  </w:style>
  <w:style w:type="character" w:customStyle="1" w:styleId="ColourfulListAccent1Char">
    <w:name w:val="Colourful List – Accent 1 Char"/>
    <w:link w:val="ColorfulList-Accent1"/>
    <w:uiPriority w:val="34"/>
    <w:qFormat/>
    <w:locked/>
    <w:rsid w:val="00E060D7"/>
    <w:rPr>
      <w:szCs w:val="22"/>
      <w:lang w:val="en-US"/>
    </w:rPr>
  </w:style>
  <w:style w:type="table" w:styleId="ColorfulList-Accent1">
    <w:name w:val="Colorful List Accent 1"/>
    <w:basedOn w:val="TableNormal"/>
    <w:link w:val="ColourfulListAccent1Char"/>
    <w:uiPriority w:val="34"/>
    <w:semiHidden/>
    <w:unhideWhenUsed/>
    <w:rsid w:val="00E060D7"/>
    <w:pPr>
      <w:spacing w:after="0" w:line="240" w:lineRule="auto"/>
    </w:pPr>
    <w:rPr>
      <w:lang w:val="en-US"/>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c-article-author-listitem">
    <w:name w:val="c-article-author-list__item"/>
    <w:basedOn w:val="Normal"/>
    <w:rsid w:val="00E060D7"/>
    <w:pPr>
      <w:spacing w:before="100" w:beforeAutospacing="1" w:after="100" w:afterAutospacing="1" w:line="240" w:lineRule="auto"/>
    </w:pPr>
    <w:rPr>
      <w:rFonts w:ascii="Times New Roman" w:eastAsia="Times New Roman" w:hAnsi="Times New Roman" w:cs="Times New Roman"/>
      <w:sz w:val="24"/>
      <w:szCs w:val="24"/>
      <w:lang w:val="fi-FI" w:eastAsia="fi-FI"/>
      <w14:ligatures w14:val="none"/>
    </w:rPr>
  </w:style>
  <w:style w:type="paragraph" w:customStyle="1" w:styleId="c-article-info-details">
    <w:name w:val="c-article-info-details"/>
    <w:basedOn w:val="Normal"/>
    <w:rsid w:val="00E060D7"/>
    <w:pPr>
      <w:spacing w:before="100" w:beforeAutospacing="1" w:after="100" w:afterAutospacing="1" w:line="240" w:lineRule="auto"/>
    </w:pPr>
    <w:rPr>
      <w:rFonts w:ascii="Times New Roman" w:eastAsia="Times New Roman" w:hAnsi="Times New Roman" w:cs="Times New Roman"/>
      <w:sz w:val="24"/>
      <w:szCs w:val="24"/>
      <w:lang w:val="fi-FI" w:eastAsia="fi-FI"/>
      <w14:ligatures w14:val="none"/>
    </w:rPr>
  </w:style>
  <w:style w:type="character" w:customStyle="1" w:styleId="u-visually-hidden">
    <w:name w:val="u-visually-hidden"/>
    <w:basedOn w:val="DefaultParagraphFont"/>
    <w:rsid w:val="00E060D7"/>
  </w:style>
  <w:style w:type="character" w:customStyle="1" w:styleId="al-author-name-more">
    <w:name w:val="al-author-name-more"/>
    <w:basedOn w:val="DefaultParagraphFont"/>
    <w:rsid w:val="00EF3D7C"/>
  </w:style>
  <w:style w:type="character" w:customStyle="1" w:styleId="delimiter">
    <w:name w:val="delimiter"/>
    <w:basedOn w:val="DefaultParagraphFont"/>
    <w:rsid w:val="00EF3D7C"/>
  </w:style>
  <w:style w:type="character" w:customStyle="1" w:styleId="apple-converted-space">
    <w:name w:val="apple-converted-space"/>
    <w:basedOn w:val="DefaultParagraphFont"/>
    <w:rsid w:val="00EF3D7C"/>
  </w:style>
  <w:style w:type="paragraph" w:styleId="BodyText2">
    <w:name w:val="Body Text 2"/>
    <w:basedOn w:val="Normal"/>
    <w:link w:val="BodyText2Char"/>
    <w:uiPriority w:val="99"/>
    <w:unhideWhenUsed/>
    <w:rsid w:val="00A839A2"/>
    <w:pPr>
      <w:pBdr>
        <w:top w:val="nil"/>
        <w:left w:val="nil"/>
        <w:bottom w:val="nil"/>
        <w:right w:val="nil"/>
        <w:between w:val="nil"/>
      </w:pBdr>
      <w:spacing w:before="240" w:after="0" w:line="276" w:lineRule="auto"/>
      <w:jc w:val="both"/>
    </w:pPr>
    <w:rPr>
      <w:rFonts w:ascii="Times New Roman" w:eastAsia="Times New Roman" w:hAnsi="Times New Roman" w:cs="Times New Roman"/>
    </w:rPr>
  </w:style>
  <w:style w:type="character" w:customStyle="1" w:styleId="BodyText2Char">
    <w:name w:val="Body Text 2 Char"/>
    <w:basedOn w:val="DefaultParagraphFont"/>
    <w:link w:val="BodyText2"/>
    <w:uiPriority w:val="99"/>
    <w:rsid w:val="00A839A2"/>
    <w:rPr>
      <w:rFonts w:ascii="Times New Roman" w:eastAsia="Times New Roman" w:hAnsi="Times New Roman" w:cs="Times New Roman"/>
      <w:lang w:val="en-GB"/>
    </w:rPr>
  </w:style>
  <w:style w:type="table" w:customStyle="1" w:styleId="GridTable5Dark-Accent11">
    <w:name w:val="Grid Table 5 Dark - Accent 11"/>
    <w:basedOn w:val="TableNormal"/>
    <w:uiPriority w:val="99"/>
    <w:rsid w:val="00710BB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1">
    <w:name w:val="Grid Table 5 Dark - Accent 41"/>
    <w:basedOn w:val="TableNormal"/>
    <w:uiPriority w:val="99"/>
    <w:rsid w:val="00710BB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character" w:customStyle="1" w:styleId="gmail-apple-converted-space">
    <w:name w:val="gmail-apple-converted-space"/>
    <w:basedOn w:val="DefaultParagraphFont"/>
    <w:rsid w:val="00186A15"/>
  </w:style>
  <w:style w:type="paragraph" w:styleId="BodyText3">
    <w:name w:val="Body Text 3"/>
    <w:basedOn w:val="Normal"/>
    <w:link w:val="BodyText3Char"/>
    <w:uiPriority w:val="99"/>
    <w:unhideWhenUsed/>
    <w:rsid w:val="0058703A"/>
    <w:pPr>
      <w:spacing w:line="276" w:lineRule="auto"/>
      <w:jc w:val="both"/>
    </w:pPr>
    <w:rPr>
      <w:rFonts w:ascii="Times New Roman" w:hAnsi="Times New Roman" w:cs="Times New Roman"/>
      <w:color w:val="000000" w:themeColor="text1"/>
    </w:rPr>
  </w:style>
  <w:style w:type="character" w:customStyle="1" w:styleId="BodyText3Char">
    <w:name w:val="Body Text 3 Char"/>
    <w:basedOn w:val="DefaultParagraphFont"/>
    <w:link w:val="BodyText3"/>
    <w:uiPriority w:val="99"/>
    <w:rsid w:val="0058703A"/>
    <w:rPr>
      <w:rFonts w:ascii="Times New Roman" w:hAnsi="Times New Roman" w:cs="Times New Roman"/>
      <w:color w:val="000000" w:themeColor="text1"/>
      <w:lang w:val="en-GB"/>
    </w:rPr>
  </w:style>
  <w:style w:type="character" w:customStyle="1" w:styleId="hgkelc">
    <w:name w:val="hgkelc"/>
    <w:basedOn w:val="DefaultParagraphFont"/>
    <w:rsid w:val="004B1ED1"/>
  </w:style>
  <w:style w:type="paragraph" w:customStyle="1" w:styleId="loaitem">
    <w:name w:val="loa__item"/>
    <w:basedOn w:val="Normal"/>
    <w:rsid w:val="00EC340A"/>
    <w:pPr>
      <w:spacing w:before="100" w:beforeAutospacing="1" w:after="100" w:afterAutospacing="1" w:line="240" w:lineRule="auto"/>
    </w:pPr>
    <w:rPr>
      <w:rFonts w:ascii="Times New Roman" w:eastAsia="Times New Roman" w:hAnsi="Times New Roman" w:cs="Times New Roman"/>
      <w:sz w:val="24"/>
      <w:szCs w:val="24"/>
      <w:lang w:val="en-CA" w:eastAsia="en-CA"/>
      <w14:ligatures w14:val="none"/>
    </w:rPr>
  </w:style>
  <w:style w:type="character" w:customStyle="1" w:styleId="article-headerdoi">
    <w:name w:val="article-header__doi"/>
    <w:basedOn w:val="DefaultParagraphFont"/>
    <w:rsid w:val="00EC340A"/>
  </w:style>
  <w:style w:type="character" w:customStyle="1" w:styleId="article-headerdoilabel">
    <w:name w:val="article-header__doi__label"/>
    <w:basedOn w:val="DefaultParagraphFont"/>
    <w:rsid w:val="00EC340A"/>
  </w:style>
  <w:style w:type="character" w:customStyle="1" w:styleId="article-headerpages">
    <w:name w:val="article-header__pages"/>
    <w:basedOn w:val="DefaultParagraphFont"/>
    <w:rsid w:val="00EC340A"/>
  </w:style>
  <w:style w:type="character" w:customStyle="1" w:styleId="article-headerdate">
    <w:name w:val="article-header__date"/>
    <w:basedOn w:val="DefaultParagraphFont"/>
    <w:rsid w:val="00EC340A"/>
  </w:style>
  <w:style w:type="character" w:customStyle="1" w:styleId="coverdate">
    <w:name w:val="coverdate"/>
    <w:basedOn w:val="DefaultParagraphFont"/>
    <w:rsid w:val="00EC340A"/>
  </w:style>
  <w:style w:type="character" w:customStyle="1" w:styleId="volume">
    <w:name w:val="volume"/>
    <w:basedOn w:val="DefaultParagraphFont"/>
    <w:rsid w:val="00EC340A"/>
  </w:style>
  <w:style w:type="character" w:customStyle="1" w:styleId="issue">
    <w:name w:val="issue"/>
    <w:basedOn w:val="DefaultParagraphFont"/>
    <w:rsid w:val="00EC340A"/>
  </w:style>
  <w:style w:type="paragraph" w:customStyle="1" w:styleId="Venuedate">
    <w:name w:val="Venue&amp;date"/>
    <w:basedOn w:val="Cornernotation"/>
    <w:qFormat/>
    <w:rsid w:val="00CB1042"/>
    <w:pPr>
      <w:ind w:left="0" w:right="3119" w:firstLine="0"/>
    </w:pPr>
    <w:rPr>
      <w:bCs/>
    </w:rPr>
  </w:style>
  <w:style w:type="paragraph" w:customStyle="1" w:styleId="Footnote">
    <w:name w:val="Footnote"/>
    <w:basedOn w:val="FootnoteText"/>
    <w:qFormat/>
    <w:rsid w:val="00CB1042"/>
    <w:pPr>
      <w:spacing w:before="0" w:after="0"/>
    </w:pPr>
    <w:rPr>
      <w:rFonts w:ascii="Times New Roman" w:eastAsia="Times New Roman" w:hAnsi="Times New Roman"/>
      <w:sz w:val="18"/>
      <w:szCs w:val="18"/>
      <w:lang w:val="en-CA"/>
      <w14:ligatures w14:val="none"/>
    </w:rPr>
  </w:style>
  <w:style w:type="paragraph" w:customStyle="1" w:styleId="Cornernotation-Item">
    <w:name w:val="Corner notation - Item"/>
    <w:basedOn w:val="Venuedate"/>
    <w:qFormat/>
    <w:rsid w:val="00CB1042"/>
    <w:rPr>
      <w:b/>
    </w:rPr>
  </w:style>
  <w:style w:type="paragraph" w:customStyle="1" w:styleId="Para10">
    <w:name w:val="Para 1"/>
    <w:basedOn w:val="Normal"/>
    <w:qFormat/>
    <w:rsid w:val="00CE286A"/>
    <w:pPr>
      <w:tabs>
        <w:tab w:val="left" w:pos="1134"/>
      </w:tabs>
      <w:spacing w:before="120" w:after="120" w:line="240" w:lineRule="auto"/>
      <w:ind w:left="567"/>
      <w:jc w:val="both"/>
    </w:pPr>
    <w:rPr>
      <w:rFonts w:ascii="Times New Roman" w:eastAsia="Times New Roman" w:hAnsi="Times New Roman" w:cs="Times New Roman"/>
      <w:szCs w:val="24"/>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7753">
      <w:bodyDiv w:val="1"/>
      <w:marLeft w:val="0"/>
      <w:marRight w:val="0"/>
      <w:marTop w:val="0"/>
      <w:marBottom w:val="0"/>
      <w:divBdr>
        <w:top w:val="none" w:sz="0" w:space="0" w:color="auto"/>
        <w:left w:val="none" w:sz="0" w:space="0" w:color="auto"/>
        <w:bottom w:val="none" w:sz="0" w:space="0" w:color="auto"/>
        <w:right w:val="none" w:sz="0" w:space="0" w:color="auto"/>
      </w:divBdr>
    </w:div>
    <w:div w:id="39671952">
      <w:bodyDiv w:val="1"/>
      <w:marLeft w:val="0"/>
      <w:marRight w:val="0"/>
      <w:marTop w:val="0"/>
      <w:marBottom w:val="0"/>
      <w:divBdr>
        <w:top w:val="none" w:sz="0" w:space="0" w:color="auto"/>
        <w:left w:val="none" w:sz="0" w:space="0" w:color="auto"/>
        <w:bottom w:val="none" w:sz="0" w:space="0" w:color="auto"/>
        <w:right w:val="none" w:sz="0" w:space="0" w:color="auto"/>
      </w:divBdr>
    </w:div>
    <w:div w:id="112411224">
      <w:bodyDiv w:val="1"/>
      <w:marLeft w:val="0"/>
      <w:marRight w:val="0"/>
      <w:marTop w:val="0"/>
      <w:marBottom w:val="0"/>
      <w:divBdr>
        <w:top w:val="none" w:sz="0" w:space="0" w:color="auto"/>
        <w:left w:val="none" w:sz="0" w:space="0" w:color="auto"/>
        <w:bottom w:val="none" w:sz="0" w:space="0" w:color="auto"/>
        <w:right w:val="none" w:sz="0" w:space="0" w:color="auto"/>
      </w:divBdr>
    </w:div>
    <w:div w:id="134299004">
      <w:bodyDiv w:val="1"/>
      <w:marLeft w:val="0"/>
      <w:marRight w:val="0"/>
      <w:marTop w:val="0"/>
      <w:marBottom w:val="0"/>
      <w:divBdr>
        <w:top w:val="none" w:sz="0" w:space="0" w:color="auto"/>
        <w:left w:val="none" w:sz="0" w:space="0" w:color="auto"/>
        <w:bottom w:val="none" w:sz="0" w:space="0" w:color="auto"/>
        <w:right w:val="none" w:sz="0" w:space="0" w:color="auto"/>
      </w:divBdr>
    </w:div>
    <w:div w:id="176238513">
      <w:bodyDiv w:val="1"/>
      <w:marLeft w:val="0"/>
      <w:marRight w:val="0"/>
      <w:marTop w:val="0"/>
      <w:marBottom w:val="0"/>
      <w:divBdr>
        <w:top w:val="none" w:sz="0" w:space="0" w:color="auto"/>
        <w:left w:val="none" w:sz="0" w:space="0" w:color="auto"/>
        <w:bottom w:val="none" w:sz="0" w:space="0" w:color="auto"/>
        <w:right w:val="none" w:sz="0" w:space="0" w:color="auto"/>
      </w:divBdr>
    </w:div>
    <w:div w:id="189731556">
      <w:bodyDiv w:val="1"/>
      <w:marLeft w:val="0"/>
      <w:marRight w:val="0"/>
      <w:marTop w:val="0"/>
      <w:marBottom w:val="0"/>
      <w:divBdr>
        <w:top w:val="none" w:sz="0" w:space="0" w:color="auto"/>
        <w:left w:val="none" w:sz="0" w:space="0" w:color="auto"/>
        <w:bottom w:val="none" w:sz="0" w:space="0" w:color="auto"/>
        <w:right w:val="none" w:sz="0" w:space="0" w:color="auto"/>
      </w:divBdr>
    </w:div>
    <w:div w:id="262611077">
      <w:bodyDiv w:val="1"/>
      <w:marLeft w:val="0"/>
      <w:marRight w:val="0"/>
      <w:marTop w:val="0"/>
      <w:marBottom w:val="0"/>
      <w:divBdr>
        <w:top w:val="none" w:sz="0" w:space="0" w:color="auto"/>
        <w:left w:val="none" w:sz="0" w:space="0" w:color="auto"/>
        <w:bottom w:val="none" w:sz="0" w:space="0" w:color="auto"/>
        <w:right w:val="none" w:sz="0" w:space="0" w:color="auto"/>
      </w:divBdr>
    </w:div>
    <w:div w:id="290206448">
      <w:bodyDiv w:val="1"/>
      <w:marLeft w:val="0"/>
      <w:marRight w:val="0"/>
      <w:marTop w:val="0"/>
      <w:marBottom w:val="0"/>
      <w:divBdr>
        <w:top w:val="none" w:sz="0" w:space="0" w:color="auto"/>
        <w:left w:val="none" w:sz="0" w:space="0" w:color="auto"/>
        <w:bottom w:val="none" w:sz="0" w:space="0" w:color="auto"/>
        <w:right w:val="none" w:sz="0" w:space="0" w:color="auto"/>
      </w:divBdr>
    </w:div>
    <w:div w:id="313069363">
      <w:bodyDiv w:val="1"/>
      <w:marLeft w:val="0"/>
      <w:marRight w:val="0"/>
      <w:marTop w:val="0"/>
      <w:marBottom w:val="0"/>
      <w:divBdr>
        <w:top w:val="none" w:sz="0" w:space="0" w:color="auto"/>
        <w:left w:val="none" w:sz="0" w:space="0" w:color="auto"/>
        <w:bottom w:val="none" w:sz="0" w:space="0" w:color="auto"/>
        <w:right w:val="none" w:sz="0" w:space="0" w:color="auto"/>
      </w:divBdr>
    </w:div>
    <w:div w:id="313459472">
      <w:bodyDiv w:val="1"/>
      <w:marLeft w:val="0"/>
      <w:marRight w:val="0"/>
      <w:marTop w:val="0"/>
      <w:marBottom w:val="0"/>
      <w:divBdr>
        <w:top w:val="none" w:sz="0" w:space="0" w:color="auto"/>
        <w:left w:val="none" w:sz="0" w:space="0" w:color="auto"/>
        <w:bottom w:val="none" w:sz="0" w:space="0" w:color="auto"/>
        <w:right w:val="none" w:sz="0" w:space="0" w:color="auto"/>
      </w:divBdr>
    </w:div>
    <w:div w:id="338394237">
      <w:bodyDiv w:val="1"/>
      <w:marLeft w:val="0"/>
      <w:marRight w:val="0"/>
      <w:marTop w:val="0"/>
      <w:marBottom w:val="0"/>
      <w:divBdr>
        <w:top w:val="none" w:sz="0" w:space="0" w:color="auto"/>
        <w:left w:val="none" w:sz="0" w:space="0" w:color="auto"/>
        <w:bottom w:val="none" w:sz="0" w:space="0" w:color="auto"/>
        <w:right w:val="none" w:sz="0" w:space="0" w:color="auto"/>
      </w:divBdr>
    </w:div>
    <w:div w:id="348526917">
      <w:bodyDiv w:val="1"/>
      <w:marLeft w:val="0"/>
      <w:marRight w:val="0"/>
      <w:marTop w:val="0"/>
      <w:marBottom w:val="0"/>
      <w:divBdr>
        <w:top w:val="none" w:sz="0" w:space="0" w:color="auto"/>
        <w:left w:val="none" w:sz="0" w:space="0" w:color="auto"/>
        <w:bottom w:val="none" w:sz="0" w:space="0" w:color="auto"/>
        <w:right w:val="none" w:sz="0" w:space="0" w:color="auto"/>
      </w:divBdr>
    </w:div>
    <w:div w:id="379594636">
      <w:bodyDiv w:val="1"/>
      <w:marLeft w:val="0"/>
      <w:marRight w:val="0"/>
      <w:marTop w:val="0"/>
      <w:marBottom w:val="0"/>
      <w:divBdr>
        <w:top w:val="none" w:sz="0" w:space="0" w:color="auto"/>
        <w:left w:val="none" w:sz="0" w:space="0" w:color="auto"/>
        <w:bottom w:val="none" w:sz="0" w:space="0" w:color="auto"/>
        <w:right w:val="none" w:sz="0" w:space="0" w:color="auto"/>
      </w:divBdr>
    </w:div>
    <w:div w:id="392703710">
      <w:bodyDiv w:val="1"/>
      <w:marLeft w:val="0"/>
      <w:marRight w:val="0"/>
      <w:marTop w:val="0"/>
      <w:marBottom w:val="0"/>
      <w:divBdr>
        <w:top w:val="none" w:sz="0" w:space="0" w:color="auto"/>
        <w:left w:val="none" w:sz="0" w:space="0" w:color="auto"/>
        <w:bottom w:val="none" w:sz="0" w:space="0" w:color="auto"/>
        <w:right w:val="none" w:sz="0" w:space="0" w:color="auto"/>
      </w:divBdr>
    </w:div>
    <w:div w:id="396707716">
      <w:bodyDiv w:val="1"/>
      <w:marLeft w:val="0"/>
      <w:marRight w:val="0"/>
      <w:marTop w:val="0"/>
      <w:marBottom w:val="0"/>
      <w:divBdr>
        <w:top w:val="none" w:sz="0" w:space="0" w:color="auto"/>
        <w:left w:val="none" w:sz="0" w:space="0" w:color="auto"/>
        <w:bottom w:val="none" w:sz="0" w:space="0" w:color="auto"/>
        <w:right w:val="none" w:sz="0" w:space="0" w:color="auto"/>
      </w:divBdr>
    </w:div>
    <w:div w:id="433788622">
      <w:bodyDiv w:val="1"/>
      <w:marLeft w:val="0"/>
      <w:marRight w:val="0"/>
      <w:marTop w:val="0"/>
      <w:marBottom w:val="0"/>
      <w:divBdr>
        <w:top w:val="none" w:sz="0" w:space="0" w:color="auto"/>
        <w:left w:val="none" w:sz="0" w:space="0" w:color="auto"/>
        <w:bottom w:val="none" w:sz="0" w:space="0" w:color="auto"/>
        <w:right w:val="none" w:sz="0" w:space="0" w:color="auto"/>
      </w:divBdr>
    </w:div>
    <w:div w:id="470828498">
      <w:bodyDiv w:val="1"/>
      <w:marLeft w:val="0"/>
      <w:marRight w:val="0"/>
      <w:marTop w:val="0"/>
      <w:marBottom w:val="0"/>
      <w:divBdr>
        <w:top w:val="none" w:sz="0" w:space="0" w:color="auto"/>
        <w:left w:val="none" w:sz="0" w:space="0" w:color="auto"/>
        <w:bottom w:val="none" w:sz="0" w:space="0" w:color="auto"/>
        <w:right w:val="none" w:sz="0" w:space="0" w:color="auto"/>
      </w:divBdr>
    </w:div>
    <w:div w:id="475613535">
      <w:bodyDiv w:val="1"/>
      <w:marLeft w:val="0"/>
      <w:marRight w:val="0"/>
      <w:marTop w:val="0"/>
      <w:marBottom w:val="0"/>
      <w:divBdr>
        <w:top w:val="none" w:sz="0" w:space="0" w:color="auto"/>
        <w:left w:val="none" w:sz="0" w:space="0" w:color="auto"/>
        <w:bottom w:val="none" w:sz="0" w:space="0" w:color="auto"/>
        <w:right w:val="none" w:sz="0" w:space="0" w:color="auto"/>
      </w:divBdr>
    </w:div>
    <w:div w:id="501051184">
      <w:bodyDiv w:val="1"/>
      <w:marLeft w:val="0"/>
      <w:marRight w:val="0"/>
      <w:marTop w:val="0"/>
      <w:marBottom w:val="0"/>
      <w:divBdr>
        <w:top w:val="none" w:sz="0" w:space="0" w:color="auto"/>
        <w:left w:val="none" w:sz="0" w:space="0" w:color="auto"/>
        <w:bottom w:val="none" w:sz="0" w:space="0" w:color="auto"/>
        <w:right w:val="none" w:sz="0" w:space="0" w:color="auto"/>
      </w:divBdr>
    </w:div>
    <w:div w:id="589460793">
      <w:bodyDiv w:val="1"/>
      <w:marLeft w:val="0"/>
      <w:marRight w:val="0"/>
      <w:marTop w:val="0"/>
      <w:marBottom w:val="0"/>
      <w:divBdr>
        <w:top w:val="none" w:sz="0" w:space="0" w:color="auto"/>
        <w:left w:val="none" w:sz="0" w:space="0" w:color="auto"/>
        <w:bottom w:val="none" w:sz="0" w:space="0" w:color="auto"/>
        <w:right w:val="none" w:sz="0" w:space="0" w:color="auto"/>
      </w:divBdr>
    </w:div>
    <w:div w:id="678628318">
      <w:bodyDiv w:val="1"/>
      <w:marLeft w:val="0"/>
      <w:marRight w:val="0"/>
      <w:marTop w:val="0"/>
      <w:marBottom w:val="0"/>
      <w:divBdr>
        <w:top w:val="none" w:sz="0" w:space="0" w:color="auto"/>
        <w:left w:val="none" w:sz="0" w:space="0" w:color="auto"/>
        <w:bottom w:val="none" w:sz="0" w:space="0" w:color="auto"/>
        <w:right w:val="none" w:sz="0" w:space="0" w:color="auto"/>
      </w:divBdr>
    </w:div>
    <w:div w:id="691959866">
      <w:bodyDiv w:val="1"/>
      <w:marLeft w:val="0"/>
      <w:marRight w:val="0"/>
      <w:marTop w:val="0"/>
      <w:marBottom w:val="0"/>
      <w:divBdr>
        <w:top w:val="none" w:sz="0" w:space="0" w:color="auto"/>
        <w:left w:val="none" w:sz="0" w:space="0" w:color="auto"/>
        <w:bottom w:val="none" w:sz="0" w:space="0" w:color="auto"/>
        <w:right w:val="none" w:sz="0" w:space="0" w:color="auto"/>
      </w:divBdr>
    </w:div>
    <w:div w:id="745686366">
      <w:bodyDiv w:val="1"/>
      <w:marLeft w:val="0"/>
      <w:marRight w:val="0"/>
      <w:marTop w:val="0"/>
      <w:marBottom w:val="0"/>
      <w:divBdr>
        <w:top w:val="none" w:sz="0" w:space="0" w:color="auto"/>
        <w:left w:val="none" w:sz="0" w:space="0" w:color="auto"/>
        <w:bottom w:val="none" w:sz="0" w:space="0" w:color="auto"/>
        <w:right w:val="none" w:sz="0" w:space="0" w:color="auto"/>
      </w:divBdr>
    </w:div>
    <w:div w:id="907572810">
      <w:bodyDiv w:val="1"/>
      <w:marLeft w:val="0"/>
      <w:marRight w:val="0"/>
      <w:marTop w:val="0"/>
      <w:marBottom w:val="0"/>
      <w:divBdr>
        <w:top w:val="none" w:sz="0" w:space="0" w:color="auto"/>
        <w:left w:val="none" w:sz="0" w:space="0" w:color="auto"/>
        <w:bottom w:val="none" w:sz="0" w:space="0" w:color="auto"/>
        <w:right w:val="none" w:sz="0" w:space="0" w:color="auto"/>
      </w:divBdr>
    </w:div>
    <w:div w:id="908539624">
      <w:bodyDiv w:val="1"/>
      <w:marLeft w:val="0"/>
      <w:marRight w:val="0"/>
      <w:marTop w:val="0"/>
      <w:marBottom w:val="0"/>
      <w:divBdr>
        <w:top w:val="none" w:sz="0" w:space="0" w:color="auto"/>
        <w:left w:val="none" w:sz="0" w:space="0" w:color="auto"/>
        <w:bottom w:val="none" w:sz="0" w:space="0" w:color="auto"/>
        <w:right w:val="none" w:sz="0" w:space="0" w:color="auto"/>
      </w:divBdr>
    </w:div>
    <w:div w:id="915894257">
      <w:bodyDiv w:val="1"/>
      <w:marLeft w:val="0"/>
      <w:marRight w:val="0"/>
      <w:marTop w:val="0"/>
      <w:marBottom w:val="0"/>
      <w:divBdr>
        <w:top w:val="none" w:sz="0" w:space="0" w:color="auto"/>
        <w:left w:val="none" w:sz="0" w:space="0" w:color="auto"/>
        <w:bottom w:val="none" w:sz="0" w:space="0" w:color="auto"/>
        <w:right w:val="none" w:sz="0" w:space="0" w:color="auto"/>
      </w:divBdr>
      <w:divsChild>
        <w:div w:id="1858930760">
          <w:marLeft w:val="0"/>
          <w:marRight w:val="0"/>
          <w:marTop w:val="0"/>
          <w:marBottom w:val="0"/>
          <w:divBdr>
            <w:top w:val="none" w:sz="0" w:space="0" w:color="auto"/>
            <w:left w:val="none" w:sz="0" w:space="0" w:color="auto"/>
            <w:bottom w:val="none" w:sz="0" w:space="0" w:color="auto"/>
            <w:right w:val="none" w:sz="0" w:space="0" w:color="auto"/>
          </w:divBdr>
          <w:divsChild>
            <w:div w:id="1791775081">
              <w:marLeft w:val="0"/>
              <w:marRight w:val="0"/>
              <w:marTop w:val="0"/>
              <w:marBottom w:val="0"/>
              <w:divBdr>
                <w:top w:val="none" w:sz="0" w:space="0" w:color="auto"/>
                <w:left w:val="none" w:sz="0" w:space="0" w:color="auto"/>
                <w:bottom w:val="none" w:sz="0" w:space="0" w:color="auto"/>
                <w:right w:val="none" w:sz="0" w:space="0" w:color="auto"/>
              </w:divBdr>
              <w:divsChild>
                <w:div w:id="72944759">
                  <w:marLeft w:val="0"/>
                  <w:marRight w:val="0"/>
                  <w:marTop w:val="0"/>
                  <w:marBottom w:val="0"/>
                  <w:divBdr>
                    <w:top w:val="none" w:sz="0" w:space="0" w:color="auto"/>
                    <w:left w:val="none" w:sz="0" w:space="0" w:color="auto"/>
                    <w:bottom w:val="none" w:sz="0" w:space="0" w:color="auto"/>
                    <w:right w:val="none" w:sz="0" w:space="0" w:color="auto"/>
                  </w:divBdr>
                </w:div>
                <w:div w:id="1073088971">
                  <w:marLeft w:val="0"/>
                  <w:marRight w:val="0"/>
                  <w:marTop w:val="0"/>
                  <w:marBottom w:val="0"/>
                  <w:divBdr>
                    <w:top w:val="none" w:sz="0" w:space="0" w:color="auto"/>
                    <w:left w:val="none" w:sz="0" w:space="0" w:color="auto"/>
                    <w:bottom w:val="none" w:sz="0" w:space="0" w:color="auto"/>
                    <w:right w:val="none" w:sz="0" w:space="0" w:color="auto"/>
                  </w:divBdr>
                </w:div>
                <w:div w:id="1313869577">
                  <w:marLeft w:val="0"/>
                  <w:marRight w:val="0"/>
                  <w:marTop w:val="0"/>
                  <w:marBottom w:val="0"/>
                  <w:divBdr>
                    <w:top w:val="none" w:sz="0" w:space="0" w:color="auto"/>
                    <w:left w:val="none" w:sz="0" w:space="0" w:color="auto"/>
                    <w:bottom w:val="none" w:sz="0" w:space="0" w:color="auto"/>
                    <w:right w:val="none" w:sz="0" w:space="0" w:color="auto"/>
                  </w:divBdr>
                </w:div>
              </w:divsChild>
            </w:div>
            <w:div w:id="2024013880">
              <w:marLeft w:val="0"/>
              <w:marRight w:val="0"/>
              <w:marTop w:val="0"/>
              <w:marBottom w:val="0"/>
              <w:divBdr>
                <w:top w:val="none" w:sz="0" w:space="0" w:color="auto"/>
                <w:left w:val="none" w:sz="0" w:space="0" w:color="auto"/>
                <w:bottom w:val="none" w:sz="0" w:space="0" w:color="auto"/>
                <w:right w:val="none" w:sz="0" w:space="0" w:color="auto"/>
              </w:divBdr>
              <w:divsChild>
                <w:div w:id="1767581692">
                  <w:marLeft w:val="0"/>
                  <w:marRight w:val="0"/>
                  <w:marTop w:val="0"/>
                  <w:marBottom w:val="0"/>
                  <w:divBdr>
                    <w:top w:val="none" w:sz="0" w:space="0" w:color="auto"/>
                    <w:left w:val="none" w:sz="0" w:space="0" w:color="auto"/>
                    <w:bottom w:val="none" w:sz="0" w:space="0" w:color="auto"/>
                    <w:right w:val="none" w:sz="0" w:space="0" w:color="auto"/>
                  </w:divBdr>
                  <w:divsChild>
                    <w:div w:id="188372504">
                      <w:marLeft w:val="0"/>
                      <w:marRight w:val="0"/>
                      <w:marTop w:val="0"/>
                      <w:marBottom w:val="0"/>
                      <w:divBdr>
                        <w:top w:val="none" w:sz="0" w:space="0" w:color="auto"/>
                        <w:left w:val="none" w:sz="0" w:space="0" w:color="auto"/>
                        <w:bottom w:val="none" w:sz="0" w:space="0" w:color="auto"/>
                        <w:right w:val="none" w:sz="0" w:space="0" w:color="auto"/>
                      </w:divBdr>
                      <w:divsChild>
                        <w:div w:id="14163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597244">
      <w:bodyDiv w:val="1"/>
      <w:marLeft w:val="0"/>
      <w:marRight w:val="0"/>
      <w:marTop w:val="0"/>
      <w:marBottom w:val="0"/>
      <w:divBdr>
        <w:top w:val="none" w:sz="0" w:space="0" w:color="auto"/>
        <w:left w:val="none" w:sz="0" w:space="0" w:color="auto"/>
        <w:bottom w:val="none" w:sz="0" w:space="0" w:color="auto"/>
        <w:right w:val="none" w:sz="0" w:space="0" w:color="auto"/>
      </w:divBdr>
    </w:div>
    <w:div w:id="931089448">
      <w:bodyDiv w:val="1"/>
      <w:marLeft w:val="0"/>
      <w:marRight w:val="0"/>
      <w:marTop w:val="0"/>
      <w:marBottom w:val="0"/>
      <w:divBdr>
        <w:top w:val="none" w:sz="0" w:space="0" w:color="auto"/>
        <w:left w:val="none" w:sz="0" w:space="0" w:color="auto"/>
        <w:bottom w:val="none" w:sz="0" w:space="0" w:color="auto"/>
        <w:right w:val="none" w:sz="0" w:space="0" w:color="auto"/>
      </w:divBdr>
    </w:div>
    <w:div w:id="977490223">
      <w:bodyDiv w:val="1"/>
      <w:marLeft w:val="0"/>
      <w:marRight w:val="0"/>
      <w:marTop w:val="0"/>
      <w:marBottom w:val="0"/>
      <w:divBdr>
        <w:top w:val="none" w:sz="0" w:space="0" w:color="auto"/>
        <w:left w:val="none" w:sz="0" w:space="0" w:color="auto"/>
        <w:bottom w:val="none" w:sz="0" w:space="0" w:color="auto"/>
        <w:right w:val="none" w:sz="0" w:space="0" w:color="auto"/>
      </w:divBdr>
      <w:divsChild>
        <w:div w:id="2006737608">
          <w:marLeft w:val="0"/>
          <w:marRight w:val="0"/>
          <w:marTop w:val="100"/>
          <w:marBottom w:val="100"/>
          <w:divBdr>
            <w:top w:val="none" w:sz="0" w:space="0" w:color="auto"/>
            <w:left w:val="none" w:sz="0" w:space="0" w:color="auto"/>
            <w:bottom w:val="none" w:sz="0" w:space="0" w:color="auto"/>
            <w:right w:val="none" w:sz="0" w:space="0" w:color="auto"/>
          </w:divBdr>
          <w:divsChild>
            <w:div w:id="98940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842428">
      <w:bodyDiv w:val="1"/>
      <w:marLeft w:val="0"/>
      <w:marRight w:val="0"/>
      <w:marTop w:val="0"/>
      <w:marBottom w:val="0"/>
      <w:divBdr>
        <w:top w:val="none" w:sz="0" w:space="0" w:color="auto"/>
        <w:left w:val="none" w:sz="0" w:space="0" w:color="auto"/>
        <w:bottom w:val="none" w:sz="0" w:space="0" w:color="auto"/>
        <w:right w:val="none" w:sz="0" w:space="0" w:color="auto"/>
      </w:divBdr>
    </w:div>
    <w:div w:id="1091506831">
      <w:bodyDiv w:val="1"/>
      <w:marLeft w:val="0"/>
      <w:marRight w:val="0"/>
      <w:marTop w:val="0"/>
      <w:marBottom w:val="0"/>
      <w:divBdr>
        <w:top w:val="none" w:sz="0" w:space="0" w:color="auto"/>
        <w:left w:val="none" w:sz="0" w:space="0" w:color="auto"/>
        <w:bottom w:val="none" w:sz="0" w:space="0" w:color="auto"/>
        <w:right w:val="none" w:sz="0" w:space="0" w:color="auto"/>
      </w:divBdr>
    </w:div>
    <w:div w:id="1298952975">
      <w:bodyDiv w:val="1"/>
      <w:marLeft w:val="0"/>
      <w:marRight w:val="0"/>
      <w:marTop w:val="0"/>
      <w:marBottom w:val="0"/>
      <w:divBdr>
        <w:top w:val="none" w:sz="0" w:space="0" w:color="auto"/>
        <w:left w:val="none" w:sz="0" w:space="0" w:color="auto"/>
        <w:bottom w:val="none" w:sz="0" w:space="0" w:color="auto"/>
        <w:right w:val="none" w:sz="0" w:space="0" w:color="auto"/>
      </w:divBdr>
      <w:divsChild>
        <w:div w:id="557010916">
          <w:marLeft w:val="0"/>
          <w:marRight w:val="0"/>
          <w:marTop w:val="0"/>
          <w:marBottom w:val="0"/>
          <w:divBdr>
            <w:top w:val="none" w:sz="0" w:space="0" w:color="auto"/>
            <w:left w:val="none" w:sz="0" w:space="0" w:color="auto"/>
            <w:bottom w:val="none" w:sz="0" w:space="0" w:color="auto"/>
            <w:right w:val="none" w:sz="0" w:space="0" w:color="auto"/>
          </w:divBdr>
          <w:divsChild>
            <w:div w:id="80027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20938">
      <w:bodyDiv w:val="1"/>
      <w:marLeft w:val="0"/>
      <w:marRight w:val="0"/>
      <w:marTop w:val="0"/>
      <w:marBottom w:val="0"/>
      <w:divBdr>
        <w:top w:val="none" w:sz="0" w:space="0" w:color="auto"/>
        <w:left w:val="none" w:sz="0" w:space="0" w:color="auto"/>
        <w:bottom w:val="none" w:sz="0" w:space="0" w:color="auto"/>
        <w:right w:val="none" w:sz="0" w:space="0" w:color="auto"/>
      </w:divBdr>
    </w:div>
    <w:div w:id="1378772521">
      <w:bodyDiv w:val="1"/>
      <w:marLeft w:val="0"/>
      <w:marRight w:val="0"/>
      <w:marTop w:val="0"/>
      <w:marBottom w:val="0"/>
      <w:divBdr>
        <w:top w:val="none" w:sz="0" w:space="0" w:color="auto"/>
        <w:left w:val="none" w:sz="0" w:space="0" w:color="auto"/>
        <w:bottom w:val="none" w:sz="0" w:space="0" w:color="auto"/>
        <w:right w:val="none" w:sz="0" w:space="0" w:color="auto"/>
      </w:divBdr>
    </w:div>
    <w:div w:id="1441142208">
      <w:bodyDiv w:val="1"/>
      <w:marLeft w:val="0"/>
      <w:marRight w:val="0"/>
      <w:marTop w:val="0"/>
      <w:marBottom w:val="0"/>
      <w:divBdr>
        <w:top w:val="none" w:sz="0" w:space="0" w:color="auto"/>
        <w:left w:val="none" w:sz="0" w:space="0" w:color="auto"/>
        <w:bottom w:val="none" w:sz="0" w:space="0" w:color="auto"/>
        <w:right w:val="none" w:sz="0" w:space="0" w:color="auto"/>
      </w:divBdr>
    </w:div>
    <w:div w:id="1445534825">
      <w:bodyDiv w:val="1"/>
      <w:marLeft w:val="0"/>
      <w:marRight w:val="0"/>
      <w:marTop w:val="0"/>
      <w:marBottom w:val="0"/>
      <w:divBdr>
        <w:top w:val="none" w:sz="0" w:space="0" w:color="auto"/>
        <w:left w:val="none" w:sz="0" w:space="0" w:color="auto"/>
        <w:bottom w:val="none" w:sz="0" w:space="0" w:color="auto"/>
        <w:right w:val="none" w:sz="0" w:space="0" w:color="auto"/>
      </w:divBdr>
    </w:div>
    <w:div w:id="1482232243">
      <w:bodyDiv w:val="1"/>
      <w:marLeft w:val="0"/>
      <w:marRight w:val="0"/>
      <w:marTop w:val="0"/>
      <w:marBottom w:val="0"/>
      <w:divBdr>
        <w:top w:val="none" w:sz="0" w:space="0" w:color="auto"/>
        <w:left w:val="none" w:sz="0" w:space="0" w:color="auto"/>
        <w:bottom w:val="none" w:sz="0" w:space="0" w:color="auto"/>
        <w:right w:val="none" w:sz="0" w:space="0" w:color="auto"/>
      </w:divBdr>
    </w:div>
    <w:div w:id="1502548590">
      <w:bodyDiv w:val="1"/>
      <w:marLeft w:val="0"/>
      <w:marRight w:val="0"/>
      <w:marTop w:val="0"/>
      <w:marBottom w:val="0"/>
      <w:divBdr>
        <w:top w:val="none" w:sz="0" w:space="0" w:color="auto"/>
        <w:left w:val="none" w:sz="0" w:space="0" w:color="auto"/>
        <w:bottom w:val="none" w:sz="0" w:space="0" w:color="auto"/>
        <w:right w:val="none" w:sz="0" w:space="0" w:color="auto"/>
      </w:divBdr>
    </w:div>
    <w:div w:id="1507134300">
      <w:bodyDiv w:val="1"/>
      <w:marLeft w:val="0"/>
      <w:marRight w:val="0"/>
      <w:marTop w:val="0"/>
      <w:marBottom w:val="0"/>
      <w:divBdr>
        <w:top w:val="none" w:sz="0" w:space="0" w:color="auto"/>
        <w:left w:val="none" w:sz="0" w:space="0" w:color="auto"/>
        <w:bottom w:val="none" w:sz="0" w:space="0" w:color="auto"/>
        <w:right w:val="none" w:sz="0" w:space="0" w:color="auto"/>
      </w:divBdr>
    </w:div>
    <w:div w:id="1543517467">
      <w:bodyDiv w:val="1"/>
      <w:marLeft w:val="0"/>
      <w:marRight w:val="0"/>
      <w:marTop w:val="0"/>
      <w:marBottom w:val="0"/>
      <w:divBdr>
        <w:top w:val="none" w:sz="0" w:space="0" w:color="auto"/>
        <w:left w:val="none" w:sz="0" w:space="0" w:color="auto"/>
        <w:bottom w:val="none" w:sz="0" w:space="0" w:color="auto"/>
        <w:right w:val="none" w:sz="0" w:space="0" w:color="auto"/>
      </w:divBdr>
    </w:div>
    <w:div w:id="1551190848">
      <w:bodyDiv w:val="1"/>
      <w:marLeft w:val="0"/>
      <w:marRight w:val="0"/>
      <w:marTop w:val="0"/>
      <w:marBottom w:val="0"/>
      <w:divBdr>
        <w:top w:val="none" w:sz="0" w:space="0" w:color="auto"/>
        <w:left w:val="none" w:sz="0" w:space="0" w:color="auto"/>
        <w:bottom w:val="none" w:sz="0" w:space="0" w:color="auto"/>
        <w:right w:val="none" w:sz="0" w:space="0" w:color="auto"/>
      </w:divBdr>
    </w:div>
    <w:div w:id="1609042668">
      <w:bodyDiv w:val="1"/>
      <w:marLeft w:val="0"/>
      <w:marRight w:val="0"/>
      <w:marTop w:val="0"/>
      <w:marBottom w:val="0"/>
      <w:divBdr>
        <w:top w:val="none" w:sz="0" w:space="0" w:color="auto"/>
        <w:left w:val="none" w:sz="0" w:space="0" w:color="auto"/>
        <w:bottom w:val="none" w:sz="0" w:space="0" w:color="auto"/>
        <w:right w:val="none" w:sz="0" w:space="0" w:color="auto"/>
      </w:divBdr>
    </w:div>
    <w:div w:id="1615484079">
      <w:bodyDiv w:val="1"/>
      <w:marLeft w:val="0"/>
      <w:marRight w:val="0"/>
      <w:marTop w:val="0"/>
      <w:marBottom w:val="0"/>
      <w:divBdr>
        <w:top w:val="none" w:sz="0" w:space="0" w:color="auto"/>
        <w:left w:val="none" w:sz="0" w:space="0" w:color="auto"/>
        <w:bottom w:val="none" w:sz="0" w:space="0" w:color="auto"/>
        <w:right w:val="none" w:sz="0" w:space="0" w:color="auto"/>
      </w:divBdr>
      <w:divsChild>
        <w:div w:id="1715697224">
          <w:marLeft w:val="0"/>
          <w:marRight w:val="0"/>
          <w:marTop w:val="0"/>
          <w:marBottom w:val="0"/>
          <w:divBdr>
            <w:top w:val="none" w:sz="0" w:space="0" w:color="auto"/>
            <w:left w:val="none" w:sz="0" w:space="0" w:color="auto"/>
            <w:bottom w:val="none" w:sz="0" w:space="0" w:color="auto"/>
            <w:right w:val="none" w:sz="0" w:space="0" w:color="auto"/>
          </w:divBdr>
          <w:divsChild>
            <w:div w:id="1712681728">
              <w:marLeft w:val="0"/>
              <w:marRight w:val="0"/>
              <w:marTop w:val="0"/>
              <w:marBottom w:val="0"/>
              <w:divBdr>
                <w:top w:val="none" w:sz="0" w:space="0" w:color="auto"/>
                <w:left w:val="none" w:sz="0" w:space="0" w:color="auto"/>
                <w:bottom w:val="none" w:sz="0" w:space="0" w:color="auto"/>
                <w:right w:val="none" w:sz="0" w:space="0" w:color="auto"/>
              </w:divBdr>
              <w:divsChild>
                <w:div w:id="485244942">
                  <w:marLeft w:val="0"/>
                  <w:marRight w:val="0"/>
                  <w:marTop w:val="0"/>
                  <w:marBottom w:val="0"/>
                  <w:divBdr>
                    <w:top w:val="none" w:sz="0" w:space="0" w:color="auto"/>
                    <w:left w:val="none" w:sz="0" w:space="0" w:color="auto"/>
                    <w:bottom w:val="none" w:sz="0" w:space="0" w:color="auto"/>
                    <w:right w:val="none" w:sz="0" w:space="0" w:color="auto"/>
                  </w:divBdr>
                  <w:divsChild>
                    <w:div w:id="1559631944">
                      <w:marLeft w:val="0"/>
                      <w:marRight w:val="0"/>
                      <w:marTop w:val="0"/>
                      <w:marBottom w:val="0"/>
                      <w:divBdr>
                        <w:top w:val="none" w:sz="0" w:space="0" w:color="auto"/>
                        <w:left w:val="none" w:sz="0" w:space="0" w:color="auto"/>
                        <w:bottom w:val="none" w:sz="0" w:space="0" w:color="auto"/>
                        <w:right w:val="none" w:sz="0" w:space="0" w:color="auto"/>
                      </w:divBdr>
                      <w:divsChild>
                        <w:div w:id="192560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700108">
      <w:bodyDiv w:val="1"/>
      <w:marLeft w:val="0"/>
      <w:marRight w:val="0"/>
      <w:marTop w:val="0"/>
      <w:marBottom w:val="0"/>
      <w:divBdr>
        <w:top w:val="none" w:sz="0" w:space="0" w:color="auto"/>
        <w:left w:val="none" w:sz="0" w:space="0" w:color="auto"/>
        <w:bottom w:val="none" w:sz="0" w:space="0" w:color="auto"/>
        <w:right w:val="none" w:sz="0" w:space="0" w:color="auto"/>
      </w:divBdr>
    </w:div>
    <w:div w:id="1697269466">
      <w:bodyDiv w:val="1"/>
      <w:marLeft w:val="0"/>
      <w:marRight w:val="0"/>
      <w:marTop w:val="0"/>
      <w:marBottom w:val="0"/>
      <w:divBdr>
        <w:top w:val="none" w:sz="0" w:space="0" w:color="auto"/>
        <w:left w:val="none" w:sz="0" w:space="0" w:color="auto"/>
        <w:bottom w:val="none" w:sz="0" w:space="0" w:color="auto"/>
        <w:right w:val="none" w:sz="0" w:space="0" w:color="auto"/>
      </w:divBdr>
    </w:div>
    <w:div w:id="1748306983">
      <w:bodyDiv w:val="1"/>
      <w:marLeft w:val="0"/>
      <w:marRight w:val="0"/>
      <w:marTop w:val="0"/>
      <w:marBottom w:val="0"/>
      <w:divBdr>
        <w:top w:val="none" w:sz="0" w:space="0" w:color="auto"/>
        <w:left w:val="none" w:sz="0" w:space="0" w:color="auto"/>
        <w:bottom w:val="none" w:sz="0" w:space="0" w:color="auto"/>
        <w:right w:val="none" w:sz="0" w:space="0" w:color="auto"/>
      </w:divBdr>
    </w:div>
    <w:div w:id="1752700413">
      <w:bodyDiv w:val="1"/>
      <w:marLeft w:val="0"/>
      <w:marRight w:val="0"/>
      <w:marTop w:val="0"/>
      <w:marBottom w:val="0"/>
      <w:divBdr>
        <w:top w:val="none" w:sz="0" w:space="0" w:color="auto"/>
        <w:left w:val="none" w:sz="0" w:space="0" w:color="auto"/>
        <w:bottom w:val="none" w:sz="0" w:space="0" w:color="auto"/>
        <w:right w:val="none" w:sz="0" w:space="0" w:color="auto"/>
      </w:divBdr>
    </w:div>
    <w:div w:id="1882285603">
      <w:bodyDiv w:val="1"/>
      <w:marLeft w:val="0"/>
      <w:marRight w:val="0"/>
      <w:marTop w:val="0"/>
      <w:marBottom w:val="0"/>
      <w:divBdr>
        <w:top w:val="none" w:sz="0" w:space="0" w:color="auto"/>
        <w:left w:val="none" w:sz="0" w:space="0" w:color="auto"/>
        <w:bottom w:val="none" w:sz="0" w:space="0" w:color="auto"/>
        <w:right w:val="none" w:sz="0" w:space="0" w:color="auto"/>
      </w:divBdr>
      <w:divsChild>
        <w:div w:id="12650626">
          <w:marLeft w:val="0"/>
          <w:marRight w:val="0"/>
          <w:marTop w:val="0"/>
          <w:marBottom w:val="0"/>
          <w:divBdr>
            <w:top w:val="none" w:sz="0" w:space="0" w:color="auto"/>
            <w:left w:val="none" w:sz="0" w:space="0" w:color="auto"/>
            <w:bottom w:val="none" w:sz="0" w:space="0" w:color="auto"/>
            <w:right w:val="none" w:sz="0" w:space="0" w:color="auto"/>
          </w:divBdr>
        </w:div>
        <w:div w:id="815297635">
          <w:marLeft w:val="0"/>
          <w:marRight w:val="0"/>
          <w:marTop w:val="0"/>
          <w:marBottom w:val="0"/>
          <w:divBdr>
            <w:top w:val="none" w:sz="0" w:space="0" w:color="auto"/>
            <w:left w:val="none" w:sz="0" w:space="0" w:color="auto"/>
            <w:bottom w:val="none" w:sz="0" w:space="0" w:color="auto"/>
            <w:right w:val="none" w:sz="0" w:space="0" w:color="auto"/>
          </w:divBdr>
        </w:div>
      </w:divsChild>
    </w:div>
    <w:div w:id="1896699024">
      <w:bodyDiv w:val="1"/>
      <w:marLeft w:val="0"/>
      <w:marRight w:val="0"/>
      <w:marTop w:val="0"/>
      <w:marBottom w:val="0"/>
      <w:divBdr>
        <w:top w:val="none" w:sz="0" w:space="0" w:color="auto"/>
        <w:left w:val="none" w:sz="0" w:space="0" w:color="auto"/>
        <w:bottom w:val="none" w:sz="0" w:space="0" w:color="auto"/>
        <w:right w:val="none" w:sz="0" w:space="0" w:color="auto"/>
      </w:divBdr>
    </w:div>
    <w:div w:id="1952783185">
      <w:bodyDiv w:val="1"/>
      <w:marLeft w:val="0"/>
      <w:marRight w:val="0"/>
      <w:marTop w:val="0"/>
      <w:marBottom w:val="0"/>
      <w:divBdr>
        <w:top w:val="none" w:sz="0" w:space="0" w:color="auto"/>
        <w:left w:val="none" w:sz="0" w:space="0" w:color="auto"/>
        <w:bottom w:val="none" w:sz="0" w:space="0" w:color="auto"/>
        <w:right w:val="none" w:sz="0" w:space="0" w:color="auto"/>
      </w:divBdr>
    </w:div>
    <w:div w:id="1955672663">
      <w:bodyDiv w:val="1"/>
      <w:marLeft w:val="0"/>
      <w:marRight w:val="0"/>
      <w:marTop w:val="0"/>
      <w:marBottom w:val="0"/>
      <w:divBdr>
        <w:top w:val="none" w:sz="0" w:space="0" w:color="auto"/>
        <w:left w:val="none" w:sz="0" w:space="0" w:color="auto"/>
        <w:bottom w:val="none" w:sz="0" w:space="0" w:color="auto"/>
        <w:right w:val="none" w:sz="0" w:space="0" w:color="auto"/>
      </w:divBdr>
    </w:div>
    <w:div w:id="2027512960">
      <w:bodyDiv w:val="1"/>
      <w:marLeft w:val="0"/>
      <w:marRight w:val="0"/>
      <w:marTop w:val="0"/>
      <w:marBottom w:val="0"/>
      <w:divBdr>
        <w:top w:val="none" w:sz="0" w:space="0" w:color="auto"/>
        <w:left w:val="none" w:sz="0" w:space="0" w:color="auto"/>
        <w:bottom w:val="none" w:sz="0" w:space="0" w:color="auto"/>
        <w:right w:val="none" w:sz="0" w:space="0" w:color="auto"/>
      </w:divBdr>
    </w:div>
    <w:div w:id="2062556917">
      <w:bodyDiv w:val="1"/>
      <w:marLeft w:val="0"/>
      <w:marRight w:val="0"/>
      <w:marTop w:val="0"/>
      <w:marBottom w:val="0"/>
      <w:divBdr>
        <w:top w:val="none" w:sz="0" w:space="0" w:color="auto"/>
        <w:left w:val="none" w:sz="0" w:space="0" w:color="auto"/>
        <w:bottom w:val="none" w:sz="0" w:space="0" w:color="auto"/>
        <w:right w:val="none" w:sz="0" w:space="0" w:color="auto"/>
      </w:divBdr>
    </w:div>
    <w:div w:id="2078360311">
      <w:bodyDiv w:val="1"/>
      <w:marLeft w:val="0"/>
      <w:marRight w:val="0"/>
      <w:marTop w:val="0"/>
      <w:marBottom w:val="0"/>
      <w:divBdr>
        <w:top w:val="none" w:sz="0" w:space="0" w:color="auto"/>
        <w:left w:val="none" w:sz="0" w:space="0" w:color="auto"/>
        <w:bottom w:val="none" w:sz="0" w:space="0" w:color="auto"/>
        <w:right w:val="none" w:sz="0" w:space="0" w:color="auto"/>
      </w:divBdr>
    </w:div>
    <w:div w:id="207847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p-mop-10/cp-mop-10-dec-10-en.pdf" TargetMode="External"/><Relationship Id="rId26" Type="http://schemas.openxmlformats.org/officeDocument/2006/relationships/image" Target="media/image8.png"/><Relationship Id="rId39" Type="http://schemas.openxmlformats.org/officeDocument/2006/relationships/hyperlink" Target="https://www.who.int/news-room/fact-sheets/detail/lymphatic-filariasis" TargetMode="External"/><Relationship Id="rId21" Type="http://schemas.openxmlformats.org/officeDocument/2006/relationships/hyperlink" Target="https://www.cbd.int/doc/decisions/cp-mop-10/cp-mop-10-dec-10-en.pdf" TargetMode="External"/><Relationship Id="rId34" Type="http://schemas.openxmlformats.org/officeDocument/2006/relationships/hyperlink" Target="https://www.ecdc.europa.eu/en/disease-vectors/facts/mosquito-factsheets/aedes-aegypti" TargetMode="External"/><Relationship Id="rId42" Type="http://schemas.openxmlformats.org/officeDocument/2006/relationships/hyperlink" Target="https://www.cbd.int/liability" TargetMode="External"/><Relationship Id="rId47" Type="http://schemas.openxmlformats.org/officeDocument/2006/relationships/hyperlink" Target="https://www" TargetMode="External"/><Relationship Id="rId50" Type="http://schemas.openxmlformats.org/officeDocument/2006/relationships/hyperlink" Target="https://iris.who.int/bitstream/handle/10665/67358/WHO_IPCS_IRA_01_12.pdf?sequence=1" TargetMode="External"/><Relationship Id="rId55"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cbd.int/doc/decisions/cop-14/cop-14-dec-19-en.pdf" TargetMode="External"/><Relationship Id="rId11" Type="http://schemas.openxmlformats.org/officeDocument/2006/relationships/image" Target="media/image1.emf"/><Relationship Id="rId24" Type="http://schemas.openxmlformats.org/officeDocument/2006/relationships/image" Target="media/image6.jpeg"/><Relationship Id="rId32" Type="http://schemas.openxmlformats.org/officeDocument/2006/relationships/hyperlink" Target="https://genedrives.ch/report" TargetMode="External"/><Relationship Id="rId37" Type="http://schemas.openxmlformats.org/officeDocument/2006/relationships/hyperlink" Target="https://exeedqm.com/new-blog/iso-14971-basic-concepts-hazard-hazardous-situation-and-harm" TargetMode="External"/><Relationship Id="rId40" Type="http://schemas.openxmlformats.org/officeDocument/2006/relationships/hyperlink" Target="https://www.iucngisd.org/gisd/100_worst.php" TargetMode="External"/><Relationship Id="rId45" Type="http://schemas.openxmlformats.org/officeDocument/2006/relationships/hyperlink" Target="https://iris.who.int/bitstream/handle/10665/349442/9789240038400-eng.pdf?sequence=1" TargetMode="External"/><Relationship Id="rId53" Type="http://schemas.openxmlformats.org/officeDocument/2006/relationships/hyperlink" Target="https://www.who.int/news-room/fact-sheets/detail/yellow-fever"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cbd.int/doc/decisions/cp-mop-09/cp-mop-09-dec-13-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hyperlink" Target="https://www.cbd.int/doc/c/0215/0803/cb8d71c24d40c683e6dafb0a/cp-mop-09-10-en.pdf" TargetMode="External"/><Relationship Id="rId30" Type="http://schemas.openxmlformats.org/officeDocument/2006/relationships/hyperlink" Target="https://www.cbd.int/doc/decisions/cop-13/cop-13-dec-18-en.pdf" TargetMode="External"/><Relationship Id="rId35" Type="http://schemas.openxmlformats.org/officeDocument/2006/relationships/hyperlink" Target="https://www.efsa.europa.eu/en/glossary-taxonomy-terms" TargetMode="External"/><Relationship Id="rId43" Type="http://schemas.openxmlformats.org/officeDocument/2006/relationships/hyperlink" Target="https://vizhub.healthdata.org/gbd-compare/" TargetMode="External"/><Relationship Id="rId48" Type="http://schemas.openxmlformats.org/officeDocument/2006/relationships/hyperlink" Target="https://www.who.int/news-room/fact-sheets/detail/chikungunya" TargetMode="External"/><Relationship Id="rId56"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s://www.who.int/news-room/fact-sheets/detail/vector-borne-diseases"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7.png"/><Relationship Id="rId33" Type="http://schemas.openxmlformats.org/officeDocument/2006/relationships/hyperlink" Target="https://www.zora.uzh.ch/id/eprint/195859/1/Swiss_Academies_Factsheets_2020_vol-15-no-4.pdf" TargetMode="External"/><Relationship Id="rId38" Type="http://schemas.openxmlformats.org/officeDocument/2006/relationships/hyperlink" Target="https://www.fao.org/pest-and-pesticide-management/ipm/integrated-pest-management/en/" TargetMode="External"/><Relationship Id="rId46" Type="http://schemas.openxmlformats.org/officeDocument/2006/relationships/hyperlink" Target="https://tdr.who.int/publications/i/item/2014-06-26-the-guidance-framework-for-testing-genetically-modified-mosquitoes" TargetMode="External"/><Relationship Id="rId20" Type="http://schemas.openxmlformats.org/officeDocument/2006/relationships/hyperlink" Target="https://www.cbd.int/doc/decisions/cp-mop-10/cp-mop-10-dec-10-en.pdf" TargetMode="External"/><Relationship Id="rId41" Type="http://schemas.openxmlformats.org/officeDocument/2006/relationships/hyperlink" Target="https://www.frontiersin.org/articles/10.3389/feart.2021.628315/full" TargetMode="External"/><Relationship Id="rId54" Type="http://schemas.openxmlformats.org/officeDocument/2006/relationships/hyperlink" Target="https://www.who.int/news-room/fact-sheets/detail/zika-viru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5.jpeg"/><Relationship Id="rId28" Type="http://schemas.openxmlformats.org/officeDocument/2006/relationships/hyperlink" Target="https://www.cbd.int/doc/decisions/cop-07/cop-07-dec-16-en.pdf" TargetMode="External"/><Relationship Id="rId36" Type="http://schemas.openxmlformats.org/officeDocument/2006/relationships/hyperlink" Target="https://www.efsa.europa.eu/en/discover/infographics/hazard-vs-risk" TargetMode="External"/><Relationship Id="rId49" Type="http://schemas.openxmlformats.org/officeDocument/2006/relationships/hyperlink" Target="https://www.who.int/news-room/fact-sheets/detail/dengue-and-severe-dengue"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nature.com/articles/s41467-020-19426-0" TargetMode="External"/><Relationship Id="rId44" Type="http://schemas.openxmlformats.org/officeDocument/2006/relationships/hyperlink" Target="https://www.epa.gov/sites/default/files/2014-11/documents/eco_risk_assessment1998.pdf" TargetMode="External"/><Relationship Id="rId52" Type="http://schemas.openxmlformats.org/officeDocument/2006/relationships/hyperlink" Target="https://www.who.int/news-room/feature-stories/detail/who-scales-up-response-to-worldwide-surge-in-dengu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cbd.int/convention/articles/?a=cbd-a1" TargetMode="External"/><Relationship Id="rId2" Type="http://schemas.openxmlformats.org/officeDocument/2006/relationships/hyperlink" Target="http://www.cbd.int/doc/meetings/bs/mop-08/official/bs-mop-08-08-add1-en.pdf" TargetMode="External"/><Relationship Id="rId1" Type="http://schemas.openxmlformats.org/officeDocument/2006/relationships/hyperlink" Target="https://bch.cbd.int/protocol/" TargetMode="External"/><Relationship Id="rId4" Type="http://schemas.openxmlformats.org/officeDocument/2006/relationships/hyperlink" Target="http://www.cbd.int/doc/meetings/bs/mop-08/official/bs-mop-08-08-add1-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DCE4A-5424-4F76-B4D8-DC2E45DF9845}">
  <ds:schemaRefs>
    <ds:schemaRef ds:uri="http://schemas.microsoft.com/sharepoint/v3/contenttype/forms"/>
  </ds:schemaRefs>
</ds:datastoreItem>
</file>

<file path=customXml/itemProps2.xml><?xml version="1.0" encoding="utf-8"?>
<ds:datastoreItem xmlns:ds="http://schemas.openxmlformats.org/officeDocument/2006/customXml" ds:itemID="{72AEB3F0-BA64-49CE-9B3B-A2AE67FF3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29E2DD-0768-43D6-9207-A04D476B49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D6041633-BCB3-4CC7-9948-854BA10D53EC}">
  <ds:schemaRefs>
    <ds:schemaRef ds:uri="http://schemas.openxmlformats.org/officeDocument/2006/bibliography"/>
  </ds:schemaRefs>
</ds:datastoreItem>
</file>

<file path=docMetadata/LabelInfo.xml><?xml version="1.0" encoding="utf-8"?>
<clbl:labelList xmlns:clbl="http://schemas.microsoft.com/office/2020/mipLabelMetadata">
  <clbl:label id="{406a174b-e315-48bd-aa0a-cdaddc44250b}" enabled="0" method="" siteId="{406a174b-e315-48bd-aa0a-cdaddc44250b}" removed="1"/>
</clbl:labelList>
</file>

<file path=docProps/app.xml><?xml version="1.0" encoding="utf-8"?>
<Properties xmlns="http://schemas.openxmlformats.org/officeDocument/2006/extended-properties" xmlns:vt="http://schemas.openxmlformats.org/officeDocument/2006/docPropsVTypes">
  <Template>Normal.dotm</Template>
  <TotalTime>48</TotalTime>
  <Pages>96</Pages>
  <Words>42896</Words>
  <Characters>244513</Characters>
  <Application>Microsoft Office Word</Application>
  <DocSecurity>0</DocSecurity>
  <Lines>2037</Lines>
  <Paragraphs>573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Daniel Sparapani</dc:creator>
  <cp:keywords/>
  <dc:description/>
  <cp:lastModifiedBy>Veronique Lefebvre</cp:lastModifiedBy>
  <cp:revision>20</cp:revision>
  <cp:lastPrinted>2024-03-21T17:50:00Z</cp:lastPrinted>
  <dcterms:created xsi:type="dcterms:W3CDTF">2024-03-21T17:11:00Z</dcterms:created>
  <dcterms:modified xsi:type="dcterms:W3CDTF">2024-03-21T15:34:00Z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