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5454F5" w:rsidRPr="00714A4B" w14:paraId="5D0DB6B0" w14:textId="77777777" w:rsidTr="00702CDC">
        <w:trPr>
          <w:trHeight w:val="851"/>
        </w:trPr>
        <w:tc>
          <w:tcPr>
            <w:tcW w:w="800" w:type="dxa"/>
            <w:tcBorders>
              <w:bottom w:val="single" w:sz="12" w:space="0" w:color="auto"/>
            </w:tcBorders>
          </w:tcPr>
          <w:p w14:paraId="161666EC" w14:textId="77777777" w:rsidR="005454F5" w:rsidRPr="00714A4B" w:rsidRDefault="005454F5" w:rsidP="00702CDC">
            <w:pPr>
              <w:rPr>
                <w:snapToGrid w:val="0"/>
                <w:kern w:val="22"/>
              </w:rPr>
            </w:pPr>
            <w:r w:rsidRPr="00714A4B">
              <w:rPr>
                <w:noProof/>
                <w:snapToGrid w:val="0"/>
                <w:kern w:val="22"/>
              </w:rPr>
              <w:drawing>
                <wp:anchor distT="0" distB="0" distL="114300" distR="114300" simplePos="0" relativeHeight="251658241" behindDoc="0" locked="0" layoutInCell="1" allowOverlap="1" wp14:anchorId="238F7870" wp14:editId="520C2B2A">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747730BE" w14:textId="77777777" w:rsidR="005454F5" w:rsidRPr="00714A4B" w:rsidRDefault="005454F5" w:rsidP="00702CDC">
            <w:pPr>
              <w:rPr>
                <w:snapToGrid w:val="0"/>
                <w:kern w:val="22"/>
              </w:rPr>
            </w:pPr>
            <w:r w:rsidRPr="00714A4B">
              <w:rPr>
                <w:noProof/>
                <w:snapToGrid w:val="0"/>
              </w:rPr>
              <w:drawing>
                <wp:anchor distT="0" distB="0" distL="114300" distR="114300" simplePos="0" relativeHeight="251658240" behindDoc="0" locked="0" layoutInCell="1" allowOverlap="1" wp14:anchorId="37E0D93A" wp14:editId="47FA6049">
                  <wp:simplePos x="0" y="0"/>
                  <wp:positionH relativeFrom="column">
                    <wp:posOffset>-176140</wp:posOffset>
                  </wp:positionH>
                  <wp:positionV relativeFrom="page">
                    <wp:posOffset>-77943</wp:posOffset>
                  </wp:positionV>
                  <wp:extent cx="941011" cy="5933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6873" cy="597083"/>
                          </a:xfrm>
                          <a:prstGeom prst="rect">
                            <a:avLst/>
                          </a:prstGeom>
                        </pic:spPr>
                      </pic:pic>
                    </a:graphicData>
                  </a:graphic>
                  <wp14:sizeRelH relativeFrom="margin">
                    <wp14:pctWidth>0</wp14:pctWidth>
                  </wp14:sizeRelH>
                  <wp14:sizeRelV relativeFrom="margin">
                    <wp14:pctHeight>0</wp14:pctHeight>
                  </wp14:sizeRelV>
                </wp:anchor>
              </w:drawing>
            </w:r>
          </w:p>
        </w:tc>
        <w:tc>
          <w:tcPr>
            <w:tcW w:w="4090" w:type="dxa"/>
            <w:tcBorders>
              <w:bottom w:val="single" w:sz="12" w:space="0" w:color="auto"/>
            </w:tcBorders>
          </w:tcPr>
          <w:p w14:paraId="1B95CE08" w14:textId="77777777" w:rsidR="005454F5" w:rsidRPr="00714A4B" w:rsidRDefault="005454F5" w:rsidP="00702CDC">
            <w:pPr>
              <w:jc w:val="right"/>
              <w:rPr>
                <w:rFonts w:ascii="Arial" w:hAnsi="Arial" w:cs="Arial"/>
                <w:b/>
                <w:snapToGrid w:val="0"/>
                <w:kern w:val="22"/>
                <w:sz w:val="32"/>
                <w:szCs w:val="32"/>
              </w:rPr>
            </w:pPr>
            <w:r w:rsidRPr="00714A4B">
              <w:rPr>
                <w:rFonts w:ascii="Arial" w:hAnsi="Arial" w:cs="Arial"/>
                <w:b/>
                <w:snapToGrid w:val="0"/>
                <w:kern w:val="22"/>
                <w:sz w:val="32"/>
                <w:szCs w:val="32"/>
              </w:rPr>
              <w:t>CBD</w:t>
            </w:r>
          </w:p>
        </w:tc>
      </w:tr>
      <w:tr w:rsidR="005454F5" w:rsidRPr="00714A4B" w14:paraId="27B075F8" w14:textId="77777777" w:rsidTr="00702CDC">
        <w:tc>
          <w:tcPr>
            <w:tcW w:w="5941" w:type="dxa"/>
            <w:gridSpan w:val="2"/>
            <w:tcBorders>
              <w:top w:val="single" w:sz="12" w:space="0" w:color="auto"/>
              <w:bottom w:val="single" w:sz="36" w:space="0" w:color="auto"/>
            </w:tcBorders>
            <w:vAlign w:val="center"/>
          </w:tcPr>
          <w:p w14:paraId="72265719" w14:textId="77777777" w:rsidR="005454F5" w:rsidRPr="00714A4B" w:rsidRDefault="005454F5" w:rsidP="00702CDC">
            <w:pPr>
              <w:rPr>
                <w:snapToGrid w:val="0"/>
                <w:kern w:val="22"/>
              </w:rPr>
            </w:pPr>
            <w:r w:rsidRPr="00714A4B">
              <w:rPr>
                <w:noProof/>
                <w:snapToGrid w:val="0"/>
                <w:kern w:val="22"/>
              </w:rPr>
              <w:drawing>
                <wp:inline distT="0" distB="0" distL="0" distR="0" wp14:anchorId="6B4C9EAB" wp14:editId="756FF144">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3E86021" w14:textId="77777777" w:rsidR="005454F5" w:rsidRPr="00714A4B" w:rsidRDefault="005454F5" w:rsidP="00702CDC">
            <w:pPr>
              <w:ind w:left="1215"/>
              <w:rPr>
                <w:snapToGrid w:val="0"/>
                <w:kern w:val="22"/>
                <w:szCs w:val="22"/>
              </w:rPr>
            </w:pPr>
            <w:r w:rsidRPr="00714A4B">
              <w:rPr>
                <w:snapToGrid w:val="0"/>
                <w:kern w:val="22"/>
                <w:szCs w:val="22"/>
              </w:rPr>
              <w:t>Distr.</w:t>
            </w:r>
          </w:p>
          <w:p w14:paraId="44BCAA2E" w14:textId="10F2EA0E" w:rsidR="005454F5" w:rsidRPr="00714A4B" w:rsidRDefault="00CB139E" w:rsidP="00702CDC">
            <w:pPr>
              <w:ind w:left="1215"/>
              <w:rPr>
                <w:snapToGrid w:val="0"/>
                <w:kern w:val="22"/>
                <w:szCs w:val="22"/>
              </w:rPr>
            </w:pPr>
            <w:r w:rsidRPr="00714A4B">
              <w:rPr>
                <w:snapToGrid w:val="0"/>
                <w:kern w:val="22"/>
                <w:szCs w:val="22"/>
              </w:rPr>
              <w:t>G</w:t>
            </w:r>
            <w:r w:rsidR="00306688" w:rsidRPr="00714A4B">
              <w:rPr>
                <w:snapToGrid w:val="0"/>
                <w:kern w:val="22"/>
                <w:szCs w:val="22"/>
              </w:rPr>
              <w:t>ENERAL</w:t>
            </w:r>
          </w:p>
          <w:p w14:paraId="14D97889" w14:textId="77777777" w:rsidR="005454F5" w:rsidRPr="00714A4B" w:rsidRDefault="005454F5" w:rsidP="00702CDC">
            <w:pPr>
              <w:ind w:left="1215"/>
              <w:rPr>
                <w:snapToGrid w:val="0"/>
                <w:kern w:val="22"/>
                <w:szCs w:val="22"/>
              </w:rPr>
            </w:pPr>
          </w:p>
          <w:p w14:paraId="75F1E0BB" w14:textId="4F7CD22C" w:rsidR="005454F5" w:rsidRPr="00714A4B" w:rsidRDefault="004A39DC" w:rsidP="00702CDC">
            <w:pPr>
              <w:ind w:left="1215"/>
              <w:rPr>
                <w:snapToGrid w:val="0"/>
                <w:kern w:val="22"/>
                <w:szCs w:val="22"/>
              </w:rPr>
            </w:pPr>
            <w:sdt>
              <w:sdtPr>
                <w:rPr>
                  <w:snapToGrid w:val="0"/>
                  <w:kern w:val="22"/>
                </w:rPr>
                <w:alias w:val="Subject"/>
                <w:tag w:val=""/>
                <w:id w:val="2137136483"/>
                <w:placeholder>
                  <w:docPart w:val="0674F9123A60413996FADD87A63F9181"/>
                </w:placeholder>
                <w:dataBinding w:prefixMappings="xmlns:ns0='http://purl.org/dc/elements/1.1/' xmlns:ns1='http://schemas.openxmlformats.org/package/2006/metadata/core-properties' " w:xpath="/ns1:coreProperties[1]/ns0:subject[1]" w:storeItemID="{6C3C8BC8-F283-45AE-878A-BAB7291924A1}"/>
                <w:text/>
              </w:sdtPr>
              <w:sdtEndPr/>
              <w:sdtContent>
                <w:r w:rsidR="005454F5" w:rsidRPr="00714A4B">
                  <w:rPr>
                    <w:snapToGrid w:val="0"/>
                    <w:kern w:val="22"/>
                  </w:rPr>
                  <w:t>CBD/</w:t>
                </w:r>
                <w:r w:rsidR="00622A26" w:rsidRPr="00714A4B">
                  <w:rPr>
                    <w:snapToGrid w:val="0"/>
                    <w:kern w:val="22"/>
                  </w:rPr>
                  <w:t>SBI/3/</w:t>
                </w:r>
                <w:r w:rsidR="00905C22" w:rsidRPr="00714A4B">
                  <w:rPr>
                    <w:snapToGrid w:val="0"/>
                    <w:kern w:val="22"/>
                  </w:rPr>
                  <w:t>5/</w:t>
                </w:r>
                <w:r w:rsidR="00622A26" w:rsidRPr="00714A4B">
                  <w:rPr>
                    <w:snapToGrid w:val="0"/>
                    <w:kern w:val="22"/>
                  </w:rPr>
                  <w:t>Add</w:t>
                </w:r>
                <w:r w:rsidR="00905C22" w:rsidRPr="00714A4B">
                  <w:rPr>
                    <w:snapToGrid w:val="0"/>
                    <w:kern w:val="22"/>
                  </w:rPr>
                  <w:t>.4</w:t>
                </w:r>
              </w:sdtContent>
            </w:sdt>
          </w:p>
          <w:p w14:paraId="5B475247" w14:textId="5D27DBB9" w:rsidR="005454F5" w:rsidRPr="00714A4B" w:rsidRDefault="00905C22" w:rsidP="00702CDC">
            <w:pPr>
              <w:ind w:left="1215"/>
              <w:rPr>
                <w:snapToGrid w:val="0"/>
                <w:kern w:val="22"/>
                <w:szCs w:val="22"/>
              </w:rPr>
            </w:pPr>
            <w:r w:rsidRPr="00714A4B">
              <w:rPr>
                <w:snapToGrid w:val="0"/>
                <w:kern w:val="22"/>
                <w:szCs w:val="22"/>
              </w:rPr>
              <w:t>25</w:t>
            </w:r>
            <w:r w:rsidR="00C017B1" w:rsidRPr="00714A4B">
              <w:rPr>
                <w:snapToGrid w:val="0"/>
                <w:kern w:val="22"/>
                <w:szCs w:val="22"/>
              </w:rPr>
              <w:t xml:space="preserve"> November</w:t>
            </w:r>
            <w:r w:rsidR="005454F5" w:rsidRPr="00714A4B">
              <w:rPr>
                <w:snapToGrid w:val="0"/>
                <w:kern w:val="22"/>
                <w:szCs w:val="22"/>
              </w:rPr>
              <w:t xml:space="preserve"> 202</w:t>
            </w:r>
            <w:r w:rsidRPr="00714A4B">
              <w:rPr>
                <w:snapToGrid w:val="0"/>
                <w:kern w:val="22"/>
                <w:szCs w:val="22"/>
              </w:rPr>
              <w:t>1</w:t>
            </w:r>
          </w:p>
          <w:p w14:paraId="5A2C60CE" w14:textId="77777777" w:rsidR="005454F5" w:rsidRPr="00714A4B" w:rsidRDefault="005454F5" w:rsidP="00702CDC">
            <w:pPr>
              <w:ind w:left="1215"/>
              <w:rPr>
                <w:snapToGrid w:val="0"/>
                <w:kern w:val="22"/>
                <w:szCs w:val="22"/>
              </w:rPr>
            </w:pPr>
          </w:p>
          <w:p w14:paraId="738AB811" w14:textId="77777777" w:rsidR="005454F5" w:rsidRPr="00714A4B" w:rsidRDefault="005454F5" w:rsidP="00702CDC">
            <w:pPr>
              <w:ind w:left="1215"/>
              <w:rPr>
                <w:snapToGrid w:val="0"/>
                <w:kern w:val="22"/>
                <w:szCs w:val="22"/>
              </w:rPr>
            </w:pPr>
            <w:r w:rsidRPr="00714A4B">
              <w:rPr>
                <w:snapToGrid w:val="0"/>
                <w:kern w:val="22"/>
                <w:szCs w:val="22"/>
              </w:rPr>
              <w:t>ORIGINAL: ENGLISH</w:t>
            </w:r>
          </w:p>
          <w:p w14:paraId="2BC46055" w14:textId="77777777" w:rsidR="005454F5" w:rsidRPr="00714A4B" w:rsidRDefault="005454F5" w:rsidP="00702CDC">
            <w:pPr>
              <w:rPr>
                <w:snapToGrid w:val="0"/>
                <w:kern w:val="22"/>
              </w:rPr>
            </w:pPr>
          </w:p>
        </w:tc>
      </w:tr>
    </w:tbl>
    <w:p w14:paraId="20163B14" w14:textId="77777777" w:rsidR="00817597" w:rsidRPr="00714A4B" w:rsidRDefault="00817597" w:rsidP="00714A4B">
      <w:pPr>
        <w:suppressLineNumbers/>
        <w:suppressAutoHyphens/>
        <w:snapToGrid w:val="0"/>
        <w:ind w:right="4392"/>
        <w:jc w:val="left"/>
        <w:rPr>
          <w:rFonts w:eastAsia="Malgun Gothic"/>
          <w:caps/>
          <w:kern w:val="22"/>
          <w:szCs w:val="22"/>
        </w:rPr>
      </w:pPr>
      <w:bookmarkStart w:id="0" w:name="Meeting"/>
      <w:r w:rsidRPr="00714A4B">
        <w:rPr>
          <w:rFonts w:eastAsia="Malgun Gothic"/>
          <w:caps/>
          <w:kern w:val="22"/>
          <w:szCs w:val="22"/>
        </w:rPr>
        <w:t>SUBSIDIARY BODY ON IMPLEMENTATION</w:t>
      </w:r>
      <w:bookmarkEnd w:id="0"/>
    </w:p>
    <w:p w14:paraId="0FE543E9" w14:textId="77777777" w:rsidR="00817597" w:rsidRPr="00714A4B" w:rsidRDefault="00817597" w:rsidP="00817597">
      <w:pPr>
        <w:suppressLineNumbers/>
        <w:suppressAutoHyphens/>
        <w:jc w:val="left"/>
        <w:rPr>
          <w:snapToGrid w:val="0"/>
          <w:kern w:val="22"/>
          <w:szCs w:val="22"/>
          <w:lang w:eastAsia="nb-NO"/>
        </w:rPr>
      </w:pPr>
      <w:r w:rsidRPr="00714A4B">
        <w:rPr>
          <w:snapToGrid w:val="0"/>
          <w:kern w:val="22"/>
          <w:szCs w:val="22"/>
          <w:lang w:eastAsia="nb-NO"/>
        </w:rPr>
        <w:t>Third meeting (resumed)</w:t>
      </w:r>
    </w:p>
    <w:p w14:paraId="696B0CB8" w14:textId="157AA10D" w:rsidR="00817597" w:rsidRPr="00714A4B" w:rsidRDefault="000809C0" w:rsidP="00817597">
      <w:pPr>
        <w:suppressLineNumbers/>
        <w:suppressAutoHyphens/>
        <w:jc w:val="left"/>
        <w:rPr>
          <w:snapToGrid w:val="0"/>
          <w:kern w:val="22"/>
          <w:szCs w:val="22"/>
          <w:lang w:eastAsia="nb-NO"/>
        </w:rPr>
      </w:pPr>
      <w:r w:rsidRPr="00714A4B">
        <w:rPr>
          <w:snapToGrid w:val="0"/>
          <w:kern w:val="22"/>
          <w:szCs w:val="22"/>
          <w:lang w:eastAsia="nb-NO"/>
        </w:rPr>
        <w:t>Venue and dates to be determined</w:t>
      </w:r>
    </w:p>
    <w:p w14:paraId="54B6CBFA" w14:textId="22D993D1" w:rsidR="00C9161D" w:rsidRPr="00714A4B" w:rsidRDefault="00026010" w:rsidP="00714A4B">
      <w:pPr>
        <w:suppressLineNumbers/>
        <w:tabs>
          <w:tab w:val="left" w:pos="720"/>
          <w:tab w:val="center" w:pos="4320"/>
          <w:tab w:val="right" w:pos="8640"/>
        </w:tabs>
        <w:suppressAutoHyphens/>
        <w:jc w:val="left"/>
      </w:pPr>
      <w:r w:rsidRPr="00714A4B">
        <w:rPr>
          <w:snapToGrid w:val="0"/>
          <w:kern w:val="22"/>
          <w:szCs w:val="22"/>
        </w:rPr>
        <w:t>Agenda i</w:t>
      </w:r>
      <w:r w:rsidR="00817597" w:rsidRPr="00714A4B">
        <w:rPr>
          <w:snapToGrid w:val="0"/>
          <w:kern w:val="22"/>
          <w:szCs w:val="22"/>
        </w:rPr>
        <w:t>tem 6</w:t>
      </w:r>
      <w:r w:rsidR="008E52A4" w:rsidRPr="00714A4B">
        <w:rPr>
          <w:snapToGrid w:val="0"/>
          <w:kern w:val="22"/>
          <w:szCs w:val="22"/>
          <w:u w:val="single"/>
        </w:rPr>
        <w:t xml:space="preserve"> </w:t>
      </w:r>
    </w:p>
    <w:bookmarkStart w:id="1" w:name="_Hlk89089197"/>
    <w:p w14:paraId="03BC1CC7" w14:textId="7EB5104F" w:rsidR="00C9161D" w:rsidRPr="00714A4B" w:rsidRDefault="004A39DC" w:rsidP="007E2A1D">
      <w:pPr>
        <w:pStyle w:val="Heading1"/>
      </w:pPr>
      <w:sdt>
        <w:sdt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86A23" w:rsidRPr="00714A4B">
            <w:t>Draft terms of reference for a possible expert working group on the financial reporting framework</w:t>
          </w:r>
        </w:sdtContent>
      </w:sdt>
      <w:bookmarkEnd w:id="1"/>
      <w:r w:rsidR="00105372" w:rsidRPr="00714A4B">
        <w:t xml:space="preserve"> </w:t>
      </w:r>
    </w:p>
    <w:p w14:paraId="62A8A16F" w14:textId="341ED43C" w:rsidR="00176CEE" w:rsidRPr="00714A4B" w:rsidRDefault="00E43DFE" w:rsidP="00172AF6">
      <w:pPr>
        <w:spacing w:before="120" w:after="240"/>
        <w:jc w:val="center"/>
        <w:rPr>
          <w:bCs/>
          <w:i/>
          <w:iCs/>
          <w:caps/>
        </w:rPr>
      </w:pPr>
      <w:r w:rsidRPr="00714A4B">
        <w:rPr>
          <w:bCs/>
          <w:i/>
          <w:iCs/>
          <w:szCs w:val="22"/>
          <w:lang w:val="en-CA"/>
        </w:rPr>
        <w:t>Note by the Executive Secretary</w:t>
      </w:r>
    </w:p>
    <w:p w14:paraId="116D9577" w14:textId="40369EC3" w:rsidR="00386A23" w:rsidRPr="00714A4B" w:rsidRDefault="00ED38E2" w:rsidP="00386A23">
      <w:pPr>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714A4B">
        <w:t xml:space="preserve">The </w:t>
      </w:r>
      <w:r w:rsidRPr="00714A4B">
        <w:rPr>
          <w:spacing w:val="-2"/>
          <w:kern w:val="22"/>
        </w:rPr>
        <w:t>Subsidiary</w:t>
      </w:r>
      <w:r w:rsidRPr="00714A4B">
        <w:t xml:space="preserve"> Body on Implementation considered agenda item 6 at part I of its third meeting and, with the assistance of a contact group, a draft recommendation on resource mobilization was prepared by the Chair for consideration in plenary</w:t>
      </w:r>
      <w:r w:rsidR="00967CC4" w:rsidRPr="00714A4B">
        <w:t xml:space="preserve"> (CBD/SBI/3/CRP.</w:t>
      </w:r>
      <w:r w:rsidR="00CF4CF2" w:rsidRPr="00714A4B">
        <w:t>15)</w:t>
      </w:r>
      <w:r w:rsidRPr="00714A4B">
        <w:t>.</w:t>
      </w:r>
      <w:r w:rsidR="008E67F6" w:rsidRPr="00714A4B">
        <w:t xml:space="preserve"> </w:t>
      </w:r>
      <w:r w:rsidR="00386A23" w:rsidRPr="00714A4B">
        <w:rPr>
          <w:snapToGrid w:val="0"/>
          <w:kern w:val="22"/>
          <w:szCs w:val="22"/>
        </w:rPr>
        <w:t>The Subsidiary Body agreed to defer consideration of the draft recommendation until part II of the meeting.</w:t>
      </w:r>
    </w:p>
    <w:p w14:paraId="340BA4C3" w14:textId="24B07C28" w:rsidR="00386A23" w:rsidRPr="00714A4B" w:rsidRDefault="00386A23" w:rsidP="00386A23">
      <w:pPr>
        <w:numPr>
          <w:ilvl w:val="0"/>
          <w:numId w:val="36"/>
        </w:numPr>
        <w:suppressLineNumbers/>
        <w:suppressAutoHyphens/>
        <w:kinsoku w:val="0"/>
        <w:overflowPunct w:val="0"/>
        <w:autoSpaceDE w:val="0"/>
        <w:autoSpaceDN w:val="0"/>
        <w:adjustRightInd w:val="0"/>
        <w:snapToGrid w:val="0"/>
        <w:spacing w:before="120" w:after="120"/>
        <w:ind w:left="0" w:firstLine="0"/>
        <w:rPr>
          <w:snapToGrid w:val="0"/>
          <w:kern w:val="22"/>
          <w:szCs w:val="22"/>
        </w:rPr>
      </w:pPr>
      <w:r w:rsidRPr="00714A4B">
        <w:rPr>
          <w:snapToGrid w:val="0"/>
          <w:kern w:val="22"/>
          <w:szCs w:val="22"/>
        </w:rPr>
        <w:t>The draft recommendation, in its paragraph 17</w:t>
      </w:r>
      <w:r w:rsidR="00FC4924" w:rsidRPr="00714A4B">
        <w:rPr>
          <w:snapToGrid w:val="0"/>
          <w:kern w:val="22"/>
          <w:szCs w:val="22"/>
        </w:rPr>
        <w:t> </w:t>
      </w:r>
      <w:proofErr w:type="spellStart"/>
      <w:r w:rsidRPr="00714A4B">
        <w:rPr>
          <w:snapToGrid w:val="0"/>
          <w:kern w:val="22"/>
          <w:szCs w:val="22"/>
        </w:rPr>
        <w:t>ter</w:t>
      </w:r>
      <w:proofErr w:type="spellEnd"/>
      <w:r w:rsidRPr="00714A4B">
        <w:rPr>
          <w:snapToGrid w:val="0"/>
          <w:kern w:val="22"/>
          <w:szCs w:val="22"/>
        </w:rPr>
        <w:t xml:space="preserve">, refers to </w:t>
      </w:r>
      <w:r w:rsidRPr="00714A4B">
        <w:rPr>
          <w:spacing w:val="-2"/>
          <w:kern w:val="22"/>
          <w:szCs w:val="22"/>
        </w:rPr>
        <w:t>a possible ad hoc technical expert group on the financial reporting framework, and to the terms of reference</w:t>
      </w:r>
      <w:r w:rsidRPr="00714A4B">
        <w:rPr>
          <w:rFonts w:cs="Times New Roman (Body CS)"/>
          <w:szCs w:val="22"/>
        </w:rPr>
        <w:t xml:space="preserve"> for such a group</w:t>
      </w:r>
      <w:r w:rsidRPr="00714A4B">
        <w:rPr>
          <w:snapToGrid w:val="0"/>
          <w:kern w:val="22"/>
          <w:szCs w:val="22"/>
        </w:rPr>
        <w:t xml:space="preserve">. A footnote indicates that the terms of reference are to be prepared before </w:t>
      </w:r>
      <w:r w:rsidR="009838BF" w:rsidRPr="00714A4B">
        <w:rPr>
          <w:snapToGrid w:val="0"/>
          <w:kern w:val="22"/>
          <w:szCs w:val="22"/>
        </w:rPr>
        <w:t>the fifteenth meeting of the Conference of the Parties</w:t>
      </w:r>
      <w:r w:rsidRPr="00714A4B">
        <w:rPr>
          <w:snapToGrid w:val="0"/>
          <w:kern w:val="22"/>
          <w:szCs w:val="22"/>
        </w:rPr>
        <w:t xml:space="preserve">. This is also reflected in the list of intersessional work arising from </w:t>
      </w:r>
      <w:r w:rsidR="00FC4924" w:rsidRPr="00714A4B">
        <w:rPr>
          <w:snapToGrid w:val="0"/>
          <w:kern w:val="22"/>
          <w:szCs w:val="22"/>
        </w:rPr>
        <w:t xml:space="preserve">part I of </w:t>
      </w:r>
      <w:r w:rsidRPr="00714A4B">
        <w:rPr>
          <w:snapToGrid w:val="0"/>
          <w:kern w:val="22"/>
          <w:szCs w:val="22"/>
        </w:rPr>
        <w:t xml:space="preserve">the </w:t>
      </w:r>
      <w:r w:rsidR="00FC4924" w:rsidRPr="00714A4B">
        <w:rPr>
          <w:snapToGrid w:val="0"/>
          <w:kern w:val="22"/>
          <w:szCs w:val="22"/>
        </w:rPr>
        <w:t>third meeting of the Subsidiary Body</w:t>
      </w:r>
      <w:r w:rsidRPr="00714A4B">
        <w:rPr>
          <w:snapToGrid w:val="0"/>
          <w:kern w:val="22"/>
          <w:szCs w:val="22"/>
        </w:rPr>
        <w:t xml:space="preserve">, annexed to the report </w:t>
      </w:r>
      <w:r w:rsidR="009B5C44" w:rsidRPr="00714A4B">
        <w:rPr>
          <w:snapToGrid w:val="0"/>
          <w:kern w:val="22"/>
          <w:szCs w:val="22"/>
        </w:rPr>
        <w:t xml:space="preserve">on </w:t>
      </w:r>
      <w:r w:rsidRPr="00714A4B">
        <w:rPr>
          <w:snapToGrid w:val="0"/>
          <w:kern w:val="22"/>
          <w:szCs w:val="22"/>
        </w:rPr>
        <w:t xml:space="preserve">the first part of the meeting (CBD/SBI/3/20). </w:t>
      </w:r>
    </w:p>
    <w:p w14:paraId="4DDD51F6" w14:textId="44E1F1B0" w:rsidR="00ED38E2" w:rsidRPr="00714A4B" w:rsidRDefault="00386A23" w:rsidP="00714A4B">
      <w:pPr>
        <w:numPr>
          <w:ilvl w:val="0"/>
          <w:numId w:val="36"/>
        </w:numPr>
        <w:suppressLineNumbers/>
        <w:suppressAutoHyphens/>
        <w:kinsoku w:val="0"/>
        <w:overflowPunct w:val="0"/>
        <w:autoSpaceDE w:val="0"/>
        <w:autoSpaceDN w:val="0"/>
        <w:adjustRightInd w:val="0"/>
        <w:snapToGrid w:val="0"/>
        <w:spacing w:before="120" w:after="120"/>
        <w:ind w:left="0" w:firstLine="0"/>
        <w:rPr>
          <w:spacing w:val="-2"/>
        </w:rPr>
      </w:pPr>
      <w:r w:rsidRPr="00714A4B">
        <w:t xml:space="preserve">To assist the Subsidiary Body in its further consideration of this matter, the Executive Secretary has prepared the draft terms of reference contained in the annex </w:t>
      </w:r>
      <w:r w:rsidR="009B1A61" w:rsidRPr="00714A4B">
        <w:t>below</w:t>
      </w:r>
      <w:r w:rsidRPr="00714A4B">
        <w:t>.</w:t>
      </w:r>
    </w:p>
    <w:p w14:paraId="580077D9" w14:textId="58E0680E" w:rsidR="005B6A3E" w:rsidRPr="00714A4B" w:rsidRDefault="002049B4" w:rsidP="00714A4B">
      <w:pPr>
        <w:numPr>
          <w:ilvl w:val="0"/>
          <w:numId w:val="36"/>
        </w:numPr>
        <w:suppressLineNumbers/>
        <w:suppressAutoHyphens/>
        <w:kinsoku w:val="0"/>
        <w:overflowPunct w:val="0"/>
        <w:autoSpaceDE w:val="0"/>
        <w:autoSpaceDN w:val="0"/>
        <w:adjustRightInd w:val="0"/>
        <w:snapToGrid w:val="0"/>
        <w:spacing w:before="120" w:after="120"/>
        <w:ind w:left="0" w:firstLine="0"/>
        <w:rPr>
          <w:spacing w:val="-2"/>
          <w:kern w:val="22"/>
          <w:szCs w:val="22"/>
        </w:rPr>
      </w:pPr>
      <w:r w:rsidRPr="00714A4B">
        <w:rPr>
          <w:spacing w:val="-2"/>
          <w:kern w:val="22"/>
          <w:szCs w:val="22"/>
        </w:rPr>
        <w:t xml:space="preserve">The discussion on financial reporting under agenda item 6 on resource mobilization has important linkages to the work on the monitoring framework under item 3 of the </w:t>
      </w:r>
      <w:r w:rsidR="0013237B" w:rsidRPr="00714A4B">
        <w:rPr>
          <w:spacing w:val="-2"/>
          <w:kern w:val="22"/>
          <w:szCs w:val="22"/>
        </w:rPr>
        <w:t xml:space="preserve">twenty-fourth meeting of the </w:t>
      </w:r>
      <w:r w:rsidR="00D433AC" w:rsidRPr="00714A4B">
        <w:rPr>
          <w:spacing w:val="-2"/>
          <w:kern w:val="22"/>
          <w:szCs w:val="22"/>
        </w:rPr>
        <w:t>S</w:t>
      </w:r>
      <w:r w:rsidR="0013237B" w:rsidRPr="00714A4B">
        <w:rPr>
          <w:spacing w:val="-2"/>
          <w:kern w:val="22"/>
          <w:szCs w:val="22"/>
        </w:rPr>
        <w:t>ubsidiary Body on Scientific, Technical and Technological Advice</w:t>
      </w:r>
      <w:r w:rsidR="008B2C3F" w:rsidRPr="00714A4B">
        <w:rPr>
          <w:spacing w:val="-2"/>
          <w:kern w:val="22"/>
          <w:szCs w:val="22"/>
        </w:rPr>
        <w:t xml:space="preserve">, as currently reflected in document </w:t>
      </w:r>
      <w:r w:rsidR="00256763" w:rsidRPr="00714A4B">
        <w:rPr>
          <w:spacing w:val="-2"/>
          <w:kern w:val="22"/>
          <w:szCs w:val="22"/>
        </w:rPr>
        <w:t>CBD/SBSTTA/24/L.3. Paragraph</w:t>
      </w:r>
      <w:r w:rsidR="003D0FB0" w:rsidRPr="00714A4B">
        <w:rPr>
          <w:spacing w:val="-2"/>
          <w:kern w:val="22"/>
          <w:szCs w:val="22"/>
        </w:rPr>
        <w:t xml:space="preserve"> 11 of </w:t>
      </w:r>
      <w:r w:rsidR="00FE0822" w:rsidRPr="00714A4B">
        <w:rPr>
          <w:spacing w:val="-2"/>
          <w:kern w:val="22"/>
          <w:szCs w:val="22"/>
        </w:rPr>
        <w:t>that</w:t>
      </w:r>
      <w:r w:rsidR="003D0FB0" w:rsidRPr="00714A4B">
        <w:rPr>
          <w:spacing w:val="-2"/>
          <w:kern w:val="22"/>
          <w:szCs w:val="22"/>
        </w:rPr>
        <w:t xml:space="preserve"> document </w:t>
      </w:r>
      <w:r w:rsidR="00AE3FF7" w:rsidRPr="00714A4B">
        <w:rPr>
          <w:spacing w:val="-2"/>
          <w:kern w:val="22"/>
          <w:szCs w:val="22"/>
        </w:rPr>
        <w:t xml:space="preserve">already </w:t>
      </w:r>
      <w:r w:rsidR="003D0FB0" w:rsidRPr="00714A4B">
        <w:rPr>
          <w:spacing w:val="-2"/>
          <w:kern w:val="22"/>
          <w:szCs w:val="22"/>
        </w:rPr>
        <w:t xml:space="preserve">foresees </w:t>
      </w:r>
      <w:r w:rsidR="004703EB" w:rsidRPr="00714A4B">
        <w:rPr>
          <w:spacing w:val="-2"/>
          <w:kern w:val="22"/>
          <w:szCs w:val="22"/>
        </w:rPr>
        <w:t xml:space="preserve">the </w:t>
      </w:r>
      <w:r w:rsidR="00E75344" w:rsidRPr="00714A4B">
        <w:rPr>
          <w:spacing w:val="-2"/>
          <w:kern w:val="22"/>
          <w:szCs w:val="22"/>
        </w:rPr>
        <w:t>establish</w:t>
      </w:r>
      <w:r w:rsidR="003D0FB0" w:rsidRPr="00714A4B">
        <w:rPr>
          <w:spacing w:val="-2"/>
          <w:kern w:val="22"/>
          <w:szCs w:val="22"/>
        </w:rPr>
        <w:t>ment</w:t>
      </w:r>
      <w:r w:rsidR="00E75344" w:rsidRPr="00714A4B">
        <w:rPr>
          <w:spacing w:val="-2"/>
          <w:kern w:val="22"/>
          <w:szCs w:val="22"/>
        </w:rPr>
        <w:t xml:space="preserve"> </w:t>
      </w:r>
      <w:r w:rsidR="0041299C" w:rsidRPr="00714A4B">
        <w:rPr>
          <w:spacing w:val="-2"/>
          <w:kern w:val="22"/>
          <w:szCs w:val="22"/>
        </w:rPr>
        <w:t xml:space="preserve">of </w:t>
      </w:r>
      <w:r w:rsidR="00E75344" w:rsidRPr="00714A4B">
        <w:rPr>
          <w:spacing w:val="-2"/>
          <w:kern w:val="22"/>
          <w:szCs w:val="22"/>
        </w:rPr>
        <w:t xml:space="preserve">an </w:t>
      </w:r>
      <w:bookmarkStart w:id="2" w:name="_Hlk89095070"/>
      <w:r w:rsidR="00E75344" w:rsidRPr="00714A4B">
        <w:rPr>
          <w:spacing w:val="-2"/>
          <w:kern w:val="22"/>
          <w:szCs w:val="22"/>
        </w:rPr>
        <w:t>ad hoc technical expert group</w:t>
      </w:r>
      <w:r w:rsidR="003D0FB0" w:rsidRPr="00714A4B">
        <w:rPr>
          <w:spacing w:val="-2"/>
          <w:kern w:val="22"/>
          <w:szCs w:val="22"/>
        </w:rPr>
        <w:t xml:space="preserve"> </w:t>
      </w:r>
      <w:r w:rsidR="00E75344" w:rsidRPr="00714A4B">
        <w:rPr>
          <w:spacing w:val="-2"/>
          <w:kern w:val="22"/>
          <w:szCs w:val="22"/>
        </w:rPr>
        <w:t>to advise on the further operationalization of the monitoring framework</w:t>
      </w:r>
      <w:bookmarkEnd w:id="2"/>
      <w:r w:rsidR="00E75344" w:rsidRPr="00714A4B">
        <w:rPr>
          <w:spacing w:val="-2"/>
          <w:kern w:val="22"/>
          <w:szCs w:val="22"/>
        </w:rPr>
        <w:t xml:space="preserve"> for the post-2020 global biodiversity framework</w:t>
      </w:r>
      <w:r w:rsidR="00FA52F4" w:rsidRPr="00714A4B">
        <w:rPr>
          <w:spacing w:val="-2"/>
          <w:kern w:val="22"/>
          <w:szCs w:val="22"/>
        </w:rPr>
        <w:t xml:space="preserve">, and draft terms </w:t>
      </w:r>
      <w:r w:rsidR="00E75344" w:rsidRPr="00714A4B">
        <w:rPr>
          <w:spacing w:val="-2"/>
          <w:kern w:val="22"/>
          <w:szCs w:val="22"/>
        </w:rPr>
        <w:t xml:space="preserve">of reference </w:t>
      </w:r>
      <w:r w:rsidR="00FA52F4" w:rsidRPr="00714A4B">
        <w:rPr>
          <w:spacing w:val="-2"/>
          <w:kern w:val="22"/>
          <w:szCs w:val="22"/>
        </w:rPr>
        <w:t xml:space="preserve">for </w:t>
      </w:r>
      <w:r w:rsidR="00421BB7" w:rsidRPr="00714A4B">
        <w:rPr>
          <w:spacing w:val="-2"/>
          <w:kern w:val="22"/>
          <w:szCs w:val="22"/>
        </w:rPr>
        <w:t xml:space="preserve">that </w:t>
      </w:r>
      <w:r w:rsidR="00FA52F4" w:rsidRPr="00714A4B">
        <w:rPr>
          <w:spacing w:val="-2"/>
          <w:kern w:val="22"/>
          <w:szCs w:val="22"/>
        </w:rPr>
        <w:t xml:space="preserve">group are provided </w:t>
      </w:r>
      <w:r w:rsidR="00E75344" w:rsidRPr="00714A4B">
        <w:rPr>
          <w:spacing w:val="-2"/>
          <w:kern w:val="22"/>
          <w:szCs w:val="22"/>
        </w:rPr>
        <w:t>in the annex</w:t>
      </w:r>
      <w:r w:rsidR="00DF0D8C" w:rsidRPr="00714A4B">
        <w:rPr>
          <w:spacing w:val="-2"/>
          <w:kern w:val="22"/>
          <w:szCs w:val="22"/>
        </w:rPr>
        <w:t xml:space="preserve"> </w:t>
      </w:r>
      <w:r w:rsidR="0074204E" w:rsidRPr="00714A4B">
        <w:rPr>
          <w:spacing w:val="-2"/>
          <w:kern w:val="22"/>
          <w:szCs w:val="22"/>
        </w:rPr>
        <w:t>to</w:t>
      </w:r>
      <w:r w:rsidR="00DF0D8C" w:rsidRPr="00714A4B">
        <w:rPr>
          <w:spacing w:val="-2"/>
          <w:kern w:val="22"/>
          <w:szCs w:val="22"/>
        </w:rPr>
        <w:t xml:space="preserve"> </w:t>
      </w:r>
      <w:r w:rsidR="00BA5631" w:rsidRPr="00714A4B">
        <w:rPr>
          <w:spacing w:val="-2"/>
          <w:kern w:val="22"/>
          <w:szCs w:val="22"/>
        </w:rPr>
        <w:t xml:space="preserve">the draft </w:t>
      </w:r>
      <w:r w:rsidR="00FB789E" w:rsidRPr="00714A4B">
        <w:rPr>
          <w:spacing w:val="-2"/>
          <w:kern w:val="22"/>
          <w:szCs w:val="22"/>
        </w:rPr>
        <w:t xml:space="preserve">recommendation </w:t>
      </w:r>
      <w:r w:rsidR="00BA5631" w:rsidRPr="00714A4B">
        <w:rPr>
          <w:spacing w:val="-2"/>
          <w:kern w:val="22"/>
          <w:szCs w:val="22"/>
        </w:rPr>
        <w:t xml:space="preserve">contained in that </w:t>
      </w:r>
      <w:r w:rsidR="00DF0D8C" w:rsidRPr="00714A4B">
        <w:rPr>
          <w:spacing w:val="-2"/>
          <w:kern w:val="22"/>
          <w:szCs w:val="22"/>
        </w:rPr>
        <w:t>document</w:t>
      </w:r>
      <w:r w:rsidR="00FA52F4" w:rsidRPr="00714A4B">
        <w:rPr>
          <w:spacing w:val="-2"/>
          <w:kern w:val="22"/>
          <w:szCs w:val="22"/>
        </w:rPr>
        <w:t xml:space="preserve">. </w:t>
      </w:r>
      <w:proofErr w:type="gramStart"/>
      <w:r w:rsidR="00ED7B1A" w:rsidRPr="00714A4B">
        <w:rPr>
          <w:spacing w:val="-2"/>
          <w:kern w:val="22"/>
          <w:szCs w:val="22"/>
        </w:rPr>
        <w:t>In order to</w:t>
      </w:r>
      <w:proofErr w:type="gramEnd"/>
      <w:r w:rsidR="00ED7B1A" w:rsidRPr="00714A4B">
        <w:rPr>
          <w:spacing w:val="-2"/>
          <w:kern w:val="22"/>
          <w:szCs w:val="22"/>
        </w:rPr>
        <w:t xml:space="preserve"> enable </w:t>
      </w:r>
      <w:r w:rsidR="007F43F0" w:rsidRPr="00714A4B">
        <w:rPr>
          <w:spacing w:val="-2"/>
          <w:kern w:val="22"/>
          <w:szCs w:val="22"/>
        </w:rPr>
        <w:t xml:space="preserve">adequate coordination and avoid </w:t>
      </w:r>
      <w:r w:rsidR="002E05E4" w:rsidRPr="00714A4B">
        <w:rPr>
          <w:spacing w:val="-2"/>
          <w:kern w:val="22"/>
          <w:szCs w:val="22"/>
        </w:rPr>
        <w:t xml:space="preserve">overlapping mandates and </w:t>
      </w:r>
      <w:r w:rsidR="007F43F0" w:rsidRPr="00714A4B">
        <w:rPr>
          <w:spacing w:val="-2"/>
          <w:kern w:val="22"/>
          <w:szCs w:val="22"/>
        </w:rPr>
        <w:t xml:space="preserve">duplication of work, Parties may </w:t>
      </w:r>
      <w:r w:rsidR="003273B1" w:rsidRPr="00714A4B">
        <w:rPr>
          <w:spacing w:val="-2"/>
          <w:kern w:val="22"/>
          <w:szCs w:val="22"/>
        </w:rPr>
        <w:t xml:space="preserve">therefore </w:t>
      </w:r>
      <w:r w:rsidR="007F43F0" w:rsidRPr="00714A4B">
        <w:rPr>
          <w:spacing w:val="-2"/>
          <w:kern w:val="22"/>
          <w:szCs w:val="22"/>
        </w:rPr>
        <w:t>wish to consider</w:t>
      </w:r>
      <w:r w:rsidR="00E231AF" w:rsidRPr="00714A4B">
        <w:rPr>
          <w:spacing w:val="-2"/>
          <w:kern w:val="22"/>
          <w:szCs w:val="22"/>
        </w:rPr>
        <w:t xml:space="preserve"> </w:t>
      </w:r>
      <w:r w:rsidR="007F43F0" w:rsidRPr="00714A4B">
        <w:rPr>
          <w:spacing w:val="-2"/>
          <w:kern w:val="22"/>
          <w:szCs w:val="22"/>
        </w:rPr>
        <w:t>establishing th</w:t>
      </w:r>
      <w:r w:rsidR="00941836" w:rsidRPr="00714A4B">
        <w:rPr>
          <w:spacing w:val="-2"/>
          <w:kern w:val="22"/>
          <w:szCs w:val="22"/>
        </w:rPr>
        <w:t xml:space="preserve">e work on financial monitoring and reporting </w:t>
      </w:r>
      <w:r w:rsidR="005E311B" w:rsidRPr="00714A4B">
        <w:rPr>
          <w:spacing w:val="-2"/>
          <w:kern w:val="22"/>
          <w:szCs w:val="22"/>
        </w:rPr>
        <w:t xml:space="preserve">as </w:t>
      </w:r>
      <w:r w:rsidR="00A521F2" w:rsidRPr="00714A4B">
        <w:rPr>
          <w:spacing w:val="-2"/>
          <w:kern w:val="22"/>
          <w:szCs w:val="22"/>
        </w:rPr>
        <w:t xml:space="preserve">a working group under the </w:t>
      </w:r>
      <w:r w:rsidR="00E231AF" w:rsidRPr="00714A4B">
        <w:rPr>
          <w:spacing w:val="-2"/>
          <w:kern w:val="22"/>
          <w:szCs w:val="22"/>
        </w:rPr>
        <w:t>ad hoc technical expert group to advise on the further operationalization of the monitoring framework.</w:t>
      </w:r>
      <w:r w:rsidR="00941836" w:rsidRPr="00714A4B">
        <w:rPr>
          <w:spacing w:val="-2"/>
          <w:kern w:val="22"/>
          <w:szCs w:val="22"/>
        </w:rPr>
        <w:t xml:space="preserve"> Th</w:t>
      </w:r>
      <w:r w:rsidR="00D22D63" w:rsidRPr="00714A4B">
        <w:rPr>
          <w:spacing w:val="-2"/>
          <w:kern w:val="22"/>
          <w:szCs w:val="22"/>
        </w:rPr>
        <w:t>e</w:t>
      </w:r>
      <w:r w:rsidR="00941836" w:rsidRPr="00714A4B">
        <w:rPr>
          <w:spacing w:val="-2"/>
          <w:kern w:val="22"/>
          <w:szCs w:val="22"/>
        </w:rPr>
        <w:t xml:space="preserve"> terms of reference </w:t>
      </w:r>
      <w:r w:rsidR="00D22D63" w:rsidRPr="00714A4B">
        <w:rPr>
          <w:spacing w:val="-2"/>
          <w:kern w:val="22"/>
          <w:szCs w:val="22"/>
        </w:rPr>
        <w:t>proposed below were in</w:t>
      </w:r>
      <w:r w:rsidR="004D67AD" w:rsidRPr="00714A4B">
        <w:rPr>
          <w:spacing w:val="-2"/>
          <w:kern w:val="22"/>
          <w:szCs w:val="22"/>
        </w:rPr>
        <w:t xml:space="preserve">formed by the terms of reference of the ad hoc technical expert group on the monitoring framework </w:t>
      </w:r>
      <w:r w:rsidR="00DB5614" w:rsidRPr="00714A4B">
        <w:rPr>
          <w:spacing w:val="-2"/>
          <w:kern w:val="22"/>
          <w:szCs w:val="22"/>
        </w:rPr>
        <w:t xml:space="preserve">and were </w:t>
      </w:r>
      <w:r w:rsidR="00D22D63" w:rsidRPr="00714A4B">
        <w:rPr>
          <w:spacing w:val="-2"/>
          <w:kern w:val="22"/>
          <w:szCs w:val="22"/>
        </w:rPr>
        <w:t>designed with such a set-up in mind</w:t>
      </w:r>
      <w:r w:rsidR="00941836" w:rsidRPr="00714A4B">
        <w:rPr>
          <w:spacing w:val="-2"/>
          <w:kern w:val="22"/>
          <w:szCs w:val="22"/>
        </w:rPr>
        <w:t>.</w:t>
      </w:r>
    </w:p>
    <w:p w14:paraId="5017F433" w14:textId="3DB9E641" w:rsidR="0002264E" w:rsidRPr="00714A4B" w:rsidRDefault="0002264E">
      <w:pPr>
        <w:jc w:val="left"/>
        <w:rPr>
          <w:b/>
          <w:caps/>
        </w:rPr>
      </w:pPr>
      <w:r w:rsidRPr="00714A4B">
        <w:br w:type="page"/>
      </w:r>
    </w:p>
    <w:p w14:paraId="62C74856" w14:textId="75F3BA7C" w:rsidR="00D6204D" w:rsidRPr="00714A4B" w:rsidRDefault="00531426" w:rsidP="00714A4B">
      <w:pPr>
        <w:spacing w:before="120" w:after="240"/>
        <w:jc w:val="center"/>
        <w:outlineLvl w:val="2"/>
        <w:rPr>
          <w:bCs/>
          <w:i/>
          <w:iCs/>
          <w:szCs w:val="22"/>
          <w:lang w:val="en-CA"/>
        </w:rPr>
      </w:pPr>
      <w:r w:rsidRPr="00714A4B">
        <w:rPr>
          <w:bCs/>
          <w:i/>
          <w:iCs/>
          <w:szCs w:val="22"/>
          <w:lang w:val="en-CA"/>
        </w:rPr>
        <w:lastRenderedPageBreak/>
        <w:t>Annex</w:t>
      </w:r>
    </w:p>
    <w:p w14:paraId="0B0EE38A" w14:textId="2F1F67D3" w:rsidR="00386A23" w:rsidRPr="00714A4B" w:rsidRDefault="00531426" w:rsidP="00714A4B">
      <w:pPr>
        <w:pStyle w:val="Heading2"/>
        <w:keepLines/>
        <w:tabs>
          <w:tab w:val="clear" w:pos="720"/>
        </w:tabs>
        <w:rPr>
          <w:rFonts w:ascii="Times New Roman Bold" w:hAnsi="Times New Roman Bold"/>
          <w:caps/>
        </w:rPr>
      </w:pPr>
      <w:r w:rsidRPr="00714A4B">
        <w:rPr>
          <w:rFonts w:ascii="Times New Roman Bold" w:hAnsi="Times New Roman Bold"/>
          <w:caps/>
        </w:rPr>
        <w:t>Draft terms of reference for a possible expert working group on the financial reporting framework</w:t>
      </w:r>
    </w:p>
    <w:p w14:paraId="42264FB1" w14:textId="62E590F0" w:rsidR="00623938" w:rsidRPr="00714A4B" w:rsidRDefault="00623938" w:rsidP="00BE5183">
      <w:pPr>
        <w:pStyle w:val="ListParagraph"/>
        <w:keepNext/>
        <w:keepLines/>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714A4B">
        <w:rPr>
          <w:snapToGrid w:val="0"/>
          <w:kern w:val="22"/>
          <w:szCs w:val="22"/>
        </w:rPr>
        <w:t>The</w:t>
      </w:r>
      <w:r w:rsidR="00386A23" w:rsidRPr="00714A4B">
        <w:rPr>
          <w:spacing w:val="-2"/>
          <w:kern w:val="22"/>
          <w:szCs w:val="22"/>
        </w:rPr>
        <w:t xml:space="preserve"> expert </w:t>
      </w:r>
      <w:r w:rsidR="00B04217" w:rsidRPr="00714A4B">
        <w:rPr>
          <w:spacing w:val="-2"/>
          <w:kern w:val="22"/>
          <w:szCs w:val="22"/>
        </w:rPr>
        <w:t xml:space="preserve">working </w:t>
      </w:r>
      <w:r w:rsidR="00386A23" w:rsidRPr="00714A4B">
        <w:rPr>
          <w:spacing w:val="-2"/>
          <w:kern w:val="22"/>
          <w:szCs w:val="22"/>
        </w:rPr>
        <w:t xml:space="preserve">group </w:t>
      </w:r>
      <w:r w:rsidRPr="00714A4B">
        <w:rPr>
          <w:snapToGrid w:val="0"/>
          <w:kern w:val="22"/>
          <w:szCs w:val="22"/>
        </w:rPr>
        <w:t>will work:</w:t>
      </w:r>
    </w:p>
    <w:p w14:paraId="52CC0FD8" w14:textId="5BF5918A" w:rsidR="00623938" w:rsidRPr="00714A4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714A4B">
        <w:rPr>
          <w:snapToGrid w:val="0"/>
          <w:kern w:val="22"/>
          <w:szCs w:val="22"/>
        </w:rPr>
        <w:t>To identify detailed metadata and information</w:t>
      </w:r>
      <w:r w:rsidR="00311D2C" w:rsidRPr="00714A4B">
        <w:rPr>
          <w:snapToGrid w:val="0"/>
          <w:kern w:val="22"/>
          <w:szCs w:val="22"/>
        </w:rPr>
        <w:t>, including monitoring capacity</w:t>
      </w:r>
      <w:r w:rsidR="008F43AF" w:rsidRPr="00714A4B">
        <w:rPr>
          <w:snapToGrid w:val="0"/>
          <w:kern w:val="22"/>
          <w:szCs w:val="22"/>
        </w:rPr>
        <w:t>-</w:t>
      </w:r>
      <w:r w:rsidR="00311D2C" w:rsidRPr="00714A4B">
        <w:rPr>
          <w:snapToGrid w:val="0"/>
          <w:kern w:val="22"/>
          <w:szCs w:val="22"/>
        </w:rPr>
        <w:t>building needs,</w:t>
      </w:r>
      <w:r w:rsidRPr="00714A4B">
        <w:rPr>
          <w:snapToGrid w:val="0"/>
          <w:kern w:val="22"/>
          <w:szCs w:val="22"/>
        </w:rPr>
        <w:t xml:space="preserve"> prioritizing first headline indicators </w:t>
      </w:r>
      <w:r w:rsidR="00B2222B" w:rsidRPr="00714A4B">
        <w:rPr>
          <w:snapToGrid w:val="0"/>
          <w:kern w:val="22"/>
          <w:szCs w:val="22"/>
        </w:rPr>
        <w:t>for</w:t>
      </w:r>
      <w:r w:rsidR="00B24821" w:rsidRPr="00714A4B">
        <w:rPr>
          <w:snapToGrid w:val="0"/>
          <w:kern w:val="22"/>
          <w:szCs w:val="22"/>
        </w:rPr>
        <w:t xml:space="preserve"> goal D</w:t>
      </w:r>
      <w:r w:rsidR="006B4DDD" w:rsidRPr="00714A4B">
        <w:rPr>
          <w:snapToGrid w:val="0"/>
          <w:kern w:val="22"/>
          <w:szCs w:val="22"/>
        </w:rPr>
        <w:t xml:space="preserve">, </w:t>
      </w:r>
      <w:r w:rsidR="00F8099A" w:rsidRPr="00714A4B">
        <w:rPr>
          <w:snapToGrid w:val="0"/>
          <w:kern w:val="22"/>
          <w:szCs w:val="22"/>
        </w:rPr>
        <w:t>t</w:t>
      </w:r>
      <w:r w:rsidR="00B24821" w:rsidRPr="00714A4B">
        <w:rPr>
          <w:snapToGrid w:val="0"/>
          <w:kern w:val="22"/>
          <w:szCs w:val="22"/>
        </w:rPr>
        <w:t>arget 19</w:t>
      </w:r>
      <w:r w:rsidR="002A52D4" w:rsidRPr="00714A4B">
        <w:rPr>
          <w:snapToGrid w:val="0"/>
          <w:kern w:val="22"/>
          <w:szCs w:val="22"/>
        </w:rPr>
        <w:t>,</w:t>
      </w:r>
      <w:r w:rsidR="00B24821" w:rsidRPr="00714A4B">
        <w:rPr>
          <w:snapToGrid w:val="0"/>
          <w:kern w:val="22"/>
          <w:szCs w:val="22"/>
        </w:rPr>
        <w:t xml:space="preserve"> </w:t>
      </w:r>
      <w:r w:rsidR="002A52D4" w:rsidRPr="00714A4B">
        <w:rPr>
          <w:snapToGrid w:val="0"/>
          <w:kern w:val="22"/>
          <w:szCs w:val="22"/>
        </w:rPr>
        <w:t xml:space="preserve">and </w:t>
      </w:r>
      <w:r w:rsidR="00B24821" w:rsidRPr="00714A4B">
        <w:rPr>
          <w:snapToGrid w:val="0"/>
          <w:kern w:val="22"/>
          <w:szCs w:val="22"/>
        </w:rPr>
        <w:t xml:space="preserve">other </w:t>
      </w:r>
      <w:r w:rsidR="00DF67A3" w:rsidRPr="00714A4B">
        <w:rPr>
          <w:snapToGrid w:val="0"/>
          <w:kern w:val="22"/>
          <w:szCs w:val="22"/>
        </w:rPr>
        <w:t>t</w:t>
      </w:r>
      <w:r w:rsidR="00B24821" w:rsidRPr="00714A4B">
        <w:rPr>
          <w:snapToGrid w:val="0"/>
          <w:kern w:val="22"/>
          <w:szCs w:val="22"/>
        </w:rPr>
        <w:t>argets relevant for resource mobilization</w:t>
      </w:r>
      <w:r w:rsidR="00B2222B" w:rsidRPr="00714A4B">
        <w:rPr>
          <w:snapToGrid w:val="0"/>
          <w:kern w:val="22"/>
          <w:szCs w:val="22"/>
        </w:rPr>
        <w:t>, in</w:t>
      </w:r>
      <w:r w:rsidRPr="00714A4B">
        <w:rPr>
          <w:snapToGrid w:val="0"/>
          <w:kern w:val="22"/>
          <w:szCs w:val="22"/>
        </w:rPr>
        <w:t xml:space="preserve"> the monitoring framework for the post-2020 global biodiversity framework,</w:t>
      </w:r>
      <w:r w:rsidR="002A18F8" w:rsidRPr="00714A4B">
        <w:rPr>
          <w:rStyle w:val="FootnoteReference"/>
          <w:snapToGrid w:val="0"/>
          <w:kern w:val="22"/>
          <w:szCs w:val="22"/>
        </w:rPr>
        <w:footnoteReference w:id="2"/>
      </w:r>
      <w:r w:rsidRPr="00714A4B">
        <w:rPr>
          <w:snapToGrid w:val="0"/>
          <w:kern w:val="22"/>
          <w:szCs w:val="22"/>
        </w:rPr>
        <w:t xml:space="preserve"> taking into account existing methodologies and standards which have been developed, including the Sustainable Development Goal indicators, the Framework for the Development of Environment Statistics and the System of Environmental-Economic Accounting developed under the auspices of the United Nations Statistical Commission;</w:t>
      </w:r>
    </w:p>
    <w:p w14:paraId="7988A370" w14:textId="76DD374B" w:rsidR="00623938" w:rsidRPr="00714A4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714A4B">
        <w:rPr>
          <w:snapToGrid w:val="0"/>
          <w:kern w:val="22"/>
          <w:szCs w:val="22"/>
        </w:rPr>
        <w:t xml:space="preserve">To provide technical advice and develop guidance on </w:t>
      </w:r>
      <w:r w:rsidR="00311D2C" w:rsidRPr="00714A4B">
        <w:rPr>
          <w:snapToGrid w:val="0"/>
          <w:kern w:val="22"/>
          <w:szCs w:val="22"/>
        </w:rPr>
        <w:t>monitoring</w:t>
      </w:r>
      <w:r w:rsidR="00C5696E" w:rsidRPr="00714A4B">
        <w:rPr>
          <w:snapToGrid w:val="0"/>
          <w:kern w:val="22"/>
          <w:szCs w:val="22"/>
        </w:rPr>
        <w:t xml:space="preserve"> resource mobilization</w:t>
      </w:r>
      <w:r w:rsidRPr="00714A4B">
        <w:rPr>
          <w:snapToGrid w:val="0"/>
          <w:kern w:val="22"/>
          <w:szCs w:val="22"/>
        </w:rPr>
        <w:t xml:space="preserve">, </w:t>
      </w:r>
      <w:r w:rsidR="00311D2C" w:rsidRPr="00714A4B">
        <w:rPr>
          <w:snapToGrid w:val="0"/>
          <w:kern w:val="22"/>
          <w:szCs w:val="22"/>
        </w:rPr>
        <w:t xml:space="preserve">including </w:t>
      </w:r>
      <w:r w:rsidRPr="00714A4B">
        <w:rPr>
          <w:snapToGrid w:val="0"/>
          <w:kern w:val="22"/>
          <w:szCs w:val="22"/>
        </w:rPr>
        <w:t>the implementation of</w:t>
      </w:r>
      <w:r w:rsidR="00C5696E" w:rsidRPr="00714A4B">
        <w:rPr>
          <w:snapToGrid w:val="0"/>
          <w:kern w:val="22"/>
          <w:szCs w:val="22"/>
        </w:rPr>
        <w:t xml:space="preserve"> </w:t>
      </w:r>
      <w:r w:rsidRPr="00714A4B">
        <w:rPr>
          <w:snapToGrid w:val="0"/>
          <w:kern w:val="22"/>
          <w:szCs w:val="22"/>
        </w:rPr>
        <w:t xml:space="preserve">indicators, including advice on the use of harmonized and agreed indicator definitions, best practices for monitoring and national data sharing, </w:t>
      </w:r>
      <w:r w:rsidRPr="00714A4B">
        <w:rPr>
          <w:snapToGrid w:val="0"/>
          <w:color w:val="000000" w:themeColor="text1"/>
          <w:kern w:val="22"/>
          <w:szCs w:val="22"/>
        </w:rPr>
        <w:t xml:space="preserve">and scientific and technical advice on the improvement of indicators or the addition of new indicators in the monitoring framework of the post-2020 global biodiversity framework, including indicators relevant to </w:t>
      </w:r>
      <w:r w:rsidR="00311D2C" w:rsidRPr="00714A4B">
        <w:rPr>
          <w:snapToGrid w:val="0"/>
          <w:color w:val="000000" w:themeColor="text1"/>
          <w:kern w:val="22"/>
          <w:szCs w:val="22"/>
        </w:rPr>
        <w:t>the private sector and other stakeholders</w:t>
      </w:r>
      <w:r w:rsidRPr="00714A4B">
        <w:rPr>
          <w:snapToGrid w:val="0"/>
          <w:color w:val="000000" w:themeColor="text1"/>
          <w:kern w:val="22"/>
          <w:szCs w:val="22"/>
        </w:rPr>
        <w:t>;</w:t>
      </w:r>
    </w:p>
    <w:p w14:paraId="0EBD702C" w14:textId="0C431836" w:rsidR="00623938" w:rsidRPr="00714A4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714A4B">
        <w:rPr>
          <w:snapToGrid w:val="0"/>
          <w:color w:val="000000" w:themeColor="text1"/>
          <w:kern w:val="22"/>
          <w:szCs w:val="22"/>
        </w:rPr>
        <w:t xml:space="preserve">To provide guidance to Parties on ways to fill data gaps, recognizing the specific challenges faced by developing country Parties to develop and access information </w:t>
      </w:r>
      <w:proofErr w:type="gramStart"/>
      <w:r w:rsidRPr="00714A4B">
        <w:rPr>
          <w:snapToGrid w:val="0"/>
          <w:color w:val="000000" w:themeColor="text1"/>
          <w:kern w:val="22"/>
          <w:szCs w:val="22"/>
        </w:rPr>
        <w:t>tools;</w:t>
      </w:r>
      <w:proofErr w:type="gramEnd"/>
    </w:p>
    <w:p w14:paraId="1484FA1D" w14:textId="2EACD56A" w:rsidR="00623938" w:rsidRPr="00714A4B" w:rsidRDefault="00623938" w:rsidP="0062393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714A4B">
        <w:rPr>
          <w:snapToGrid w:val="0"/>
          <w:kern w:val="22"/>
          <w:szCs w:val="22"/>
        </w:rPr>
        <w:t xml:space="preserve">To provide advice on the existing capacity, gaps and needs in terms of capacity development, technology transfer and financing needs related to the </w:t>
      </w:r>
      <w:r w:rsidR="00AC31DC" w:rsidRPr="00714A4B">
        <w:rPr>
          <w:snapToGrid w:val="0"/>
          <w:kern w:val="22"/>
          <w:szCs w:val="22"/>
        </w:rPr>
        <w:t xml:space="preserve">financial </w:t>
      </w:r>
      <w:r w:rsidRPr="00714A4B">
        <w:rPr>
          <w:snapToGrid w:val="0"/>
          <w:kern w:val="22"/>
          <w:szCs w:val="22"/>
        </w:rPr>
        <w:t xml:space="preserve">monitoring </w:t>
      </w:r>
      <w:r w:rsidR="00AC31DC" w:rsidRPr="00714A4B">
        <w:rPr>
          <w:snapToGrid w:val="0"/>
          <w:kern w:val="22"/>
          <w:szCs w:val="22"/>
        </w:rPr>
        <w:t>and reporting</w:t>
      </w:r>
      <w:r w:rsidRPr="00714A4B">
        <w:rPr>
          <w:snapToGrid w:val="0"/>
          <w:kern w:val="22"/>
          <w:szCs w:val="22"/>
        </w:rPr>
        <w:t>.</w:t>
      </w:r>
    </w:p>
    <w:p w14:paraId="4C7BF1DE" w14:textId="10CC3967" w:rsidR="00623938" w:rsidRPr="00714A4B" w:rsidRDefault="00623938" w:rsidP="0062393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714A4B">
        <w:rPr>
          <w:snapToGrid w:val="0"/>
          <w:kern w:val="22"/>
          <w:szCs w:val="22"/>
        </w:rPr>
        <w:t xml:space="preserve">The </w:t>
      </w:r>
      <w:r w:rsidR="004013D3" w:rsidRPr="00714A4B">
        <w:rPr>
          <w:spacing w:val="-2"/>
          <w:kern w:val="22"/>
          <w:szCs w:val="22"/>
        </w:rPr>
        <w:t xml:space="preserve">expert working </w:t>
      </w:r>
      <w:r w:rsidRPr="00714A4B">
        <w:rPr>
          <w:snapToGrid w:val="0"/>
          <w:kern w:val="22"/>
          <w:szCs w:val="22"/>
        </w:rPr>
        <w:t xml:space="preserve">group will </w:t>
      </w:r>
      <w:proofErr w:type="gramStart"/>
      <w:r w:rsidRPr="00714A4B">
        <w:rPr>
          <w:snapToGrid w:val="0"/>
          <w:kern w:val="22"/>
          <w:szCs w:val="22"/>
        </w:rPr>
        <w:t>take into account</w:t>
      </w:r>
      <w:proofErr w:type="gramEnd"/>
      <w:r w:rsidRPr="00714A4B">
        <w:rPr>
          <w:snapToGrid w:val="0"/>
          <w:kern w:val="22"/>
          <w:szCs w:val="22"/>
        </w:rPr>
        <w:t>:</w:t>
      </w:r>
    </w:p>
    <w:p w14:paraId="49FAA87D" w14:textId="1F71FAD9" w:rsidR="00623938" w:rsidRPr="00714A4B" w:rsidRDefault="00623938"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714A4B">
        <w:rPr>
          <w:snapToGrid w:val="0"/>
          <w:kern w:val="22"/>
          <w:szCs w:val="22"/>
        </w:rPr>
        <w:t xml:space="preserve">Previous work and experience under the Convention </w:t>
      </w:r>
      <w:r w:rsidR="009B2B73" w:rsidRPr="00714A4B">
        <w:rPr>
          <w:snapToGrid w:val="0"/>
          <w:kern w:val="22"/>
          <w:szCs w:val="22"/>
        </w:rPr>
        <w:t xml:space="preserve">on financial reporting </w:t>
      </w:r>
      <w:r w:rsidRPr="00714A4B">
        <w:rPr>
          <w:snapToGrid w:val="0"/>
          <w:kern w:val="22"/>
          <w:szCs w:val="22"/>
        </w:rPr>
        <w:t xml:space="preserve">and other relevant programmes of work concerning indicators and </w:t>
      </w:r>
      <w:proofErr w:type="gramStart"/>
      <w:r w:rsidRPr="00714A4B">
        <w:rPr>
          <w:snapToGrid w:val="0"/>
          <w:kern w:val="22"/>
          <w:szCs w:val="22"/>
        </w:rPr>
        <w:t>monitoring;</w:t>
      </w:r>
      <w:proofErr w:type="gramEnd"/>
    </w:p>
    <w:p w14:paraId="301EB142" w14:textId="77777777" w:rsidR="00623938" w:rsidRPr="00714A4B" w:rsidRDefault="00623938"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714A4B">
        <w:rPr>
          <w:snapToGrid w:val="0"/>
          <w:color w:val="000000" w:themeColor="text1"/>
          <w:kern w:val="22"/>
          <w:szCs w:val="22"/>
        </w:rPr>
        <w:t xml:space="preserve">Statistical standards and development under the intergovernmental forum of the United Nations Statistical </w:t>
      </w:r>
      <w:proofErr w:type="gramStart"/>
      <w:r w:rsidRPr="00714A4B">
        <w:rPr>
          <w:snapToGrid w:val="0"/>
          <w:color w:val="000000" w:themeColor="text1"/>
          <w:kern w:val="22"/>
          <w:szCs w:val="22"/>
        </w:rPr>
        <w:t>Commission;</w:t>
      </w:r>
      <w:proofErr w:type="gramEnd"/>
    </w:p>
    <w:p w14:paraId="2482EF65" w14:textId="1F9F221F" w:rsidR="00623938" w:rsidRPr="00714A4B" w:rsidRDefault="00623938" w:rsidP="0062393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sidRPr="00714A4B">
        <w:rPr>
          <w:snapToGrid w:val="0"/>
          <w:color w:val="000000" w:themeColor="text1"/>
          <w:kern w:val="22"/>
          <w:szCs w:val="22"/>
        </w:rPr>
        <w:t xml:space="preserve">Previous work and experience with other relevant global, </w:t>
      </w:r>
      <w:proofErr w:type="gramStart"/>
      <w:r w:rsidRPr="00714A4B">
        <w:rPr>
          <w:snapToGrid w:val="0"/>
          <w:color w:val="000000" w:themeColor="text1"/>
          <w:kern w:val="22"/>
          <w:szCs w:val="22"/>
        </w:rPr>
        <w:t>regional</w:t>
      </w:r>
      <w:proofErr w:type="gramEnd"/>
      <w:r w:rsidRPr="00714A4B">
        <w:rPr>
          <w:snapToGrid w:val="0"/>
          <w:color w:val="000000" w:themeColor="text1"/>
          <w:kern w:val="22"/>
          <w:szCs w:val="22"/>
        </w:rPr>
        <w:t xml:space="preserve"> and national monitoring frameworks, multilateral environment agreements, and knowledge systems</w:t>
      </w:r>
      <w:r w:rsidR="00D96736" w:rsidRPr="00714A4B">
        <w:rPr>
          <w:snapToGrid w:val="0"/>
          <w:color w:val="000000" w:themeColor="text1"/>
          <w:kern w:val="22"/>
          <w:szCs w:val="22"/>
        </w:rPr>
        <w:t>, including work of the Biodiversity Finance Initiative of the United Nations Development Programme (UNDP BIOFIN)</w:t>
      </w:r>
      <w:r w:rsidR="00604CF3" w:rsidRPr="00714A4B">
        <w:rPr>
          <w:snapToGrid w:val="0"/>
          <w:color w:val="000000" w:themeColor="text1"/>
          <w:kern w:val="22"/>
          <w:szCs w:val="22"/>
        </w:rPr>
        <w:t xml:space="preserve"> and</w:t>
      </w:r>
      <w:r w:rsidR="00D96736" w:rsidRPr="00714A4B">
        <w:rPr>
          <w:snapToGrid w:val="0"/>
          <w:color w:val="000000" w:themeColor="text1"/>
          <w:kern w:val="22"/>
          <w:szCs w:val="22"/>
        </w:rPr>
        <w:t xml:space="preserve"> the O</w:t>
      </w:r>
      <w:r w:rsidR="00604CF3" w:rsidRPr="00714A4B">
        <w:rPr>
          <w:snapToGrid w:val="0"/>
          <w:color w:val="000000" w:themeColor="text1"/>
          <w:kern w:val="22"/>
          <w:szCs w:val="22"/>
        </w:rPr>
        <w:t>rgani</w:t>
      </w:r>
      <w:r w:rsidR="00D14DE2" w:rsidRPr="00714A4B">
        <w:rPr>
          <w:snapToGrid w:val="0"/>
          <w:color w:val="000000" w:themeColor="text1"/>
          <w:kern w:val="22"/>
          <w:szCs w:val="22"/>
        </w:rPr>
        <w:t>s</w:t>
      </w:r>
      <w:r w:rsidR="00604CF3" w:rsidRPr="00714A4B">
        <w:rPr>
          <w:snapToGrid w:val="0"/>
          <w:color w:val="000000" w:themeColor="text1"/>
          <w:kern w:val="22"/>
          <w:szCs w:val="22"/>
        </w:rPr>
        <w:t>ation for Economic Co</w:t>
      </w:r>
      <w:r w:rsidR="00D14DE2" w:rsidRPr="00714A4B">
        <w:rPr>
          <w:snapToGrid w:val="0"/>
          <w:color w:val="000000" w:themeColor="text1"/>
          <w:kern w:val="22"/>
          <w:szCs w:val="22"/>
        </w:rPr>
        <w:t>-</w:t>
      </w:r>
      <w:r w:rsidR="00604CF3" w:rsidRPr="00714A4B">
        <w:rPr>
          <w:snapToGrid w:val="0"/>
          <w:color w:val="000000" w:themeColor="text1"/>
          <w:kern w:val="22"/>
          <w:szCs w:val="22"/>
        </w:rPr>
        <w:t>operation and Development</w:t>
      </w:r>
      <w:r w:rsidR="00F54B18" w:rsidRPr="00714A4B">
        <w:rPr>
          <w:snapToGrid w:val="0"/>
          <w:color w:val="000000" w:themeColor="text1"/>
          <w:kern w:val="22"/>
          <w:szCs w:val="22"/>
        </w:rPr>
        <w:t xml:space="preserve"> (OECD)</w:t>
      </w:r>
      <w:r w:rsidR="00DA6315" w:rsidRPr="00714A4B">
        <w:rPr>
          <w:snapToGrid w:val="0"/>
          <w:color w:val="000000" w:themeColor="text1"/>
          <w:kern w:val="22"/>
          <w:szCs w:val="22"/>
        </w:rPr>
        <w:t>.</w:t>
      </w:r>
    </w:p>
    <w:p w14:paraId="3EECE11D" w14:textId="61130CF4" w:rsidR="002E3289" w:rsidRPr="00714A4B" w:rsidRDefault="00AC4D0A"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714A4B">
        <w:rPr>
          <w:snapToGrid w:val="0"/>
          <w:kern w:val="22"/>
          <w:szCs w:val="22"/>
        </w:rPr>
        <w:t xml:space="preserve">The </w:t>
      </w:r>
      <w:r w:rsidR="004013D3" w:rsidRPr="00714A4B">
        <w:rPr>
          <w:spacing w:val="-2"/>
          <w:kern w:val="22"/>
          <w:szCs w:val="22"/>
        </w:rPr>
        <w:t xml:space="preserve">expert working </w:t>
      </w:r>
      <w:r w:rsidRPr="00714A4B">
        <w:rPr>
          <w:snapToGrid w:val="0"/>
          <w:kern w:val="22"/>
          <w:szCs w:val="22"/>
        </w:rPr>
        <w:t xml:space="preserve">group will be </w:t>
      </w:r>
      <w:r w:rsidR="00D17E01" w:rsidRPr="00714A4B">
        <w:rPr>
          <w:snapToGrid w:val="0"/>
          <w:kern w:val="22"/>
          <w:szCs w:val="22"/>
        </w:rPr>
        <w:t xml:space="preserve">established </w:t>
      </w:r>
      <w:r w:rsidR="002B5590" w:rsidRPr="00714A4B">
        <w:rPr>
          <w:snapToGrid w:val="0"/>
          <w:kern w:val="22"/>
          <w:szCs w:val="22"/>
        </w:rPr>
        <w:t>under the ad hoc technical expert group that was established to advise on the further operationalization of the monitoring framework for the post-2020 global biodiversity framework</w:t>
      </w:r>
      <w:r w:rsidR="00963402" w:rsidRPr="00714A4B">
        <w:rPr>
          <w:snapToGrid w:val="0"/>
          <w:kern w:val="22"/>
          <w:szCs w:val="22"/>
        </w:rPr>
        <w:t>,</w:t>
      </w:r>
      <w:r w:rsidRPr="00714A4B">
        <w:rPr>
          <w:snapToGrid w:val="0"/>
          <w:kern w:val="22"/>
          <w:szCs w:val="22"/>
        </w:rPr>
        <w:t xml:space="preserve"> in accordance with paragraph </w:t>
      </w:r>
      <w:r w:rsidR="00CB335B" w:rsidRPr="00714A4B">
        <w:rPr>
          <w:snapToGrid w:val="0"/>
          <w:kern w:val="22"/>
          <w:szCs w:val="22"/>
        </w:rPr>
        <w:t>6</w:t>
      </w:r>
      <w:r w:rsidRPr="00714A4B">
        <w:rPr>
          <w:snapToGrid w:val="0"/>
          <w:kern w:val="22"/>
          <w:szCs w:val="22"/>
        </w:rPr>
        <w:t xml:space="preserve"> of </w:t>
      </w:r>
      <w:r w:rsidR="00CB335B" w:rsidRPr="00714A4B">
        <w:rPr>
          <w:snapToGrid w:val="0"/>
          <w:kern w:val="22"/>
          <w:szCs w:val="22"/>
        </w:rPr>
        <w:t xml:space="preserve">the </w:t>
      </w:r>
      <w:r w:rsidR="006076D7" w:rsidRPr="00714A4B">
        <w:rPr>
          <w:snapToGrid w:val="0"/>
          <w:kern w:val="22"/>
          <w:szCs w:val="22"/>
        </w:rPr>
        <w:t>t</w:t>
      </w:r>
      <w:r w:rsidR="00DE2327" w:rsidRPr="00714A4B">
        <w:rPr>
          <w:snapToGrid w:val="0"/>
          <w:kern w:val="22"/>
          <w:szCs w:val="22"/>
        </w:rPr>
        <w:t xml:space="preserve">erms of </w:t>
      </w:r>
      <w:r w:rsidR="006076D7" w:rsidRPr="00714A4B">
        <w:rPr>
          <w:snapToGrid w:val="0"/>
          <w:kern w:val="22"/>
          <w:szCs w:val="22"/>
        </w:rPr>
        <w:t>r</w:t>
      </w:r>
      <w:r w:rsidR="00DE2327" w:rsidRPr="00714A4B">
        <w:rPr>
          <w:snapToGrid w:val="0"/>
          <w:kern w:val="22"/>
          <w:szCs w:val="22"/>
        </w:rPr>
        <w:t>eference</w:t>
      </w:r>
      <w:r w:rsidR="00CB335B" w:rsidRPr="00714A4B">
        <w:rPr>
          <w:snapToGrid w:val="0"/>
          <w:kern w:val="22"/>
          <w:szCs w:val="22"/>
        </w:rPr>
        <w:t xml:space="preserve"> of that group</w:t>
      </w:r>
      <w:r w:rsidR="0070289C" w:rsidRPr="00714A4B">
        <w:rPr>
          <w:snapToGrid w:val="0"/>
          <w:kern w:val="22"/>
          <w:szCs w:val="22"/>
        </w:rPr>
        <w:t>,</w:t>
      </w:r>
      <w:r w:rsidR="0062019E" w:rsidRPr="00714A4B">
        <w:rPr>
          <w:rStyle w:val="FootnoteReference"/>
          <w:snapToGrid w:val="0"/>
          <w:kern w:val="22"/>
          <w:szCs w:val="22"/>
        </w:rPr>
        <w:footnoteReference w:id="3"/>
      </w:r>
      <w:r w:rsidR="00963402" w:rsidRPr="00714A4B">
        <w:rPr>
          <w:snapToGrid w:val="0"/>
          <w:kern w:val="22"/>
          <w:szCs w:val="22"/>
        </w:rPr>
        <w:t xml:space="preserve"> </w:t>
      </w:r>
      <w:r w:rsidR="0070289C" w:rsidRPr="00714A4B">
        <w:rPr>
          <w:snapToGrid w:val="0"/>
          <w:kern w:val="22"/>
          <w:szCs w:val="22"/>
        </w:rPr>
        <w:t>bearing in mind geographical balance</w:t>
      </w:r>
      <w:r w:rsidR="00E731C7" w:rsidRPr="00714A4B">
        <w:rPr>
          <w:snapToGrid w:val="0"/>
          <w:kern w:val="22"/>
          <w:szCs w:val="22"/>
        </w:rPr>
        <w:t xml:space="preserve">. </w:t>
      </w:r>
      <w:r w:rsidR="00963402" w:rsidRPr="00714A4B">
        <w:rPr>
          <w:snapToGrid w:val="0"/>
          <w:kern w:val="22"/>
          <w:szCs w:val="22"/>
        </w:rPr>
        <w:t>The group will be composed of technical experts on biodiversity finance statistics from Parties as well as observer</w:t>
      </w:r>
      <w:r w:rsidR="00E731C7" w:rsidRPr="00714A4B">
        <w:rPr>
          <w:snapToGrid w:val="0"/>
          <w:kern w:val="22"/>
          <w:szCs w:val="22"/>
        </w:rPr>
        <w:t>s</w:t>
      </w:r>
      <w:r w:rsidR="00963402" w:rsidRPr="00714A4B">
        <w:rPr>
          <w:snapToGrid w:val="0"/>
          <w:kern w:val="22"/>
          <w:szCs w:val="22"/>
        </w:rPr>
        <w:t xml:space="preserve"> and other relevant organizations.</w:t>
      </w:r>
    </w:p>
    <w:p w14:paraId="2084E509" w14:textId="7A49473C" w:rsidR="002E3289" w:rsidRPr="00714A4B" w:rsidRDefault="002E3289"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714A4B">
        <w:rPr>
          <w:snapToGrid w:val="0"/>
          <w:kern w:val="22"/>
          <w:szCs w:val="22"/>
        </w:rPr>
        <w:t xml:space="preserve">The </w:t>
      </w:r>
      <w:r w:rsidR="00AE4385" w:rsidRPr="00714A4B">
        <w:rPr>
          <w:spacing w:val="-2"/>
          <w:kern w:val="22"/>
          <w:szCs w:val="22"/>
        </w:rPr>
        <w:t xml:space="preserve">expert </w:t>
      </w:r>
      <w:r w:rsidR="003827CF" w:rsidRPr="00714A4B">
        <w:rPr>
          <w:snapToGrid w:val="0"/>
          <w:kern w:val="22"/>
          <w:szCs w:val="22"/>
        </w:rPr>
        <w:t>working g</w:t>
      </w:r>
      <w:r w:rsidRPr="00714A4B">
        <w:rPr>
          <w:snapToGrid w:val="0"/>
          <w:kern w:val="22"/>
          <w:szCs w:val="22"/>
        </w:rPr>
        <w:t xml:space="preserve">roup will </w:t>
      </w:r>
      <w:r w:rsidR="003827CF" w:rsidRPr="00714A4B">
        <w:rPr>
          <w:snapToGrid w:val="0"/>
          <w:kern w:val="22"/>
          <w:szCs w:val="22"/>
        </w:rPr>
        <w:t xml:space="preserve">elect </w:t>
      </w:r>
      <w:r w:rsidRPr="00714A4B">
        <w:rPr>
          <w:snapToGrid w:val="0"/>
          <w:kern w:val="22"/>
          <w:szCs w:val="22"/>
        </w:rPr>
        <w:t xml:space="preserve">two co-chairs from among </w:t>
      </w:r>
      <w:r w:rsidR="003827CF" w:rsidRPr="00714A4B">
        <w:rPr>
          <w:snapToGrid w:val="0"/>
          <w:kern w:val="22"/>
          <w:szCs w:val="22"/>
        </w:rPr>
        <w:t>its members</w:t>
      </w:r>
      <w:r w:rsidRPr="00714A4B">
        <w:rPr>
          <w:snapToGrid w:val="0"/>
          <w:kern w:val="22"/>
          <w:szCs w:val="22"/>
        </w:rPr>
        <w:t>.</w:t>
      </w:r>
    </w:p>
    <w:p w14:paraId="09994A57" w14:textId="32E4CBA7" w:rsidR="002E3289" w:rsidRPr="00714A4B" w:rsidRDefault="002E3289"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714A4B">
        <w:rPr>
          <w:snapToGrid w:val="0"/>
          <w:kern w:val="22"/>
          <w:szCs w:val="22"/>
        </w:rPr>
        <w:t xml:space="preserve">The </w:t>
      </w:r>
      <w:r w:rsidR="00AE4385" w:rsidRPr="00714A4B">
        <w:rPr>
          <w:spacing w:val="-2"/>
          <w:kern w:val="22"/>
          <w:szCs w:val="22"/>
        </w:rPr>
        <w:t xml:space="preserve">expert </w:t>
      </w:r>
      <w:r w:rsidR="000D500F" w:rsidRPr="00714A4B">
        <w:rPr>
          <w:snapToGrid w:val="0"/>
          <w:kern w:val="22"/>
          <w:szCs w:val="22"/>
        </w:rPr>
        <w:t>working g</w:t>
      </w:r>
      <w:r w:rsidRPr="00714A4B">
        <w:rPr>
          <w:snapToGrid w:val="0"/>
          <w:kern w:val="22"/>
          <w:szCs w:val="22"/>
        </w:rPr>
        <w:t xml:space="preserve">roup will coordinate closely with the ad hoc technical expert group that was established to advise on the further operationalization of the monitoring framework for the post-2020 global biodiversity framework, </w:t>
      </w:r>
      <w:proofErr w:type="gramStart"/>
      <w:r w:rsidRPr="00714A4B">
        <w:rPr>
          <w:snapToGrid w:val="0"/>
          <w:kern w:val="22"/>
          <w:szCs w:val="22"/>
        </w:rPr>
        <w:t>in order to</w:t>
      </w:r>
      <w:proofErr w:type="gramEnd"/>
      <w:r w:rsidRPr="00714A4B">
        <w:rPr>
          <w:snapToGrid w:val="0"/>
          <w:kern w:val="22"/>
          <w:szCs w:val="22"/>
        </w:rPr>
        <w:t xml:space="preserve"> avoi</w:t>
      </w:r>
      <w:r w:rsidR="00E4492E" w:rsidRPr="00714A4B">
        <w:rPr>
          <w:snapToGrid w:val="0"/>
          <w:kern w:val="22"/>
          <w:szCs w:val="22"/>
        </w:rPr>
        <w:t>d</w:t>
      </w:r>
      <w:r w:rsidR="00324535" w:rsidRPr="00714A4B">
        <w:rPr>
          <w:snapToGrid w:val="0"/>
          <w:kern w:val="22"/>
          <w:szCs w:val="22"/>
        </w:rPr>
        <w:t xml:space="preserve"> overlapping mandates and the </w:t>
      </w:r>
      <w:r w:rsidRPr="00714A4B">
        <w:rPr>
          <w:snapToGrid w:val="0"/>
          <w:kern w:val="22"/>
          <w:szCs w:val="22"/>
        </w:rPr>
        <w:t>duplication of work.</w:t>
      </w:r>
    </w:p>
    <w:p w14:paraId="58C5AC7E" w14:textId="224C8091" w:rsidR="002E3289" w:rsidRPr="00714A4B" w:rsidRDefault="002E3289" w:rsidP="00AC4D0A">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sidRPr="00714A4B">
        <w:rPr>
          <w:snapToGrid w:val="0"/>
          <w:kern w:val="22"/>
          <w:szCs w:val="22"/>
        </w:rPr>
        <w:lastRenderedPageBreak/>
        <w:t xml:space="preserve">The </w:t>
      </w:r>
      <w:r w:rsidR="00AE4385" w:rsidRPr="00714A4B">
        <w:rPr>
          <w:spacing w:val="-2"/>
          <w:kern w:val="22"/>
          <w:szCs w:val="22"/>
        </w:rPr>
        <w:t xml:space="preserve">expert </w:t>
      </w:r>
      <w:r w:rsidR="00A24D7A" w:rsidRPr="00714A4B">
        <w:rPr>
          <w:snapToGrid w:val="0"/>
          <w:kern w:val="22"/>
          <w:szCs w:val="22"/>
        </w:rPr>
        <w:t>working g</w:t>
      </w:r>
      <w:r w:rsidRPr="00714A4B">
        <w:rPr>
          <w:snapToGrid w:val="0"/>
          <w:kern w:val="22"/>
          <w:szCs w:val="22"/>
        </w:rPr>
        <w:t>roup will primarily conduct its work electronically and, subject to the availability of resources, will also meet physically, if possible, meeting at least twice during the intersessional period.</w:t>
      </w:r>
    </w:p>
    <w:p w14:paraId="5CA22CDB" w14:textId="36BEAB7E" w:rsidR="00463481" w:rsidRPr="00714A4B" w:rsidRDefault="002E3289" w:rsidP="00BA5A5D">
      <w:pPr>
        <w:pStyle w:val="ListParagraph"/>
        <w:numPr>
          <w:ilvl w:val="0"/>
          <w:numId w:val="35"/>
        </w:numPr>
        <w:suppressLineNumbers/>
        <w:suppressAutoHyphens/>
        <w:kinsoku w:val="0"/>
        <w:overflowPunct w:val="0"/>
        <w:autoSpaceDE w:val="0"/>
        <w:autoSpaceDN w:val="0"/>
        <w:adjustRightInd w:val="0"/>
        <w:snapToGrid w:val="0"/>
        <w:spacing w:before="120" w:after="120"/>
        <w:ind w:left="0" w:firstLine="0"/>
        <w:contextualSpacing w:val="0"/>
        <w:rPr>
          <w:snapToGrid w:val="0"/>
          <w:color w:val="000000" w:themeColor="text1"/>
          <w:kern w:val="22"/>
          <w:szCs w:val="22"/>
        </w:rPr>
      </w:pPr>
      <w:r w:rsidRPr="00714A4B">
        <w:rPr>
          <w:snapToGrid w:val="0"/>
          <w:color w:val="000000" w:themeColor="text1"/>
          <w:kern w:val="22"/>
          <w:szCs w:val="22"/>
        </w:rPr>
        <w:t xml:space="preserve">The </w:t>
      </w:r>
      <w:r w:rsidR="00CC4FC5" w:rsidRPr="00714A4B">
        <w:rPr>
          <w:snapToGrid w:val="0"/>
          <w:color w:val="000000" w:themeColor="text1"/>
          <w:kern w:val="22"/>
          <w:szCs w:val="22"/>
        </w:rPr>
        <w:t xml:space="preserve">expert </w:t>
      </w:r>
      <w:r w:rsidR="00A24D7A" w:rsidRPr="00714A4B">
        <w:rPr>
          <w:snapToGrid w:val="0"/>
          <w:color w:val="000000" w:themeColor="text1"/>
          <w:kern w:val="22"/>
          <w:szCs w:val="22"/>
        </w:rPr>
        <w:t xml:space="preserve">working group </w:t>
      </w:r>
      <w:r w:rsidRPr="00714A4B">
        <w:rPr>
          <w:snapToGrid w:val="0"/>
          <w:color w:val="000000" w:themeColor="text1"/>
          <w:kern w:val="22"/>
          <w:szCs w:val="22"/>
        </w:rPr>
        <w:t>should be established</w:t>
      </w:r>
      <w:r w:rsidR="0035147A" w:rsidRPr="00714A4B">
        <w:rPr>
          <w:snapToGrid w:val="0"/>
          <w:color w:val="000000" w:themeColor="text1"/>
          <w:kern w:val="22"/>
          <w:szCs w:val="22"/>
        </w:rPr>
        <w:t xml:space="preserve"> at,</w:t>
      </w:r>
      <w:r w:rsidRPr="00714A4B">
        <w:rPr>
          <w:snapToGrid w:val="0"/>
          <w:color w:val="000000" w:themeColor="text1"/>
          <w:kern w:val="22"/>
          <w:szCs w:val="22"/>
        </w:rPr>
        <w:t xml:space="preserve"> and start its work immediately after</w:t>
      </w:r>
      <w:r w:rsidR="0035147A" w:rsidRPr="00714A4B">
        <w:rPr>
          <w:snapToGrid w:val="0"/>
          <w:color w:val="000000" w:themeColor="text1"/>
          <w:kern w:val="22"/>
          <w:szCs w:val="22"/>
        </w:rPr>
        <w:t>,</w:t>
      </w:r>
      <w:r w:rsidRPr="00714A4B">
        <w:rPr>
          <w:snapToGrid w:val="0"/>
          <w:color w:val="000000" w:themeColor="text1"/>
          <w:kern w:val="22"/>
          <w:szCs w:val="22"/>
        </w:rPr>
        <w:t xml:space="preserve"> </w:t>
      </w:r>
      <w:r w:rsidR="0035147A" w:rsidRPr="00714A4B">
        <w:rPr>
          <w:snapToGrid w:val="0"/>
          <w:color w:val="000000" w:themeColor="text1"/>
          <w:kern w:val="22"/>
          <w:szCs w:val="22"/>
        </w:rPr>
        <w:t xml:space="preserve">the first meeting of </w:t>
      </w:r>
      <w:r w:rsidR="00AC7C2D" w:rsidRPr="00714A4B">
        <w:rPr>
          <w:snapToGrid w:val="0"/>
          <w:color w:val="000000" w:themeColor="text1"/>
          <w:kern w:val="22"/>
          <w:szCs w:val="22"/>
        </w:rPr>
        <w:t xml:space="preserve">the </w:t>
      </w:r>
      <w:r w:rsidR="0035147A" w:rsidRPr="00714A4B">
        <w:rPr>
          <w:snapToGrid w:val="0"/>
          <w:color w:val="000000" w:themeColor="text1"/>
          <w:kern w:val="22"/>
          <w:szCs w:val="22"/>
        </w:rPr>
        <w:t xml:space="preserve">ad hoc technical expert group </w:t>
      </w:r>
      <w:r w:rsidR="00AC7C2D" w:rsidRPr="00714A4B">
        <w:rPr>
          <w:snapToGrid w:val="0"/>
          <w:color w:val="000000" w:themeColor="text1"/>
          <w:kern w:val="22"/>
          <w:szCs w:val="22"/>
        </w:rPr>
        <w:t>to advise on the further operationalization of the monitoring framework.</w:t>
      </w:r>
      <w:r w:rsidR="00BE33AA" w:rsidRPr="00714A4B">
        <w:rPr>
          <w:snapToGrid w:val="0"/>
          <w:color w:val="000000" w:themeColor="text1"/>
          <w:kern w:val="22"/>
          <w:szCs w:val="22"/>
        </w:rPr>
        <w:t xml:space="preserve"> It would report on its work, through the ad hoc technical expert group, </w:t>
      </w:r>
      <w:r w:rsidRPr="00714A4B">
        <w:rPr>
          <w:snapToGrid w:val="0"/>
          <w:color w:val="000000" w:themeColor="text1"/>
          <w:kern w:val="22"/>
          <w:szCs w:val="22"/>
        </w:rPr>
        <w:t>to the Subsidiary Body on Implementation and the Subsidiary Body on Scientific, Technical and Technological Advice at meetings held prior to the sixteenth meeting of the Conference of the Parties.</w:t>
      </w:r>
    </w:p>
    <w:p w14:paraId="35B9B010" w14:textId="0E65856F" w:rsidR="00623938" w:rsidRPr="00093512" w:rsidRDefault="00B8071F" w:rsidP="00D51B7B">
      <w:pPr>
        <w:pStyle w:val="ListParagraph"/>
        <w:suppressLineNumbers/>
        <w:suppressAutoHyphens/>
        <w:kinsoku w:val="0"/>
        <w:overflowPunct w:val="0"/>
        <w:autoSpaceDE w:val="0"/>
        <w:autoSpaceDN w:val="0"/>
        <w:adjustRightInd w:val="0"/>
        <w:snapToGrid w:val="0"/>
        <w:spacing w:before="120" w:after="120"/>
        <w:ind w:left="0"/>
        <w:jc w:val="center"/>
        <w:rPr>
          <w:snapToGrid w:val="0"/>
          <w:color w:val="000000" w:themeColor="text1"/>
          <w:kern w:val="22"/>
          <w:szCs w:val="22"/>
        </w:rPr>
      </w:pPr>
      <w:r w:rsidRPr="00714A4B">
        <w:rPr>
          <w:snapToGrid w:val="0"/>
          <w:color w:val="000000" w:themeColor="text1"/>
          <w:kern w:val="22"/>
          <w:szCs w:val="22"/>
        </w:rPr>
        <w:t>____________</w:t>
      </w:r>
    </w:p>
    <w:sectPr w:rsidR="00623938" w:rsidRPr="00093512"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BA60" w14:textId="77777777" w:rsidR="004A39DC" w:rsidRDefault="004A39DC" w:rsidP="00CF1848">
      <w:r>
        <w:separator/>
      </w:r>
    </w:p>
  </w:endnote>
  <w:endnote w:type="continuationSeparator" w:id="0">
    <w:p w14:paraId="36C20496" w14:textId="77777777" w:rsidR="004A39DC" w:rsidRDefault="004A39DC" w:rsidP="00CF1848">
      <w:r>
        <w:continuationSeparator/>
      </w:r>
    </w:p>
  </w:endnote>
  <w:endnote w:type="continuationNotice" w:id="1">
    <w:p w14:paraId="6A89BF47" w14:textId="77777777" w:rsidR="004A39DC" w:rsidRDefault="004A3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0D8CF" w14:textId="77777777" w:rsidR="004A39DC" w:rsidRDefault="004A39DC" w:rsidP="00CF1848">
      <w:r>
        <w:separator/>
      </w:r>
    </w:p>
  </w:footnote>
  <w:footnote w:type="continuationSeparator" w:id="0">
    <w:p w14:paraId="251617EE" w14:textId="77777777" w:rsidR="004A39DC" w:rsidRDefault="004A39DC" w:rsidP="00CF1848">
      <w:r>
        <w:continuationSeparator/>
      </w:r>
    </w:p>
  </w:footnote>
  <w:footnote w:type="continuationNotice" w:id="1">
    <w:p w14:paraId="42A9A0EA" w14:textId="77777777" w:rsidR="004A39DC" w:rsidRDefault="004A39DC"/>
  </w:footnote>
  <w:footnote w:id="2">
    <w:p w14:paraId="26EED3F9" w14:textId="10B67A77" w:rsidR="002A18F8" w:rsidRPr="00714A4B" w:rsidRDefault="002A18F8" w:rsidP="00714A4B">
      <w:pPr>
        <w:pStyle w:val="FootnoteText"/>
        <w:ind w:firstLine="0"/>
        <w:jc w:val="left"/>
        <w:rPr>
          <w:lang w:val="en-US"/>
        </w:rPr>
      </w:pPr>
      <w:r w:rsidRPr="008D56F2">
        <w:rPr>
          <w:rStyle w:val="FootnoteReference"/>
        </w:rPr>
        <w:footnoteRef/>
      </w:r>
      <w:r w:rsidRPr="008D56F2">
        <w:t xml:space="preserve"> </w:t>
      </w:r>
      <w:r w:rsidR="008113C6" w:rsidRPr="00714A4B">
        <w:t>Refers to goal and target(s) as they appear in the first draft of the global biodiversity framework, as contained in document CBD/WG2020/3/3.</w:t>
      </w:r>
      <w:r w:rsidR="008113C6" w:rsidRPr="008D56F2">
        <w:t xml:space="preserve">  </w:t>
      </w:r>
    </w:p>
  </w:footnote>
  <w:footnote w:id="3">
    <w:p w14:paraId="4A40A59D" w14:textId="77777777" w:rsidR="0062019E" w:rsidRPr="00714A4B" w:rsidRDefault="0062019E" w:rsidP="00714A4B">
      <w:pPr>
        <w:pStyle w:val="FootnoteText"/>
        <w:ind w:firstLine="0"/>
        <w:jc w:val="left"/>
        <w:rPr>
          <w:szCs w:val="18"/>
        </w:rPr>
      </w:pPr>
      <w:r w:rsidRPr="00714A4B">
        <w:rPr>
          <w:rStyle w:val="FootnoteReference"/>
          <w:sz w:val="18"/>
          <w:szCs w:val="18"/>
        </w:rPr>
        <w:footnoteRef/>
      </w:r>
      <w:r w:rsidRPr="008D56F2">
        <w:rPr>
          <w:szCs w:val="18"/>
        </w:rPr>
        <w:t xml:space="preserve"> </w:t>
      </w:r>
      <w:r w:rsidRPr="00714A4B">
        <w:rPr>
          <w:szCs w:val="18"/>
        </w:rPr>
        <w:t>CBD/SBSTTA/24/L.3.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14BF404A" w:rsidR="00CF2709" w:rsidRPr="007526BE" w:rsidRDefault="00905C22" w:rsidP="007526BE">
        <w:pPr>
          <w:pStyle w:val="Header"/>
          <w:tabs>
            <w:tab w:val="clear" w:pos="4320"/>
            <w:tab w:val="clear" w:pos="8640"/>
          </w:tabs>
          <w:kinsoku w:val="0"/>
          <w:overflowPunct w:val="0"/>
          <w:autoSpaceDE w:val="0"/>
          <w:autoSpaceDN w:val="0"/>
          <w:jc w:val="left"/>
          <w:rPr>
            <w:noProof/>
            <w:kern w:val="22"/>
          </w:rPr>
        </w:pPr>
        <w:r>
          <w:rPr>
            <w:noProof/>
            <w:kern w:val="22"/>
          </w:rPr>
          <w:t>CBD/SBI/3/5/Add.4</w:t>
        </w:r>
      </w:p>
    </w:sdtContent>
  </w:sdt>
  <w:p w14:paraId="3EA48BBD" w14:textId="77777777" w:rsidR="00CF2709" w:rsidRPr="007526BE" w:rsidRDefault="00CF2709" w:rsidP="007526BE">
    <w:pPr>
      <w:pStyle w:val="Header"/>
      <w:tabs>
        <w:tab w:val="clear" w:pos="4320"/>
        <w:tab w:val="clear" w:pos="8640"/>
      </w:tabs>
      <w:kinsoku w:val="0"/>
      <w:overflowPunct w:val="0"/>
      <w:autoSpaceDE w:val="0"/>
      <w:autoSpaceDN w:val="0"/>
      <w:jc w:val="left"/>
      <w:rPr>
        <w:noProof/>
        <w:kern w:val="22"/>
      </w:rPr>
    </w:pPr>
    <w:r w:rsidRPr="007526BE">
      <w:rPr>
        <w:noProof/>
        <w:kern w:val="22"/>
      </w:rPr>
      <w:t xml:space="preserve">Page </w:t>
    </w:r>
    <w:r w:rsidRPr="007526BE">
      <w:rPr>
        <w:noProof/>
        <w:kern w:val="22"/>
      </w:rPr>
      <w:fldChar w:fldCharType="begin"/>
    </w:r>
    <w:r w:rsidRPr="007526BE">
      <w:rPr>
        <w:noProof/>
        <w:kern w:val="22"/>
      </w:rPr>
      <w:instrText xml:space="preserve"> PAGE   \* MERGEFORMAT </w:instrText>
    </w:r>
    <w:r w:rsidRPr="007526BE">
      <w:rPr>
        <w:noProof/>
        <w:kern w:val="22"/>
      </w:rPr>
      <w:fldChar w:fldCharType="separate"/>
    </w:r>
    <w:r w:rsidRPr="007526BE">
      <w:rPr>
        <w:noProof/>
        <w:kern w:val="22"/>
      </w:rPr>
      <w:t>2</w:t>
    </w:r>
    <w:r w:rsidRPr="007526BE">
      <w:rPr>
        <w:noProof/>
        <w:kern w:val="22"/>
      </w:rPr>
      <w:fldChar w:fldCharType="end"/>
    </w:r>
  </w:p>
  <w:p w14:paraId="4991B278" w14:textId="77777777" w:rsidR="00CF2709" w:rsidRPr="007526BE" w:rsidRDefault="00CF2709" w:rsidP="007526BE">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38550664" w:rsidR="00CF2709" w:rsidRPr="007526BE" w:rsidRDefault="00905C22" w:rsidP="007526BE">
        <w:pPr>
          <w:pStyle w:val="Header"/>
          <w:kinsoku w:val="0"/>
          <w:overflowPunct w:val="0"/>
          <w:autoSpaceDE w:val="0"/>
          <w:autoSpaceDN w:val="0"/>
          <w:jc w:val="right"/>
          <w:rPr>
            <w:noProof/>
            <w:kern w:val="22"/>
          </w:rPr>
        </w:pPr>
        <w:r>
          <w:rPr>
            <w:noProof/>
            <w:kern w:val="22"/>
          </w:rPr>
          <w:t>CBD/SBI/3/5/Add.4</w:t>
        </w:r>
      </w:p>
    </w:sdtContent>
  </w:sdt>
  <w:p w14:paraId="213AB81C" w14:textId="77777777" w:rsidR="00CF2709" w:rsidRPr="007526BE" w:rsidRDefault="00CF2709" w:rsidP="007526BE">
    <w:pPr>
      <w:pStyle w:val="Header"/>
      <w:kinsoku w:val="0"/>
      <w:overflowPunct w:val="0"/>
      <w:autoSpaceDE w:val="0"/>
      <w:autoSpaceDN w:val="0"/>
      <w:jc w:val="right"/>
      <w:rPr>
        <w:noProof/>
        <w:kern w:val="22"/>
      </w:rPr>
    </w:pPr>
    <w:r w:rsidRPr="007526BE">
      <w:rPr>
        <w:noProof/>
        <w:kern w:val="22"/>
      </w:rPr>
      <w:t xml:space="preserve">Page </w:t>
    </w:r>
    <w:r w:rsidRPr="007526BE">
      <w:rPr>
        <w:noProof/>
        <w:kern w:val="22"/>
      </w:rPr>
      <w:fldChar w:fldCharType="begin"/>
    </w:r>
    <w:r w:rsidRPr="007526BE">
      <w:rPr>
        <w:noProof/>
        <w:kern w:val="22"/>
      </w:rPr>
      <w:instrText xml:space="preserve"> PAGE   \* MERGEFORMAT </w:instrText>
    </w:r>
    <w:r w:rsidRPr="007526BE">
      <w:rPr>
        <w:noProof/>
        <w:kern w:val="22"/>
      </w:rPr>
      <w:fldChar w:fldCharType="separate"/>
    </w:r>
    <w:r w:rsidRPr="007526BE">
      <w:rPr>
        <w:noProof/>
        <w:kern w:val="22"/>
      </w:rPr>
      <w:t>1</w:t>
    </w:r>
    <w:r w:rsidRPr="007526BE">
      <w:rPr>
        <w:noProof/>
        <w:kern w:val="22"/>
      </w:rPr>
      <w:fldChar w:fldCharType="end"/>
    </w:r>
  </w:p>
  <w:p w14:paraId="64B5CF41" w14:textId="77777777" w:rsidR="00CF2709" w:rsidRPr="007526BE" w:rsidRDefault="00CF2709" w:rsidP="007526BE">
    <w:pPr>
      <w:pStyle w:val="Header"/>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0A47"/>
    <w:multiLevelType w:val="hybridMultilevel"/>
    <w:tmpl w:val="EC16B13C"/>
    <w:lvl w:ilvl="0" w:tplc="0AF6E372">
      <w:start w:val="3"/>
      <w:numFmt w:val="decimal"/>
      <w:lvlText w:val="%1."/>
      <w:lvlJc w:val="left"/>
      <w:pPr>
        <w:ind w:left="720" w:hanging="360"/>
      </w:pPr>
      <w:rPr>
        <w:rFonts w:ascii="Times New Roman" w:eastAsiaTheme="minorHAnsi" w:hAnsi="Times New Roman" w:cs="Times New Roman"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53EA3"/>
    <w:multiLevelType w:val="hybridMultilevel"/>
    <w:tmpl w:val="C1A0C6EA"/>
    <w:lvl w:ilvl="0" w:tplc="2CAABB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4241E9"/>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2"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0442B4"/>
    <w:multiLevelType w:val="multilevel"/>
    <w:tmpl w:val="79D4542A"/>
    <w:lvl w:ilvl="0">
      <w:start w:val="3"/>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245FA1"/>
    <w:multiLevelType w:val="multilevel"/>
    <w:tmpl w:val="EF6A790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EE46A3"/>
    <w:multiLevelType w:val="hybridMultilevel"/>
    <w:tmpl w:val="A650B8BC"/>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7C55E4"/>
    <w:multiLevelType w:val="hybridMultilevel"/>
    <w:tmpl w:val="4DCA9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5"/>
  </w:num>
  <w:num w:numId="5">
    <w:abstractNumId w:val="14"/>
  </w:num>
  <w:num w:numId="6">
    <w:abstractNumId w:val="1"/>
  </w:num>
  <w:num w:numId="7">
    <w:abstractNumId w:val="6"/>
  </w:num>
  <w:num w:numId="8">
    <w:abstractNumId w:val="13"/>
    <w:lvlOverride w:ilvl="0">
      <w:startOverride w:val="1"/>
    </w:lvlOverride>
  </w:num>
  <w:num w:numId="9">
    <w:abstractNumId w:val="21"/>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9"/>
  </w:num>
  <w:num w:numId="15">
    <w:abstractNumId w:val="17"/>
  </w:num>
  <w:num w:numId="16">
    <w:abstractNumId w:val="2"/>
  </w:num>
  <w:num w:numId="17">
    <w:abstractNumId w:val="22"/>
  </w:num>
  <w:num w:numId="18">
    <w:abstractNumId w:val="24"/>
  </w:num>
  <w:num w:numId="19">
    <w:abstractNumId w:val="8"/>
  </w:num>
  <w:num w:numId="20">
    <w:abstractNumId w:val="21"/>
  </w:num>
  <w:num w:numId="21">
    <w:abstractNumId w:val="10"/>
  </w:num>
  <w:num w:numId="22">
    <w:abstractNumId w:val="15"/>
  </w:num>
  <w:num w:numId="23">
    <w:abstractNumId w:val="14"/>
  </w:num>
  <w:num w:numId="24">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3"/>
  </w:num>
  <w:num w:numId="32">
    <w:abstractNumId w:val="18"/>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0"/>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DEA"/>
    <w:rsid w:val="000151B7"/>
    <w:rsid w:val="00015C96"/>
    <w:rsid w:val="00020F47"/>
    <w:rsid w:val="0002264E"/>
    <w:rsid w:val="00024C0B"/>
    <w:rsid w:val="00026010"/>
    <w:rsid w:val="000320E5"/>
    <w:rsid w:val="0003302B"/>
    <w:rsid w:val="00041952"/>
    <w:rsid w:val="00042FB2"/>
    <w:rsid w:val="00045995"/>
    <w:rsid w:val="00045E08"/>
    <w:rsid w:val="00053FF3"/>
    <w:rsid w:val="00072AB4"/>
    <w:rsid w:val="000809C0"/>
    <w:rsid w:val="000816A4"/>
    <w:rsid w:val="0008381C"/>
    <w:rsid w:val="000840A3"/>
    <w:rsid w:val="00085A25"/>
    <w:rsid w:val="00093512"/>
    <w:rsid w:val="0009397F"/>
    <w:rsid w:val="000944C1"/>
    <w:rsid w:val="000A32A1"/>
    <w:rsid w:val="000B234C"/>
    <w:rsid w:val="000C1344"/>
    <w:rsid w:val="000D2373"/>
    <w:rsid w:val="000D28A5"/>
    <w:rsid w:val="000D4003"/>
    <w:rsid w:val="000D500F"/>
    <w:rsid w:val="000E48BB"/>
    <w:rsid w:val="000E591B"/>
    <w:rsid w:val="000E673A"/>
    <w:rsid w:val="000E7F65"/>
    <w:rsid w:val="000F1D7A"/>
    <w:rsid w:val="000F3B01"/>
    <w:rsid w:val="000F6168"/>
    <w:rsid w:val="000F74F5"/>
    <w:rsid w:val="00105372"/>
    <w:rsid w:val="001112FD"/>
    <w:rsid w:val="00111DA2"/>
    <w:rsid w:val="0011490D"/>
    <w:rsid w:val="00114A46"/>
    <w:rsid w:val="00116610"/>
    <w:rsid w:val="00131E7A"/>
    <w:rsid w:val="0013237B"/>
    <w:rsid w:val="001455F3"/>
    <w:rsid w:val="00147BEF"/>
    <w:rsid w:val="001513F6"/>
    <w:rsid w:val="001530A9"/>
    <w:rsid w:val="00156E4F"/>
    <w:rsid w:val="001646B0"/>
    <w:rsid w:val="001654F6"/>
    <w:rsid w:val="00172AF6"/>
    <w:rsid w:val="00172F87"/>
    <w:rsid w:val="00176477"/>
    <w:rsid w:val="00176CEE"/>
    <w:rsid w:val="0018179A"/>
    <w:rsid w:val="001858BF"/>
    <w:rsid w:val="001860D6"/>
    <w:rsid w:val="00192441"/>
    <w:rsid w:val="0019281C"/>
    <w:rsid w:val="001949A8"/>
    <w:rsid w:val="001A76EB"/>
    <w:rsid w:val="001B12FF"/>
    <w:rsid w:val="001B6F0C"/>
    <w:rsid w:val="001C14B1"/>
    <w:rsid w:val="001C5924"/>
    <w:rsid w:val="001C7FB2"/>
    <w:rsid w:val="001E299F"/>
    <w:rsid w:val="001E6911"/>
    <w:rsid w:val="00202AFD"/>
    <w:rsid w:val="002049B4"/>
    <w:rsid w:val="002118A1"/>
    <w:rsid w:val="00227299"/>
    <w:rsid w:val="00231094"/>
    <w:rsid w:val="00247F3C"/>
    <w:rsid w:val="0025061C"/>
    <w:rsid w:val="00256763"/>
    <w:rsid w:val="00256C62"/>
    <w:rsid w:val="00257B0D"/>
    <w:rsid w:val="00260545"/>
    <w:rsid w:val="00260FC5"/>
    <w:rsid w:val="0026611D"/>
    <w:rsid w:val="002800CC"/>
    <w:rsid w:val="00280B47"/>
    <w:rsid w:val="00282752"/>
    <w:rsid w:val="00285D9A"/>
    <w:rsid w:val="00287C6F"/>
    <w:rsid w:val="00297E41"/>
    <w:rsid w:val="002A18F8"/>
    <w:rsid w:val="002A52D4"/>
    <w:rsid w:val="002B1EA1"/>
    <w:rsid w:val="002B5590"/>
    <w:rsid w:val="002C0BB3"/>
    <w:rsid w:val="002C1869"/>
    <w:rsid w:val="002C470F"/>
    <w:rsid w:val="002C536E"/>
    <w:rsid w:val="002D1D3A"/>
    <w:rsid w:val="002D52F9"/>
    <w:rsid w:val="002D68B5"/>
    <w:rsid w:val="002E05E4"/>
    <w:rsid w:val="002E3289"/>
    <w:rsid w:val="002F6710"/>
    <w:rsid w:val="003032E5"/>
    <w:rsid w:val="0030366F"/>
    <w:rsid w:val="00306688"/>
    <w:rsid w:val="003069A9"/>
    <w:rsid w:val="00306A5D"/>
    <w:rsid w:val="00311A0D"/>
    <w:rsid w:val="00311D2C"/>
    <w:rsid w:val="00313B58"/>
    <w:rsid w:val="003155E2"/>
    <w:rsid w:val="00323092"/>
    <w:rsid w:val="00324535"/>
    <w:rsid w:val="003273B1"/>
    <w:rsid w:val="00332382"/>
    <w:rsid w:val="0035147A"/>
    <w:rsid w:val="003539DD"/>
    <w:rsid w:val="003607BB"/>
    <w:rsid w:val="00365612"/>
    <w:rsid w:val="0036774E"/>
    <w:rsid w:val="003701B8"/>
    <w:rsid w:val="00370996"/>
    <w:rsid w:val="00372F74"/>
    <w:rsid w:val="003732EF"/>
    <w:rsid w:val="003827CF"/>
    <w:rsid w:val="003829FA"/>
    <w:rsid w:val="00386A23"/>
    <w:rsid w:val="0039098C"/>
    <w:rsid w:val="003909FB"/>
    <w:rsid w:val="003A299F"/>
    <w:rsid w:val="003A6208"/>
    <w:rsid w:val="003B0C31"/>
    <w:rsid w:val="003B0D97"/>
    <w:rsid w:val="003B7001"/>
    <w:rsid w:val="003C474F"/>
    <w:rsid w:val="003C5220"/>
    <w:rsid w:val="003D0745"/>
    <w:rsid w:val="003D0FB0"/>
    <w:rsid w:val="003E0ABE"/>
    <w:rsid w:val="003E0E4C"/>
    <w:rsid w:val="003E63DD"/>
    <w:rsid w:val="003F0AA7"/>
    <w:rsid w:val="003F7224"/>
    <w:rsid w:val="00400B5E"/>
    <w:rsid w:val="004013D3"/>
    <w:rsid w:val="00401DEA"/>
    <w:rsid w:val="00405146"/>
    <w:rsid w:val="004074C8"/>
    <w:rsid w:val="0041299C"/>
    <w:rsid w:val="00421BB7"/>
    <w:rsid w:val="00422D0B"/>
    <w:rsid w:val="0042412C"/>
    <w:rsid w:val="00426DFC"/>
    <w:rsid w:val="00427D21"/>
    <w:rsid w:val="00433C8D"/>
    <w:rsid w:val="004460DA"/>
    <w:rsid w:val="00446DB3"/>
    <w:rsid w:val="00451DFE"/>
    <w:rsid w:val="00454EFC"/>
    <w:rsid w:val="00455919"/>
    <w:rsid w:val="00462675"/>
    <w:rsid w:val="00463481"/>
    <w:rsid w:val="004644C2"/>
    <w:rsid w:val="00467F9C"/>
    <w:rsid w:val="004703EB"/>
    <w:rsid w:val="00470FD3"/>
    <w:rsid w:val="00474896"/>
    <w:rsid w:val="00480D34"/>
    <w:rsid w:val="0048102D"/>
    <w:rsid w:val="00492712"/>
    <w:rsid w:val="00496C40"/>
    <w:rsid w:val="004A0F17"/>
    <w:rsid w:val="004A198A"/>
    <w:rsid w:val="004A39DC"/>
    <w:rsid w:val="004A6009"/>
    <w:rsid w:val="004B03BF"/>
    <w:rsid w:val="004B371D"/>
    <w:rsid w:val="004C4842"/>
    <w:rsid w:val="004C6122"/>
    <w:rsid w:val="004D1AB8"/>
    <w:rsid w:val="004D2774"/>
    <w:rsid w:val="004D36EB"/>
    <w:rsid w:val="004D3A53"/>
    <w:rsid w:val="004D67AD"/>
    <w:rsid w:val="004E56A7"/>
    <w:rsid w:val="004F019A"/>
    <w:rsid w:val="004F4648"/>
    <w:rsid w:val="004F6006"/>
    <w:rsid w:val="00500F26"/>
    <w:rsid w:val="005045AD"/>
    <w:rsid w:val="00505D2F"/>
    <w:rsid w:val="00510E76"/>
    <w:rsid w:val="00512C05"/>
    <w:rsid w:val="0051696B"/>
    <w:rsid w:val="00522946"/>
    <w:rsid w:val="005255D1"/>
    <w:rsid w:val="00530E3A"/>
    <w:rsid w:val="00531426"/>
    <w:rsid w:val="00532747"/>
    <w:rsid w:val="00534681"/>
    <w:rsid w:val="00544CDF"/>
    <w:rsid w:val="005450E7"/>
    <w:rsid w:val="005454F5"/>
    <w:rsid w:val="0054596B"/>
    <w:rsid w:val="005517D8"/>
    <w:rsid w:val="00552074"/>
    <w:rsid w:val="00553724"/>
    <w:rsid w:val="0055764D"/>
    <w:rsid w:val="00557DCD"/>
    <w:rsid w:val="00570944"/>
    <w:rsid w:val="00576C1E"/>
    <w:rsid w:val="00583D5A"/>
    <w:rsid w:val="00596016"/>
    <w:rsid w:val="00596756"/>
    <w:rsid w:val="005A2DE1"/>
    <w:rsid w:val="005A6778"/>
    <w:rsid w:val="005A6F34"/>
    <w:rsid w:val="005A7469"/>
    <w:rsid w:val="005B2C31"/>
    <w:rsid w:val="005B49AC"/>
    <w:rsid w:val="005B6A3E"/>
    <w:rsid w:val="005B79A3"/>
    <w:rsid w:val="005C628D"/>
    <w:rsid w:val="005E311B"/>
    <w:rsid w:val="005E7383"/>
    <w:rsid w:val="005E7551"/>
    <w:rsid w:val="005F4493"/>
    <w:rsid w:val="005F6044"/>
    <w:rsid w:val="005F6512"/>
    <w:rsid w:val="005F70B1"/>
    <w:rsid w:val="00604CF3"/>
    <w:rsid w:val="0060520D"/>
    <w:rsid w:val="00605B1C"/>
    <w:rsid w:val="006076D7"/>
    <w:rsid w:val="006122BA"/>
    <w:rsid w:val="00612824"/>
    <w:rsid w:val="0062019E"/>
    <w:rsid w:val="00621FEB"/>
    <w:rsid w:val="00622A26"/>
    <w:rsid w:val="00623938"/>
    <w:rsid w:val="00626142"/>
    <w:rsid w:val="00631F3F"/>
    <w:rsid w:val="0063430B"/>
    <w:rsid w:val="00636557"/>
    <w:rsid w:val="006410E4"/>
    <w:rsid w:val="00644EBA"/>
    <w:rsid w:val="006452F5"/>
    <w:rsid w:val="006463BA"/>
    <w:rsid w:val="00664E1B"/>
    <w:rsid w:val="00672E07"/>
    <w:rsid w:val="00676EB7"/>
    <w:rsid w:val="006814BE"/>
    <w:rsid w:val="00695BB3"/>
    <w:rsid w:val="00696A8D"/>
    <w:rsid w:val="00697626"/>
    <w:rsid w:val="006A5149"/>
    <w:rsid w:val="006B2290"/>
    <w:rsid w:val="006B3167"/>
    <w:rsid w:val="006B4DDD"/>
    <w:rsid w:val="006B79D4"/>
    <w:rsid w:val="006C5AB4"/>
    <w:rsid w:val="006C5FAF"/>
    <w:rsid w:val="006C65C2"/>
    <w:rsid w:val="006C6B9E"/>
    <w:rsid w:val="0070289C"/>
    <w:rsid w:val="00702CDC"/>
    <w:rsid w:val="00704E07"/>
    <w:rsid w:val="00707F04"/>
    <w:rsid w:val="007105FA"/>
    <w:rsid w:val="00711E82"/>
    <w:rsid w:val="00713AF0"/>
    <w:rsid w:val="00714A4B"/>
    <w:rsid w:val="0071594D"/>
    <w:rsid w:val="00717D88"/>
    <w:rsid w:val="00727B9C"/>
    <w:rsid w:val="007317EC"/>
    <w:rsid w:val="00733DF4"/>
    <w:rsid w:val="007340D6"/>
    <w:rsid w:val="0074204E"/>
    <w:rsid w:val="007448E4"/>
    <w:rsid w:val="00744C82"/>
    <w:rsid w:val="007460DC"/>
    <w:rsid w:val="00746993"/>
    <w:rsid w:val="00746FD8"/>
    <w:rsid w:val="00750005"/>
    <w:rsid w:val="007526BE"/>
    <w:rsid w:val="00762287"/>
    <w:rsid w:val="00762996"/>
    <w:rsid w:val="007646E5"/>
    <w:rsid w:val="007660D8"/>
    <w:rsid w:val="0076688A"/>
    <w:rsid w:val="00781D4F"/>
    <w:rsid w:val="0078588B"/>
    <w:rsid w:val="00791ACA"/>
    <w:rsid w:val="007942D3"/>
    <w:rsid w:val="00794B13"/>
    <w:rsid w:val="0079660F"/>
    <w:rsid w:val="007A5D0C"/>
    <w:rsid w:val="007B0ED9"/>
    <w:rsid w:val="007B4773"/>
    <w:rsid w:val="007B6C09"/>
    <w:rsid w:val="007C3F96"/>
    <w:rsid w:val="007E09DA"/>
    <w:rsid w:val="007E2A1D"/>
    <w:rsid w:val="007E482A"/>
    <w:rsid w:val="007E78AC"/>
    <w:rsid w:val="007F267D"/>
    <w:rsid w:val="007F43F0"/>
    <w:rsid w:val="007F45D9"/>
    <w:rsid w:val="007F71C4"/>
    <w:rsid w:val="008006E3"/>
    <w:rsid w:val="008008F1"/>
    <w:rsid w:val="00800B25"/>
    <w:rsid w:val="00805C49"/>
    <w:rsid w:val="008113C6"/>
    <w:rsid w:val="00814D88"/>
    <w:rsid w:val="00817597"/>
    <w:rsid w:val="008178B6"/>
    <w:rsid w:val="008217B1"/>
    <w:rsid w:val="00831C73"/>
    <w:rsid w:val="00837F63"/>
    <w:rsid w:val="008460CD"/>
    <w:rsid w:val="00847990"/>
    <w:rsid w:val="0085585D"/>
    <w:rsid w:val="00856C65"/>
    <w:rsid w:val="00860E7A"/>
    <w:rsid w:val="00863B0B"/>
    <w:rsid w:val="00863DCA"/>
    <w:rsid w:val="00863FC4"/>
    <w:rsid w:val="00865B74"/>
    <w:rsid w:val="00865F97"/>
    <w:rsid w:val="00875E9F"/>
    <w:rsid w:val="0087678D"/>
    <w:rsid w:val="00876E57"/>
    <w:rsid w:val="008809EC"/>
    <w:rsid w:val="0088191A"/>
    <w:rsid w:val="008968F8"/>
    <w:rsid w:val="008A2009"/>
    <w:rsid w:val="008A37F4"/>
    <w:rsid w:val="008B0AEC"/>
    <w:rsid w:val="008B2C3F"/>
    <w:rsid w:val="008C191F"/>
    <w:rsid w:val="008C4EE6"/>
    <w:rsid w:val="008D0C3D"/>
    <w:rsid w:val="008D2022"/>
    <w:rsid w:val="008D372F"/>
    <w:rsid w:val="008D56F2"/>
    <w:rsid w:val="008E50B5"/>
    <w:rsid w:val="008E52A4"/>
    <w:rsid w:val="008E67F6"/>
    <w:rsid w:val="008F43AF"/>
    <w:rsid w:val="008F4627"/>
    <w:rsid w:val="0090384E"/>
    <w:rsid w:val="00905C22"/>
    <w:rsid w:val="00911773"/>
    <w:rsid w:val="00911F4A"/>
    <w:rsid w:val="00913839"/>
    <w:rsid w:val="00914767"/>
    <w:rsid w:val="00930BA1"/>
    <w:rsid w:val="0093169E"/>
    <w:rsid w:val="00935F34"/>
    <w:rsid w:val="00937BD1"/>
    <w:rsid w:val="009407C9"/>
    <w:rsid w:val="00940CFB"/>
    <w:rsid w:val="0094157A"/>
    <w:rsid w:val="00941836"/>
    <w:rsid w:val="00941DB3"/>
    <w:rsid w:val="009505C9"/>
    <w:rsid w:val="0095090E"/>
    <w:rsid w:val="00951AB2"/>
    <w:rsid w:val="00955090"/>
    <w:rsid w:val="0095670B"/>
    <w:rsid w:val="009567E5"/>
    <w:rsid w:val="00961533"/>
    <w:rsid w:val="00963402"/>
    <w:rsid w:val="00967CC4"/>
    <w:rsid w:val="00973D5D"/>
    <w:rsid w:val="00975540"/>
    <w:rsid w:val="009838BF"/>
    <w:rsid w:val="0098428A"/>
    <w:rsid w:val="009A3F3D"/>
    <w:rsid w:val="009A6720"/>
    <w:rsid w:val="009B1A61"/>
    <w:rsid w:val="009B1B9E"/>
    <w:rsid w:val="009B2B73"/>
    <w:rsid w:val="009B5C44"/>
    <w:rsid w:val="009C1CB2"/>
    <w:rsid w:val="009C200D"/>
    <w:rsid w:val="009C45A7"/>
    <w:rsid w:val="009D00A2"/>
    <w:rsid w:val="009D111D"/>
    <w:rsid w:val="009E4B44"/>
    <w:rsid w:val="009F0484"/>
    <w:rsid w:val="009F16B5"/>
    <w:rsid w:val="009F3B35"/>
    <w:rsid w:val="00A01704"/>
    <w:rsid w:val="00A01889"/>
    <w:rsid w:val="00A04FD1"/>
    <w:rsid w:val="00A06754"/>
    <w:rsid w:val="00A11BBE"/>
    <w:rsid w:val="00A14BA7"/>
    <w:rsid w:val="00A24D7A"/>
    <w:rsid w:val="00A34B19"/>
    <w:rsid w:val="00A362CE"/>
    <w:rsid w:val="00A376D7"/>
    <w:rsid w:val="00A40A18"/>
    <w:rsid w:val="00A45E9A"/>
    <w:rsid w:val="00A521F2"/>
    <w:rsid w:val="00A60A70"/>
    <w:rsid w:val="00A65D81"/>
    <w:rsid w:val="00A704BE"/>
    <w:rsid w:val="00A77E50"/>
    <w:rsid w:val="00A86CA2"/>
    <w:rsid w:val="00A91F35"/>
    <w:rsid w:val="00A97F2F"/>
    <w:rsid w:val="00AB180D"/>
    <w:rsid w:val="00AB22DC"/>
    <w:rsid w:val="00AC31DC"/>
    <w:rsid w:val="00AC4D0A"/>
    <w:rsid w:val="00AC76B7"/>
    <w:rsid w:val="00AC7C2D"/>
    <w:rsid w:val="00AD04FC"/>
    <w:rsid w:val="00AD3C00"/>
    <w:rsid w:val="00AD5E8B"/>
    <w:rsid w:val="00AE0F81"/>
    <w:rsid w:val="00AE2900"/>
    <w:rsid w:val="00AE30D7"/>
    <w:rsid w:val="00AE3FF7"/>
    <w:rsid w:val="00AE4385"/>
    <w:rsid w:val="00AE499A"/>
    <w:rsid w:val="00AE72C3"/>
    <w:rsid w:val="00AF2061"/>
    <w:rsid w:val="00AF4642"/>
    <w:rsid w:val="00AF5653"/>
    <w:rsid w:val="00B04217"/>
    <w:rsid w:val="00B127C8"/>
    <w:rsid w:val="00B172E0"/>
    <w:rsid w:val="00B2222B"/>
    <w:rsid w:val="00B24821"/>
    <w:rsid w:val="00B3369F"/>
    <w:rsid w:val="00B462D1"/>
    <w:rsid w:val="00B5483A"/>
    <w:rsid w:val="00B55E3C"/>
    <w:rsid w:val="00B56EF0"/>
    <w:rsid w:val="00B7186E"/>
    <w:rsid w:val="00B72DA1"/>
    <w:rsid w:val="00B8071F"/>
    <w:rsid w:val="00B80C46"/>
    <w:rsid w:val="00B83DB1"/>
    <w:rsid w:val="00B8456C"/>
    <w:rsid w:val="00B960EE"/>
    <w:rsid w:val="00BA5631"/>
    <w:rsid w:val="00BA5A5D"/>
    <w:rsid w:val="00BA5AD6"/>
    <w:rsid w:val="00BA6F25"/>
    <w:rsid w:val="00BA70CD"/>
    <w:rsid w:val="00BA7AAD"/>
    <w:rsid w:val="00BB575C"/>
    <w:rsid w:val="00BC1085"/>
    <w:rsid w:val="00BC7B8D"/>
    <w:rsid w:val="00BD74B7"/>
    <w:rsid w:val="00BE01D4"/>
    <w:rsid w:val="00BE068B"/>
    <w:rsid w:val="00BE2B7A"/>
    <w:rsid w:val="00BE33AA"/>
    <w:rsid w:val="00BE5183"/>
    <w:rsid w:val="00BE5916"/>
    <w:rsid w:val="00BF2182"/>
    <w:rsid w:val="00BF309B"/>
    <w:rsid w:val="00BF584E"/>
    <w:rsid w:val="00BF5E4D"/>
    <w:rsid w:val="00BF7F41"/>
    <w:rsid w:val="00C017B1"/>
    <w:rsid w:val="00C03B5D"/>
    <w:rsid w:val="00C07861"/>
    <w:rsid w:val="00C115A0"/>
    <w:rsid w:val="00C20258"/>
    <w:rsid w:val="00C34397"/>
    <w:rsid w:val="00C54A4C"/>
    <w:rsid w:val="00C55300"/>
    <w:rsid w:val="00C5696E"/>
    <w:rsid w:val="00C66324"/>
    <w:rsid w:val="00C87BB5"/>
    <w:rsid w:val="00C9161D"/>
    <w:rsid w:val="00C95E37"/>
    <w:rsid w:val="00CA2179"/>
    <w:rsid w:val="00CA76F0"/>
    <w:rsid w:val="00CA7CD7"/>
    <w:rsid w:val="00CB139E"/>
    <w:rsid w:val="00CB335B"/>
    <w:rsid w:val="00CC2DE7"/>
    <w:rsid w:val="00CC3082"/>
    <w:rsid w:val="00CC4FC5"/>
    <w:rsid w:val="00CC7948"/>
    <w:rsid w:val="00CD4CA3"/>
    <w:rsid w:val="00CD7D55"/>
    <w:rsid w:val="00CE6B2D"/>
    <w:rsid w:val="00CF1848"/>
    <w:rsid w:val="00CF2709"/>
    <w:rsid w:val="00CF4CF2"/>
    <w:rsid w:val="00D04BCA"/>
    <w:rsid w:val="00D12044"/>
    <w:rsid w:val="00D133C5"/>
    <w:rsid w:val="00D14DE2"/>
    <w:rsid w:val="00D159B3"/>
    <w:rsid w:val="00D17E01"/>
    <w:rsid w:val="00D22C2B"/>
    <w:rsid w:val="00D22D63"/>
    <w:rsid w:val="00D265CC"/>
    <w:rsid w:val="00D32A6F"/>
    <w:rsid w:val="00D35A22"/>
    <w:rsid w:val="00D42698"/>
    <w:rsid w:val="00D433AC"/>
    <w:rsid w:val="00D435DF"/>
    <w:rsid w:val="00D4698D"/>
    <w:rsid w:val="00D47272"/>
    <w:rsid w:val="00D51B7B"/>
    <w:rsid w:val="00D5209D"/>
    <w:rsid w:val="00D52B86"/>
    <w:rsid w:val="00D547A3"/>
    <w:rsid w:val="00D57A44"/>
    <w:rsid w:val="00D6204D"/>
    <w:rsid w:val="00D62E0F"/>
    <w:rsid w:val="00D71879"/>
    <w:rsid w:val="00D7450E"/>
    <w:rsid w:val="00D75A47"/>
    <w:rsid w:val="00D761F2"/>
    <w:rsid w:val="00D76A18"/>
    <w:rsid w:val="00D879B0"/>
    <w:rsid w:val="00D96736"/>
    <w:rsid w:val="00DA0CD6"/>
    <w:rsid w:val="00DA4379"/>
    <w:rsid w:val="00DA6081"/>
    <w:rsid w:val="00DA6315"/>
    <w:rsid w:val="00DB122F"/>
    <w:rsid w:val="00DB5614"/>
    <w:rsid w:val="00DB5C46"/>
    <w:rsid w:val="00DB6474"/>
    <w:rsid w:val="00DB649C"/>
    <w:rsid w:val="00DB71A3"/>
    <w:rsid w:val="00DC12F1"/>
    <w:rsid w:val="00DC6B0F"/>
    <w:rsid w:val="00DD118C"/>
    <w:rsid w:val="00DE2327"/>
    <w:rsid w:val="00DE412E"/>
    <w:rsid w:val="00DE42FD"/>
    <w:rsid w:val="00DE4E27"/>
    <w:rsid w:val="00DF0D8C"/>
    <w:rsid w:val="00DF288B"/>
    <w:rsid w:val="00DF67A3"/>
    <w:rsid w:val="00E050C2"/>
    <w:rsid w:val="00E16060"/>
    <w:rsid w:val="00E231AF"/>
    <w:rsid w:val="00E24E16"/>
    <w:rsid w:val="00E24FCB"/>
    <w:rsid w:val="00E36116"/>
    <w:rsid w:val="00E43B4A"/>
    <w:rsid w:val="00E43DFE"/>
    <w:rsid w:val="00E43E5A"/>
    <w:rsid w:val="00E4492E"/>
    <w:rsid w:val="00E566D4"/>
    <w:rsid w:val="00E653D0"/>
    <w:rsid w:val="00E66235"/>
    <w:rsid w:val="00E66710"/>
    <w:rsid w:val="00E66A34"/>
    <w:rsid w:val="00E731C7"/>
    <w:rsid w:val="00E75344"/>
    <w:rsid w:val="00E76FF1"/>
    <w:rsid w:val="00E801E2"/>
    <w:rsid w:val="00E83C24"/>
    <w:rsid w:val="00E85F69"/>
    <w:rsid w:val="00E901A0"/>
    <w:rsid w:val="00E92535"/>
    <w:rsid w:val="00E9318D"/>
    <w:rsid w:val="00E9723B"/>
    <w:rsid w:val="00EB2298"/>
    <w:rsid w:val="00EB7CF0"/>
    <w:rsid w:val="00EC3C85"/>
    <w:rsid w:val="00EC6E2B"/>
    <w:rsid w:val="00ED3029"/>
    <w:rsid w:val="00ED38E2"/>
    <w:rsid w:val="00ED7262"/>
    <w:rsid w:val="00ED7B1A"/>
    <w:rsid w:val="00EF4B4A"/>
    <w:rsid w:val="00EF69DF"/>
    <w:rsid w:val="00F03593"/>
    <w:rsid w:val="00F042F4"/>
    <w:rsid w:val="00F05372"/>
    <w:rsid w:val="00F06A2B"/>
    <w:rsid w:val="00F17803"/>
    <w:rsid w:val="00F25770"/>
    <w:rsid w:val="00F311DF"/>
    <w:rsid w:val="00F33230"/>
    <w:rsid w:val="00F33921"/>
    <w:rsid w:val="00F42A4D"/>
    <w:rsid w:val="00F434C1"/>
    <w:rsid w:val="00F510FE"/>
    <w:rsid w:val="00F530DF"/>
    <w:rsid w:val="00F542BA"/>
    <w:rsid w:val="00F54B18"/>
    <w:rsid w:val="00F8099A"/>
    <w:rsid w:val="00F84E61"/>
    <w:rsid w:val="00F8566B"/>
    <w:rsid w:val="00F93AF5"/>
    <w:rsid w:val="00F93F11"/>
    <w:rsid w:val="00F94774"/>
    <w:rsid w:val="00FA34DB"/>
    <w:rsid w:val="00FA52F4"/>
    <w:rsid w:val="00FB404F"/>
    <w:rsid w:val="00FB5FA5"/>
    <w:rsid w:val="00FB789E"/>
    <w:rsid w:val="00FC0C20"/>
    <w:rsid w:val="00FC4924"/>
    <w:rsid w:val="00FC53DB"/>
    <w:rsid w:val="00FC789F"/>
    <w:rsid w:val="00FD0D8F"/>
    <w:rsid w:val="00FD14F4"/>
    <w:rsid w:val="00FE0822"/>
    <w:rsid w:val="00FE25A9"/>
    <w:rsid w:val="00FF20AD"/>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98C9297E-BFA2-4139-86B6-2B19CE1E6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9660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D133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133C5"/>
    <w:rPr>
      <w:rFonts w:ascii="Times New Roman" w:eastAsia="Times New Roman" w:hAnsi="Times New Roman" w:cs="Times New Roman"/>
      <w:b/>
      <w:bCs/>
      <w:sz w:val="20"/>
      <w:szCs w:val="20"/>
      <w:lang w:val="en-GB"/>
    </w:rPr>
  </w:style>
  <w:style w:type="paragraph" w:styleId="Revision">
    <w:name w:val="Revision"/>
    <w:hidden/>
    <w:uiPriority w:val="99"/>
    <w:semiHidden/>
    <w:rsid w:val="00D133C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11799">
      <w:bodyDiv w:val="1"/>
      <w:marLeft w:val="0"/>
      <w:marRight w:val="0"/>
      <w:marTop w:val="0"/>
      <w:marBottom w:val="0"/>
      <w:divBdr>
        <w:top w:val="none" w:sz="0" w:space="0" w:color="auto"/>
        <w:left w:val="none" w:sz="0" w:space="0" w:color="auto"/>
        <w:bottom w:val="none" w:sz="0" w:space="0" w:color="auto"/>
        <w:right w:val="none" w:sz="0" w:space="0" w:color="auto"/>
      </w:divBdr>
    </w:div>
    <w:div w:id="225721241">
      <w:bodyDiv w:val="1"/>
      <w:marLeft w:val="0"/>
      <w:marRight w:val="0"/>
      <w:marTop w:val="0"/>
      <w:marBottom w:val="0"/>
      <w:divBdr>
        <w:top w:val="none" w:sz="0" w:space="0" w:color="auto"/>
        <w:left w:val="none" w:sz="0" w:space="0" w:color="auto"/>
        <w:bottom w:val="none" w:sz="0" w:space="0" w:color="auto"/>
        <w:right w:val="none" w:sz="0" w:space="0" w:color="auto"/>
      </w:divBdr>
    </w:div>
    <w:div w:id="333264327">
      <w:bodyDiv w:val="1"/>
      <w:marLeft w:val="0"/>
      <w:marRight w:val="0"/>
      <w:marTop w:val="0"/>
      <w:marBottom w:val="0"/>
      <w:divBdr>
        <w:top w:val="none" w:sz="0" w:space="0" w:color="auto"/>
        <w:left w:val="none" w:sz="0" w:space="0" w:color="auto"/>
        <w:bottom w:val="none" w:sz="0" w:space="0" w:color="auto"/>
        <w:right w:val="none" w:sz="0" w:space="0" w:color="auto"/>
      </w:divBdr>
    </w:div>
    <w:div w:id="383263909">
      <w:bodyDiv w:val="1"/>
      <w:marLeft w:val="0"/>
      <w:marRight w:val="0"/>
      <w:marTop w:val="0"/>
      <w:marBottom w:val="0"/>
      <w:divBdr>
        <w:top w:val="none" w:sz="0" w:space="0" w:color="auto"/>
        <w:left w:val="none" w:sz="0" w:space="0" w:color="auto"/>
        <w:bottom w:val="none" w:sz="0" w:space="0" w:color="auto"/>
        <w:right w:val="none" w:sz="0" w:space="0" w:color="auto"/>
      </w:divBdr>
    </w:div>
    <w:div w:id="533615704">
      <w:bodyDiv w:val="1"/>
      <w:marLeft w:val="0"/>
      <w:marRight w:val="0"/>
      <w:marTop w:val="0"/>
      <w:marBottom w:val="0"/>
      <w:divBdr>
        <w:top w:val="none" w:sz="0" w:space="0" w:color="auto"/>
        <w:left w:val="none" w:sz="0" w:space="0" w:color="auto"/>
        <w:bottom w:val="none" w:sz="0" w:space="0" w:color="auto"/>
        <w:right w:val="none" w:sz="0" w:space="0" w:color="auto"/>
      </w:divBdr>
    </w:div>
    <w:div w:id="5660372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0681932">
      <w:bodyDiv w:val="1"/>
      <w:marLeft w:val="0"/>
      <w:marRight w:val="0"/>
      <w:marTop w:val="0"/>
      <w:marBottom w:val="0"/>
      <w:divBdr>
        <w:top w:val="none" w:sz="0" w:space="0" w:color="auto"/>
        <w:left w:val="none" w:sz="0" w:space="0" w:color="auto"/>
        <w:bottom w:val="none" w:sz="0" w:space="0" w:color="auto"/>
        <w:right w:val="none" w:sz="0" w:space="0" w:color="auto"/>
      </w:divBdr>
    </w:div>
    <w:div w:id="960578755">
      <w:bodyDiv w:val="1"/>
      <w:marLeft w:val="0"/>
      <w:marRight w:val="0"/>
      <w:marTop w:val="0"/>
      <w:marBottom w:val="0"/>
      <w:divBdr>
        <w:top w:val="none" w:sz="0" w:space="0" w:color="auto"/>
        <w:left w:val="none" w:sz="0" w:space="0" w:color="auto"/>
        <w:bottom w:val="none" w:sz="0" w:space="0" w:color="auto"/>
        <w:right w:val="none" w:sz="0" w:space="0" w:color="auto"/>
      </w:divBdr>
      <w:divsChild>
        <w:div w:id="2093311612">
          <w:marLeft w:val="0"/>
          <w:marRight w:val="0"/>
          <w:marTop w:val="0"/>
          <w:marBottom w:val="0"/>
          <w:divBdr>
            <w:top w:val="none" w:sz="0" w:space="0" w:color="auto"/>
            <w:left w:val="none" w:sz="0" w:space="0" w:color="auto"/>
            <w:bottom w:val="none" w:sz="0" w:space="0" w:color="auto"/>
            <w:right w:val="none" w:sz="0" w:space="0" w:color="auto"/>
          </w:divBdr>
        </w:div>
      </w:divsChild>
    </w:div>
    <w:div w:id="966281249">
      <w:bodyDiv w:val="1"/>
      <w:marLeft w:val="0"/>
      <w:marRight w:val="0"/>
      <w:marTop w:val="0"/>
      <w:marBottom w:val="0"/>
      <w:divBdr>
        <w:top w:val="none" w:sz="0" w:space="0" w:color="auto"/>
        <w:left w:val="none" w:sz="0" w:space="0" w:color="auto"/>
        <w:bottom w:val="none" w:sz="0" w:space="0" w:color="auto"/>
        <w:right w:val="none" w:sz="0" w:space="0" w:color="auto"/>
      </w:divBdr>
    </w:div>
    <w:div w:id="1268737718">
      <w:bodyDiv w:val="1"/>
      <w:marLeft w:val="0"/>
      <w:marRight w:val="0"/>
      <w:marTop w:val="0"/>
      <w:marBottom w:val="0"/>
      <w:divBdr>
        <w:top w:val="none" w:sz="0" w:space="0" w:color="auto"/>
        <w:left w:val="none" w:sz="0" w:space="0" w:color="auto"/>
        <w:bottom w:val="none" w:sz="0" w:space="0" w:color="auto"/>
        <w:right w:val="none" w:sz="0" w:space="0" w:color="auto"/>
      </w:divBdr>
    </w:div>
    <w:div w:id="1619295325">
      <w:bodyDiv w:val="1"/>
      <w:marLeft w:val="0"/>
      <w:marRight w:val="0"/>
      <w:marTop w:val="0"/>
      <w:marBottom w:val="0"/>
      <w:divBdr>
        <w:top w:val="none" w:sz="0" w:space="0" w:color="auto"/>
        <w:left w:val="none" w:sz="0" w:space="0" w:color="auto"/>
        <w:bottom w:val="none" w:sz="0" w:space="0" w:color="auto"/>
        <w:right w:val="none" w:sz="0" w:space="0" w:color="auto"/>
      </w:divBdr>
    </w:div>
    <w:div w:id="1714886619">
      <w:bodyDiv w:val="1"/>
      <w:marLeft w:val="0"/>
      <w:marRight w:val="0"/>
      <w:marTop w:val="0"/>
      <w:marBottom w:val="0"/>
      <w:divBdr>
        <w:top w:val="none" w:sz="0" w:space="0" w:color="auto"/>
        <w:left w:val="none" w:sz="0" w:space="0" w:color="auto"/>
        <w:bottom w:val="none" w:sz="0" w:space="0" w:color="auto"/>
        <w:right w:val="none" w:sz="0" w:space="0" w:color="auto"/>
      </w:divBdr>
    </w:div>
    <w:div w:id="1716003009">
      <w:bodyDiv w:val="1"/>
      <w:marLeft w:val="0"/>
      <w:marRight w:val="0"/>
      <w:marTop w:val="0"/>
      <w:marBottom w:val="0"/>
      <w:divBdr>
        <w:top w:val="none" w:sz="0" w:space="0" w:color="auto"/>
        <w:left w:val="none" w:sz="0" w:space="0" w:color="auto"/>
        <w:bottom w:val="none" w:sz="0" w:space="0" w:color="auto"/>
        <w:right w:val="none" w:sz="0" w:space="0" w:color="auto"/>
      </w:divBdr>
    </w:div>
    <w:div w:id="1814564982">
      <w:bodyDiv w:val="1"/>
      <w:marLeft w:val="0"/>
      <w:marRight w:val="0"/>
      <w:marTop w:val="0"/>
      <w:marBottom w:val="0"/>
      <w:divBdr>
        <w:top w:val="none" w:sz="0" w:space="0" w:color="auto"/>
        <w:left w:val="none" w:sz="0" w:space="0" w:color="auto"/>
        <w:bottom w:val="none" w:sz="0" w:space="0" w:color="auto"/>
        <w:right w:val="none" w:sz="0" w:space="0" w:color="auto"/>
      </w:divBdr>
    </w:div>
    <w:div w:id="1816873436">
      <w:bodyDiv w:val="1"/>
      <w:marLeft w:val="0"/>
      <w:marRight w:val="0"/>
      <w:marTop w:val="0"/>
      <w:marBottom w:val="0"/>
      <w:divBdr>
        <w:top w:val="none" w:sz="0" w:space="0" w:color="auto"/>
        <w:left w:val="none" w:sz="0" w:space="0" w:color="auto"/>
        <w:bottom w:val="none" w:sz="0" w:space="0" w:color="auto"/>
        <w:right w:val="none" w:sz="0" w:space="0" w:color="auto"/>
      </w:divBdr>
    </w:div>
    <w:div w:id="1832601459">
      <w:bodyDiv w:val="1"/>
      <w:marLeft w:val="0"/>
      <w:marRight w:val="0"/>
      <w:marTop w:val="0"/>
      <w:marBottom w:val="0"/>
      <w:divBdr>
        <w:top w:val="none" w:sz="0" w:space="0" w:color="auto"/>
        <w:left w:val="none" w:sz="0" w:space="0" w:color="auto"/>
        <w:bottom w:val="none" w:sz="0" w:space="0" w:color="auto"/>
        <w:right w:val="none" w:sz="0" w:space="0" w:color="auto"/>
      </w:divBdr>
      <w:divsChild>
        <w:div w:id="138113678">
          <w:marLeft w:val="0"/>
          <w:marRight w:val="0"/>
          <w:marTop w:val="0"/>
          <w:marBottom w:val="0"/>
          <w:divBdr>
            <w:top w:val="none" w:sz="0" w:space="0" w:color="auto"/>
            <w:left w:val="none" w:sz="0" w:space="0" w:color="auto"/>
            <w:bottom w:val="none" w:sz="0" w:space="0" w:color="auto"/>
            <w:right w:val="none" w:sz="0" w:space="0" w:color="auto"/>
          </w:divBdr>
          <w:divsChild>
            <w:div w:id="768963766">
              <w:marLeft w:val="0"/>
              <w:marRight w:val="0"/>
              <w:marTop w:val="0"/>
              <w:marBottom w:val="0"/>
              <w:divBdr>
                <w:top w:val="none" w:sz="0" w:space="0" w:color="auto"/>
                <w:left w:val="none" w:sz="0" w:space="0" w:color="auto"/>
                <w:bottom w:val="none" w:sz="0" w:space="0" w:color="auto"/>
                <w:right w:val="none" w:sz="0" w:space="0" w:color="auto"/>
              </w:divBdr>
              <w:divsChild>
                <w:div w:id="1394964148">
                  <w:marLeft w:val="-15"/>
                  <w:marRight w:val="-15"/>
                  <w:marTop w:val="0"/>
                  <w:marBottom w:val="0"/>
                  <w:divBdr>
                    <w:top w:val="none" w:sz="0" w:space="0" w:color="auto"/>
                    <w:left w:val="none" w:sz="0" w:space="0" w:color="auto"/>
                    <w:bottom w:val="none" w:sz="0" w:space="0" w:color="auto"/>
                    <w:right w:val="none" w:sz="0" w:space="0" w:color="auto"/>
                  </w:divBdr>
                </w:div>
                <w:div w:id="1916477553">
                  <w:marLeft w:val="0"/>
                  <w:marRight w:val="0"/>
                  <w:marTop w:val="0"/>
                  <w:marBottom w:val="0"/>
                  <w:divBdr>
                    <w:top w:val="none" w:sz="0" w:space="0" w:color="auto"/>
                    <w:left w:val="none" w:sz="0" w:space="0" w:color="auto"/>
                    <w:bottom w:val="none" w:sz="0" w:space="0" w:color="auto"/>
                    <w:right w:val="none" w:sz="0" w:space="0" w:color="auto"/>
                  </w:divBdr>
                  <w:divsChild>
                    <w:div w:id="460538851">
                      <w:marLeft w:val="0"/>
                      <w:marRight w:val="0"/>
                      <w:marTop w:val="0"/>
                      <w:marBottom w:val="0"/>
                      <w:divBdr>
                        <w:top w:val="single" w:sz="24" w:space="0" w:color="0F0F0F"/>
                        <w:left w:val="single" w:sz="24" w:space="0" w:color="0F0F0F"/>
                        <w:bottom w:val="single" w:sz="24" w:space="0" w:color="0F0F0F"/>
                        <w:right w:val="single" w:sz="24" w:space="0" w:color="0F0F0F"/>
                      </w:divBdr>
                      <w:divsChild>
                        <w:div w:id="162669361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1136220248">
          <w:marLeft w:val="0"/>
          <w:marRight w:val="0"/>
          <w:marTop w:val="0"/>
          <w:marBottom w:val="0"/>
          <w:divBdr>
            <w:top w:val="none" w:sz="0" w:space="0" w:color="auto"/>
            <w:left w:val="none" w:sz="0" w:space="0" w:color="auto"/>
            <w:bottom w:val="none" w:sz="0" w:space="0" w:color="auto"/>
            <w:right w:val="none" w:sz="0" w:space="0" w:color="auto"/>
          </w:divBdr>
          <w:divsChild>
            <w:div w:id="2112620543">
              <w:marLeft w:val="0"/>
              <w:marRight w:val="0"/>
              <w:marTop w:val="0"/>
              <w:marBottom w:val="0"/>
              <w:divBdr>
                <w:top w:val="none" w:sz="0" w:space="0" w:color="auto"/>
                <w:left w:val="none" w:sz="0" w:space="0" w:color="auto"/>
                <w:bottom w:val="none" w:sz="0" w:space="0" w:color="auto"/>
                <w:right w:val="none" w:sz="0" w:space="0" w:color="auto"/>
              </w:divBdr>
              <w:divsChild>
                <w:div w:id="1906138455">
                  <w:marLeft w:val="0"/>
                  <w:marRight w:val="0"/>
                  <w:marTop w:val="0"/>
                  <w:marBottom w:val="0"/>
                  <w:divBdr>
                    <w:top w:val="none" w:sz="0" w:space="0" w:color="auto"/>
                    <w:left w:val="none" w:sz="0" w:space="0" w:color="auto"/>
                    <w:bottom w:val="none" w:sz="0" w:space="0" w:color="auto"/>
                    <w:right w:val="none" w:sz="0" w:space="0" w:color="auto"/>
                  </w:divBdr>
                  <w:divsChild>
                    <w:div w:id="1919166119">
                      <w:marLeft w:val="0"/>
                      <w:marRight w:val="0"/>
                      <w:marTop w:val="0"/>
                      <w:marBottom w:val="0"/>
                      <w:divBdr>
                        <w:top w:val="none" w:sz="0" w:space="0" w:color="auto"/>
                        <w:left w:val="none" w:sz="0" w:space="0" w:color="auto"/>
                        <w:bottom w:val="none" w:sz="0" w:space="0" w:color="auto"/>
                        <w:right w:val="none" w:sz="0" w:space="0" w:color="auto"/>
                      </w:divBdr>
                      <w:divsChild>
                        <w:div w:id="766773238">
                          <w:marLeft w:val="0"/>
                          <w:marRight w:val="0"/>
                          <w:marTop w:val="0"/>
                          <w:marBottom w:val="0"/>
                          <w:divBdr>
                            <w:top w:val="none" w:sz="0" w:space="0" w:color="auto"/>
                            <w:left w:val="none" w:sz="0" w:space="0" w:color="auto"/>
                            <w:bottom w:val="none" w:sz="0" w:space="0" w:color="auto"/>
                            <w:right w:val="none" w:sz="0" w:space="0" w:color="auto"/>
                          </w:divBdr>
                          <w:divsChild>
                            <w:div w:id="704602166">
                              <w:marLeft w:val="0"/>
                              <w:marRight w:val="0"/>
                              <w:marTop w:val="0"/>
                              <w:marBottom w:val="0"/>
                              <w:divBdr>
                                <w:top w:val="none" w:sz="0" w:space="0" w:color="auto"/>
                                <w:left w:val="none" w:sz="0" w:space="0" w:color="auto"/>
                                <w:bottom w:val="none" w:sz="0" w:space="0" w:color="auto"/>
                                <w:right w:val="none" w:sz="0" w:space="0" w:color="auto"/>
                              </w:divBdr>
                              <w:divsChild>
                                <w:div w:id="38642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402459">
      <w:bodyDiv w:val="1"/>
      <w:marLeft w:val="0"/>
      <w:marRight w:val="0"/>
      <w:marTop w:val="0"/>
      <w:marBottom w:val="0"/>
      <w:divBdr>
        <w:top w:val="none" w:sz="0" w:space="0" w:color="auto"/>
        <w:left w:val="none" w:sz="0" w:space="0" w:color="auto"/>
        <w:bottom w:val="none" w:sz="0" w:space="0" w:color="auto"/>
        <w:right w:val="none" w:sz="0" w:space="0" w:color="auto"/>
      </w:divBdr>
    </w:div>
    <w:div w:id="21261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0674F9123A60413996FADD87A63F9181"/>
        <w:category>
          <w:name w:val="General"/>
          <w:gallery w:val="placeholder"/>
        </w:category>
        <w:types>
          <w:type w:val="bbPlcHdr"/>
        </w:types>
        <w:behaviors>
          <w:behavior w:val="content"/>
        </w:behaviors>
        <w:guid w:val="{D456E555-F122-4EA2-9332-3D8F83A9E83A}"/>
      </w:docPartPr>
      <w:docPartBody>
        <w:p w:rsidR="0021299F" w:rsidRDefault="00AF1781" w:rsidP="00AF1781">
          <w:pPr>
            <w:pStyle w:val="0674F9123A60413996FADD87A63F9181"/>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Times New Roman (Body CS)">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0C9A"/>
    <w:rsid w:val="00033DB7"/>
    <w:rsid w:val="001659D0"/>
    <w:rsid w:val="0021299F"/>
    <w:rsid w:val="00216B93"/>
    <w:rsid w:val="00243CAF"/>
    <w:rsid w:val="002671F8"/>
    <w:rsid w:val="002B7438"/>
    <w:rsid w:val="002D186C"/>
    <w:rsid w:val="003B0BDA"/>
    <w:rsid w:val="003B5788"/>
    <w:rsid w:val="00465407"/>
    <w:rsid w:val="004F106A"/>
    <w:rsid w:val="00500A2B"/>
    <w:rsid w:val="0052506A"/>
    <w:rsid w:val="005279DF"/>
    <w:rsid w:val="0058288D"/>
    <w:rsid w:val="00625EED"/>
    <w:rsid w:val="00646680"/>
    <w:rsid w:val="00651ED2"/>
    <w:rsid w:val="006522F5"/>
    <w:rsid w:val="006801B3"/>
    <w:rsid w:val="006B4353"/>
    <w:rsid w:val="00720F63"/>
    <w:rsid w:val="0077793B"/>
    <w:rsid w:val="007F1B76"/>
    <w:rsid w:val="00810A55"/>
    <w:rsid w:val="00821979"/>
    <w:rsid w:val="008C6619"/>
    <w:rsid w:val="008D420E"/>
    <w:rsid w:val="00940942"/>
    <w:rsid w:val="0098642F"/>
    <w:rsid w:val="009D6C04"/>
    <w:rsid w:val="00A72057"/>
    <w:rsid w:val="00A90884"/>
    <w:rsid w:val="00AF1781"/>
    <w:rsid w:val="00B71C0C"/>
    <w:rsid w:val="00B8509C"/>
    <w:rsid w:val="00BC6993"/>
    <w:rsid w:val="00C008A6"/>
    <w:rsid w:val="00C82269"/>
    <w:rsid w:val="00CA113F"/>
    <w:rsid w:val="00CE6602"/>
    <w:rsid w:val="00D2179B"/>
    <w:rsid w:val="00D43306"/>
    <w:rsid w:val="00DC0429"/>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08A6"/>
    <w:rPr>
      <w:color w:val="808080"/>
    </w:rPr>
  </w:style>
  <w:style w:type="paragraph" w:customStyle="1" w:styleId="0674F9123A60413996FADD87A63F9181">
    <w:name w:val="0674F9123A60413996FADD87A63F9181"/>
    <w:rsid w:val="00AF178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82BE0-A134-4934-A19F-691EE5CA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D57FA-6C5A-4C6D-B4E4-E06041A4BF25}">
  <ds:schemaRefs>
    <ds:schemaRef ds:uri="http://schemas.openxmlformats.org/officeDocument/2006/bibliography"/>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Draft terms of reference for a possible expert working group on the financial reporting framework</vt:lpstr>
    </vt:vector>
  </TitlesOfParts>
  <Company>SCBD</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for a possible expert working group on the financial reporting framework</dc:title>
  <dc:subject>CBD/SBI/3/5/Add.4</dc:subject>
  <dc:creator>Secretariat of the Convention on Biological Diversity</dc:creator>
  <cp:keywords>Subsidiary Body on Implementation, third meeting (resumed), 12-28 January 2022, Convention on Biological Diversity</cp:keywords>
  <cp:lastModifiedBy>Veronique Lefebvre</cp:lastModifiedBy>
  <cp:revision>5</cp:revision>
  <cp:lastPrinted>2021-05-14T20:41:00Z</cp:lastPrinted>
  <dcterms:created xsi:type="dcterms:W3CDTF">2021-12-03T21:18:00Z</dcterms:created>
  <dcterms:modified xsi:type="dcterms:W3CDTF">2021-12-06T14:48:00Z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