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E1212" w14:paraId="207F35AA" w14:textId="77777777" w:rsidTr="00D9044B">
        <w:trPr>
          <w:trHeight w:val="851"/>
        </w:trPr>
        <w:tc>
          <w:tcPr>
            <w:tcW w:w="465" w:type="pct"/>
            <w:tcBorders>
              <w:bottom w:val="single" w:sz="8" w:space="0" w:color="auto"/>
            </w:tcBorders>
            <w:vAlign w:val="bottom"/>
          </w:tcPr>
          <w:p w14:paraId="3A8C768C" w14:textId="77777777" w:rsidR="00A96B21" w:rsidRPr="008E1212" w:rsidRDefault="00A96B21" w:rsidP="00D9044B">
            <w:pPr>
              <w:spacing w:after="120"/>
              <w:jc w:val="left"/>
            </w:pPr>
            <w:bookmarkStart w:id="0" w:name="_Hlk137651738"/>
            <w:r w:rsidRPr="008E1212">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946F0E9" w:rsidR="00A96B21" w:rsidRPr="008E1212" w:rsidRDefault="00A83AFA" w:rsidP="00D9044B">
            <w:pPr>
              <w:spacing w:after="120"/>
              <w:jc w:val="left"/>
            </w:pPr>
            <w:r w:rsidRPr="00600C6F">
              <w:rPr>
                <w:noProof/>
                <w14:ligatures w14:val="standardContextual"/>
              </w:rPr>
              <w:drawing>
                <wp:inline distT="0" distB="0" distL="0" distR="0" wp14:anchorId="7194EAE4" wp14:editId="79041B45">
                  <wp:extent cx="593725" cy="340995"/>
                  <wp:effectExtent l="0" t="0" r="0" b="1905"/>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0C4D736" w:rsidR="00A96B21" w:rsidRPr="008E1212" w:rsidRDefault="00A96B21" w:rsidP="00184909">
            <w:pPr>
              <w:spacing w:after="120"/>
              <w:ind w:left="2021"/>
              <w:jc w:val="right"/>
              <w:rPr>
                <w:szCs w:val="22"/>
              </w:rPr>
            </w:pPr>
            <w:r>
              <w:rPr>
                <w:sz w:val="40"/>
                <w:szCs w:val="40"/>
              </w:rPr>
              <w:t>CBD</w:t>
            </w:r>
            <w:r>
              <w:rPr>
                <w:szCs w:val="22"/>
              </w:rPr>
              <w:t>/CP/MOP/11/12</w:t>
            </w:r>
          </w:p>
        </w:tc>
      </w:tr>
      <w:tr w:rsidR="00A96B21" w:rsidRPr="008E1212" w14:paraId="49604A68" w14:textId="77777777" w:rsidTr="00D9044B">
        <w:tc>
          <w:tcPr>
            <w:tcW w:w="2297" w:type="pct"/>
            <w:gridSpan w:val="2"/>
            <w:tcBorders>
              <w:top w:val="single" w:sz="8" w:space="0" w:color="auto"/>
              <w:bottom w:val="single" w:sz="12" w:space="0" w:color="auto"/>
            </w:tcBorders>
          </w:tcPr>
          <w:p w14:paraId="4B3A6D69" w14:textId="36EBD22B" w:rsidR="00A96B21" w:rsidRPr="008E1212" w:rsidRDefault="00A83AFA" w:rsidP="00D9044B">
            <w:pPr>
              <w:pStyle w:val="Cornernotation"/>
              <w:suppressLineNumbers/>
              <w:suppressAutoHyphens/>
              <w:spacing w:before="120" w:after="120"/>
              <w:ind w:right="0"/>
            </w:pPr>
            <w:r>
              <w:rPr>
                <w:noProof/>
                <w14:ligatures w14:val="standardContextual"/>
              </w:rPr>
              <w:drawing>
                <wp:inline distT="0" distB="0" distL="0" distR="0" wp14:anchorId="0FEA7CE3" wp14:editId="31C5CBF6">
                  <wp:extent cx="2857500" cy="1076325"/>
                  <wp:effectExtent l="0" t="0" r="0" b="9525"/>
                  <wp:docPr id="6"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3A80E738" w:rsidR="00A96B21" w:rsidRPr="00F36B27" w:rsidRDefault="00A96B21" w:rsidP="007F7E8B">
            <w:pPr>
              <w:ind w:left="2584"/>
              <w:jc w:val="left"/>
              <w:rPr>
                <w:sz w:val="22"/>
                <w:szCs w:val="22"/>
              </w:rPr>
            </w:pPr>
            <w:r>
              <w:rPr>
                <w:sz w:val="22"/>
                <w:szCs w:val="22"/>
              </w:rPr>
              <w:t>Distr. : générale</w:t>
            </w:r>
          </w:p>
          <w:p w14:paraId="37D4D930" w14:textId="7E3321F3" w:rsidR="00A96B21" w:rsidRPr="00F36B27" w:rsidRDefault="00195E09" w:rsidP="00A507D4">
            <w:pPr>
              <w:ind w:left="2584"/>
              <w:jc w:val="left"/>
              <w:rPr>
                <w:sz w:val="22"/>
                <w:szCs w:val="22"/>
              </w:rPr>
            </w:pPr>
            <w:r>
              <w:rPr>
                <w:sz w:val="22"/>
                <w:szCs w:val="22"/>
              </w:rPr>
              <w:t>27 février 2025</w:t>
            </w:r>
          </w:p>
          <w:p w14:paraId="49F9309F" w14:textId="77777777" w:rsidR="00A96B21" w:rsidRPr="00F36B27" w:rsidRDefault="00A96B21" w:rsidP="003C6F10">
            <w:pPr>
              <w:ind w:left="2584"/>
              <w:rPr>
                <w:sz w:val="22"/>
                <w:szCs w:val="22"/>
              </w:rPr>
            </w:pPr>
            <w:r>
              <w:rPr>
                <w:sz w:val="22"/>
                <w:szCs w:val="22"/>
              </w:rPr>
              <w:t>Français</w:t>
            </w:r>
            <w:r>
              <w:rPr>
                <w:sz w:val="22"/>
                <w:szCs w:val="22"/>
              </w:rPr>
              <w:br/>
              <w:t>Original : anglais</w:t>
            </w:r>
          </w:p>
          <w:p w14:paraId="77CB3294" w14:textId="77777777" w:rsidR="00A96B21" w:rsidRPr="008E1212" w:rsidRDefault="00A96B21" w:rsidP="00D9044B"/>
        </w:tc>
      </w:tr>
    </w:tbl>
    <w:p w14:paraId="15B09820" w14:textId="1099CC86" w:rsidR="00A96B21" w:rsidRPr="008E1212" w:rsidRDefault="00392FF8" w:rsidP="00A96B21">
      <w:pPr>
        <w:pStyle w:val="Cornernotation"/>
        <w:rPr>
          <w:bCs/>
          <w:sz w:val="22"/>
        </w:rPr>
      </w:pPr>
      <w:r>
        <w:t xml:space="preserve">Conférence des Parties à la Convention sur </w:t>
      </w:r>
      <w:r>
        <w:br/>
        <w:t xml:space="preserve">la diversité biologique siégeant en tant que réunion </w:t>
      </w:r>
      <w:r>
        <w:br/>
        <w:t xml:space="preserve">des Parties au Protocole de Cartagena sur la </w:t>
      </w:r>
      <w:r>
        <w:br/>
        <w:t>prévention des risques biotechnologiques</w:t>
      </w:r>
    </w:p>
    <w:p w14:paraId="33D9D67C" w14:textId="1AD9549C" w:rsidR="00392FF8" w:rsidRPr="008E1212" w:rsidRDefault="00392FF8" w:rsidP="00A96B21">
      <w:pPr>
        <w:pStyle w:val="Venuedate"/>
        <w:rPr>
          <w:b/>
          <w:bCs w:val="0"/>
        </w:rPr>
      </w:pPr>
      <w:r>
        <w:rPr>
          <w:b/>
          <w:bCs w:val="0"/>
        </w:rPr>
        <w:t>Onzième réunion</w:t>
      </w:r>
    </w:p>
    <w:p w14:paraId="32C8D287" w14:textId="4E5AC3B5" w:rsidR="00A96B21" w:rsidRPr="008E1212" w:rsidRDefault="00392FF8" w:rsidP="00182866">
      <w:pPr>
        <w:pStyle w:val="Venuedate"/>
        <w:ind w:right="3125"/>
      </w:pPr>
      <w:r>
        <w:t>Cali (Colombie), 21 octobre-1</w:t>
      </w:r>
      <w:r>
        <w:rPr>
          <w:vertAlign w:val="superscript"/>
        </w:rPr>
        <w:t>er</w:t>
      </w:r>
      <w:r>
        <w:t xml:space="preserve"> novembre 2024</w:t>
      </w:r>
      <w:r>
        <w:br/>
        <w:t>En ligne, 3-</w:t>
      </w:r>
      <w:r>
        <w:rPr>
          <w:color w:val="000000"/>
        </w:rPr>
        <w:t xml:space="preserve">6 décembre 2024 </w:t>
      </w:r>
      <w:r>
        <w:rPr>
          <w:color w:val="000000"/>
        </w:rPr>
        <w:br/>
      </w:r>
      <w:r>
        <w:t xml:space="preserve">Rome, </w:t>
      </w:r>
      <w:r>
        <w:rPr>
          <w:color w:val="000000"/>
        </w:rPr>
        <w:t>25</w:t>
      </w:r>
      <w:r>
        <w:t>-</w:t>
      </w:r>
      <w:r>
        <w:rPr>
          <w:color w:val="000000"/>
        </w:rPr>
        <w:t>27 février 2025</w:t>
      </w:r>
    </w:p>
    <w:bookmarkEnd w:id="0"/>
    <w:p w14:paraId="7CADC951" w14:textId="27AE3E05" w:rsidR="00A96B21" w:rsidRPr="008E1212" w:rsidRDefault="00000000" w:rsidP="00131910">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3F0860">
            <w:t xml:space="preserve">Rapport de la </w:t>
          </w:r>
          <w:r w:rsidR="00727F9D" w:rsidRPr="008E1212">
            <w:t>Conf</w:t>
          </w:r>
          <w:r w:rsidR="003F0860">
            <w:t>é</w:t>
          </w:r>
          <w:r w:rsidR="00727F9D" w:rsidRPr="008E1212">
            <w:t xml:space="preserve">rence </w:t>
          </w:r>
          <w:r w:rsidR="003F0860">
            <w:t>des</w:t>
          </w:r>
          <w:r w:rsidR="00727F9D" w:rsidRPr="008E1212">
            <w:t xml:space="preserve"> Parties </w:t>
          </w:r>
          <w:r w:rsidR="003F0860">
            <w:t xml:space="preserve">siégeant en tant que réunion des Parties au Protocole de </w:t>
          </w:r>
          <w:r w:rsidR="00727F9D" w:rsidRPr="008E1212">
            <w:t xml:space="preserve">Cartagena </w:t>
          </w:r>
          <w:r w:rsidR="003F0860">
            <w:t>sur la prévention des risques biotechnologiques</w:t>
          </w:r>
          <w:r w:rsidR="008A0D72" w:rsidRPr="008E1212">
            <w:t xml:space="preserve"> </w:t>
          </w:r>
          <w:r w:rsidR="00777DF6">
            <w:t>sur sa onzième réunion</w:t>
          </w:r>
        </w:sdtContent>
      </w:sdt>
    </w:p>
    <w:tbl>
      <w:tblPr>
        <w:tblStyle w:val="TableGrid"/>
        <w:tblW w:w="0" w:type="auto"/>
        <w:tblInd w:w="562" w:type="dxa"/>
        <w:tblLook w:val="04A0" w:firstRow="1" w:lastRow="0" w:firstColumn="1" w:lastColumn="0" w:noHBand="0" w:noVBand="1"/>
      </w:tblPr>
      <w:tblGrid>
        <w:gridCol w:w="8788"/>
      </w:tblGrid>
      <w:tr w:rsidR="00534EFA" w:rsidRPr="008E1212" w14:paraId="388501A4" w14:textId="77777777" w:rsidTr="003B3636">
        <w:tc>
          <w:tcPr>
            <w:tcW w:w="8788" w:type="dxa"/>
          </w:tcPr>
          <w:p w14:paraId="33B34D18" w14:textId="77777777" w:rsidR="00534EFA" w:rsidRPr="008E1212" w:rsidRDefault="00534EFA">
            <w:pPr>
              <w:tabs>
                <w:tab w:val="clear" w:pos="567"/>
                <w:tab w:val="clear" w:pos="1134"/>
                <w:tab w:val="clear" w:pos="1701"/>
                <w:tab w:val="clear" w:pos="2268"/>
              </w:tabs>
              <w:spacing w:after="160" w:line="259" w:lineRule="auto"/>
              <w:jc w:val="left"/>
              <w:rPr>
                <w:i/>
                <w:iCs/>
              </w:rPr>
            </w:pPr>
            <w:r>
              <w:rPr>
                <w:i/>
                <w:iCs/>
              </w:rPr>
              <w:t>Résumé</w:t>
            </w:r>
          </w:p>
          <w:p w14:paraId="3086A56D" w14:textId="341F67F4" w:rsidR="00534EFA" w:rsidRPr="008E1212" w:rsidRDefault="00A207D6" w:rsidP="00546F72">
            <w:pPr>
              <w:tabs>
                <w:tab w:val="clear" w:pos="567"/>
                <w:tab w:val="clear" w:pos="1134"/>
                <w:tab w:val="clear" w:pos="1701"/>
                <w:tab w:val="clear" w:pos="2268"/>
              </w:tabs>
              <w:spacing w:after="160" w:line="259" w:lineRule="auto"/>
              <w:ind w:firstLine="603"/>
            </w:pPr>
            <w:r>
              <w:t>La Conférence des Parties siégeant en tant que réunion des Parties au Protocole de Cartagena a tenu sa onzième réunion à Cali, en Colombie, du 21 octobre au 1</w:t>
            </w:r>
            <w:r>
              <w:rPr>
                <w:vertAlign w:val="superscript"/>
              </w:rPr>
              <w:t>er</w:t>
            </w:r>
            <w:r>
              <w:t xml:space="preserve">novembre 2024, en ligne du 3 au </w:t>
            </w:r>
            <w:r>
              <w:rPr>
                <w:color w:val="000000"/>
              </w:rPr>
              <w:t>6 décembre 2024</w:t>
            </w:r>
            <w:r>
              <w:t xml:space="preserve"> et à Rome du 25 au 27 février 2025. Elle a adopté </w:t>
            </w:r>
            <w:r w:rsidR="006B4709">
              <w:t>14 </w:t>
            </w:r>
            <w:r>
              <w:t>décisions qui sont présentées à la section I, le compte rendu de la réunion figurant à la section II.</w:t>
            </w:r>
          </w:p>
        </w:tc>
      </w:tr>
    </w:tbl>
    <w:p w14:paraId="3D0E5EA7" w14:textId="77777777" w:rsidR="00534EFA" w:rsidRPr="008E1212" w:rsidRDefault="00534EFA">
      <w:pPr>
        <w:tabs>
          <w:tab w:val="clear" w:pos="567"/>
          <w:tab w:val="clear" w:pos="1134"/>
          <w:tab w:val="clear" w:pos="1701"/>
          <w:tab w:val="clear" w:pos="2268"/>
        </w:tabs>
        <w:spacing w:after="160" w:line="259" w:lineRule="auto"/>
        <w:jc w:val="left"/>
      </w:pPr>
    </w:p>
    <w:p w14:paraId="7C026576" w14:textId="5774F601" w:rsidR="00436778" w:rsidRPr="008E1212" w:rsidRDefault="00436778">
      <w:pPr>
        <w:tabs>
          <w:tab w:val="clear" w:pos="567"/>
          <w:tab w:val="clear" w:pos="1134"/>
          <w:tab w:val="clear" w:pos="1701"/>
          <w:tab w:val="clear" w:pos="2268"/>
        </w:tabs>
        <w:spacing w:after="160" w:line="259" w:lineRule="auto"/>
        <w:jc w:val="left"/>
        <w:rPr>
          <w:b/>
          <w:sz w:val="28"/>
        </w:rPr>
      </w:pPr>
      <w:r w:rsidRPr="008E1212">
        <w:br w:type="page"/>
      </w:r>
    </w:p>
    <w:p w14:paraId="78BF743C" w14:textId="4A6D3E50" w:rsidR="004059B8" w:rsidRPr="008E1212" w:rsidRDefault="004059B8" w:rsidP="004059B8">
      <w:pPr>
        <w:pStyle w:val="CBDTitle"/>
        <w:spacing w:before="120" w:after="120"/>
      </w:pPr>
      <w:r>
        <w:lastRenderedPageBreak/>
        <w:t>Table des matières</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600C6F" w14:paraId="7803DEEF" w14:textId="77777777" w:rsidTr="006D78D0">
        <w:tc>
          <w:tcPr>
            <w:tcW w:w="4249" w:type="dxa"/>
          </w:tcPr>
          <w:p w14:paraId="20A44522" w14:textId="77777777" w:rsidR="00600C6F" w:rsidRPr="00520F7E" w:rsidRDefault="00600C6F" w:rsidP="006D78D0">
            <w:pPr>
              <w:pStyle w:val="CBDNormal"/>
              <w:rPr>
                <w:i/>
                <w:iCs/>
                <w:sz w:val="18"/>
                <w:szCs w:val="18"/>
              </w:rPr>
            </w:pPr>
            <w:r w:rsidRPr="00520F7E">
              <w:rPr>
                <w:i/>
                <w:iCs/>
                <w:sz w:val="18"/>
                <w:szCs w:val="18"/>
              </w:rPr>
              <w:t>Section</w:t>
            </w:r>
          </w:p>
        </w:tc>
        <w:tc>
          <w:tcPr>
            <w:tcW w:w="4823" w:type="dxa"/>
          </w:tcPr>
          <w:p w14:paraId="58FCDF00" w14:textId="77777777" w:rsidR="00600C6F" w:rsidRPr="00520F7E" w:rsidRDefault="00600C6F" w:rsidP="006D78D0">
            <w:pPr>
              <w:pStyle w:val="CBDNormal"/>
              <w:jc w:val="right"/>
              <w:rPr>
                <w:i/>
                <w:iCs/>
                <w:sz w:val="18"/>
                <w:szCs w:val="18"/>
              </w:rPr>
            </w:pPr>
            <w:r w:rsidRPr="00520F7E">
              <w:rPr>
                <w:i/>
                <w:iCs/>
                <w:sz w:val="18"/>
                <w:szCs w:val="18"/>
              </w:rPr>
              <w:t>Page</w:t>
            </w:r>
          </w:p>
        </w:tc>
      </w:tr>
    </w:tbl>
    <w:p w14:paraId="478C7228" w14:textId="158586F8" w:rsidR="00600C6F" w:rsidRDefault="00600C6F" w:rsidP="00F74CA0">
      <w:pPr>
        <w:pStyle w:val="TOC1"/>
        <w:rPr>
          <w:rFonts w:asciiTheme="minorHAnsi" w:eastAsiaTheme="minorEastAsia" w:hAnsiTheme="minorHAnsi" w:cstheme="minorBidi"/>
          <w:kern w:val="2"/>
          <w:sz w:val="24"/>
          <w:szCs w:val="24"/>
          <w:lang w:val="en-CA" w:eastAsia="en-CA"/>
          <w14:ligatures w14:val="standardContextual"/>
        </w:rPr>
      </w:pPr>
      <w:r>
        <w:fldChar w:fldCharType="begin"/>
      </w:r>
      <w:r>
        <w:instrText xml:space="preserve"> TOC \h \z \t "CBD_AgendaItem,2,CBD_H1,1,CBD_H2,2,CBD_sub-decision,3" </w:instrText>
      </w:r>
      <w:r>
        <w:fldChar w:fldCharType="separate"/>
      </w:r>
      <w:hyperlink w:anchor="_Toc198733041" w:history="1">
        <w:r w:rsidRPr="00F73C03">
          <w:rPr>
            <w:rStyle w:val="Hyperlink"/>
            <w:b/>
            <w:bCs w:val="0"/>
          </w:rPr>
          <w:t>I.</w:t>
        </w:r>
        <w:r w:rsidRPr="00F73C03">
          <w:rPr>
            <w:rFonts w:asciiTheme="minorHAnsi" w:eastAsiaTheme="minorEastAsia" w:hAnsiTheme="minorHAnsi" w:cstheme="minorBidi"/>
            <w:kern w:val="2"/>
            <w:sz w:val="24"/>
            <w:szCs w:val="24"/>
            <w:lang w:val="en-CA" w:eastAsia="en-CA"/>
            <w14:ligatures w14:val="standardContextual"/>
          </w:rPr>
          <w:tab/>
        </w:r>
        <w:r w:rsidR="00F73C03" w:rsidRPr="00F73C03">
          <w:rPr>
            <w:rStyle w:val="Hyperlink"/>
            <w:b/>
            <w:bCs w:val="0"/>
          </w:rPr>
          <w:t>Décisions adoptées par la Conférence</w:t>
        </w:r>
        <w:r w:rsidRPr="00F73C03">
          <w:rPr>
            <w:rStyle w:val="Hyperlink"/>
            <w:b/>
            <w:bCs w:val="0"/>
          </w:rPr>
          <w:t xml:space="preserve"> </w:t>
        </w:r>
        <w:r w:rsidR="00F73C03" w:rsidRPr="00F73C03">
          <w:rPr>
            <w:rStyle w:val="Hyperlink"/>
            <w:b/>
            <w:bCs w:val="0"/>
          </w:rPr>
          <w:t>des Parties siégeant en tant que réunion des Parties au Protocole de Cartagena sur la prévention des risques biotechnologiques</w:t>
        </w:r>
        <w:r w:rsidRPr="00496A12">
          <w:rPr>
            <w:webHidden/>
          </w:rPr>
          <w:tab/>
        </w:r>
        <w:r w:rsidRPr="00496A12">
          <w:rPr>
            <w:webHidden/>
          </w:rPr>
          <w:fldChar w:fldCharType="begin"/>
        </w:r>
        <w:r w:rsidRPr="00496A12">
          <w:rPr>
            <w:webHidden/>
          </w:rPr>
          <w:instrText xml:space="preserve"> PAGEREF _Toc198733041 \h </w:instrText>
        </w:r>
        <w:r w:rsidRPr="00496A12">
          <w:rPr>
            <w:webHidden/>
          </w:rPr>
        </w:r>
        <w:r w:rsidRPr="00496A12">
          <w:rPr>
            <w:webHidden/>
          </w:rPr>
          <w:fldChar w:fldCharType="separate"/>
        </w:r>
        <w:r w:rsidRPr="00496A12">
          <w:rPr>
            <w:webHidden/>
          </w:rPr>
          <w:t>4</w:t>
        </w:r>
        <w:r w:rsidRPr="00496A12">
          <w:rPr>
            <w:webHidden/>
          </w:rPr>
          <w:fldChar w:fldCharType="end"/>
        </w:r>
      </w:hyperlink>
    </w:p>
    <w:p w14:paraId="720441C5" w14:textId="436BB1D3" w:rsidR="00600C6F" w:rsidRDefault="00600C6F" w:rsidP="00600C6F">
      <w:pPr>
        <w:pStyle w:val="TOC2"/>
        <w:tabs>
          <w:tab w:val="clear" w:pos="1247"/>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2" w:history="1">
        <w:r w:rsidRPr="00804BC8">
          <w:rPr>
            <w:rStyle w:val="Hyperlink"/>
            <w:noProof/>
          </w:rPr>
          <w:t>CP-11/1.</w:t>
        </w:r>
        <w:r>
          <w:rPr>
            <w:rFonts w:asciiTheme="minorHAnsi" w:eastAsiaTheme="minorEastAsia" w:hAnsiTheme="minorHAnsi" w:cstheme="minorBidi"/>
            <w:noProof/>
            <w:kern w:val="2"/>
            <w:sz w:val="24"/>
            <w:szCs w:val="24"/>
            <w:lang w:val="en-CA" w:eastAsia="en-CA"/>
            <w14:ligatures w14:val="standardContextual"/>
          </w:rPr>
          <w:tab/>
        </w:r>
        <w:r w:rsidR="00994881">
          <w:rPr>
            <w:rStyle w:val="Hyperlink"/>
            <w:noProof/>
          </w:rPr>
          <w:t>Respect des obligations</w:t>
        </w:r>
        <w:r>
          <w:rPr>
            <w:noProof/>
            <w:webHidden/>
          </w:rPr>
          <w:tab/>
        </w:r>
        <w:r>
          <w:rPr>
            <w:noProof/>
            <w:webHidden/>
          </w:rPr>
          <w:fldChar w:fldCharType="begin"/>
        </w:r>
        <w:r>
          <w:rPr>
            <w:noProof/>
            <w:webHidden/>
          </w:rPr>
          <w:instrText xml:space="preserve"> PAGEREF _Toc198733042 \h </w:instrText>
        </w:r>
        <w:r>
          <w:rPr>
            <w:noProof/>
            <w:webHidden/>
          </w:rPr>
        </w:r>
        <w:r>
          <w:rPr>
            <w:noProof/>
            <w:webHidden/>
          </w:rPr>
          <w:fldChar w:fldCharType="separate"/>
        </w:r>
        <w:r>
          <w:rPr>
            <w:noProof/>
            <w:webHidden/>
          </w:rPr>
          <w:t>4</w:t>
        </w:r>
        <w:r>
          <w:rPr>
            <w:noProof/>
            <w:webHidden/>
          </w:rPr>
          <w:fldChar w:fldCharType="end"/>
        </w:r>
      </w:hyperlink>
    </w:p>
    <w:p w14:paraId="285C0938" w14:textId="4C2AAFE7" w:rsidR="00600C6F" w:rsidRDefault="00600C6F" w:rsidP="00600C6F">
      <w:pPr>
        <w:pStyle w:val="TOC3"/>
        <w:tabs>
          <w:tab w:val="clear" w:pos="1247"/>
          <w:tab w:val="clear" w:pos="1871"/>
          <w:tab w:val="clear" w:pos="2495"/>
        </w:tabs>
        <w:spacing w:before="40" w:after="40"/>
        <w:ind w:left="2835" w:hanging="567"/>
        <w:rPr>
          <w:rFonts w:asciiTheme="minorHAnsi" w:eastAsiaTheme="minorEastAsia" w:hAnsiTheme="minorHAnsi" w:cstheme="minorBidi"/>
          <w:iCs w:val="0"/>
          <w:noProof/>
          <w:kern w:val="2"/>
          <w:sz w:val="24"/>
          <w:szCs w:val="24"/>
          <w:lang w:val="en-CA" w:eastAsia="en-CA"/>
          <w14:ligatures w14:val="standardContextual"/>
        </w:rPr>
      </w:pPr>
      <w:hyperlink w:anchor="_Toc198733043" w:history="1">
        <w:r w:rsidRPr="00804BC8">
          <w:rPr>
            <w:rStyle w:val="Hyperlink"/>
            <w:noProof/>
          </w:rPr>
          <w:t>A</w:t>
        </w:r>
        <w:r>
          <w:rPr>
            <w:rStyle w:val="Hyperlink"/>
            <w:noProof/>
          </w:rPr>
          <w:t>.</w:t>
        </w:r>
        <w:r>
          <w:rPr>
            <w:rStyle w:val="Hyperlink"/>
            <w:noProof/>
          </w:rPr>
          <w:tab/>
        </w:r>
        <w:r w:rsidR="00986809">
          <w:rPr>
            <w:rStyle w:val="Hyperlink"/>
            <w:noProof/>
          </w:rPr>
          <w:t>Respect des obligations </w:t>
        </w:r>
        <w:r w:rsidRPr="00804BC8">
          <w:rPr>
            <w:rStyle w:val="Hyperlink"/>
            <w:noProof/>
          </w:rPr>
          <w:t xml:space="preserve">: </w:t>
        </w:r>
        <w:r w:rsidR="00986809">
          <w:rPr>
            <w:rStyle w:val="Hyperlink"/>
            <w:noProof/>
          </w:rPr>
          <w:t>questions générales</w:t>
        </w:r>
        <w:r>
          <w:rPr>
            <w:noProof/>
            <w:webHidden/>
          </w:rPr>
          <w:tab/>
        </w:r>
        <w:r>
          <w:rPr>
            <w:noProof/>
            <w:webHidden/>
          </w:rPr>
          <w:fldChar w:fldCharType="begin"/>
        </w:r>
        <w:r>
          <w:rPr>
            <w:noProof/>
            <w:webHidden/>
          </w:rPr>
          <w:instrText xml:space="preserve"> PAGEREF _Toc198733043 \h </w:instrText>
        </w:r>
        <w:r>
          <w:rPr>
            <w:noProof/>
            <w:webHidden/>
          </w:rPr>
        </w:r>
        <w:r>
          <w:rPr>
            <w:noProof/>
            <w:webHidden/>
          </w:rPr>
          <w:fldChar w:fldCharType="separate"/>
        </w:r>
        <w:r>
          <w:rPr>
            <w:noProof/>
            <w:webHidden/>
          </w:rPr>
          <w:t>4</w:t>
        </w:r>
        <w:r>
          <w:rPr>
            <w:noProof/>
            <w:webHidden/>
          </w:rPr>
          <w:fldChar w:fldCharType="end"/>
        </w:r>
      </w:hyperlink>
    </w:p>
    <w:p w14:paraId="6DDA7D7C" w14:textId="1265BDF1" w:rsidR="00600C6F" w:rsidRDefault="00600C6F" w:rsidP="00600C6F">
      <w:pPr>
        <w:pStyle w:val="TOC3"/>
        <w:tabs>
          <w:tab w:val="clear" w:pos="1247"/>
          <w:tab w:val="clear" w:pos="1871"/>
          <w:tab w:val="clear" w:pos="2495"/>
        </w:tabs>
        <w:spacing w:before="40" w:after="40"/>
        <w:ind w:left="2835" w:hanging="567"/>
        <w:rPr>
          <w:rFonts w:asciiTheme="minorHAnsi" w:eastAsiaTheme="minorEastAsia" w:hAnsiTheme="minorHAnsi" w:cstheme="minorBidi"/>
          <w:iCs w:val="0"/>
          <w:noProof/>
          <w:kern w:val="2"/>
          <w:sz w:val="24"/>
          <w:szCs w:val="24"/>
          <w:lang w:val="en-CA" w:eastAsia="en-CA"/>
          <w14:ligatures w14:val="standardContextual"/>
        </w:rPr>
      </w:pPr>
      <w:hyperlink w:anchor="_Toc198733044" w:history="1">
        <w:r w:rsidRPr="00804BC8">
          <w:rPr>
            <w:rStyle w:val="Hyperlink"/>
            <w:noProof/>
          </w:rPr>
          <w:t>B</w:t>
        </w:r>
        <w:r>
          <w:rPr>
            <w:rStyle w:val="Hyperlink"/>
            <w:noProof/>
          </w:rPr>
          <w:t>.</w:t>
        </w:r>
        <w:r>
          <w:rPr>
            <w:rStyle w:val="Hyperlink"/>
            <w:noProof/>
          </w:rPr>
          <w:tab/>
        </w:r>
        <w:r w:rsidR="00BA2D52">
          <w:rPr>
            <w:rStyle w:val="Hyperlink"/>
            <w:noProof/>
          </w:rPr>
          <w:t>Respect des obligations </w:t>
        </w:r>
        <w:r w:rsidRPr="00804BC8">
          <w:rPr>
            <w:rStyle w:val="Hyperlink"/>
            <w:noProof/>
          </w:rPr>
          <w:t xml:space="preserve">: </w:t>
        </w:r>
        <w:r w:rsidR="00BA2D52">
          <w:rPr>
            <w:rStyle w:val="Hyperlink"/>
            <w:noProof/>
          </w:rPr>
          <w:t>mise en garde</w:t>
        </w:r>
        <w:r>
          <w:rPr>
            <w:noProof/>
            <w:webHidden/>
          </w:rPr>
          <w:tab/>
        </w:r>
        <w:r>
          <w:rPr>
            <w:noProof/>
            <w:webHidden/>
          </w:rPr>
          <w:fldChar w:fldCharType="begin"/>
        </w:r>
        <w:r>
          <w:rPr>
            <w:noProof/>
            <w:webHidden/>
          </w:rPr>
          <w:instrText xml:space="preserve"> PAGEREF _Toc198733044 \h </w:instrText>
        </w:r>
        <w:r>
          <w:rPr>
            <w:noProof/>
            <w:webHidden/>
          </w:rPr>
        </w:r>
        <w:r>
          <w:rPr>
            <w:noProof/>
            <w:webHidden/>
          </w:rPr>
          <w:fldChar w:fldCharType="separate"/>
        </w:r>
        <w:r>
          <w:rPr>
            <w:noProof/>
            <w:webHidden/>
          </w:rPr>
          <w:t>5</w:t>
        </w:r>
        <w:r>
          <w:rPr>
            <w:noProof/>
            <w:webHidden/>
          </w:rPr>
          <w:fldChar w:fldCharType="end"/>
        </w:r>
      </w:hyperlink>
    </w:p>
    <w:p w14:paraId="720CFD92" w14:textId="6F5B6D0F" w:rsidR="00600C6F" w:rsidRDefault="00600C6F" w:rsidP="00600C6F">
      <w:pPr>
        <w:pStyle w:val="TOC3"/>
        <w:tabs>
          <w:tab w:val="clear" w:pos="1247"/>
          <w:tab w:val="clear" w:pos="1871"/>
          <w:tab w:val="clear" w:pos="2495"/>
        </w:tabs>
        <w:spacing w:before="40" w:after="40"/>
        <w:ind w:left="2835" w:hanging="567"/>
        <w:rPr>
          <w:rFonts w:asciiTheme="minorHAnsi" w:eastAsiaTheme="minorEastAsia" w:hAnsiTheme="minorHAnsi" w:cstheme="minorBidi"/>
          <w:iCs w:val="0"/>
          <w:noProof/>
          <w:kern w:val="2"/>
          <w:sz w:val="24"/>
          <w:szCs w:val="24"/>
          <w:lang w:val="en-CA" w:eastAsia="en-CA"/>
          <w14:ligatures w14:val="standardContextual"/>
        </w:rPr>
      </w:pPr>
      <w:hyperlink w:anchor="_Toc198733045" w:history="1">
        <w:r w:rsidRPr="00804BC8">
          <w:rPr>
            <w:rStyle w:val="Hyperlink"/>
            <w:noProof/>
          </w:rPr>
          <w:t>C</w:t>
        </w:r>
        <w:r>
          <w:rPr>
            <w:rStyle w:val="Hyperlink"/>
            <w:noProof/>
          </w:rPr>
          <w:t>.</w:t>
        </w:r>
        <w:r>
          <w:rPr>
            <w:rStyle w:val="Hyperlink"/>
            <w:noProof/>
          </w:rPr>
          <w:tab/>
        </w:r>
        <w:r w:rsidR="00BA2D52">
          <w:rPr>
            <w:rStyle w:val="Hyperlink"/>
            <w:noProof/>
          </w:rPr>
          <w:t>Respect des obligations </w:t>
        </w:r>
        <w:r w:rsidRPr="00804BC8">
          <w:rPr>
            <w:rStyle w:val="Hyperlink"/>
            <w:noProof/>
          </w:rPr>
          <w:t xml:space="preserve">: </w:t>
        </w:r>
        <w:r w:rsidR="00146559">
          <w:rPr>
            <w:rStyle w:val="Hyperlink"/>
            <w:noProof/>
          </w:rPr>
          <w:t>autres questions</w:t>
        </w:r>
        <w:r>
          <w:rPr>
            <w:noProof/>
            <w:webHidden/>
          </w:rPr>
          <w:tab/>
        </w:r>
        <w:r>
          <w:rPr>
            <w:noProof/>
            <w:webHidden/>
          </w:rPr>
          <w:fldChar w:fldCharType="begin"/>
        </w:r>
        <w:r>
          <w:rPr>
            <w:noProof/>
            <w:webHidden/>
          </w:rPr>
          <w:instrText xml:space="preserve"> PAGEREF _Toc198733045 \h </w:instrText>
        </w:r>
        <w:r>
          <w:rPr>
            <w:noProof/>
            <w:webHidden/>
          </w:rPr>
        </w:r>
        <w:r>
          <w:rPr>
            <w:noProof/>
            <w:webHidden/>
          </w:rPr>
          <w:fldChar w:fldCharType="separate"/>
        </w:r>
        <w:r>
          <w:rPr>
            <w:noProof/>
            <w:webHidden/>
          </w:rPr>
          <w:t>5</w:t>
        </w:r>
        <w:r>
          <w:rPr>
            <w:noProof/>
            <w:webHidden/>
          </w:rPr>
          <w:fldChar w:fldCharType="end"/>
        </w:r>
      </w:hyperlink>
    </w:p>
    <w:p w14:paraId="7768D03C" w14:textId="538112D2"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6" w:history="1">
        <w:r w:rsidRPr="00804BC8">
          <w:rPr>
            <w:rStyle w:val="Hyperlink"/>
            <w:noProof/>
          </w:rPr>
          <w:t>CP-11/2.</w:t>
        </w:r>
        <w:r>
          <w:rPr>
            <w:rFonts w:asciiTheme="minorHAnsi" w:eastAsiaTheme="minorEastAsia" w:hAnsiTheme="minorHAnsi" w:cstheme="minorBidi"/>
            <w:noProof/>
            <w:kern w:val="2"/>
            <w:sz w:val="24"/>
            <w:szCs w:val="24"/>
            <w:lang w:val="en-CA" w:eastAsia="en-CA"/>
            <w14:ligatures w14:val="standardContextual"/>
          </w:rPr>
          <w:tab/>
        </w:r>
        <w:r w:rsidR="005E57CB">
          <w:rPr>
            <w:rStyle w:val="Hyperlink"/>
            <w:noProof/>
          </w:rPr>
          <w:t xml:space="preserve">Questions relatives au mécanisme de financement et aux ressources </w:t>
        </w:r>
        <w:r w:rsidR="005E57CB">
          <w:rPr>
            <w:rStyle w:val="Hyperlink"/>
            <w:noProof/>
          </w:rPr>
          <w:br/>
          <w:t>financières</w:t>
        </w:r>
        <w:r w:rsidR="005E57CB" w:rsidRPr="005E57CB">
          <w:rPr>
            <w:noProof/>
            <w:webHidden/>
          </w:rPr>
          <w:tab/>
        </w:r>
        <w:r w:rsidR="005E57CB">
          <w:rPr>
            <w:noProof/>
            <w:webHidden/>
          </w:rPr>
          <w:t xml:space="preserve"> </w:t>
        </w:r>
        <w:r w:rsidR="005E57CB">
          <w:rPr>
            <w:noProof/>
            <w:webHidden/>
          </w:rPr>
          <w:tab/>
        </w:r>
        <w:r w:rsidR="005C437D">
          <w:rPr>
            <w:noProof/>
            <w:webHidden/>
          </w:rPr>
          <w:t>7</w:t>
        </w:r>
      </w:hyperlink>
    </w:p>
    <w:p w14:paraId="0B0973ED" w14:textId="01BC143A"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7" w:history="1">
        <w:r w:rsidRPr="00804BC8">
          <w:rPr>
            <w:rStyle w:val="Hyperlink"/>
            <w:noProof/>
          </w:rPr>
          <w:t>CP-11/3.</w:t>
        </w:r>
        <w:r>
          <w:rPr>
            <w:rFonts w:asciiTheme="minorHAnsi" w:eastAsiaTheme="minorEastAsia" w:hAnsiTheme="minorHAnsi" w:cstheme="minorBidi"/>
            <w:noProof/>
            <w:kern w:val="2"/>
            <w:sz w:val="24"/>
            <w:szCs w:val="24"/>
            <w:lang w:val="en-CA" w:eastAsia="en-CA"/>
            <w14:ligatures w14:val="standardContextual"/>
          </w:rPr>
          <w:tab/>
        </w:r>
        <w:r w:rsidR="004779F9">
          <w:rPr>
            <w:rStyle w:val="Hyperlink"/>
            <w:noProof/>
          </w:rPr>
          <w:t>Fonctionnement et activités du Centre d’échange pour la prévention des risques biotechnologiques</w:t>
        </w:r>
        <w:r>
          <w:rPr>
            <w:noProof/>
            <w:webHidden/>
          </w:rPr>
          <w:tab/>
        </w:r>
        <w:r w:rsidR="006D402F">
          <w:rPr>
            <w:noProof/>
            <w:webHidden/>
          </w:rPr>
          <w:t>9</w:t>
        </w:r>
      </w:hyperlink>
    </w:p>
    <w:p w14:paraId="04B114C2" w14:textId="1DCA2698"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8" w:history="1">
        <w:r w:rsidRPr="00804BC8">
          <w:rPr>
            <w:rStyle w:val="Hyperlink"/>
            <w:noProof/>
          </w:rPr>
          <w:t>CP-11/4.</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Proc</w:t>
        </w:r>
        <w:r w:rsidR="003E77A6">
          <w:rPr>
            <w:rStyle w:val="Hyperlink"/>
            <w:noProof/>
          </w:rPr>
          <w:t>é</w:t>
        </w:r>
        <w:r w:rsidRPr="00804BC8">
          <w:rPr>
            <w:rStyle w:val="Hyperlink"/>
            <w:noProof/>
          </w:rPr>
          <w:t xml:space="preserve">dures </w:t>
        </w:r>
        <w:r w:rsidR="003E77A6">
          <w:rPr>
            <w:rStyle w:val="Hyperlink"/>
            <w:noProof/>
          </w:rPr>
          <w:t>relatives à la tenue de réunions virtuelles et hybrides</w:t>
        </w:r>
        <w:r>
          <w:rPr>
            <w:noProof/>
            <w:webHidden/>
          </w:rPr>
          <w:tab/>
        </w:r>
        <w:r>
          <w:rPr>
            <w:noProof/>
            <w:webHidden/>
          </w:rPr>
          <w:fldChar w:fldCharType="begin"/>
        </w:r>
        <w:r>
          <w:rPr>
            <w:noProof/>
            <w:webHidden/>
          </w:rPr>
          <w:instrText xml:space="preserve"> PAGEREF _Toc198733048 \h </w:instrText>
        </w:r>
        <w:r>
          <w:rPr>
            <w:noProof/>
            <w:webHidden/>
          </w:rPr>
        </w:r>
        <w:r>
          <w:rPr>
            <w:noProof/>
            <w:webHidden/>
          </w:rPr>
          <w:fldChar w:fldCharType="separate"/>
        </w:r>
        <w:r>
          <w:rPr>
            <w:noProof/>
            <w:webHidden/>
          </w:rPr>
          <w:t>1</w:t>
        </w:r>
        <w:r w:rsidR="00BE5925">
          <w:rPr>
            <w:noProof/>
            <w:webHidden/>
          </w:rPr>
          <w:t>1</w:t>
        </w:r>
        <w:r>
          <w:rPr>
            <w:noProof/>
            <w:webHidden/>
          </w:rPr>
          <w:fldChar w:fldCharType="end"/>
        </w:r>
      </w:hyperlink>
    </w:p>
    <w:p w14:paraId="1875F8CC" w14:textId="379D38F9"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49" w:history="1">
        <w:r w:rsidRPr="00804BC8">
          <w:rPr>
            <w:rStyle w:val="Hyperlink"/>
            <w:noProof/>
          </w:rPr>
          <w:t>CP-11/5.</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 xml:space="preserve">Options </w:t>
        </w:r>
        <w:r w:rsidR="00472190">
          <w:rPr>
            <w:rStyle w:val="Hyperlink"/>
            <w:noProof/>
          </w:rPr>
          <w:t>pour améliorer davantage l’efficacité des processus relevant de la Convention et de ses Protocoles</w:t>
        </w:r>
        <w:r>
          <w:rPr>
            <w:noProof/>
            <w:webHidden/>
          </w:rPr>
          <w:tab/>
        </w:r>
        <w:r>
          <w:rPr>
            <w:noProof/>
            <w:webHidden/>
          </w:rPr>
          <w:fldChar w:fldCharType="begin"/>
        </w:r>
        <w:r>
          <w:rPr>
            <w:noProof/>
            <w:webHidden/>
          </w:rPr>
          <w:instrText xml:space="preserve"> PAGEREF _Toc198733049 \h </w:instrText>
        </w:r>
        <w:r>
          <w:rPr>
            <w:noProof/>
            <w:webHidden/>
          </w:rPr>
        </w:r>
        <w:r>
          <w:rPr>
            <w:noProof/>
            <w:webHidden/>
          </w:rPr>
          <w:fldChar w:fldCharType="separate"/>
        </w:r>
        <w:r>
          <w:rPr>
            <w:noProof/>
            <w:webHidden/>
          </w:rPr>
          <w:t>1</w:t>
        </w:r>
        <w:r w:rsidR="00622D26">
          <w:rPr>
            <w:noProof/>
            <w:webHidden/>
          </w:rPr>
          <w:t>3</w:t>
        </w:r>
        <w:r>
          <w:rPr>
            <w:noProof/>
            <w:webHidden/>
          </w:rPr>
          <w:fldChar w:fldCharType="end"/>
        </w:r>
      </w:hyperlink>
    </w:p>
    <w:p w14:paraId="00D664EF" w14:textId="40635D66"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0" w:history="1">
        <w:r w:rsidRPr="00D30864">
          <w:rPr>
            <w:rStyle w:val="Hyperlink"/>
            <w:noProof/>
          </w:rPr>
          <w:t>CP-11/6.</w:t>
        </w:r>
        <w:r w:rsidRPr="00D30864">
          <w:rPr>
            <w:rFonts w:asciiTheme="minorHAnsi" w:eastAsiaTheme="minorEastAsia" w:hAnsiTheme="minorHAnsi" w:cstheme="minorBidi"/>
            <w:noProof/>
            <w:kern w:val="2"/>
            <w:sz w:val="24"/>
            <w:szCs w:val="24"/>
            <w:lang w:val="en-CA" w:eastAsia="en-CA"/>
            <w14:ligatures w14:val="standardContextual"/>
          </w:rPr>
          <w:tab/>
        </w:r>
        <w:r w:rsidRPr="00D30864">
          <w:rPr>
            <w:rStyle w:val="Hyperlink"/>
            <w:noProof/>
          </w:rPr>
          <w:t>Proc</w:t>
        </w:r>
        <w:r w:rsidR="0036405E" w:rsidRPr="00D30864">
          <w:rPr>
            <w:rStyle w:val="Hyperlink"/>
            <w:noProof/>
          </w:rPr>
          <w:t>é</w:t>
        </w:r>
        <w:r w:rsidRPr="00D30864">
          <w:rPr>
            <w:rStyle w:val="Hyperlink"/>
            <w:noProof/>
          </w:rPr>
          <w:t xml:space="preserve">dure </w:t>
        </w:r>
        <w:r w:rsidR="0036405E" w:rsidRPr="00D30864">
          <w:rPr>
            <w:rStyle w:val="Hyperlink"/>
            <w:noProof/>
          </w:rPr>
          <w:t>relative à la prévention et à la gestion des conflits d’intérêts au sein des groupes d’experts</w:t>
        </w:r>
        <w:r w:rsidRPr="00D30864">
          <w:rPr>
            <w:noProof/>
            <w:webHidden/>
          </w:rPr>
          <w:tab/>
        </w:r>
        <w:r w:rsidRPr="00D30864">
          <w:rPr>
            <w:noProof/>
            <w:webHidden/>
          </w:rPr>
          <w:fldChar w:fldCharType="begin"/>
        </w:r>
        <w:r w:rsidRPr="00D30864">
          <w:rPr>
            <w:noProof/>
            <w:webHidden/>
          </w:rPr>
          <w:instrText xml:space="preserve"> PAGEREF _Toc198733050 \h </w:instrText>
        </w:r>
        <w:r w:rsidRPr="00D30864">
          <w:rPr>
            <w:noProof/>
            <w:webHidden/>
          </w:rPr>
        </w:r>
        <w:r w:rsidRPr="00D30864">
          <w:rPr>
            <w:noProof/>
            <w:webHidden/>
          </w:rPr>
          <w:fldChar w:fldCharType="separate"/>
        </w:r>
        <w:r w:rsidRPr="00D30864">
          <w:rPr>
            <w:noProof/>
            <w:webHidden/>
          </w:rPr>
          <w:t>1</w:t>
        </w:r>
        <w:r w:rsidR="00141BBA">
          <w:rPr>
            <w:noProof/>
            <w:webHidden/>
          </w:rPr>
          <w:t>6</w:t>
        </w:r>
        <w:r w:rsidRPr="00D30864">
          <w:rPr>
            <w:noProof/>
            <w:webHidden/>
          </w:rPr>
          <w:fldChar w:fldCharType="end"/>
        </w:r>
      </w:hyperlink>
    </w:p>
    <w:p w14:paraId="3BEAC87E" w14:textId="0F76641E"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1" w:history="1">
        <w:r w:rsidRPr="00804BC8">
          <w:rPr>
            <w:rStyle w:val="Hyperlink"/>
            <w:noProof/>
          </w:rPr>
          <w:t>CP-11/7.</w:t>
        </w:r>
        <w:r>
          <w:rPr>
            <w:rFonts w:asciiTheme="minorHAnsi" w:eastAsiaTheme="minorEastAsia" w:hAnsiTheme="minorHAnsi" w:cstheme="minorBidi"/>
            <w:noProof/>
            <w:kern w:val="2"/>
            <w:sz w:val="24"/>
            <w:szCs w:val="24"/>
            <w:lang w:val="en-CA" w:eastAsia="en-CA"/>
            <w14:ligatures w14:val="standardContextual"/>
          </w:rPr>
          <w:tab/>
        </w:r>
        <w:r w:rsidR="00D30864">
          <w:rPr>
            <w:rStyle w:val="Hyperlink"/>
            <w:noProof/>
          </w:rPr>
          <w:t>Évaluation et gestion des risques</w:t>
        </w:r>
        <w:r>
          <w:rPr>
            <w:noProof/>
            <w:webHidden/>
          </w:rPr>
          <w:tab/>
        </w:r>
        <w:r>
          <w:rPr>
            <w:noProof/>
            <w:webHidden/>
          </w:rPr>
          <w:fldChar w:fldCharType="begin"/>
        </w:r>
        <w:r>
          <w:rPr>
            <w:noProof/>
            <w:webHidden/>
          </w:rPr>
          <w:instrText xml:space="preserve"> PAGEREF _Toc198733051 \h </w:instrText>
        </w:r>
        <w:r>
          <w:rPr>
            <w:noProof/>
            <w:webHidden/>
          </w:rPr>
        </w:r>
        <w:r>
          <w:rPr>
            <w:noProof/>
            <w:webHidden/>
          </w:rPr>
          <w:fldChar w:fldCharType="separate"/>
        </w:r>
        <w:r>
          <w:rPr>
            <w:noProof/>
            <w:webHidden/>
          </w:rPr>
          <w:t>1</w:t>
        </w:r>
        <w:r w:rsidR="00F3680D">
          <w:rPr>
            <w:noProof/>
            <w:webHidden/>
          </w:rPr>
          <w:t>8</w:t>
        </w:r>
        <w:r>
          <w:rPr>
            <w:noProof/>
            <w:webHidden/>
          </w:rPr>
          <w:fldChar w:fldCharType="end"/>
        </w:r>
      </w:hyperlink>
    </w:p>
    <w:p w14:paraId="391A4EEF" w14:textId="418F8021"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2" w:history="1">
        <w:r w:rsidRPr="00804BC8">
          <w:rPr>
            <w:rStyle w:val="Hyperlink"/>
            <w:noProof/>
          </w:rPr>
          <w:t>CP-11/8.</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D</w:t>
        </w:r>
        <w:r w:rsidR="00940EBD">
          <w:rPr>
            <w:rStyle w:val="Hyperlink"/>
            <w:noProof/>
          </w:rPr>
          <w:t>é</w:t>
        </w:r>
        <w:r w:rsidRPr="00804BC8">
          <w:rPr>
            <w:rStyle w:val="Hyperlink"/>
            <w:noProof/>
          </w:rPr>
          <w:t xml:space="preserve">tection </w:t>
        </w:r>
        <w:r w:rsidR="00940EBD">
          <w:rPr>
            <w:rStyle w:val="Hyperlink"/>
            <w:noProof/>
          </w:rPr>
          <w:t>et</w:t>
        </w:r>
        <w:r w:rsidRPr="00804BC8">
          <w:rPr>
            <w:rStyle w:val="Hyperlink"/>
            <w:noProof/>
          </w:rPr>
          <w:t xml:space="preserve"> identification </w:t>
        </w:r>
        <w:r w:rsidR="00940EBD">
          <w:rPr>
            <w:rStyle w:val="Hyperlink"/>
            <w:noProof/>
          </w:rPr>
          <w:t>des</w:t>
        </w:r>
        <w:r w:rsidRPr="00804BC8">
          <w:rPr>
            <w:rStyle w:val="Hyperlink"/>
            <w:noProof/>
          </w:rPr>
          <w:t xml:space="preserve"> </w:t>
        </w:r>
        <w:r w:rsidR="00940EBD">
          <w:rPr>
            <w:rStyle w:val="Hyperlink"/>
            <w:noProof/>
          </w:rPr>
          <w:t>organismes vivants modifiés</w:t>
        </w:r>
        <w:r>
          <w:rPr>
            <w:noProof/>
            <w:webHidden/>
          </w:rPr>
          <w:tab/>
        </w:r>
        <w:r w:rsidR="00004F91">
          <w:rPr>
            <w:noProof/>
            <w:webHidden/>
          </w:rPr>
          <w:t>21</w:t>
        </w:r>
      </w:hyperlink>
    </w:p>
    <w:p w14:paraId="4152FEDD" w14:textId="4CBC8040"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3" w:history="1">
        <w:r w:rsidRPr="00804BC8">
          <w:rPr>
            <w:rStyle w:val="Hyperlink"/>
            <w:noProof/>
          </w:rPr>
          <w:t>CP-11/9.</w:t>
        </w:r>
        <w:r>
          <w:rPr>
            <w:rFonts w:asciiTheme="minorHAnsi" w:eastAsiaTheme="minorEastAsia" w:hAnsiTheme="minorHAnsi" w:cstheme="minorBidi"/>
            <w:noProof/>
            <w:kern w:val="2"/>
            <w:sz w:val="24"/>
            <w:szCs w:val="24"/>
            <w:lang w:val="en-CA" w:eastAsia="en-CA"/>
            <w14:ligatures w14:val="standardContextual"/>
          </w:rPr>
          <w:tab/>
        </w:r>
        <w:r w:rsidR="00EC19C7">
          <w:rPr>
            <w:rStyle w:val="Hyperlink"/>
            <w:noProof/>
          </w:rPr>
          <w:t>C</w:t>
        </w:r>
        <w:r w:rsidRPr="00804BC8">
          <w:rPr>
            <w:rStyle w:val="Hyperlink"/>
            <w:noProof/>
          </w:rPr>
          <w:t>onsid</w:t>
        </w:r>
        <w:r w:rsidR="00EC19C7">
          <w:rPr>
            <w:rStyle w:val="Hyperlink"/>
            <w:noProof/>
          </w:rPr>
          <w:t>é</w:t>
        </w:r>
        <w:r w:rsidRPr="00804BC8">
          <w:rPr>
            <w:rStyle w:val="Hyperlink"/>
            <w:noProof/>
          </w:rPr>
          <w:t>rations</w:t>
        </w:r>
        <w:r w:rsidR="00EC19C7">
          <w:rPr>
            <w:rStyle w:val="Hyperlink"/>
            <w:noProof/>
          </w:rPr>
          <w:t xml:space="preserve"> socio-économiques</w:t>
        </w:r>
        <w:r>
          <w:rPr>
            <w:noProof/>
            <w:webHidden/>
          </w:rPr>
          <w:tab/>
        </w:r>
        <w:r>
          <w:rPr>
            <w:noProof/>
            <w:webHidden/>
          </w:rPr>
          <w:fldChar w:fldCharType="begin"/>
        </w:r>
        <w:r>
          <w:rPr>
            <w:noProof/>
            <w:webHidden/>
          </w:rPr>
          <w:instrText xml:space="preserve"> PAGEREF _Toc198733053 \h </w:instrText>
        </w:r>
        <w:r>
          <w:rPr>
            <w:noProof/>
            <w:webHidden/>
          </w:rPr>
        </w:r>
        <w:r>
          <w:rPr>
            <w:noProof/>
            <w:webHidden/>
          </w:rPr>
          <w:fldChar w:fldCharType="separate"/>
        </w:r>
        <w:r>
          <w:rPr>
            <w:noProof/>
            <w:webHidden/>
          </w:rPr>
          <w:t>2</w:t>
        </w:r>
        <w:r w:rsidR="00991F76">
          <w:rPr>
            <w:noProof/>
            <w:webHidden/>
          </w:rPr>
          <w:t>3</w:t>
        </w:r>
        <w:r>
          <w:rPr>
            <w:noProof/>
            <w:webHidden/>
          </w:rPr>
          <w:fldChar w:fldCharType="end"/>
        </w:r>
      </w:hyperlink>
    </w:p>
    <w:p w14:paraId="28084E89" w14:textId="6BAF801E"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4" w:history="1">
        <w:r w:rsidRPr="00804BC8">
          <w:rPr>
            <w:rStyle w:val="Hyperlink"/>
            <w:noProof/>
          </w:rPr>
          <w:t>CP-11/10.</w:t>
        </w:r>
        <w:r>
          <w:rPr>
            <w:rFonts w:asciiTheme="minorHAnsi" w:eastAsiaTheme="minorEastAsia" w:hAnsiTheme="minorHAnsi" w:cstheme="minorBidi"/>
            <w:noProof/>
            <w:kern w:val="2"/>
            <w:sz w:val="24"/>
            <w:szCs w:val="24"/>
            <w:lang w:val="en-CA" w:eastAsia="en-CA"/>
            <w14:ligatures w14:val="standardContextual"/>
          </w:rPr>
          <w:tab/>
        </w:r>
        <w:r w:rsidR="00CC6301">
          <w:rPr>
            <w:rStyle w:val="Hyperlink"/>
            <w:noProof/>
          </w:rPr>
          <w:t>Protocole additionnel de N</w:t>
        </w:r>
        <w:r w:rsidRPr="00804BC8">
          <w:rPr>
            <w:rStyle w:val="Hyperlink"/>
            <w:noProof/>
          </w:rPr>
          <w:t xml:space="preserve">agoya-Kuala Lumpur </w:t>
        </w:r>
        <w:r w:rsidR="00CC6301">
          <w:rPr>
            <w:rStyle w:val="Hyperlink"/>
            <w:noProof/>
          </w:rPr>
          <w:t>sur la responsabilité et la réparation</w:t>
        </w:r>
        <w:r>
          <w:rPr>
            <w:noProof/>
            <w:webHidden/>
          </w:rPr>
          <w:tab/>
        </w:r>
        <w:r w:rsidR="00FE2638">
          <w:rPr>
            <w:noProof/>
            <w:webHidden/>
          </w:rPr>
          <w:tab/>
        </w:r>
        <w:r>
          <w:rPr>
            <w:noProof/>
            <w:webHidden/>
          </w:rPr>
          <w:fldChar w:fldCharType="begin"/>
        </w:r>
        <w:r>
          <w:rPr>
            <w:noProof/>
            <w:webHidden/>
          </w:rPr>
          <w:instrText xml:space="preserve"> PAGEREF _Toc198733054 \h </w:instrText>
        </w:r>
        <w:r>
          <w:rPr>
            <w:noProof/>
            <w:webHidden/>
          </w:rPr>
        </w:r>
        <w:r>
          <w:rPr>
            <w:noProof/>
            <w:webHidden/>
          </w:rPr>
          <w:fldChar w:fldCharType="separate"/>
        </w:r>
        <w:r>
          <w:rPr>
            <w:noProof/>
            <w:webHidden/>
          </w:rPr>
          <w:t>2</w:t>
        </w:r>
        <w:r w:rsidR="00D524CA">
          <w:rPr>
            <w:noProof/>
            <w:webHidden/>
          </w:rPr>
          <w:t>4</w:t>
        </w:r>
        <w:r>
          <w:rPr>
            <w:noProof/>
            <w:webHidden/>
          </w:rPr>
          <w:fldChar w:fldCharType="end"/>
        </w:r>
      </w:hyperlink>
    </w:p>
    <w:p w14:paraId="61B9A6F9" w14:textId="68B3AE89"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5" w:history="1">
        <w:r w:rsidRPr="00804BC8">
          <w:rPr>
            <w:rStyle w:val="Hyperlink"/>
            <w:noProof/>
          </w:rPr>
          <w:t>CP-11/11.</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rPr>
          <w:t xml:space="preserve">Administration </w:t>
        </w:r>
        <w:r w:rsidR="00334508">
          <w:rPr>
            <w:rStyle w:val="Hyperlink"/>
            <w:noProof/>
          </w:rPr>
          <w:t>du</w:t>
        </w:r>
        <w:r w:rsidRPr="00804BC8">
          <w:rPr>
            <w:rStyle w:val="Hyperlink"/>
            <w:noProof/>
          </w:rPr>
          <w:t xml:space="preserve"> </w:t>
        </w:r>
        <w:r w:rsidR="00334508">
          <w:rPr>
            <w:rStyle w:val="Hyperlink"/>
            <w:noProof/>
          </w:rPr>
          <w:t xml:space="preserve">Protocole de </w:t>
        </w:r>
        <w:r w:rsidRPr="00804BC8">
          <w:rPr>
            <w:rStyle w:val="Hyperlink"/>
            <w:noProof/>
          </w:rPr>
          <w:t xml:space="preserve">Cartagena </w:t>
        </w:r>
        <w:r w:rsidR="00334508">
          <w:rPr>
            <w:rStyle w:val="Hyperlink"/>
            <w:noProof/>
          </w:rPr>
          <w:t>et</w:t>
        </w:r>
        <w:r w:rsidRPr="00804BC8">
          <w:rPr>
            <w:rStyle w:val="Hyperlink"/>
            <w:noProof/>
          </w:rPr>
          <w:t xml:space="preserve"> budget </w:t>
        </w:r>
        <w:r w:rsidR="00334508">
          <w:rPr>
            <w:rStyle w:val="Hyperlink"/>
            <w:noProof/>
          </w:rPr>
          <w:t>des fonds d’affectation spéciale</w:t>
        </w:r>
        <w:r w:rsidR="00334508">
          <w:rPr>
            <w:rStyle w:val="Hyperlink"/>
            <w:noProof/>
          </w:rPr>
          <w:tab/>
        </w:r>
        <w:r>
          <w:rPr>
            <w:noProof/>
            <w:webHidden/>
          </w:rPr>
          <w:tab/>
        </w:r>
        <w:r>
          <w:rPr>
            <w:noProof/>
            <w:webHidden/>
          </w:rPr>
          <w:fldChar w:fldCharType="begin"/>
        </w:r>
        <w:r>
          <w:rPr>
            <w:noProof/>
            <w:webHidden/>
          </w:rPr>
          <w:instrText xml:space="preserve"> PAGEREF _Toc198733055 \h </w:instrText>
        </w:r>
        <w:r>
          <w:rPr>
            <w:noProof/>
            <w:webHidden/>
          </w:rPr>
        </w:r>
        <w:r>
          <w:rPr>
            <w:noProof/>
            <w:webHidden/>
          </w:rPr>
          <w:fldChar w:fldCharType="separate"/>
        </w:r>
        <w:r>
          <w:rPr>
            <w:noProof/>
            <w:webHidden/>
          </w:rPr>
          <w:t>2</w:t>
        </w:r>
        <w:r w:rsidR="00982F98">
          <w:rPr>
            <w:noProof/>
            <w:webHidden/>
          </w:rPr>
          <w:t>6</w:t>
        </w:r>
        <w:r>
          <w:rPr>
            <w:noProof/>
            <w:webHidden/>
          </w:rPr>
          <w:fldChar w:fldCharType="end"/>
        </w:r>
      </w:hyperlink>
    </w:p>
    <w:p w14:paraId="2A478A0E" w14:textId="7FCE202B" w:rsidR="00600C6F" w:rsidRDefault="00600C6F"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6" w:history="1">
        <w:r w:rsidRPr="00804BC8">
          <w:rPr>
            <w:rStyle w:val="Hyperlink"/>
            <w:noProof/>
            <w:lang w:eastAsia="ko-KR"/>
          </w:rPr>
          <w:t>CP-11/12.</w:t>
        </w:r>
        <w:r>
          <w:rPr>
            <w:rFonts w:asciiTheme="minorHAnsi" w:eastAsiaTheme="minorEastAsia" w:hAnsiTheme="minorHAnsi" w:cstheme="minorBidi"/>
            <w:noProof/>
            <w:kern w:val="2"/>
            <w:sz w:val="24"/>
            <w:szCs w:val="24"/>
            <w:lang w:val="en-CA" w:eastAsia="en-CA"/>
            <w14:ligatures w14:val="standardContextual"/>
          </w:rPr>
          <w:tab/>
        </w:r>
        <w:r w:rsidRPr="00804BC8">
          <w:rPr>
            <w:rStyle w:val="Hyperlink"/>
            <w:noProof/>
            <w:lang w:eastAsia="ko-KR"/>
          </w:rPr>
          <w:t>Co</w:t>
        </w:r>
        <w:r w:rsidR="005B4B5B">
          <w:rPr>
            <w:rStyle w:val="Hyperlink"/>
            <w:noProof/>
            <w:lang w:eastAsia="ko-KR"/>
          </w:rPr>
          <w:t>ûts de l’organisation d’une reprise de session en présentiel de la onzième réunion de la Conférence des Parties à la Convention sur la diversité biologique siégeant en tant que réunion des Parties au Protocole de Cartagena sur la prévention des risques biotechnologiques</w:t>
        </w:r>
        <w:r>
          <w:rPr>
            <w:noProof/>
            <w:webHidden/>
          </w:rPr>
          <w:tab/>
        </w:r>
        <w:r w:rsidR="00F82192">
          <w:rPr>
            <w:noProof/>
            <w:webHidden/>
          </w:rPr>
          <w:t>32</w:t>
        </w:r>
      </w:hyperlink>
    </w:p>
    <w:p w14:paraId="15880EA2" w14:textId="4569A523" w:rsidR="00600C6F" w:rsidRPr="00F74CA0" w:rsidRDefault="00600C6F" w:rsidP="00F74CA0">
      <w:pPr>
        <w:pStyle w:val="TOC1"/>
        <w:rPr>
          <w:rFonts w:asciiTheme="minorHAnsi" w:eastAsiaTheme="minorEastAsia" w:hAnsiTheme="minorHAnsi" w:cstheme="minorBidi"/>
          <w:kern w:val="2"/>
          <w:sz w:val="24"/>
          <w:szCs w:val="24"/>
          <w:lang w:val="en-CA" w:eastAsia="en-CA"/>
          <w14:ligatures w14:val="standardContextual"/>
        </w:rPr>
      </w:pPr>
      <w:hyperlink w:anchor="_Toc198733057" w:history="1">
        <w:r w:rsidRPr="00F74CA0">
          <w:rPr>
            <w:rStyle w:val="Hyperlink"/>
            <w:b/>
            <w:bCs w:val="0"/>
          </w:rPr>
          <w:t>II.</w:t>
        </w:r>
        <w:r w:rsidRPr="00F74CA0">
          <w:rPr>
            <w:rFonts w:asciiTheme="minorHAnsi" w:eastAsiaTheme="minorEastAsia" w:hAnsiTheme="minorHAnsi" w:cstheme="minorBidi"/>
            <w:kern w:val="2"/>
            <w:sz w:val="24"/>
            <w:szCs w:val="24"/>
            <w:lang w:val="en-CA" w:eastAsia="en-CA"/>
            <w14:ligatures w14:val="standardContextual"/>
          </w:rPr>
          <w:tab/>
        </w:r>
        <w:r w:rsidR="0083033F" w:rsidRPr="00F74CA0">
          <w:rPr>
            <w:rStyle w:val="Hyperlink"/>
            <w:b/>
            <w:bCs w:val="0"/>
          </w:rPr>
          <w:t>Compte rendu de la réunion</w:t>
        </w:r>
        <w:r w:rsidRPr="00F74CA0">
          <w:rPr>
            <w:webHidden/>
          </w:rPr>
          <w:tab/>
        </w:r>
        <w:r w:rsidR="00BD59E3" w:rsidRPr="00F74CA0">
          <w:rPr>
            <w:webHidden/>
          </w:rPr>
          <w:t>33</w:t>
        </w:r>
      </w:hyperlink>
    </w:p>
    <w:p w14:paraId="1FA624A3" w14:textId="60A589D0" w:rsidR="00600C6F" w:rsidRDefault="002124FB" w:rsidP="00600C6F">
      <w:pPr>
        <w:pStyle w:val="TOC2"/>
        <w:tabs>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8" w:history="1">
        <w:r>
          <w:rPr>
            <w:rStyle w:val="Hyperlink"/>
            <w:noProof/>
          </w:rPr>
          <w:t>Contexte</w:t>
        </w:r>
        <w:r w:rsidR="00600C6F">
          <w:rPr>
            <w:noProof/>
            <w:webHidden/>
          </w:rPr>
          <w:tab/>
        </w:r>
        <w:r w:rsidR="00600C6F">
          <w:rPr>
            <w:noProof/>
            <w:webHidden/>
          </w:rPr>
          <w:tab/>
        </w:r>
        <w:r w:rsidR="00BD59E3">
          <w:rPr>
            <w:noProof/>
            <w:webHidden/>
          </w:rPr>
          <w:t>33</w:t>
        </w:r>
      </w:hyperlink>
    </w:p>
    <w:p w14:paraId="43D83524" w14:textId="0250D0D9" w:rsidR="00600C6F" w:rsidRDefault="0063041F" w:rsidP="00600C6F">
      <w:pPr>
        <w:pStyle w:val="TOC2"/>
        <w:tabs>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59" w:history="1">
        <w:r>
          <w:rPr>
            <w:rStyle w:val="Hyperlink"/>
            <w:noProof/>
          </w:rPr>
          <w:t>Participation</w:t>
        </w:r>
        <w:r w:rsidR="00600C6F">
          <w:rPr>
            <w:noProof/>
            <w:webHidden/>
          </w:rPr>
          <w:tab/>
        </w:r>
        <w:r w:rsidR="00600C6F">
          <w:rPr>
            <w:noProof/>
            <w:webHidden/>
          </w:rPr>
          <w:tab/>
        </w:r>
        <w:r w:rsidR="00942A55">
          <w:rPr>
            <w:noProof/>
            <w:webHidden/>
          </w:rPr>
          <w:t>33</w:t>
        </w:r>
      </w:hyperlink>
    </w:p>
    <w:p w14:paraId="587B7B32" w14:textId="55B06DE5" w:rsidR="00600C6F" w:rsidRDefault="002E6B82"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0" w:history="1">
        <w:r>
          <w:rPr>
            <w:rStyle w:val="Hyperlink"/>
            <w:noProof/>
          </w:rPr>
          <w:t>Point</w:t>
        </w:r>
        <w:r w:rsidR="00600C6F" w:rsidRPr="00804BC8">
          <w:rPr>
            <w:rStyle w:val="Hyperlink"/>
            <w:noProof/>
          </w:rPr>
          <w:t xml:space="preserve"> 1</w:t>
        </w:r>
        <w:r w:rsidR="00600C6F">
          <w:rPr>
            <w:rStyle w:val="Hyperlink"/>
            <w:noProof/>
          </w:rPr>
          <w:t>.</w:t>
        </w:r>
        <w:r w:rsidR="00600C6F">
          <w:rPr>
            <w:rStyle w:val="Hyperlink"/>
            <w:noProof/>
          </w:rPr>
          <w:tab/>
        </w:r>
        <w:r w:rsidR="00600C6F" w:rsidRPr="00804BC8">
          <w:rPr>
            <w:rStyle w:val="Hyperlink"/>
            <w:noProof/>
          </w:rPr>
          <w:t>O</w:t>
        </w:r>
        <w:r>
          <w:rPr>
            <w:rStyle w:val="Hyperlink"/>
            <w:noProof/>
          </w:rPr>
          <w:t>uverture de la réunion</w:t>
        </w:r>
        <w:r w:rsidR="00600C6F">
          <w:rPr>
            <w:noProof/>
            <w:webHidden/>
          </w:rPr>
          <w:tab/>
        </w:r>
        <w:r w:rsidR="00086406">
          <w:rPr>
            <w:noProof/>
            <w:webHidden/>
          </w:rPr>
          <w:t>33</w:t>
        </w:r>
      </w:hyperlink>
    </w:p>
    <w:p w14:paraId="14321432" w14:textId="508747A7" w:rsidR="00600C6F" w:rsidRDefault="00BE6F77"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1" w:history="1">
        <w:r>
          <w:rPr>
            <w:rStyle w:val="Hyperlink"/>
            <w:noProof/>
          </w:rPr>
          <w:t>Point</w:t>
        </w:r>
        <w:r w:rsidR="00600C6F" w:rsidRPr="00804BC8">
          <w:rPr>
            <w:rStyle w:val="Hyperlink"/>
            <w:noProof/>
          </w:rPr>
          <w:t xml:space="preserve"> 2</w:t>
        </w:r>
        <w:r w:rsidR="00600C6F">
          <w:rPr>
            <w:rStyle w:val="Hyperlink"/>
            <w:noProof/>
          </w:rPr>
          <w:t>.</w:t>
        </w:r>
        <w:r w:rsidR="00600C6F">
          <w:rPr>
            <w:rStyle w:val="Hyperlink"/>
            <w:noProof/>
          </w:rPr>
          <w:tab/>
        </w:r>
        <w:r>
          <w:rPr>
            <w:rStyle w:val="Hyperlink"/>
            <w:noProof/>
          </w:rPr>
          <w:t>Questions d’organisation</w:t>
        </w:r>
        <w:r w:rsidR="00600C6F">
          <w:rPr>
            <w:noProof/>
            <w:webHidden/>
          </w:rPr>
          <w:tab/>
        </w:r>
        <w:r w:rsidR="00315B76">
          <w:rPr>
            <w:noProof/>
            <w:webHidden/>
          </w:rPr>
          <w:t>34</w:t>
        </w:r>
      </w:hyperlink>
    </w:p>
    <w:p w14:paraId="603D6C46" w14:textId="6317BF4C" w:rsidR="00600C6F" w:rsidRDefault="00DC468B" w:rsidP="00600C6F">
      <w:pPr>
        <w:pStyle w:val="TOC2"/>
        <w:tabs>
          <w:tab w:val="clear" w:pos="1247"/>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2" w:history="1">
        <w:r>
          <w:rPr>
            <w:rStyle w:val="Hyperlink"/>
            <w:noProof/>
          </w:rPr>
          <w:t>Point</w:t>
        </w:r>
        <w:r w:rsidR="00600C6F" w:rsidRPr="00804BC8">
          <w:rPr>
            <w:rStyle w:val="Hyperlink"/>
            <w:noProof/>
          </w:rPr>
          <w:t xml:space="preserve"> 3</w:t>
        </w:r>
        <w:r w:rsidR="00600C6F">
          <w:rPr>
            <w:rStyle w:val="Hyperlink"/>
            <w:noProof/>
          </w:rPr>
          <w:t>.</w:t>
        </w:r>
        <w:r w:rsidR="00600C6F">
          <w:rPr>
            <w:rStyle w:val="Hyperlink"/>
            <w:noProof/>
          </w:rPr>
          <w:tab/>
        </w:r>
        <w:r w:rsidR="00600C6F" w:rsidRPr="00804BC8">
          <w:rPr>
            <w:rStyle w:val="Hyperlink"/>
            <w:noProof/>
          </w:rPr>
          <w:t>R</w:t>
        </w:r>
        <w:r w:rsidR="004517F7">
          <w:rPr>
            <w:rStyle w:val="Hyperlink"/>
            <w:noProof/>
          </w:rPr>
          <w:t>apport sur les pouvoirs des représentants à la onzième réunion de la Conférence des Parties siégeant en tant que réunion des Parties au Protocole de Cartagena</w:t>
        </w:r>
        <w:r w:rsidR="00600C6F">
          <w:rPr>
            <w:noProof/>
            <w:webHidden/>
          </w:rPr>
          <w:tab/>
        </w:r>
        <w:r w:rsidR="00600C6F">
          <w:rPr>
            <w:noProof/>
            <w:webHidden/>
          </w:rPr>
          <w:fldChar w:fldCharType="begin"/>
        </w:r>
        <w:r w:rsidR="00600C6F">
          <w:rPr>
            <w:noProof/>
            <w:webHidden/>
          </w:rPr>
          <w:instrText xml:space="preserve"> PAGEREF _Toc198733062 \h </w:instrText>
        </w:r>
        <w:r w:rsidR="00600C6F">
          <w:rPr>
            <w:noProof/>
            <w:webHidden/>
          </w:rPr>
        </w:r>
        <w:r w:rsidR="00600C6F">
          <w:rPr>
            <w:noProof/>
            <w:webHidden/>
          </w:rPr>
          <w:fldChar w:fldCharType="separate"/>
        </w:r>
        <w:r w:rsidR="00600C6F">
          <w:rPr>
            <w:noProof/>
            <w:webHidden/>
          </w:rPr>
          <w:t>3</w:t>
        </w:r>
        <w:r w:rsidR="006C7289">
          <w:rPr>
            <w:noProof/>
            <w:webHidden/>
          </w:rPr>
          <w:t>7</w:t>
        </w:r>
        <w:r w:rsidR="00600C6F">
          <w:rPr>
            <w:noProof/>
            <w:webHidden/>
          </w:rPr>
          <w:fldChar w:fldCharType="end"/>
        </w:r>
      </w:hyperlink>
    </w:p>
    <w:p w14:paraId="2F6F966B" w14:textId="0C025E93" w:rsidR="00600C6F" w:rsidRDefault="005C4862"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r>
        <w:t xml:space="preserve">Point </w:t>
      </w:r>
      <w:hyperlink w:anchor="_Toc198733063" w:history="1">
        <w:r w:rsidR="00600C6F" w:rsidRPr="00804BC8">
          <w:rPr>
            <w:rStyle w:val="Hyperlink"/>
            <w:noProof/>
          </w:rPr>
          <w:t>4</w:t>
        </w:r>
        <w:r w:rsidR="00600C6F">
          <w:rPr>
            <w:rStyle w:val="Hyperlink"/>
            <w:noProof/>
          </w:rPr>
          <w:t>.</w:t>
        </w:r>
        <w:r w:rsidR="00600C6F">
          <w:rPr>
            <w:rStyle w:val="Hyperlink"/>
            <w:noProof/>
          </w:rPr>
          <w:tab/>
        </w:r>
        <w:r w:rsidR="00600C6F" w:rsidRPr="00804BC8">
          <w:rPr>
            <w:rStyle w:val="Hyperlink"/>
            <w:noProof/>
          </w:rPr>
          <w:t>R</w:t>
        </w:r>
        <w:r w:rsidR="0092087E">
          <w:rPr>
            <w:rStyle w:val="Hyperlink"/>
            <w:noProof/>
          </w:rPr>
          <w:t>apports des organes subsidiaires</w:t>
        </w:r>
        <w:r w:rsidR="00600C6F">
          <w:rPr>
            <w:noProof/>
            <w:webHidden/>
          </w:rPr>
          <w:tab/>
        </w:r>
        <w:r w:rsidR="00600C6F">
          <w:rPr>
            <w:noProof/>
            <w:webHidden/>
          </w:rPr>
          <w:fldChar w:fldCharType="begin"/>
        </w:r>
        <w:r w:rsidR="00600C6F">
          <w:rPr>
            <w:noProof/>
            <w:webHidden/>
          </w:rPr>
          <w:instrText xml:space="preserve"> PAGEREF _Toc198733063 \h </w:instrText>
        </w:r>
        <w:r w:rsidR="00600C6F">
          <w:rPr>
            <w:noProof/>
            <w:webHidden/>
          </w:rPr>
        </w:r>
        <w:r w:rsidR="00600C6F">
          <w:rPr>
            <w:noProof/>
            <w:webHidden/>
          </w:rPr>
          <w:fldChar w:fldCharType="separate"/>
        </w:r>
        <w:r w:rsidR="00600C6F">
          <w:rPr>
            <w:noProof/>
            <w:webHidden/>
          </w:rPr>
          <w:t>3</w:t>
        </w:r>
        <w:r w:rsidR="002A4851">
          <w:rPr>
            <w:noProof/>
            <w:webHidden/>
          </w:rPr>
          <w:t>8</w:t>
        </w:r>
        <w:r w:rsidR="00600C6F">
          <w:rPr>
            <w:noProof/>
            <w:webHidden/>
          </w:rPr>
          <w:fldChar w:fldCharType="end"/>
        </w:r>
      </w:hyperlink>
    </w:p>
    <w:p w14:paraId="66EA4A4E" w14:textId="2B0E77C0" w:rsidR="00600C6F" w:rsidRDefault="007235E4"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4" w:history="1">
        <w:r>
          <w:rPr>
            <w:rStyle w:val="Hyperlink"/>
            <w:noProof/>
          </w:rPr>
          <w:t>Point</w:t>
        </w:r>
        <w:r w:rsidR="00600C6F" w:rsidRPr="00804BC8">
          <w:rPr>
            <w:rStyle w:val="Hyperlink"/>
            <w:noProof/>
          </w:rPr>
          <w:t xml:space="preserve"> 5</w:t>
        </w:r>
        <w:r w:rsidR="00600C6F">
          <w:rPr>
            <w:rStyle w:val="Hyperlink"/>
            <w:noProof/>
          </w:rPr>
          <w:t>.</w:t>
        </w:r>
        <w:r w:rsidR="00600C6F">
          <w:rPr>
            <w:rStyle w:val="Hyperlink"/>
            <w:noProof/>
          </w:rPr>
          <w:tab/>
        </w:r>
        <w:r w:rsidR="00600C6F" w:rsidRPr="00804BC8">
          <w:rPr>
            <w:rStyle w:val="Hyperlink"/>
            <w:noProof/>
          </w:rPr>
          <w:t>R</w:t>
        </w:r>
        <w:r w:rsidR="004118AD">
          <w:rPr>
            <w:rStyle w:val="Hyperlink"/>
            <w:noProof/>
          </w:rPr>
          <w:t>apport du Comité chargé du respect des obligations</w:t>
        </w:r>
        <w:r w:rsidR="00600C6F">
          <w:rPr>
            <w:noProof/>
            <w:webHidden/>
          </w:rPr>
          <w:tab/>
        </w:r>
        <w:r w:rsidR="00600C6F">
          <w:rPr>
            <w:noProof/>
            <w:webHidden/>
          </w:rPr>
          <w:fldChar w:fldCharType="begin"/>
        </w:r>
        <w:r w:rsidR="00600C6F">
          <w:rPr>
            <w:noProof/>
            <w:webHidden/>
          </w:rPr>
          <w:instrText xml:space="preserve"> PAGEREF _Toc198733064 \h </w:instrText>
        </w:r>
        <w:r w:rsidR="00600C6F">
          <w:rPr>
            <w:noProof/>
            <w:webHidden/>
          </w:rPr>
        </w:r>
        <w:r w:rsidR="00600C6F">
          <w:rPr>
            <w:noProof/>
            <w:webHidden/>
          </w:rPr>
          <w:fldChar w:fldCharType="separate"/>
        </w:r>
        <w:r w:rsidR="00600C6F">
          <w:rPr>
            <w:noProof/>
            <w:webHidden/>
          </w:rPr>
          <w:t>3</w:t>
        </w:r>
        <w:r w:rsidR="00EB535C">
          <w:rPr>
            <w:noProof/>
            <w:webHidden/>
          </w:rPr>
          <w:t>8</w:t>
        </w:r>
        <w:r w:rsidR="00600C6F">
          <w:rPr>
            <w:noProof/>
            <w:webHidden/>
          </w:rPr>
          <w:fldChar w:fldCharType="end"/>
        </w:r>
      </w:hyperlink>
    </w:p>
    <w:p w14:paraId="45317E75" w14:textId="3D1D0E90" w:rsidR="00600C6F" w:rsidRPr="00542C43" w:rsidRDefault="00E0765C" w:rsidP="00600C6F">
      <w:pPr>
        <w:pStyle w:val="TOC2"/>
        <w:tabs>
          <w:tab w:val="clear" w:pos="1247"/>
          <w:tab w:val="clear" w:pos="1871"/>
          <w:tab w:val="clear" w:pos="2495"/>
        </w:tabs>
        <w:spacing w:before="40" w:after="40"/>
        <w:ind w:left="2268" w:hanging="1134"/>
        <w:rPr>
          <w:rStyle w:val="Hyperlink"/>
          <w:color w:val="auto"/>
        </w:rPr>
      </w:pPr>
      <w:hyperlink w:anchor="_Toc198733065" w:history="1">
        <w:r>
          <w:rPr>
            <w:rStyle w:val="Hyperlink"/>
            <w:noProof/>
            <w:color w:val="auto"/>
          </w:rPr>
          <w:t>Point</w:t>
        </w:r>
        <w:r w:rsidR="00600C6F" w:rsidRPr="00542C43">
          <w:rPr>
            <w:rStyle w:val="Hyperlink"/>
            <w:noProof/>
            <w:color w:val="auto"/>
          </w:rPr>
          <w:t xml:space="preserve"> 6.</w:t>
        </w:r>
        <w:r w:rsidR="00600C6F" w:rsidRPr="00542C43">
          <w:rPr>
            <w:rStyle w:val="Hyperlink"/>
            <w:noProof/>
            <w:color w:val="auto"/>
          </w:rPr>
          <w:tab/>
          <w:t xml:space="preserve">Administration </w:t>
        </w:r>
        <w:r>
          <w:rPr>
            <w:rStyle w:val="Hyperlink"/>
            <w:noProof/>
            <w:color w:val="auto"/>
          </w:rPr>
          <w:t xml:space="preserve">du Protocole et </w:t>
        </w:r>
        <w:r w:rsidR="00600C6F" w:rsidRPr="00542C43">
          <w:rPr>
            <w:rStyle w:val="Hyperlink"/>
            <w:noProof/>
            <w:color w:val="auto"/>
          </w:rPr>
          <w:t xml:space="preserve">budget </w:t>
        </w:r>
        <w:r>
          <w:rPr>
            <w:rStyle w:val="Hyperlink"/>
            <w:noProof/>
            <w:color w:val="auto"/>
          </w:rPr>
          <w:t>des fonds d’affectation spéciale</w:t>
        </w:r>
        <w:r w:rsidR="00600C6F" w:rsidRPr="00542C43">
          <w:rPr>
            <w:rStyle w:val="Hyperlink"/>
            <w:webHidden/>
            <w:color w:val="auto"/>
          </w:rPr>
          <w:tab/>
        </w:r>
        <w:r w:rsidR="002E6C4A">
          <w:rPr>
            <w:rStyle w:val="Hyperlink"/>
            <w:webHidden/>
            <w:color w:val="auto"/>
          </w:rPr>
          <w:t>40</w:t>
        </w:r>
      </w:hyperlink>
    </w:p>
    <w:p w14:paraId="16CD2C78" w14:textId="49D1C7FE" w:rsidR="00600C6F" w:rsidRDefault="00625C05"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6" w:history="1">
        <w:r>
          <w:rPr>
            <w:rStyle w:val="Hyperlink"/>
            <w:noProof/>
          </w:rPr>
          <w:t>Point</w:t>
        </w:r>
        <w:r w:rsidR="00600C6F" w:rsidRPr="00804BC8">
          <w:rPr>
            <w:rStyle w:val="Hyperlink"/>
            <w:noProof/>
          </w:rPr>
          <w:t xml:space="preserve"> 7</w:t>
        </w:r>
        <w:r w:rsidR="00600C6F">
          <w:rPr>
            <w:rStyle w:val="Hyperlink"/>
            <w:noProof/>
          </w:rPr>
          <w:t>.</w:t>
        </w:r>
        <w:r w:rsidR="00600C6F">
          <w:rPr>
            <w:rStyle w:val="Hyperlink"/>
            <w:noProof/>
          </w:rPr>
          <w:tab/>
        </w:r>
        <w:r>
          <w:rPr>
            <w:rStyle w:val="Hyperlink"/>
            <w:noProof/>
          </w:rPr>
          <w:t xml:space="preserve">Questions relatives au mécanisme de financement et aux ressources </w:t>
        </w:r>
        <w:r w:rsidR="00382080">
          <w:rPr>
            <w:rStyle w:val="Hyperlink"/>
            <w:noProof/>
          </w:rPr>
          <w:br/>
        </w:r>
        <w:r>
          <w:rPr>
            <w:rStyle w:val="Hyperlink"/>
            <w:noProof/>
          </w:rPr>
          <w:t>financières</w:t>
        </w:r>
        <w:r w:rsidR="00600C6F">
          <w:rPr>
            <w:noProof/>
            <w:webHidden/>
          </w:rPr>
          <w:tab/>
        </w:r>
        <w:r w:rsidR="00535C7C">
          <w:rPr>
            <w:noProof/>
            <w:webHidden/>
          </w:rPr>
          <w:tab/>
          <w:t>40</w:t>
        </w:r>
      </w:hyperlink>
    </w:p>
    <w:p w14:paraId="582FA287" w14:textId="399D57B2" w:rsidR="00600C6F" w:rsidRDefault="00105299"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7" w:history="1">
        <w:r>
          <w:rPr>
            <w:rStyle w:val="Hyperlink"/>
            <w:noProof/>
          </w:rPr>
          <w:t>Point</w:t>
        </w:r>
        <w:r w:rsidR="00600C6F" w:rsidRPr="00804BC8">
          <w:rPr>
            <w:rStyle w:val="Hyperlink"/>
            <w:noProof/>
          </w:rPr>
          <w:t xml:space="preserve"> 8</w:t>
        </w:r>
        <w:r w:rsidR="00600C6F">
          <w:rPr>
            <w:rStyle w:val="Hyperlink"/>
            <w:noProof/>
          </w:rPr>
          <w:t>.</w:t>
        </w:r>
        <w:r w:rsidR="00600C6F">
          <w:rPr>
            <w:rStyle w:val="Hyperlink"/>
            <w:noProof/>
          </w:rPr>
          <w:tab/>
        </w:r>
        <w:r>
          <w:rPr>
            <w:rStyle w:val="Hyperlink"/>
            <w:noProof/>
          </w:rPr>
          <w:t>Fonctionnement et activités du Centre d’échange pour la prévention des risques biotechnologiques</w:t>
        </w:r>
        <w:r w:rsidR="00600C6F">
          <w:rPr>
            <w:noProof/>
            <w:webHidden/>
          </w:rPr>
          <w:tab/>
        </w:r>
        <w:r w:rsidR="00D45131">
          <w:rPr>
            <w:noProof/>
            <w:webHidden/>
          </w:rPr>
          <w:t>41</w:t>
        </w:r>
      </w:hyperlink>
    </w:p>
    <w:p w14:paraId="367AF1F4" w14:textId="73AA014A" w:rsidR="00600C6F" w:rsidRDefault="00FD206C"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8" w:history="1">
        <w:r>
          <w:rPr>
            <w:rStyle w:val="Hyperlink"/>
            <w:noProof/>
          </w:rPr>
          <w:t>Point</w:t>
        </w:r>
        <w:r w:rsidR="00600C6F" w:rsidRPr="00804BC8">
          <w:rPr>
            <w:rStyle w:val="Hyperlink"/>
            <w:noProof/>
          </w:rPr>
          <w:t xml:space="preserve"> 9</w:t>
        </w:r>
        <w:r w:rsidR="00600C6F">
          <w:rPr>
            <w:rStyle w:val="Hyperlink"/>
            <w:noProof/>
          </w:rPr>
          <w:t>.</w:t>
        </w:r>
        <w:r w:rsidR="00600C6F">
          <w:rPr>
            <w:rStyle w:val="Hyperlink"/>
            <w:noProof/>
          </w:rPr>
          <w:tab/>
        </w:r>
        <w:r w:rsidR="00600C6F" w:rsidRPr="00804BC8">
          <w:rPr>
            <w:rStyle w:val="Hyperlink"/>
            <w:noProof/>
          </w:rPr>
          <w:t>Coop</w:t>
        </w:r>
        <w:r w:rsidR="00E43EEA">
          <w:rPr>
            <w:rStyle w:val="Hyperlink"/>
            <w:noProof/>
          </w:rPr>
          <w:t>é</w:t>
        </w:r>
        <w:r w:rsidR="00600C6F" w:rsidRPr="00804BC8">
          <w:rPr>
            <w:rStyle w:val="Hyperlink"/>
            <w:noProof/>
          </w:rPr>
          <w:t xml:space="preserve">ration </w:t>
        </w:r>
        <w:r w:rsidR="00E43EEA">
          <w:rPr>
            <w:rStyle w:val="Hyperlink"/>
            <w:noProof/>
          </w:rPr>
          <w:t>avec des o</w:t>
        </w:r>
        <w:r w:rsidR="00600C6F" w:rsidRPr="00804BC8">
          <w:rPr>
            <w:rStyle w:val="Hyperlink"/>
            <w:noProof/>
          </w:rPr>
          <w:t>rgani</w:t>
        </w:r>
        <w:r w:rsidR="00E43EEA">
          <w:rPr>
            <w:rStyle w:val="Hyperlink"/>
            <w:noProof/>
          </w:rPr>
          <w:t>s</w:t>
        </w:r>
        <w:r w:rsidR="00600C6F" w:rsidRPr="00804BC8">
          <w:rPr>
            <w:rStyle w:val="Hyperlink"/>
            <w:noProof/>
          </w:rPr>
          <w:t>ations</w:t>
        </w:r>
        <w:r w:rsidR="00E43EEA">
          <w:rPr>
            <w:rStyle w:val="Hyperlink"/>
            <w:noProof/>
          </w:rPr>
          <w:t xml:space="preserve"> internationales</w:t>
        </w:r>
        <w:r w:rsidR="00600C6F" w:rsidRPr="00804BC8">
          <w:rPr>
            <w:rStyle w:val="Hyperlink"/>
            <w:noProof/>
          </w:rPr>
          <w:t xml:space="preserve">, </w:t>
        </w:r>
        <w:r w:rsidR="00E43EEA">
          <w:rPr>
            <w:rStyle w:val="Hyperlink"/>
            <w:noProof/>
          </w:rPr>
          <w:t>des organismes créés en vertu d’autres</w:t>
        </w:r>
        <w:r w:rsidR="00600C6F" w:rsidRPr="00804BC8">
          <w:rPr>
            <w:rStyle w:val="Hyperlink"/>
            <w:noProof/>
          </w:rPr>
          <w:t xml:space="preserve"> conventions, </w:t>
        </w:r>
        <w:r w:rsidR="00E43EEA">
          <w:rPr>
            <w:rStyle w:val="Hyperlink"/>
            <w:noProof/>
          </w:rPr>
          <w:t>et des</w:t>
        </w:r>
        <w:r w:rsidR="00600C6F" w:rsidRPr="00804BC8">
          <w:rPr>
            <w:rStyle w:val="Hyperlink"/>
            <w:noProof/>
          </w:rPr>
          <w:t xml:space="preserve"> initiatives</w:t>
        </w:r>
        <w:r w:rsidR="00600C6F">
          <w:rPr>
            <w:noProof/>
            <w:webHidden/>
          </w:rPr>
          <w:tab/>
        </w:r>
        <w:r w:rsidR="008C762A">
          <w:rPr>
            <w:noProof/>
            <w:webHidden/>
          </w:rPr>
          <w:t>42</w:t>
        </w:r>
      </w:hyperlink>
    </w:p>
    <w:p w14:paraId="25A10079" w14:textId="531A62D9" w:rsidR="00600C6F" w:rsidRDefault="00EE23E5"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69" w:history="1">
        <w:r>
          <w:rPr>
            <w:rStyle w:val="Hyperlink"/>
            <w:noProof/>
          </w:rPr>
          <w:t>Point</w:t>
        </w:r>
        <w:r w:rsidR="00600C6F" w:rsidRPr="00804BC8">
          <w:rPr>
            <w:rStyle w:val="Hyperlink"/>
            <w:noProof/>
          </w:rPr>
          <w:t xml:space="preserve"> 10</w:t>
        </w:r>
        <w:r w:rsidR="00600C6F">
          <w:rPr>
            <w:rStyle w:val="Hyperlink"/>
            <w:noProof/>
          </w:rPr>
          <w:t>.</w:t>
        </w:r>
        <w:r w:rsidR="00600C6F">
          <w:rPr>
            <w:rStyle w:val="Hyperlink"/>
            <w:noProof/>
          </w:rPr>
          <w:tab/>
        </w:r>
        <w:r w:rsidR="00806F43">
          <w:rPr>
            <w:rStyle w:val="Hyperlink"/>
            <w:noProof/>
          </w:rPr>
          <w:t xml:space="preserve">Examen de l’efficacité des processus établis au titre de la </w:t>
        </w:r>
        <w:r w:rsidR="00600C6F" w:rsidRPr="00804BC8">
          <w:rPr>
            <w:rStyle w:val="Hyperlink"/>
            <w:noProof/>
          </w:rPr>
          <w:t xml:space="preserve">Convention </w:t>
        </w:r>
        <w:r w:rsidR="00806F43">
          <w:rPr>
            <w:rStyle w:val="Hyperlink"/>
            <w:noProof/>
          </w:rPr>
          <w:t>et de ses Protocoles</w:t>
        </w:r>
        <w:r w:rsidR="00E753E6">
          <w:rPr>
            <w:rStyle w:val="Hyperlink"/>
            <w:noProof/>
          </w:rPr>
          <w:tab/>
        </w:r>
        <w:r w:rsidR="00600C6F">
          <w:rPr>
            <w:noProof/>
            <w:webHidden/>
          </w:rPr>
          <w:tab/>
        </w:r>
        <w:r w:rsidR="00E50704">
          <w:rPr>
            <w:noProof/>
            <w:webHidden/>
          </w:rPr>
          <w:t>42</w:t>
        </w:r>
      </w:hyperlink>
    </w:p>
    <w:p w14:paraId="2C9BEBD6" w14:textId="297EA6DD" w:rsidR="00600C6F" w:rsidRDefault="00B815DB"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0" w:history="1">
        <w:r>
          <w:rPr>
            <w:rStyle w:val="Hyperlink"/>
            <w:noProof/>
          </w:rPr>
          <w:t>Point</w:t>
        </w:r>
        <w:r w:rsidR="00600C6F" w:rsidRPr="00804BC8">
          <w:rPr>
            <w:rStyle w:val="Hyperlink"/>
            <w:noProof/>
          </w:rPr>
          <w:t xml:space="preserve"> 11</w:t>
        </w:r>
        <w:r w:rsidR="00600C6F">
          <w:rPr>
            <w:rStyle w:val="Hyperlink"/>
            <w:noProof/>
          </w:rPr>
          <w:t>.</w:t>
        </w:r>
        <w:r w:rsidR="00600C6F">
          <w:rPr>
            <w:rStyle w:val="Hyperlink"/>
            <w:noProof/>
          </w:rPr>
          <w:tab/>
        </w:r>
        <w:r>
          <w:rPr>
            <w:rStyle w:val="Hyperlink"/>
            <w:noProof/>
          </w:rPr>
          <w:t>Évaluation et gestion des risques</w:t>
        </w:r>
        <w:r w:rsidR="00600C6F">
          <w:rPr>
            <w:noProof/>
            <w:webHidden/>
          </w:rPr>
          <w:tab/>
        </w:r>
        <w:r w:rsidR="00BB6743">
          <w:rPr>
            <w:noProof/>
            <w:webHidden/>
          </w:rPr>
          <w:t>43</w:t>
        </w:r>
      </w:hyperlink>
    </w:p>
    <w:p w14:paraId="74B34E53" w14:textId="66EA277D" w:rsidR="00600C6F" w:rsidRDefault="00C52F55"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1" w:history="1">
        <w:r>
          <w:rPr>
            <w:rStyle w:val="Hyperlink"/>
            <w:noProof/>
          </w:rPr>
          <w:t>Point</w:t>
        </w:r>
        <w:r w:rsidR="00600C6F" w:rsidRPr="00804BC8">
          <w:rPr>
            <w:rStyle w:val="Hyperlink"/>
            <w:noProof/>
          </w:rPr>
          <w:t xml:space="preserve"> 12</w:t>
        </w:r>
        <w:r w:rsidR="00600C6F">
          <w:rPr>
            <w:rStyle w:val="Hyperlink"/>
            <w:noProof/>
          </w:rPr>
          <w:t>.</w:t>
        </w:r>
        <w:r w:rsidR="00600C6F">
          <w:rPr>
            <w:rStyle w:val="Hyperlink"/>
            <w:noProof/>
          </w:rPr>
          <w:tab/>
        </w:r>
        <w:r w:rsidR="00600C6F" w:rsidRPr="00804BC8">
          <w:rPr>
            <w:rStyle w:val="Hyperlink"/>
            <w:noProof/>
          </w:rPr>
          <w:t>D</w:t>
        </w:r>
        <w:r>
          <w:rPr>
            <w:rStyle w:val="Hyperlink"/>
            <w:noProof/>
          </w:rPr>
          <w:t>é</w:t>
        </w:r>
        <w:r w:rsidR="00600C6F" w:rsidRPr="00804BC8">
          <w:rPr>
            <w:rStyle w:val="Hyperlink"/>
            <w:noProof/>
          </w:rPr>
          <w:t xml:space="preserve">tection </w:t>
        </w:r>
        <w:r>
          <w:rPr>
            <w:rStyle w:val="Hyperlink"/>
            <w:noProof/>
          </w:rPr>
          <w:t>et</w:t>
        </w:r>
        <w:r w:rsidR="00600C6F" w:rsidRPr="00804BC8">
          <w:rPr>
            <w:rStyle w:val="Hyperlink"/>
            <w:noProof/>
          </w:rPr>
          <w:t xml:space="preserve"> identification </w:t>
        </w:r>
        <w:r>
          <w:rPr>
            <w:rStyle w:val="Hyperlink"/>
            <w:noProof/>
          </w:rPr>
          <w:t>des</w:t>
        </w:r>
        <w:r w:rsidR="00600C6F" w:rsidRPr="00804BC8">
          <w:rPr>
            <w:rStyle w:val="Hyperlink"/>
            <w:noProof/>
          </w:rPr>
          <w:t xml:space="preserve"> </w:t>
        </w:r>
        <w:r>
          <w:rPr>
            <w:rStyle w:val="Hyperlink"/>
            <w:noProof/>
          </w:rPr>
          <w:t>organismes vivants modifiés</w:t>
        </w:r>
        <w:r w:rsidR="00600C6F">
          <w:rPr>
            <w:noProof/>
            <w:webHidden/>
          </w:rPr>
          <w:tab/>
        </w:r>
        <w:r w:rsidR="00A21389">
          <w:rPr>
            <w:noProof/>
            <w:webHidden/>
          </w:rPr>
          <w:t>44</w:t>
        </w:r>
      </w:hyperlink>
    </w:p>
    <w:p w14:paraId="1DD0C156" w14:textId="0517D3B5" w:rsidR="00600C6F" w:rsidRDefault="000527FE"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2" w:history="1">
        <w:r>
          <w:rPr>
            <w:rStyle w:val="Hyperlink"/>
            <w:noProof/>
          </w:rPr>
          <w:t>Point</w:t>
        </w:r>
        <w:r w:rsidR="00600C6F" w:rsidRPr="00804BC8">
          <w:rPr>
            <w:rStyle w:val="Hyperlink"/>
            <w:noProof/>
          </w:rPr>
          <w:t xml:space="preserve"> 13</w:t>
        </w:r>
        <w:r w:rsidR="00600C6F">
          <w:rPr>
            <w:rStyle w:val="Hyperlink"/>
            <w:noProof/>
          </w:rPr>
          <w:t>.</w:t>
        </w:r>
        <w:r w:rsidR="00600C6F">
          <w:rPr>
            <w:rStyle w:val="Hyperlink"/>
            <w:noProof/>
          </w:rPr>
          <w:tab/>
        </w:r>
        <w:r>
          <w:rPr>
            <w:rStyle w:val="Hyperlink"/>
            <w:noProof/>
          </w:rPr>
          <w:t>C</w:t>
        </w:r>
        <w:r w:rsidR="00600C6F" w:rsidRPr="00804BC8">
          <w:rPr>
            <w:rStyle w:val="Hyperlink"/>
            <w:noProof/>
          </w:rPr>
          <w:t>onsid</w:t>
        </w:r>
        <w:r>
          <w:rPr>
            <w:rStyle w:val="Hyperlink"/>
            <w:noProof/>
          </w:rPr>
          <w:t>é</w:t>
        </w:r>
        <w:r w:rsidR="00600C6F" w:rsidRPr="00804BC8">
          <w:rPr>
            <w:rStyle w:val="Hyperlink"/>
            <w:noProof/>
          </w:rPr>
          <w:t>rations</w:t>
        </w:r>
        <w:r>
          <w:rPr>
            <w:rStyle w:val="Hyperlink"/>
            <w:noProof/>
          </w:rPr>
          <w:t xml:space="preserve"> socio-économiques</w:t>
        </w:r>
        <w:r w:rsidR="00600C6F">
          <w:rPr>
            <w:noProof/>
            <w:webHidden/>
          </w:rPr>
          <w:tab/>
        </w:r>
        <w:r w:rsidR="00C75703">
          <w:rPr>
            <w:noProof/>
            <w:webHidden/>
          </w:rPr>
          <w:t>44</w:t>
        </w:r>
      </w:hyperlink>
    </w:p>
    <w:p w14:paraId="6C95CB65" w14:textId="638406BC" w:rsidR="00600C6F" w:rsidRDefault="00A60570"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3" w:history="1">
        <w:r>
          <w:rPr>
            <w:rStyle w:val="Hyperlink"/>
            <w:noProof/>
          </w:rPr>
          <w:t>Point</w:t>
        </w:r>
        <w:r w:rsidR="00600C6F" w:rsidRPr="00804BC8">
          <w:rPr>
            <w:rStyle w:val="Hyperlink"/>
            <w:noProof/>
          </w:rPr>
          <w:t xml:space="preserve"> 14</w:t>
        </w:r>
        <w:r w:rsidR="00600C6F">
          <w:rPr>
            <w:rStyle w:val="Hyperlink"/>
            <w:noProof/>
          </w:rPr>
          <w:t>.</w:t>
        </w:r>
        <w:r w:rsidR="00600C6F">
          <w:rPr>
            <w:rStyle w:val="Hyperlink"/>
            <w:noProof/>
          </w:rPr>
          <w:tab/>
        </w:r>
        <w:r>
          <w:rPr>
            <w:rStyle w:val="Hyperlink"/>
            <w:noProof/>
          </w:rPr>
          <w:t xml:space="preserve">Protocole additionnel de </w:t>
        </w:r>
        <w:r w:rsidR="00600C6F" w:rsidRPr="00804BC8">
          <w:rPr>
            <w:rStyle w:val="Hyperlink"/>
            <w:noProof/>
          </w:rPr>
          <w:t xml:space="preserve">Nagoya-Kuala Lumpur </w:t>
        </w:r>
        <w:r>
          <w:rPr>
            <w:rStyle w:val="Hyperlink"/>
            <w:noProof/>
          </w:rPr>
          <w:t>sur la responsabilité et la réparation</w:t>
        </w:r>
        <w:r w:rsidR="00FD6E52">
          <w:rPr>
            <w:rStyle w:val="Hyperlink"/>
            <w:noProof/>
            <w:webHidden/>
          </w:rPr>
          <w:tab/>
        </w:r>
        <w:r w:rsidR="00FD6E52">
          <w:rPr>
            <w:rStyle w:val="Hyperlink"/>
            <w:noProof/>
            <w:webHidden/>
          </w:rPr>
          <w:tab/>
        </w:r>
        <w:r w:rsidR="00713B18">
          <w:rPr>
            <w:noProof/>
            <w:webHidden/>
          </w:rPr>
          <w:t>45</w:t>
        </w:r>
      </w:hyperlink>
    </w:p>
    <w:p w14:paraId="49A8C2A6" w14:textId="185A3C16" w:rsidR="00600C6F" w:rsidRDefault="00CC57FD" w:rsidP="00600C6F">
      <w:pPr>
        <w:pStyle w:val="TOC2"/>
        <w:tabs>
          <w:tab w:val="clear" w:pos="1247"/>
          <w:tab w:val="clear" w:pos="1871"/>
          <w:tab w:val="clear" w:pos="2495"/>
          <w:tab w:val="clear" w:pos="2835"/>
          <w:tab w:val="clear" w:pos="3402"/>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4" w:history="1">
        <w:r>
          <w:rPr>
            <w:rStyle w:val="Hyperlink"/>
            <w:noProof/>
          </w:rPr>
          <w:t>Point</w:t>
        </w:r>
        <w:r w:rsidR="00600C6F" w:rsidRPr="00804BC8">
          <w:rPr>
            <w:rStyle w:val="Hyperlink"/>
            <w:noProof/>
          </w:rPr>
          <w:t xml:space="preserve"> 15</w:t>
        </w:r>
        <w:r w:rsidR="00600C6F">
          <w:rPr>
            <w:rStyle w:val="Hyperlink"/>
            <w:noProof/>
          </w:rPr>
          <w:t>.</w:t>
        </w:r>
        <w:r w:rsidR="00600C6F">
          <w:rPr>
            <w:rStyle w:val="Hyperlink"/>
            <w:noProof/>
          </w:rPr>
          <w:tab/>
        </w:r>
        <w:r>
          <w:rPr>
            <w:rStyle w:val="Hyperlink"/>
            <w:noProof/>
          </w:rPr>
          <w:t>Questions diverses</w:t>
        </w:r>
        <w:r w:rsidR="00600C6F">
          <w:rPr>
            <w:noProof/>
            <w:webHidden/>
          </w:rPr>
          <w:tab/>
        </w:r>
        <w:r w:rsidR="00CD053E">
          <w:rPr>
            <w:noProof/>
            <w:webHidden/>
          </w:rPr>
          <w:t>45</w:t>
        </w:r>
      </w:hyperlink>
    </w:p>
    <w:p w14:paraId="6A4035F1" w14:textId="28150FEB" w:rsidR="00600C6F" w:rsidRDefault="00CB06B1"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5" w:history="1">
        <w:r>
          <w:rPr>
            <w:rStyle w:val="Hyperlink"/>
            <w:noProof/>
          </w:rPr>
          <w:t>Point</w:t>
        </w:r>
        <w:r w:rsidR="00600C6F" w:rsidRPr="00804BC8">
          <w:rPr>
            <w:rStyle w:val="Hyperlink"/>
            <w:noProof/>
          </w:rPr>
          <w:t xml:space="preserve"> 16</w:t>
        </w:r>
        <w:r w:rsidR="00600C6F">
          <w:rPr>
            <w:rStyle w:val="Hyperlink"/>
            <w:noProof/>
          </w:rPr>
          <w:t>.</w:t>
        </w:r>
        <w:r w:rsidR="00600C6F">
          <w:rPr>
            <w:rStyle w:val="Hyperlink"/>
            <w:noProof/>
          </w:rPr>
          <w:tab/>
        </w:r>
        <w:r w:rsidR="00600C6F" w:rsidRPr="00804BC8">
          <w:rPr>
            <w:rStyle w:val="Hyperlink"/>
            <w:noProof/>
          </w:rPr>
          <w:t xml:space="preserve">Adoption </w:t>
        </w:r>
        <w:r>
          <w:rPr>
            <w:rStyle w:val="Hyperlink"/>
            <w:noProof/>
          </w:rPr>
          <w:t xml:space="preserve">du </w:t>
        </w:r>
        <w:r w:rsidR="00600C6F" w:rsidRPr="00804BC8">
          <w:rPr>
            <w:rStyle w:val="Hyperlink"/>
            <w:noProof/>
          </w:rPr>
          <w:t>r</w:t>
        </w:r>
        <w:r>
          <w:rPr>
            <w:rStyle w:val="Hyperlink"/>
            <w:noProof/>
          </w:rPr>
          <w:t>apport</w:t>
        </w:r>
        <w:r w:rsidR="00600C6F">
          <w:rPr>
            <w:noProof/>
            <w:webHidden/>
          </w:rPr>
          <w:tab/>
        </w:r>
        <w:r w:rsidR="00CD053E">
          <w:rPr>
            <w:noProof/>
            <w:webHidden/>
          </w:rPr>
          <w:t>45</w:t>
        </w:r>
      </w:hyperlink>
    </w:p>
    <w:p w14:paraId="3C623E03" w14:textId="32279547" w:rsidR="00600C6F" w:rsidRDefault="00F85152" w:rsidP="00600C6F">
      <w:pPr>
        <w:pStyle w:val="TOC2"/>
        <w:tabs>
          <w:tab w:val="clear" w:pos="1247"/>
          <w:tab w:val="clear" w:pos="1871"/>
          <w:tab w:val="clear" w:pos="2495"/>
        </w:tabs>
        <w:spacing w:before="40" w:after="40"/>
        <w:ind w:left="2268" w:hanging="1134"/>
        <w:rPr>
          <w:rFonts w:asciiTheme="minorHAnsi" w:eastAsiaTheme="minorEastAsia" w:hAnsiTheme="minorHAnsi" w:cstheme="minorBidi"/>
          <w:noProof/>
          <w:kern w:val="2"/>
          <w:sz w:val="24"/>
          <w:szCs w:val="24"/>
          <w:lang w:val="en-CA" w:eastAsia="en-CA"/>
          <w14:ligatures w14:val="standardContextual"/>
        </w:rPr>
      </w:pPr>
      <w:hyperlink w:anchor="_Toc198733076" w:history="1">
        <w:r>
          <w:rPr>
            <w:rStyle w:val="Hyperlink"/>
            <w:noProof/>
          </w:rPr>
          <w:t>Point</w:t>
        </w:r>
        <w:r w:rsidR="00600C6F" w:rsidRPr="00804BC8">
          <w:rPr>
            <w:rStyle w:val="Hyperlink"/>
            <w:noProof/>
          </w:rPr>
          <w:t xml:space="preserve"> 17</w:t>
        </w:r>
        <w:r w:rsidR="00600C6F">
          <w:rPr>
            <w:rStyle w:val="Hyperlink"/>
            <w:noProof/>
          </w:rPr>
          <w:t>.</w:t>
        </w:r>
        <w:r w:rsidR="00600C6F">
          <w:rPr>
            <w:rStyle w:val="Hyperlink"/>
            <w:noProof/>
          </w:rPr>
          <w:tab/>
        </w:r>
        <w:r w:rsidR="00600C6F" w:rsidRPr="00804BC8">
          <w:rPr>
            <w:rStyle w:val="Hyperlink"/>
            <w:noProof/>
          </w:rPr>
          <w:t>Cl</w:t>
        </w:r>
        <w:r>
          <w:rPr>
            <w:rStyle w:val="Hyperlink"/>
            <w:noProof/>
          </w:rPr>
          <w:t>ôt</w:t>
        </w:r>
        <w:r w:rsidR="00600C6F" w:rsidRPr="00804BC8">
          <w:rPr>
            <w:rStyle w:val="Hyperlink"/>
            <w:noProof/>
          </w:rPr>
          <w:t xml:space="preserve">ure </w:t>
        </w:r>
        <w:r>
          <w:rPr>
            <w:rStyle w:val="Hyperlink"/>
            <w:noProof/>
          </w:rPr>
          <w:t>de la réunion</w:t>
        </w:r>
        <w:r w:rsidR="00600C6F">
          <w:rPr>
            <w:noProof/>
            <w:webHidden/>
          </w:rPr>
          <w:tab/>
        </w:r>
        <w:r w:rsidR="00CD053E">
          <w:rPr>
            <w:noProof/>
            <w:webHidden/>
          </w:rPr>
          <w:t>46</w:t>
        </w:r>
      </w:hyperlink>
    </w:p>
    <w:p w14:paraId="31782C06" w14:textId="1FF1BC4E" w:rsidR="005A2AA0" w:rsidRPr="008E1212" w:rsidRDefault="00600C6F" w:rsidP="00F74CA0">
      <w:pPr>
        <w:pStyle w:val="TOC1"/>
        <w:rPr>
          <w:b/>
          <w:sz w:val="28"/>
        </w:rPr>
      </w:pPr>
      <w:r>
        <w:fldChar w:fldCharType="end"/>
      </w:r>
      <w:r w:rsidR="005A2AA0" w:rsidRPr="008E1212">
        <w:br w:type="page"/>
      </w:r>
    </w:p>
    <w:p w14:paraId="78752D1C" w14:textId="2AA8D854" w:rsidR="0065384A" w:rsidRPr="008E1212" w:rsidRDefault="005A2AA0" w:rsidP="0065384A">
      <w:pPr>
        <w:pStyle w:val="CBDH1"/>
      </w:pPr>
      <w:bookmarkStart w:id="1" w:name="_Toc194399410"/>
      <w:bookmarkStart w:id="2" w:name="_Toc194919549"/>
      <w:r>
        <w:lastRenderedPageBreak/>
        <w:t>I.</w:t>
      </w:r>
      <w:r>
        <w:tab/>
        <w:t>Décisions adoptées par la Conférence des Parties siégeant en tant que réunion des Parties au Protocole de Cartagena</w:t>
      </w:r>
      <w:bookmarkEnd w:id="1"/>
      <w:r>
        <w:t xml:space="preserve"> sur la prévention des risques biotechnologiques</w:t>
      </w:r>
      <w:bookmarkEnd w:id="2"/>
    </w:p>
    <w:p w14:paraId="40FD6380" w14:textId="49A23D72" w:rsidR="00080196" w:rsidRPr="008E1212" w:rsidRDefault="00080196" w:rsidP="00F67D43">
      <w:pPr>
        <w:pStyle w:val="CBDH2"/>
        <w:spacing w:before="240"/>
      </w:pPr>
      <w:r>
        <w:tab/>
      </w:r>
      <w:bookmarkStart w:id="3" w:name="_Toc194399411"/>
      <w:bookmarkStart w:id="4" w:name="_Toc194919550"/>
      <w:r>
        <w:t>CP-11/1.</w:t>
      </w:r>
      <w:r>
        <w:tab/>
        <w:t>Respect des obligations</w:t>
      </w:r>
      <w:bookmarkEnd w:id="3"/>
      <w:bookmarkEnd w:id="4"/>
    </w:p>
    <w:p w14:paraId="53DF0D6D" w14:textId="77777777" w:rsidR="00080196" w:rsidRPr="008E1212" w:rsidRDefault="00080196" w:rsidP="00B57C9D">
      <w:pPr>
        <w:pStyle w:val="CBDDesicionAnnex"/>
        <w:rPr>
          <w:rFonts w:hint="eastAsia"/>
        </w:rPr>
      </w:pPr>
      <w:r>
        <w:t xml:space="preserve">A </w:t>
      </w:r>
      <w:r>
        <w:br/>
        <w:t>Respect des obligations : questions générales</w:t>
      </w:r>
    </w:p>
    <w:p w14:paraId="2F12E5F7" w14:textId="77777777" w:rsidR="00080196" w:rsidRPr="008E1212" w:rsidRDefault="00080196" w:rsidP="00EB4C0A">
      <w:pPr>
        <w:pStyle w:val="CBDDesicionText"/>
        <w:rPr>
          <w:i/>
          <w:iCs/>
          <w:snapToGrid w:val="0"/>
          <w:kern w:val="22"/>
          <w:szCs w:val="18"/>
          <w14:ligatures w14:val="standardContextual"/>
        </w:rPr>
      </w:pPr>
      <w:r>
        <w:rPr>
          <w:i/>
          <w:iCs/>
        </w:rPr>
        <w:t>La Conférence des Parties siégeant en tant que réunion des Parties au Protocole de Cartagena</w:t>
      </w:r>
    </w:p>
    <w:p w14:paraId="030D06A2" w14:textId="77777777" w:rsidR="00080196" w:rsidRPr="008E1212" w:rsidRDefault="00080196" w:rsidP="00EB4C0A">
      <w:pPr>
        <w:pStyle w:val="CBDDesicionText"/>
      </w:pPr>
      <w:r>
        <w:t>1.</w:t>
      </w:r>
      <w:r>
        <w:tab/>
      </w:r>
      <w:r>
        <w:rPr>
          <w:i/>
          <w:iCs/>
        </w:rPr>
        <w:t>Rappelle</w:t>
      </w:r>
      <w:r>
        <w:t xml:space="preserve"> aux Parties l’importance de s’acquitter de leurs obligations au titre du Protocole de Cartagena sur la prévention des risques biotechnologiques</w:t>
      </w:r>
      <w:r>
        <w:rPr>
          <w:vertAlign w:val="superscript"/>
        </w:rPr>
        <w:footnoteReference w:id="2"/>
      </w:r>
      <w:r>
        <w:t> ;</w:t>
      </w:r>
    </w:p>
    <w:p w14:paraId="25C4166C" w14:textId="77777777" w:rsidR="00080196" w:rsidRPr="008E1212" w:rsidRDefault="00080196" w:rsidP="00EB4C0A">
      <w:pPr>
        <w:pStyle w:val="CBDDesicionText"/>
        <w:rPr>
          <w:i/>
          <w:iCs/>
          <w:snapToGrid w:val="0"/>
        </w:rPr>
      </w:pPr>
      <w:r>
        <w:rPr>
          <w:snapToGrid w:val="0"/>
        </w:rPr>
        <w:t>2.</w:t>
      </w:r>
      <w:r>
        <w:rPr>
          <w:snapToGrid w:val="0"/>
        </w:rPr>
        <w:tab/>
      </w:r>
      <w:r>
        <w:rPr>
          <w:i/>
          <w:iCs/>
          <w:snapToGrid w:val="0"/>
        </w:rPr>
        <w:t>Rappelle également</w:t>
      </w:r>
      <w:r>
        <w:rPr>
          <w:snapToGrid w:val="0"/>
        </w:rPr>
        <w:t xml:space="preserve"> aux Parties leur obligation de désigner un correspondant national et de tenir à jour les informations sur leurs correspondants nationaux ;</w:t>
      </w:r>
    </w:p>
    <w:p w14:paraId="6E9CEF19" w14:textId="77777777" w:rsidR="00080196" w:rsidRPr="008E1212" w:rsidRDefault="00080196" w:rsidP="00EB4C0A">
      <w:pPr>
        <w:pStyle w:val="CBDDesicionText"/>
        <w:rPr>
          <w:snapToGrid w:val="0"/>
        </w:rPr>
      </w:pPr>
      <w:r>
        <w:rPr>
          <w:snapToGrid w:val="0"/>
        </w:rPr>
        <w:t>3.</w:t>
      </w:r>
      <w:r>
        <w:rPr>
          <w:i/>
          <w:iCs/>
          <w:snapToGrid w:val="0"/>
        </w:rPr>
        <w:tab/>
        <w:t>Demande</w:t>
      </w:r>
      <w:r>
        <w:t xml:space="preserve"> aux Parties de collaborer pleinement lorsqu’elles sont invitées à fournir des informations sur le respect de leurs obligations au titre du Protocole de Cartagena ;</w:t>
      </w:r>
    </w:p>
    <w:p w14:paraId="158D75F7" w14:textId="77777777" w:rsidR="00080196" w:rsidRPr="008E1212" w:rsidRDefault="00080196" w:rsidP="00EB4C0A">
      <w:pPr>
        <w:pStyle w:val="CBDDesicionText"/>
        <w:rPr>
          <w:snapToGrid w:val="0"/>
        </w:rPr>
      </w:pPr>
      <w:r>
        <w:rPr>
          <w:snapToGrid w:val="0"/>
        </w:rPr>
        <w:t>4.</w:t>
      </w:r>
      <w:r>
        <w:rPr>
          <w:i/>
          <w:iCs/>
          <w:snapToGrid w:val="0"/>
        </w:rPr>
        <w:tab/>
        <w:t>Prend note avec satisfaction</w:t>
      </w:r>
      <w:r>
        <w:t xml:space="preserve"> des efforts déployés par les Parties pour s’acquitter de leur obligation au titre du Protocole de Cartagena de mettre à disposition des informations dans le Centre d’échange pour la prévention des risques biotechnologiques, et prie instamment les Parties de veiller à ce que ces informations concordent avec les informations fournies dans leurs rapports nationaux ;</w:t>
      </w:r>
    </w:p>
    <w:p w14:paraId="6EF33D26" w14:textId="77777777" w:rsidR="00080196" w:rsidRPr="008E1212" w:rsidRDefault="00080196" w:rsidP="00EB4C0A">
      <w:pPr>
        <w:pStyle w:val="CBDDesicionText"/>
        <w:rPr>
          <w:snapToGrid w:val="0"/>
        </w:rPr>
      </w:pPr>
      <w:r>
        <w:rPr>
          <w:snapToGrid w:val="0"/>
        </w:rPr>
        <w:t>5.</w:t>
      </w:r>
      <w:r>
        <w:rPr>
          <w:i/>
          <w:iCs/>
          <w:snapToGrid w:val="0"/>
        </w:rPr>
        <w:tab/>
        <w:t>Encourage</w:t>
      </w:r>
      <w:r>
        <w:rPr>
          <w:snapToGrid w:val="0"/>
        </w:rPr>
        <w:t xml:space="preserve"> les Parties à utiliser les champs de texte libre dans le modèle prévu pour le cinquième rapport national afin d’expliquer les réponses fournies, et invite les Parties qui rencontrent des difficultés pour se conformer à certaines obligations à partager dans ces champs de texte libre des informations sur les difficultés rencontrées </w:t>
      </w:r>
      <w:r>
        <w:rPr>
          <w:i/>
          <w:iCs/>
          <w:snapToGrid w:val="0"/>
        </w:rPr>
        <w:t xml:space="preserve">; </w:t>
      </w:r>
    </w:p>
    <w:p w14:paraId="047DD265" w14:textId="77777777" w:rsidR="00080196" w:rsidRPr="008E1212" w:rsidRDefault="00080196" w:rsidP="00EB4C0A">
      <w:pPr>
        <w:pStyle w:val="CBDDesicionText"/>
        <w:rPr>
          <w:i/>
          <w:iCs/>
          <w:snapToGrid w:val="0"/>
        </w:rPr>
      </w:pPr>
      <w:r>
        <w:rPr>
          <w:snapToGrid w:val="0"/>
        </w:rPr>
        <w:t>6.</w:t>
      </w:r>
      <w:r>
        <w:rPr>
          <w:snapToGrid w:val="0"/>
        </w:rPr>
        <w:tab/>
      </w:r>
      <w:r>
        <w:rPr>
          <w:i/>
          <w:iCs/>
          <w:snapToGrid w:val="0"/>
        </w:rPr>
        <w:t>Rappelle</w:t>
      </w:r>
      <w:r>
        <w:t xml:space="preserve"> que les Parties qui éprouvent des difficultés à s’acquitter d’une ou de plusieurs obligations au titre du Protocole de Cartagena sont instamment priées de solliciter l’assistance du Comité chargé du respect des obligations </w:t>
      </w:r>
      <w:r>
        <w:rPr>
          <w:i/>
          <w:iCs/>
          <w:snapToGrid w:val="0"/>
        </w:rPr>
        <w:t>;</w:t>
      </w:r>
    </w:p>
    <w:p w14:paraId="69FD1C45" w14:textId="77777777" w:rsidR="00080196" w:rsidRPr="008E1212" w:rsidRDefault="00080196" w:rsidP="00EB4C0A">
      <w:pPr>
        <w:pStyle w:val="CBDDesicionText"/>
        <w:rPr>
          <w:snapToGrid w:val="0"/>
        </w:rPr>
      </w:pPr>
      <w:r>
        <w:rPr>
          <w:snapToGrid w:val="0"/>
        </w:rPr>
        <w:t>7.</w:t>
      </w:r>
      <w:r>
        <w:rPr>
          <w:i/>
          <w:iCs/>
          <w:snapToGrid w:val="0"/>
        </w:rPr>
        <w:tab/>
        <w:t>Reconnaît</w:t>
      </w:r>
      <w:r>
        <w:t xml:space="preserve"> l’utilité des plans d’action pour le respect des obligations pour avancer dans l’élaboration de mesures propres à appliquer le Protocole de Cartagena et le rôle du Comité chargé du respect des obligations pour faciliter un appui fourni aux Parties à cet égard </w:t>
      </w:r>
      <w:r>
        <w:rPr>
          <w:i/>
          <w:iCs/>
          <w:snapToGrid w:val="0"/>
        </w:rPr>
        <w:t>;</w:t>
      </w:r>
    </w:p>
    <w:p w14:paraId="2E326A05" w14:textId="77777777" w:rsidR="00080196" w:rsidRPr="008E1212" w:rsidRDefault="00080196" w:rsidP="00EB4C0A">
      <w:pPr>
        <w:pStyle w:val="CBDDesicionText"/>
        <w:rPr>
          <w:snapToGrid w:val="0"/>
        </w:rPr>
      </w:pPr>
      <w:r>
        <w:rPr>
          <w:snapToGrid w:val="0"/>
        </w:rPr>
        <w:t>8.</w:t>
      </w:r>
      <w:r>
        <w:rPr>
          <w:i/>
          <w:iCs/>
          <w:snapToGrid w:val="0"/>
        </w:rPr>
        <w:tab/>
        <w:t>Se félicite</w:t>
      </w:r>
      <w:r>
        <w:rPr>
          <w:snapToGrid w:val="0"/>
        </w:rPr>
        <w:t xml:space="preserve"> de l’appui fourni aux Parties par le Programme des Nations Unies pour l’environnement en matière d’élaboration d’une législation sur la prévention des risques biotechnologiques, par l’intermédiaire de sa plateforme d’assistance en matière de droit et d’environnement, un plan d’action pour le respect des obligations étant actuellement à l’étude ;</w:t>
      </w:r>
    </w:p>
    <w:p w14:paraId="5F1A0B52" w14:textId="77777777" w:rsidR="00080196" w:rsidRPr="008E1212" w:rsidRDefault="00080196" w:rsidP="00EB4C0A">
      <w:pPr>
        <w:pStyle w:val="CBDDesicionText"/>
        <w:rPr>
          <w:i/>
          <w:iCs/>
          <w:snapToGrid w:val="0"/>
        </w:rPr>
      </w:pPr>
      <w:r>
        <w:rPr>
          <w:snapToGrid w:val="0"/>
        </w:rPr>
        <w:t>9.</w:t>
      </w:r>
      <w:r>
        <w:rPr>
          <w:snapToGrid w:val="0"/>
        </w:rPr>
        <w:tab/>
      </w:r>
      <w:r>
        <w:rPr>
          <w:i/>
          <w:iCs/>
          <w:snapToGrid w:val="0"/>
        </w:rPr>
        <w:t>Prie instamment</w:t>
      </w:r>
      <w:r>
        <w:rPr>
          <w:snapToGrid w:val="0"/>
        </w:rPr>
        <w:t xml:space="preserve"> les Parties et invite les autres gouvernements à verser des contributions volontaires pour aider les 11 Parties</w:t>
      </w:r>
      <w:bookmarkStart w:id="5" w:name="_Ref175841038"/>
      <w:r>
        <w:rPr>
          <w:snapToGrid w:val="0"/>
          <w:vertAlign w:val="superscript"/>
        </w:rPr>
        <w:footnoteReference w:id="3"/>
      </w:r>
      <w:bookmarkEnd w:id="5"/>
      <w:r>
        <w:rPr>
          <w:snapToGrid w:val="0"/>
          <w:szCs w:val="18"/>
        </w:rPr>
        <w:t xml:space="preserve"> </w:t>
      </w:r>
      <w:r>
        <w:rPr>
          <w:snapToGrid w:val="0"/>
        </w:rPr>
        <w:t>qui ont élaboré des plans d’action pour le respect des obligations, ainsi que toute autre Partie qui élabore et met en œuvre de tels plans à la demande du Comité chargé du respect des obligations ;</w:t>
      </w:r>
    </w:p>
    <w:p w14:paraId="053129E6" w14:textId="77777777" w:rsidR="00080196" w:rsidRPr="008E1212" w:rsidRDefault="00080196" w:rsidP="00EB4C0A">
      <w:pPr>
        <w:pStyle w:val="CBDDesicionText"/>
        <w:rPr>
          <w:i/>
          <w:iCs/>
          <w:snapToGrid w:val="0"/>
          <w:szCs w:val="18"/>
        </w:rPr>
      </w:pPr>
      <w:r>
        <w:rPr>
          <w:snapToGrid w:val="0"/>
        </w:rPr>
        <w:t>10.</w:t>
      </w:r>
      <w:r>
        <w:rPr>
          <w:i/>
          <w:iCs/>
          <w:snapToGrid w:val="0"/>
        </w:rPr>
        <w:tab/>
        <w:t>Prie instamment</w:t>
      </w:r>
      <w:r>
        <w:rPr>
          <w:snapToGrid w:val="0"/>
          <w:szCs w:val="18"/>
        </w:rPr>
        <w:t xml:space="preserve"> les Parties admissibles de donner la priorité aux projets de prévention des risques biotechnologiques lors de la programmation de leurs allocations nationales dans le cadre du Système d’allocation transparente des ressources </w:t>
      </w:r>
      <w:r>
        <w:rPr>
          <w:i/>
          <w:iCs/>
          <w:snapToGrid w:val="0"/>
        </w:rPr>
        <w:t xml:space="preserve">; </w:t>
      </w:r>
    </w:p>
    <w:p w14:paraId="4A211F9D" w14:textId="77777777" w:rsidR="00080196" w:rsidRPr="008E1212" w:rsidRDefault="00080196" w:rsidP="00EB4C0A">
      <w:pPr>
        <w:pStyle w:val="CBDDesicionText"/>
        <w:rPr>
          <w:snapToGrid w:val="0"/>
        </w:rPr>
      </w:pPr>
      <w:r>
        <w:rPr>
          <w:snapToGrid w:val="0"/>
        </w:rPr>
        <w:t>11.</w:t>
      </w:r>
      <w:r>
        <w:rPr>
          <w:i/>
          <w:iCs/>
          <w:snapToGrid w:val="0"/>
        </w:rPr>
        <w:tab/>
        <w:t>Rappelle</w:t>
      </w:r>
      <w:r>
        <w:t xml:space="preserve"> aux Parties l’article 23 du Protocole de Cartagena, y compris ses dispositions concernant la sensibilisation et l’éducation du public, et son potentiel pour faciliter le respect des obligations au titre du Protocole, en rappelant que du matériel et des outils ont été élaborés par le </w:t>
      </w:r>
      <w:r>
        <w:lastRenderedPageBreak/>
        <w:t>secrétariat et sont disponibles sur le Centre d’échange pour la prévention des risques biotechnologiques</w:t>
      </w:r>
      <w:r>
        <w:rPr>
          <w:i/>
          <w:iCs/>
          <w:snapToGrid w:val="0"/>
        </w:rPr>
        <w:t>.</w:t>
      </w:r>
    </w:p>
    <w:p w14:paraId="73C6B9AD" w14:textId="77777777" w:rsidR="00080196" w:rsidRPr="008E1212" w:rsidRDefault="00080196" w:rsidP="00546F72">
      <w:pPr>
        <w:pStyle w:val="CBDDesicionAnnex"/>
        <w:ind w:left="562"/>
        <w:rPr>
          <w:rFonts w:hint="eastAsia"/>
          <w:b/>
          <w:bCs w:val="0"/>
        </w:rPr>
      </w:pPr>
      <w:r>
        <w:rPr>
          <w:b/>
        </w:rPr>
        <w:t>B</w:t>
      </w:r>
      <w:r>
        <w:rPr>
          <w:b/>
          <w:bCs w:val="0"/>
        </w:rPr>
        <w:t xml:space="preserve"> </w:t>
      </w:r>
      <w:r>
        <w:rPr>
          <w:b/>
          <w:bCs w:val="0"/>
        </w:rPr>
        <w:br/>
      </w:r>
      <w:r>
        <w:rPr>
          <w:b/>
        </w:rPr>
        <w:t>Respect des obligations : mise en garde</w:t>
      </w:r>
    </w:p>
    <w:p w14:paraId="29CE146A" w14:textId="77777777" w:rsidR="00080196" w:rsidRPr="008E1212" w:rsidRDefault="00080196" w:rsidP="00546F72">
      <w:pPr>
        <w:pStyle w:val="CBDDesicionText"/>
        <w:keepNext/>
        <w:keepLines/>
        <w:ind w:left="562"/>
        <w:rPr>
          <w:snapToGrid w:val="0"/>
          <w:kern w:val="22"/>
          <w:szCs w:val="18"/>
          <w14:ligatures w14:val="standardContextual"/>
        </w:rPr>
      </w:pPr>
      <w:r>
        <w:rPr>
          <w:i/>
          <w:iCs/>
        </w:rPr>
        <w:t>La Conférence des Parties siégeant en tant que réunion des Parties au Protocole de Cartagena,</w:t>
      </w:r>
    </w:p>
    <w:p w14:paraId="61F1F601" w14:textId="77777777" w:rsidR="00080196" w:rsidRPr="008E1212" w:rsidRDefault="00080196" w:rsidP="00EB4C0A">
      <w:pPr>
        <w:pStyle w:val="CBDDesicionText"/>
      </w:pPr>
      <w:r>
        <w:rPr>
          <w:i/>
          <w:iCs/>
        </w:rPr>
        <w:t>Rappelant</w:t>
      </w:r>
      <w:r>
        <w:t xml:space="preserve"> l’article 33 du Protocole de Cartagena sur la prévention des risques biotechnologique</w:t>
      </w:r>
      <w:r>
        <w:rPr>
          <w:vertAlign w:val="superscript"/>
        </w:rPr>
        <w:footnoteReference w:id="4"/>
      </w:r>
      <w:r>
        <w:t>,</w:t>
      </w:r>
    </w:p>
    <w:p w14:paraId="1A7779DA" w14:textId="77777777" w:rsidR="00080196" w:rsidRPr="008E1212" w:rsidRDefault="00080196" w:rsidP="00EB4C0A">
      <w:pPr>
        <w:pStyle w:val="CBDDesicionText"/>
      </w:pPr>
      <w:r>
        <w:rPr>
          <w:i/>
          <w:iCs/>
        </w:rPr>
        <w:t>Rappelant également</w:t>
      </w:r>
      <w:r>
        <w:t xml:space="preserve"> le paragraphe 2 b) de l’article VI des procédures et mécanismes relatifs au respect des obligations au titre du Protocole de Cartagena, tels qu’énoncés dans l’annexe à sa décision </w:t>
      </w:r>
      <w:hyperlink r:id="rId14" w:history="1">
        <w:r>
          <w:rPr>
            <w:rStyle w:val="Hyperlink"/>
          </w:rPr>
          <w:t>BS-I/7</w:t>
        </w:r>
      </w:hyperlink>
      <w:r>
        <w:rPr>
          <w:kern w:val="22"/>
        </w:rPr>
        <w:t xml:space="preserve"> </w:t>
      </w:r>
      <w:r>
        <w:t xml:space="preserve">du 27 février 2004, </w:t>
      </w:r>
    </w:p>
    <w:p w14:paraId="748A72D7" w14:textId="77777777" w:rsidR="00080196" w:rsidRPr="008E1212" w:rsidRDefault="00080196" w:rsidP="00EB4C0A">
      <w:pPr>
        <w:pStyle w:val="CBDDesicionText"/>
        <w:rPr>
          <w:kern w:val="22"/>
        </w:rPr>
      </w:pPr>
      <w:r>
        <w:rPr>
          <w:i/>
          <w:iCs/>
          <w:kern w:val="22"/>
        </w:rPr>
        <w:t>Notant avec regret</w:t>
      </w:r>
      <w:r>
        <w:t xml:space="preserve"> que le Belize, la Libye et la Papouasie-Nouvelle-Guinée n’ont pas présenté leur troisième ou quatrième rapport national</w:t>
      </w:r>
      <w:r>
        <w:rPr>
          <w:i/>
          <w:iCs/>
          <w:kern w:val="22"/>
        </w:rPr>
        <w:t xml:space="preserve">, </w:t>
      </w:r>
    </w:p>
    <w:p w14:paraId="7E64895A" w14:textId="77777777" w:rsidR="00080196" w:rsidRPr="008E1212" w:rsidRDefault="00080196" w:rsidP="00EB4C0A">
      <w:pPr>
        <w:pStyle w:val="CBDDesicionText"/>
      </w:pPr>
      <w:r>
        <w:rPr>
          <w:i/>
          <w:iCs/>
        </w:rPr>
        <w:t>Notant</w:t>
      </w:r>
      <w:r>
        <w:t xml:space="preserve"> que le Comité chargé du respect des obligations et la Secrétaire exécutive de la Convention sur la diversité biologique</w:t>
      </w:r>
      <w:r>
        <w:rPr>
          <w:rStyle w:val="FootnoteReference"/>
        </w:rPr>
        <w:footnoteReference w:id="5"/>
      </w:r>
      <w:r>
        <w:t xml:space="preserve"> ont pris contact avec le Belize, la Libye et la Papouasie-Nouvelle-Guinée à de nombreuses reprises, en application de la décision </w:t>
      </w:r>
      <w:hyperlink r:id="rId15" w:history="1">
        <w:r>
          <w:rPr>
            <w:rStyle w:val="Hyperlink"/>
          </w:rPr>
          <w:t>BS-V/1</w:t>
        </w:r>
      </w:hyperlink>
      <w:r>
        <w:t xml:space="preserve"> de la Conférence des Parties siégeant en tant que réunion des Parties au Protocole de Cartagena du 15 octobre 2010, qui prévoyait notamment d’aider ces Parties à établir leurs rapports nationaux, </w:t>
      </w:r>
    </w:p>
    <w:p w14:paraId="71F64D95" w14:textId="77777777" w:rsidR="00080196" w:rsidRPr="008E1212" w:rsidRDefault="00080196" w:rsidP="00EB4C0A">
      <w:pPr>
        <w:pStyle w:val="CBDDesicionText"/>
        <w:rPr>
          <w:kern w:val="22"/>
        </w:rPr>
      </w:pPr>
      <w:r>
        <w:rPr>
          <w:kern w:val="22"/>
        </w:rPr>
        <w:t>1.</w:t>
      </w:r>
      <w:r>
        <w:rPr>
          <w:kern w:val="22"/>
        </w:rPr>
        <w:tab/>
      </w:r>
      <w:r>
        <w:rPr>
          <w:i/>
          <w:iCs/>
          <w:kern w:val="22"/>
        </w:rPr>
        <w:t>Met en garde</w:t>
      </w:r>
      <w:r>
        <w:t xml:space="preserve"> le Belize, la Libye et la Papouasie-Nouvelle-Guinée ;</w:t>
      </w:r>
    </w:p>
    <w:p w14:paraId="110B5221" w14:textId="77777777" w:rsidR="00080196" w:rsidRPr="008E1212" w:rsidRDefault="00080196" w:rsidP="00EB4C0A">
      <w:pPr>
        <w:pStyle w:val="CBDDesicionText"/>
        <w:rPr>
          <w:kern w:val="22"/>
        </w:rPr>
      </w:pPr>
      <w:r>
        <w:rPr>
          <w:kern w:val="22"/>
        </w:rPr>
        <w:t>2.</w:t>
      </w:r>
      <w:r>
        <w:rPr>
          <w:kern w:val="22"/>
        </w:rPr>
        <w:tab/>
      </w:r>
      <w:r>
        <w:rPr>
          <w:i/>
          <w:iCs/>
          <w:kern w:val="22"/>
        </w:rPr>
        <w:t>Prie</w:t>
      </w:r>
      <w:r>
        <w:t xml:space="preserve"> le Belize, la Libye et la Papouasie-Nouvelle-Guinée de présenter d’urgence leur quatrième rapport national ;</w:t>
      </w:r>
    </w:p>
    <w:p w14:paraId="7A5A7F58" w14:textId="77777777" w:rsidR="00080196" w:rsidRPr="008E1212" w:rsidRDefault="00080196" w:rsidP="00EB4C0A">
      <w:pPr>
        <w:pStyle w:val="CBDDesicionText"/>
      </w:pPr>
      <w:r>
        <w:t>3.</w:t>
      </w:r>
      <w:r>
        <w:tab/>
      </w:r>
      <w:r>
        <w:rPr>
          <w:i/>
          <w:iCs/>
        </w:rPr>
        <w:t>Encourage</w:t>
      </w:r>
      <w:r>
        <w:t xml:space="preserve"> le Belize, la Libye et la Papouasie-Nouvelle-Guinée à solliciter l’aide du Comité chargé du respect des obligations, en application de la décision </w:t>
      </w:r>
      <w:hyperlink r:id="rId16" w:history="1">
        <w:r>
          <w:rPr>
            <w:rStyle w:val="Hyperlink"/>
          </w:rPr>
          <w:t>BS</w:t>
        </w:r>
        <w:r>
          <w:rPr>
            <w:rStyle w:val="Hyperlink"/>
          </w:rPr>
          <w:noBreakHyphen/>
          <w:t>V/1</w:t>
        </w:r>
      </w:hyperlink>
      <w:r>
        <w:t>, s’ils ont besoin d’une aide pour établir leurs rapports nationaux.</w:t>
      </w:r>
    </w:p>
    <w:p w14:paraId="7CD45E7B" w14:textId="446E7F68" w:rsidR="00080196" w:rsidRPr="008E1212" w:rsidRDefault="00080196" w:rsidP="004B7E17">
      <w:pPr>
        <w:pStyle w:val="CBDDesicionAnnex"/>
        <w:rPr>
          <w:rFonts w:hint="eastAsia"/>
          <w:b/>
          <w:bCs w:val="0"/>
        </w:rPr>
      </w:pPr>
      <w:r>
        <w:rPr>
          <w:b/>
        </w:rPr>
        <w:t>C</w:t>
      </w:r>
      <w:r>
        <w:rPr>
          <w:b/>
          <w:bCs w:val="0"/>
        </w:rPr>
        <w:t xml:space="preserve"> </w:t>
      </w:r>
      <w:r>
        <w:rPr>
          <w:b/>
          <w:bCs w:val="0"/>
        </w:rPr>
        <w:br/>
      </w:r>
      <w:r>
        <w:rPr>
          <w:b/>
        </w:rPr>
        <w:t>Respect des obligations</w:t>
      </w:r>
      <w:r w:rsidR="00BA20AE">
        <w:rPr>
          <w:b/>
        </w:rPr>
        <w:t> :</w:t>
      </w:r>
      <w:r w:rsidR="008A73BE">
        <w:rPr>
          <w:b/>
        </w:rPr>
        <w:t xml:space="preserve"> </w:t>
      </w:r>
      <w:r w:rsidR="00BA20AE">
        <w:rPr>
          <w:b/>
        </w:rPr>
        <w:t>autres questions</w:t>
      </w:r>
    </w:p>
    <w:p w14:paraId="7A399D46" w14:textId="77777777" w:rsidR="00080196" w:rsidRPr="008E1212" w:rsidRDefault="00080196" w:rsidP="00EB4C0A">
      <w:pPr>
        <w:pStyle w:val="CBDDesicionText"/>
        <w:keepNext/>
        <w:keepLines/>
        <w:rPr>
          <w:snapToGrid w:val="0"/>
          <w:kern w:val="22"/>
          <w:szCs w:val="18"/>
          <w14:ligatures w14:val="standardContextual"/>
        </w:rPr>
      </w:pPr>
      <w:r>
        <w:rPr>
          <w:i/>
          <w:iCs/>
        </w:rPr>
        <w:t>La Conférence des Parties siégeant en tant que réunion des Parties au Protocole de Cartagena,</w:t>
      </w:r>
    </w:p>
    <w:p w14:paraId="0F538BBB" w14:textId="77777777" w:rsidR="00080196" w:rsidRPr="008E1212" w:rsidRDefault="00080196" w:rsidP="00EB4C0A">
      <w:pPr>
        <w:pStyle w:val="CBDDesicionText"/>
      </w:pPr>
      <w:r>
        <w:rPr>
          <w:i/>
          <w:iCs/>
        </w:rPr>
        <w:t>Notant</w:t>
      </w:r>
      <w:r>
        <w:t xml:space="preserve"> la recommandation du Comité chargé du respect des obligations figurant au paragraphe 1 de l’annexe au document </w:t>
      </w:r>
      <w:hyperlink r:id="rId17" w:history="1">
        <w:r>
          <w:rPr>
            <w:rStyle w:val="Hyperlink"/>
          </w:rPr>
          <w:t>CBD/CP/MOP/11/3</w:t>
        </w:r>
      </w:hyperlink>
      <w:r>
        <w:t>, et cherchant à assister le Comité dans l’accomplissement de ses travaux,</w:t>
      </w:r>
    </w:p>
    <w:p w14:paraId="13243DCF" w14:textId="77777777" w:rsidR="00080196" w:rsidRPr="008E1212" w:rsidRDefault="00080196" w:rsidP="00EB4C0A">
      <w:pPr>
        <w:pStyle w:val="CBDDesicionText"/>
      </w:pPr>
      <w:r>
        <w:rPr>
          <w:i/>
          <w:iCs/>
        </w:rPr>
        <w:t>Reconnaissant</w:t>
      </w:r>
      <w:r>
        <w:t xml:space="preserve"> que les définitions des termes « organisme vivant modifié » et « biotechnologie moderne » énoncées à l’article 3 du Protocole de Cartagena sur la prévention des risques biotechnologiques</w:t>
      </w:r>
      <w:r>
        <w:rPr>
          <w:vertAlign w:val="superscript"/>
        </w:rPr>
        <w:footnoteReference w:id="6"/>
      </w:r>
      <w:r>
        <w:t xml:space="preserve"> ne sont pas en cause,</w:t>
      </w:r>
    </w:p>
    <w:p w14:paraId="7063DC81" w14:textId="77777777" w:rsidR="00080196" w:rsidRPr="008E1212" w:rsidRDefault="00080196" w:rsidP="00EB4C0A">
      <w:pPr>
        <w:pStyle w:val="CBDDesicionText"/>
      </w:pPr>
      <w:r>
        <w:rPr>
          <w:i/>
          <w:iCs/>
        </w:rPr>
        <w:t>Reconnaissant</w:t>
      </w:r>
      <w:r>
        <w:t xml:space="preserve"> le droit souverain des Parties d’adopter des lois pour mettre en œuvre leurs obligations en vertu du Protocole de Cartagena, </w:t>
      </w:r>
    </w:p>
    <w:p w14:paraId="420F2471" w14:textId="77777777" w:rsidR="00080196" w:rsidRPr="008E1212" w:rsidRDefault="00080196" w:rsidP="00EB4C0A">
      <w:pPr>
        <w:pStyle w:val="CBDDesicionText"/>
        <w:rPr>
          <w:kern w:val="22"/>
        </w:rPr>
      </w:pPr>
      <w:r>
        <w:rPr>
          <w:kern w:val="22"/>
        </w:rPr>
        <w:t>1.</w:t>
      </w:r>
      <w:r>
        <w:rPr>
          <w:kern w:val="22"/>
        </w:rPr>
        <w:tab/>
      </w:r>
      <w:r>
        <w:rPr>
          <w:i/>
          <w:iCs/>
          <w:kern w:val="22"/>
        </w:rPr>
        <w:t>Encourage</w:t>
      </w:r>
      <w:r>
        <w:t xml:space="preserve"> les Parties à soumettre des informations concernant les législations, réglementations et lignes directrices nationales sur les nouveaux développements en matière de biotechnologie moderne, pertinentes pour le Protocole de Cartagena sur la prévention des risques </w:t>
      </w:r>
      <w:r>
        <w:lastRenderedPageBreak/>
        <w:t>biotechnologiques et non publiées dans le Centre d’échange pour la prévention des risques biotechnologiques ;</w:t>
      </w:r>
    </w:p>
    <w:p w14:paraId="59F5EC53" w14:textId="77777777" w:rsidR="00080196" w:rsidRPr="008E1212" w:rsidRDefault="00080196" w:rsidP="00EB4C0A">
      <w:pPr>
        <w:pStyle w:val="CBDDesicionText"/>
        <w:rPr>
          <w:kern w:val="22"/>
        </w:rPr>
      </w:pPr>
      <w:r>
        <w:rPr>
          <w:kern w:val="22"/>
        </w:rPr>
        <w:t>2.</w:t>
      </w:r>
      <w:r>
        <w:rPr>
          <w:i/>
          <w:iCs/>
          <w:kern w:val="22"/>
        </w:rPr>
        <w:tab/>
        <w:t>Prie</w:t>
      </w:r>
      <w:r>
        <w:t xml:space="preserve"> la Secrétaire exécutive de la Convention sur la diversité biologique</w:t>
      </w:r>
      <w:r>
        <w:rPr>
          <w:rStyle w:val="FootnoteReference"/>
        </w:rPr>
        <w:footnoteReference w:id="7"/>
      </w:r>
      <w:r>
        <w:t xml:space="preserve"> de compiler les informations contenues dans le Centre d’échange pour la prévention des risques biotechnologiques et émanant d’autres sources concernant les législations, réglementations et lignes directrices nationales actuelles sur les nouveaux développements en matière de biotechnologie moderne ;</w:t>
      </w:r>
    </w:p>
    <w:p w14:paraId="4A780DDC" w14:textId="77777777" w:rsidR="00080196" w:rsidRPr="008E1212" w:rsidRDefault="00080196" w:rsidP="00EB4C0A">
      <w:pPr>
        <w:pStyle w:val="CBDDesicionText"/>
      </w:pPr>
      <w:r>
        <w:rPr>
          <w:kern w:val="22"/>
        </w:rPr>
        <w:t>3.</w:t>
      </w:r>
      <w:r>
        <w:rPr>
          <w:kern w:val="22"/>
        </w:rPr>
        <w:tab/>
      </w:r>
      <w:r>
        <w:rPr>
          <w:i/>
          <w:iCs/>
          <w:kern w:val="22"/>
        </w:rPr>
        <w:t>Prie également</w:t>
      </w:r>
      <w:r>
        <w:rPr>
          <w:kern w:val="22"/>
        </w:rPr>
        <w:t xml:space="preserve"> la Secrétaire exécutive de soumettre les informations recueillies en réponse aux paragraphes 1 et 2 ci-dessus à la Conférence des Parties siégeant en tant que réunion des Parties au Protocole de Cartagena, pour qu’elle les examine lors de sa douzième réunion.</w:t>
      </w:r>
    </w:p>
    <w:p w14:paraId="7AB8855D"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13E135D4" w14:textId="60D90157" w:rsidR="00080196" w:rsidRPr="008E1212" w:rsidRDefault="00DA55C0" w:rsidP="00555CEC">
      <w:pPr>
        <w:pStyle w:val="CBDH2"/>
      </w:pPr>
      <w:r>
        <w:lastRenderedPageBreak/>
        <w:tab/>
      </w:r>
      <w:bookmarkStart w:id="7" w:name="_Toc194399412"/>
      <w:bookmarkStart w:id="8" w:name="_Toc194919551"/>
      <w:r>
        <w:t>CP-11/2.</w:t>
      </w:r>
      <w:r>
        <w:tab/>
        <w:t>Questions relatives au mécanisme de financement et aux ressources financières</w:t>
      </w:r>
      <w:bookmarkEnd w:id="7"/>
      <w:bookmarkEnd w:id="8"/>
    </w:p>
    <w:p w14:paraId="41DAAF00" w14:textId="77777777" w:rsidR="00080196" w:rsidRPr="008E1212" w:rsidRDefault="00080196" w:rsidP="00C623D6">
      <w:pPr>
        <w:pStyle w:val="Para10"/>
        <w:keepNext/>
        <w:ind w:left="567" w:firstLine="567"/>
        <w:rPr>
          <w:szCs w:val="22"/>
        </w:rPr>
      </w:pPr>
      <w:r>
        <w:rPr>
          <w:i/>
          <w:iCs/>
          <w:szCs w:val="22"/>
        </w:rPr>
        <w:t>La Conférence des Parties siégeant en tant que réunion des Parties au Protocole de Cartagena,</w:t>
      </w:r>
    </w:p>
    <w:p w14:paraId="7D787A8C" w14:textId="77777777" w:rsidR="00080196" w:rsidRPr="008E1212" w:rsidRDefault="00080196" w:rsidP="005F3E10">
      <w:pPr>
        <w:pStyle w:val="CBDDesicionText"/>
        <w:rPr>
          <w:snapToGrid w:val="0"/>
        </w:rPr>
      </w:pPr>
      <w:r>
        <w:rPr>
          <w:i/>
          <w:iCs/>
        </w:rPr>
        <w:t>Prenant note</w:t>
      </w:r>
      <w:r>
        <w:t xml:space="preserve"> du rapport du Conseil du Fonds pour l’environnement mondial pour la seizième réunion de la Conférence des Parties à la Convention sur la diversité biologique</w:t>
      </w:r>
      <w:r>
        <w:rPr>
          <w:rStyle w:val="FootnoteReference"/>
          <w:snapToGrid w:val="0"/>
        </w:rPr>
        <w:footnoteReference w:id="8"/>
      </w:r>
      <w:r>
        <w:rPr>
          <w:snapToGrid w:val="0"/>
          <w:vertAlign w:val="superscript"/>
        </w:rPr>
        <w:t>,</w:t>
      </w:r>
      <w:r>
        <w:rPr>
          <w:rStyle w:val="FootnoteReference"/>
        </w:rPr>
        <w:footnoteReference w:id="9"/>
      </w:r>
      <w:r>
        <w:t xml:space="preserve"> et du rapport sur le sixième examen de l’efficacité du mécanisme de financement pour la Convention et ses Protocoles</w:t>
      </w:r>
      <w:r>
        <w:rPr>
          <w:rStyle w:val="FootnoteReference"/>
          <w:snapToGrid w:val="0"/>
        </w:rPr>
        <w:footnoteReference w:id="10"/>
      </w:r>
      <w:r>
        <w:rPr>
          <w:snapToGrid w:val="0"/>
        </w:rPr>
        <w:t>,</w:t>
      </w:r>
    </w:p>
    <w:p w14:paraId="12024E1D" w14:textId="77777777" w:rsidR="00080196" w:rsidRPr="008E1212" w:rsidRDefault="00080196" w:rsidP="005F3E10">
      <w:pPr>
        <w:pStyle w:val="CBDDesicionText"/>
        <w:rPr>
          <w:bCs/>
        </w:rPr>
      </w:pPr>
      <w:r>
        <w:rPr>
          <w:i/>
          <w:iCs/>
          <w:snapToGrid w:val="0"/>
        </w:rPr>
        <w:t>Notant avec inquiétude</w:t>
      </w:r>
      <w:r>
        <w:t xml:space="preserve"> que, deux ans après le lancement du huitième cycle de reconstitution des ressources du Fonds d’affectation spéciale du Fonds pour l’environnement mondial, aucun projet n’a été présenté pour soutenir la mise en œuvre du Protocole de Cartagena sur la prévention des risques biotechnologiques</w:t>
      </w:r>
      <w:r>
        <w:rPr>
          <w:rStyle w:val="FootnoteReference"/>
          <w:bCs/>
        </w:rPr>
        <w:footnoteReference w:id="11"/>
      </w:r>
      <w:r>
        <w:rPr>
          <w:i/>
          <w:iCs/>
          <w:snapToGrid w:val="0"/>
        </w:rPr>
        <w:t>,</w:t>
      </w:r>
    </w:p>
    <w:p w14:paraId="7D7B6EBF" w14:textId="77777777" w:rsidR="00080196" w:rsidRPr="008E1212" w:rsidRDefault="00080196" w:rsidP="005F3E10">
      <w:pPr>
        <w:pStyle w:val="CBDDesicionText"/>
        <w:rPr>
          <w:lang w:eastAsia="en-GB"/>
        </w:rPr>
      </w:pPr>
      <w:bookmarkStart w:id="9" w:name="_Hlk180506288"/>
      <w:r>
        <w:rPr>
          <w:i/>
          <w:iCs/>
        </w:rPr>
        <w:t>Notant</w:t>
      </w:r>
      <w:r>
        <w:t xml:space="preserve"> les résultats de l’analyse de l’efficacité du mécanisme de financement pour la mise en œuvre du Protocole de Cartagena dans le sixième examen de l’efficacité du mécanisme de financement</w:t>
      </w:r>
      <w:bookmarkEnd w:id="9"/>
    </w:p>
    <w:p w14:paraId="035488C8" w14:textId="77777777" w:rsidR="00080196" w:rsidRPr="008E1212" w:rsidRDefault="00080196" w:rsidP="005F3E10">
      <w:pPr>
        <w:pStyle w:val="CBDDesicionText"/>
      </w:pPr>
      <w:r>
        <w:rPr>
          <w:i/>
          <w:iCs/>
        </w:rPr>
        <w:t>Se félicitant</w:t>
      </w:r>
      <w:r>
        <w:t xml:space="preserve"> de la création et du fonctionnement du Fonds pour l’application du Cadre mondial de la biodiversité et de ses orientations programmatiques, qui comprennent un domaine d’action visant à soutenir la mise en œuvre du Protocole de Cartagena,</w:t>
      </w:r>
    </w:p>
    <w:p w14:paraId="5D1009A4" w14:textId="77777777" w:rsidR="00080196" w:rsidRPr="008E1212" w:rsidRDefault="00080196" w:rsidP="005F3E10">
      <w:pPr>
        <w:pStyle w:val="CBDDesicionText"/>
      </w:pPr>
      <w:r>
        <w:rPr>
          <w:i/>
          <w:iCs/>
        </w:rPr>
        <w:t xml:space="preserve">Rappelant </w:t>
      </w:r>
      <w:r>
        <w:t xml:space="preserve">la décision </w:t>
      </w:r>
      <w:hyperlink r:id="rId18" w:history="1">
        <w:r>
          <w:rPr>
            <w:rStyle w:val="Hyperlink"/>
          </w:rPr>
          <w:t>15/15</w:t>
        </w:r>
      </w:hyperlink>
      <w:r>
        <w:t xml:space="preserve"> adoptée le 19 décembre 2022 par la Conférence des Parties à la Convention, dans laquelle cette dernière a invité le Conseil du Fonds pour l’environnement mondial à examiner la possibilité de créer un guichet de financement spécifique pour le Protocole de Cartagena,</w:t>
      </w:r>
    </w:p>
    <w:p w14:paraId="4B4EC022" w14:textId="77777777" w:rsidR="00080196" w:rsidRPr="008E1212" w:rsidRDefault="00080196" w:rsidP="005F3E10">
      <w:pPr>
        <w:pStyle w:val="CBDDesicionText"/>
        <w:rPr>
          <w:lang w:eastAsia="en-GB"/>
        </w:rPr>
      </w:pPr>
      <w:r>
        <w:t>1.</w:t>
      </w:r>
      <w:r>
        <w:tab/>
      </w:r>
      <w:r>
        <w:rPr>
          <w:i/>
          <w:iCs/>
        </w:rPr>
        <w:t>Recommande</w:t>
      </w:r>
      <w:r>
        <w:t xml:space="preserve"> que, lorsqu’elle adoptera ses orientations à l’intention du Fonds pour l’environnement mondial sur le soutien à la mise en œuvre du Protocole de Cartagena sur la prévention des risques biotechnologiques, la Conférence des Parties à la Convention sur la diversité biologique adresse les demandes suivantes au Fonds pour l’environnement mondial :</w:t>
      </w:r>
    </w:p>
    <w:p w14:paraId="272DA3E2" w14:textId="77777777" w:rsidR="00080196" w:rsidRPr="008E1212" w:rsidRDefault="00080196" w:rsidP="005F3E10">
      <w:pPr>
        <w:pStyle w:val="CBDDesicionText"/>
      </w:pPr>
      <w:r>
        <w:t>a)</w:t>
      </w:r>
      <w:r>
        <w:tab/>
        <w:t>Débloquer des fonds en temps voulu pour aider les Parties éligibles à préparer et à soumettre leur cinquième rapport national au titre du Protocole de Cartagena ;</w:t>
      </w:r>
    </w:p>
    <w:p w14:paraId="1CF4CC2D" w14:textId="77777777" w:rsidR="00080196" w:rsidRPr="008E1212" w:rsidRDefault="00080196" w:rsidP="005F3E10">
      <w:pPr>
        <w:pStyle w:val="CBDDesicionText"/>
        <w:rPr>
          <w:lang w:eastAsia="en-GB"/>
        </w:rPr>
      </w:pPr>
      <w:r>
        <w:t>b)</w:t>
      </w:r>
      <w:r>
        <w:tab/>
        <w:t>Renforcer ses financements consacrés au Protocole de Cartagena afin d’aider les Parties éligibles à mettre en œuvre le Protocole, y compris son plan de mise en œuvre</w:t>
      </w:r>
      <w:r>
        <w:rPr>
          <w:rStyle w:val="FootnoteReference"/>
        </w:rPr>
        <w:footnoteReference w:id="12"/>
      </w:r>
      <w:r>
        <w:t xml:space="preserve"> et son plan d’action pour le renforcement des capacités</w:t>
      </w:r>
      <w:r>
        <w:rPr>
          <w:rStyle w:val="FootnoteReference"/>
        </w:rPr>
        <w:footnoteReference w:id="13"/>
      </w:r>
      <w:r>
        <w:t> ;</w:t>
      </w:r>
    </w:p>
    <w:p w14:paraId="7649A13A" w14:textId="77777777" w:rsidR="00080196" w:rsidRPr="008E1212" w:rsidRDefault="00080196" w:rsidP="005F3E10">
      <w:pPr>
        <w:pStyle w:val="CBDDesicionText"/>
        <w:rPr>
          <w:lang w:eastAsia="en-GB"/>
        </w:rPr>
      </w:pPr>
      <w:r>
        <w:t>c)</w:t>
      </w:r>
      <w:r>
        <w:tab/>
        <w:t>Continuer à soutenir les Parties éligibles afin qu’elles puissent réaliser des activités dans les domaines suivants, à leur demande :</w:t>
      </w:r>
    </w:p>
    <w:p w14:paraId="01BB27D5" w14:textId="77777777" w:rsidR="00080196" w:rsidRPr="008E1212" w:rsidRDefault="00080196" w:rsidP="005F3E10">
      <w:pPr>
        <w:pStyle w:val="CBDDesicionText"/>
      </w:pPr>
      <w:r>
        <w:t>i)</w:t>
      </w:r>
      <w:r>
        <w:tab/>
        <w:t xml:space="preserve">Élaboration et application de mesures juridiques, administratives et autres mesures visant à mettre en œuvre le Protocole de Cartagena ; </w:t>
      </w:r>
    </w:p>
    <w:p w14:paraId="03F3D04D" w14:textId="77777777" w:rsidR="00080196" w:rsidRPr="008E1212" w:rsidRDefault="00080196" w:rsidP="005F3E10">
      <w:pPr>
        <w:pStyle w:val="CBDDesicionText"/>
      </w:pPr>
      <w:r>
        <w:t>ii)</w:t>
      </w:r>
      <w:r>
        <w:tab/>
        <w:t xml:space="preserve">Évaluation et gestion des risques ; </w:t>
      </w:r>
    </w:p>
    <w:p w14:paraId="3B8ADD1D" w14:textId="77777777" w:rsidR="00080196" w:rsidRPr="008E1212" w:rsidRDefault="00080196" w:rsidP="005F3E10">
      <w:pPr>
        <w:pStyle w:val="CBDDesicionText"/>
      </w:pPr>
      <w:r>
        <w:t>iii)</w:t>
      </w:r>
      <w:r>
        <w:tab/>
        <w:t>Détection et identification des organismes vivants modifiés ;</w:t>
      </w:r>
    </w:p>
    <w:p w14:paraId="5951626A" w14:textId="77777777" w:rsidR="00080196" w:rsidRPr="008E1212" w:rsidRDefault="00080196" w:rsidP="005F3E10">
      <w:pPr>
        <w:pStyle w:val="CBDDesicionText"/>
      </w:pPr>
      <w:r>
        <w:t>iv)</w:t>
      </w:r>
      <w:r>
        <w:tab/>
        <w:t>Sensibilisation, éducation et participation du public ;</w:t>
      </w:r>
    </w:p>
    <w:p w14:paraId="2239529A" w14:textId="77777777" w:rsidR="00080196" w:rsidRPr="008E1212" w:rsidRDefault="00080196" w:rsidP="005F3E10">
      <w:pPr>
        <w:pStyle w:val="CBDDesicionText"/>
      </w:pPr>
      <w:r>
        <w:t>v)</w:t>
      </w:r>
      <w:r>
        <w:tab/>
        <w:t>Questions socio</w:t>
      </w:r>
      <w:r>
        <w:noBreakHyphen/>
        <w:t>économiques ;</w:t>
      </w:r>
    </w:p>
    <w:p w14:paraId="0C22AC79" w14:textId="77777777" w:rsidR="00080196" w:rsidRPr="008E1212" w:rsidRDefault="00080196" w:rsidP="005F3E10">
      <w:pPr>
        <w:pStyle w:val="CBDDesicionText"/>
      </w:pPr>
      <w:r>
        <w:lastRenderedPageBreak/>
        <w:t>vi)</w:t>
      </w:r>
      <w:r>
        <w:tab/>
        <w:t>Responsabilité et réparation ;</w:t>
      </w:r>
    </w:p>
    <w:p w14:paraId="293F5F39" w14:textId="77777777" w:rsidR="00080196" w:rsidRPr="008E1212" w:rsidRDefault="00080196" w:rsidP="005F3E10">
      <w:pPr>
        <w:pStyle w:val="CBDDesicionText"/>
      </w:pPr>
      <w:r>
        <w:t>vii)</w:t>
      </w:r>
      <w:r>
        <w:tab/>
        <w:t>Rapports nationaux, échange d’informations et Centre d’échange pour la prévention des risques biotechnologiques ;</w:t>
      </w:r>
    </w:p>
    <w:p w14:paraId="7F34C932" w14:textId="77777777" w:rsidR="00080196" w:rsidRPr="008E1212" w:rsidRDefault="00080196" w:rsidP="005F3E10">
      <w:pPr>
        <w:pStyle w:val="CBDDesicionText"/>
      </w:pPr>
      <w:r>
        <w:t>viii)</w:t>
      </w:r>
      <w:r>
        <w:tab/>
        <w:t>Partage des connaissances et transfert de technologie ;</w:t>
      </w:r>
    </w:p>
    <w:p w14:paraId="27178BE9" w14:textId="77777777" w:rsidR="00080196" w:rsidRPr="008E1212" w:rsidRDefault="00080196" w:rsidP="005F3E10">
      <w:pPr>
        <w:pStyle w:val="CBDDesicionText"/>
        <w:rPr>
          <w:lang w:eastAsia="en-GB"/>
        </w:rPr>
      </w:pPr>
      <w:r>
        <w:t>ix)</w:t>
      </w:r>
      <w:r>
        <w:tab/>
        <w:t>Mise en œuvre de plans d’action pour se conformer au Protocole de Cartagena ;</w:t>
      </w:r>
    </w:p>
    <w:p w14:paraId="4D5F3027" w14:textId="77777777" w:rsidR="00080196" w:rsidRPr="008E1212" w:rsidRDefault="00080196" w:rsidP="005F3E10">
      <w:pPr>
        <w:pStyle w:val="CBDDesicionText"/>
        <w:rPr>
          <w:lang w:eastAsia="en-GB"/>
        </w:rPr>
      </w:pPr>
      <w:r>
        <w:t>d)</w:t>
      </w:r>
      <w:r>
        <w:tab/>
        <w:t>Continuer à étudier des modalités pour réformer ses opérations, notamment en envisageant des moyens d’accroître les fonds consacrés à la mise en œuvre du Protocole de Cartagena et le recours à des projets mondiaux et régionaux, de manière à permettre au Fonds pour l’environnement mondial de s’acquitter efficacement de ses responsabilités relatives au fonctionnement du mécanisme de financement du Protocole, sur une base intérimaire et continue, et à faire rapport sur ces questions à la Conférence des Parties à la Convention lors de sa dix</w:t>
      </w:r>
      <w:r>
        <w:noBreakHyphen/>
        <w:t>septième réunion ;</w:t>
      </w:r>
    </w:p>
    <w:p w14:paraId="57C71F15" w14:textId="77777777" w:rsidR="00080196" w:rsidRPr="008E1212" w:rsidRDefault="00080196" w:rsidP="005F3E10">
      <w:pPr>
        <w:pStyle w:val="CBDDesicionText"/>
        <w:rPr>
          <w:lang w:eastAsia="en-GB"/>
        </w:rPr>
      </w:pPr>
      <w:r>
        <w:t>e)</w:t>
      </w:r>
      <w:r>
        <w:tab/>
        <w:t>Étudier la pertinence de la création d'un guichet de financement autonome pour la prévention des risques biotechnologiques, aux fins d'examen par la Conférence des Parties siégeant en tant que réunion des Parties au Protocole de Cartagena à sa douzième réunion ;</w:t>
      </w:r>
    </w:p>
    <w:p w14:paraId="0D005D72" w14:textId="77777777" w:rsidR="00080196" w:rsidRPr="008E1212" w:rsidRDefault="00080196" w:rsidP="005F3E10">
      <w:pPr>
        <w:pStyle w:val="CBDDesicionText"/>
        <w:rPr>
          <w:lang w:eastAsia="en-GB"/>
        </w:rPr>
      </w:pPr>
      <w:r>
        <w:t>f)</w:t>
      </w:r>
      <w:r>
        <w:tab/>
        <w:t>Simplifier le processus de soumission des propositions de projets de prévention des risques biotechnologiques ;</w:t>
      </w:r>
    </w:p>
    <w:p w14:paraId="620D98B5" w14:textId="77777777" w:rsidR="00080196" w:rsidRPr="008E1212" w:rsidRDefault="00080196" w:rsidP="005F3E10">
      <w:pPr>
        <w:pStyle w:val="CBDDesicionText"/>
        <w:rPr>
          <w:lang w:eastAsia="en-GB"/>
        </w:rPr>
      </w:pPr>
      <w:r>
        <w:t>g)</w:t>
      </w:r>
      <w:r>
        <w:tab/>
        <w:t>Faciliter les activités de renforcement des capacités, notamment par des webinaires, en matière d’élaboration de projets de prévention des risques biotechnologiques ;</w:t>
      </w:r>
    </w:p>
    <w:p w14:paraId="3EA83DBB" w14:textId="77777777" w:rsidR="00080196" w:rsidRPr="008E1212" w:rsidRDefault="00080196" w:rsidP="005F3E10">
      <w:pPr>
        <w:pStyle w:val="CBDDesicionText"/>
        <w:rPr>
          <w:lang w:eastAsia="en-GB"/>
        </w:rPr>
      </w:pPr>
      <w:r>
        <w:t>2.</w:t>
      </w:r>
      <w:r>
        <w:tab/>
      </w:r>
      <w:r>
        <w:rPr>
          <w:i/>
          <w:iCs/>
        </w:rPr>
        <w:t>Recommande également</w:t>
      </w:r>
      <w:r>
        <w:t xml:space="preserve"> à la Conférence des Parties à la Convention d’inclure les éléments énumérés aux alinéas 1 b) et c) ci</w:t>
      </w:r>
      <w:r>
        <w:noBreakHyphen/>
        <w:t xml:space="preserve">dessus dans le cadre quadriennal axé sur les résultats des priorités du programme sur la biodiversité pour la neuvième période de reconstitution des ressources du Fonds d’affectation spéciale du Fonds pour l’environnement mondial (juillet 2026 </w:t>
      </w:r>
      <w:r>
        <w:noBreakHyphen/>
        <w:t xml:space="preserve"> juin 2030) ;</w:t>
      </w:r>
    </w:p>
    <w:p w14:paraId="575510F0" w14:textId="77777777" w:rsidR="00080196" w:rsidRPr="008E1212" w:rsidRDefault="00080196" w:rsidP="005F3E10">
      <w:pPr>
        <w:pStyle w:val="CBDDesicionText"/>
        <w:keepNext/>
        <w:rPr>
          <w:lang w:eastAsia="en-GB"/>
        </w:rPr>
      </w:pPr>
      <w:r>
        <w:rPr>
          <w:rFonts w:asciiTheme="majorBidi" w:hAnsiTheme="majorBidi" w:cstheme="majorBidi"/>
        </w:rPr>
        <w:t>3.</w:t>
      </w:r>
      <w:r>
        <w:rPr>
          <w:rFonts w:asciiTheme="majorBidi" w:hAnsiTheme="majorBidi" w:cstheme="majorBidi"/>
        </w:rPr>
        <w:tab/>
      </w:r>
      <w:r>
        <w:rPr>
          <w:rFonts w:asciiTheme="majorBidi" w:hAnsiTheme="majorBidi" w:cstheme="majorBidi"/>
          <w:i/>
          <w:iCs/>
        </w:rPr>
        <w:t>Encourage</w:t>
      </w:r>
      <w:r>
        <w:t xml:space="preserve"> les Parties éligibles à :</w:t>
      </w:r>
    </w:p>
    <w:p w14:paraId="7577B781" w14:textId="77777777" w:rsidR="00080196" w:rsidRPr="008E1212" w:rsidRDefault="00080196" w:rsidP="005F3E10">
      <w:pPr>
        <w:pStyle w:val="CBDDesicionText"/>
        <w:rPr>
          <w:lang w:eastAsia="en-GB"/>
        </w:rPr>
      </w:pPr>
      <w:r>
        <w:t>a)</w:t>
      </w:r>
      <w:r>
        <w:tab/>
        <w:t>Soumettre au Fonds pour l’environnement mondial des propositions de projets visant à soutenir la mise en œuvre de la cible 17 du Cadre mondial de la biodiversité de Kunming</w:t>
      </w:r>
      <w:r>
        <w:noBreakHyphen/>
        <w:t>Montréal</w:t>
      </w:r>
      <w:r>
        <w:rPr>
          <w:rStyle w:val="FootnoteReference"/>
        </w:rPr>
        <w:footnoteReference w:id="14"/>
      </w:r>
      <w:r>
        <w:t xml:space="preserve"> ainsi que le plan de mise en œuvre et le plan d’action pour le renforcement des capacités concernant le Protocole de Cartagena, à utiliser de manière proactive les dotations théoriques destinées à soutenir la mise en œuvre du Protocole dans les orientations programmatiques de la huitième reconstitution du Fonds d’affectation spéciale du Fonds pour l’environnement mondial et les orientations programmatiques du Cadre mondial de la biodiversité, et à prendre note des informations pertinentes figurant dans le rapport du Conseil du Fonds pour l’environnement mondial pour la seizième réunion de la Conférence des Parties à la Convention lors de la présentation de ces propositions ;</w:t>
      </w:r>
    </w:p>
    <w:p w14:paraId="0CC7B46C" w14:textId="77777777" w:rsidR="00080196" w:rsidRPr="008E1212" w:rsidRDefault="00080196" w:rsidP="005F3E10">
      <w:pPr>
        <w:pStyle w:val="CBDDesicionText"/>
        <w:rPr>
          <w:lang w:eastAsia="en-GB"/>
        </w:rPr>
      </w:pPr>
      <w:r>
        <w:t>b)</w:t>
      </w:r>
      <w:r>
        <w:tab/>
        <w:t>Coopérer aux niveaux régional et infrarégional, selon qu’il convient, pour préparer des demandes de soutien du Fonds pour l’environnement mondial pour des projets conjoints qui contribuent aux complémentarités et aux opportunités et qui en tirent le maximum d’avantages, pour le partage rationnel des ressources, informations, expériences et savoir</w:t>
      </w:r>
      <w:r>
        <w:noBreakHyphen/>
        <w:t>faire ;</w:t>
      </w:r>
    </w:p>
    <w:p w14:paraId="64613DB8" w14:textId="77777777" w:rsidR="00080196" w:rsidRPr="008E1212" w:rsidRDefault="00080196" w:rsidP="005F3E10">
      <w:pPr>
        <w:pStyle w:val="CBDDesicionText"/>
        <w:rPr>
          <w:lang w:eastAsia="en-GB"/>
        </w:rPr>
      </w:pPr>
      <w:r>
        <w:rPr>
          <w:rFonts w:asciiTheme="majorBidi" w:hAnsiTheme="majorBidi" w:cstheme="majorBidi"/>
        </w:rPr>
        <w:t>4.</w:t>
      </w:r>
      <w:r>
        <w:rPr>
          <w:rFonts w:asciiTheme="majorBidi" w:hAnsiTheme="majorBidi" w:cstheme="majorBidi"/>
        </w:rPr>
        <w:tab/>
      </w:r>
      <w:r>
        <w:rPr>
          <w:rFonts w:asciiTheme="majorBidi" w:hAnsiTheme="majorBidi" w:cstheme="majorBidi"/>
          <w:i/>
          <w:iCs/>
        </w:rPr>
        <w:t>Encourage</w:t>
      </w:r>
      <w:r>
        <w:t xml:space="preserve"> les Parties à inclure les besoins et les dispositions pour la mise en œuvre de la cible 17 du Cadre, du plan de mise en œuvre et du plan d’action pour le renforcement des capacités pour le Protocole de Cartagena dans leurs plans nationaux de financement de la biodiversité et leur mise en œuvre au niveau national de la stratégie de mobilisation des ressources pour le Cadre</w:t>
      </w:r>
      <w:r>
        <w:rPr>
          <w:rStyle w:val="FootnoteReference"/>
          <w:rFonts w:asciiTheme="majorBidi" w:hAnsiTheme="majorBidi"/>
        </w:rPr>
        <w:footnoteReference w:id="15"/>
      </w:r>
      <w:r>
        <w:t> ;</w:t>
      </w:r>
    </w:p>
    <w:p w14:paraId="1631CCE5" w14:textId="01271315" w:rsidR="00080196" w:rsidRPr="008E1212" w:rsidRDefault="00080196" w:rsidP="00CF1ACB">
      <w:pPr>
        <w:pStyle w:val="CBDDesicionText"/>
      </w:pPr>
      <w:r>
        <w:t>5.</w:t>
      </w:r>
      <w:r>
        <w:tab/>
      </w:r>
      <w:r>
        <w:rPr>
          <w:i/>
          <w:iCs/>
        </w:rPr>
        <w:t>Prie</w:t>
      </w:r>
      <w:r>
        <w:t xml:space="preserve"> la Secrétaire exécutive de continuer à développer les sources de financement pour la prévention des risques biotechnologiques afin d’aider les Parties ainsi que de communiquer les informations afférentes.</w:t>
      </w:r>
      <w:r w:rsidR="00CF1ACB">
        <w:t xml:space="preserve"> </w:t>
      </w:r>
      <w:r w:rsidRPr="008E1212">
        <w:br w:type="page"/>
      </w:r>
    </w:p>
    <w:p w14:paraId="0F8E34D4" w14:textId="13AC7A25" w:rsidR="00080196" w:rsidRPr="008E1212" w:rsidRDefault="00AC6B37" w:rsidP="00AC6B37">
      <w:pPr>
        <w:pStyle w:val="CBDH2"/>
      </w:pPr>
      <w:r>
        <w:lastRenderedPageBreak/>
        <w:tab/>
      </w:r>
      <w:bookmarkStart w:id="10" w:name="_Toc194399413"/>
      <w:bookmarkStart w:id="11" w:name="_Toc194919552"/>
      <w:r>
        <w:t>CP-11/3.</w:t>
      </w:r>
      <w:r>
        <w:tab/>
        <w:t>Fonctionnement et activités du Centre d’échange pour la prévention des risques biotechnologiques</w:t>
      </w:r>
      <w:bookmarkEnd w:id="10"/>
      <w:bookmarkEnd w:id="11"/>
    </w:p>
    <w:p w14:paraId="5D8D5A81" w14:textId="77777777" w:rsidR="00080196" w:rsidRPr="008E1212" w:rsidRDefault="00080196" w:rsidP="008B2A40">
      <w:pPr>
        <w:pStyle w:val="CBDNormalNoNumber"/>
        <w:ind w:firstLine="567"/>
        <w:rPr>
          <w:rStyle w:val="None"/>
          <w:i/>
          <w:iCs/>
        </w:rPr>
      </w:pPr>
      <w:r>
        <w:rPr>
          <w:rStyle w:val="None"/>
          <w:i/>
          <w:iCs/>
        </w:rPr>
        <w:t>La Conférence des Parties siégeant en tant que réunion des Parties au Protocole de Cartagena</w:t>
      </w:r>
    </w:p>
    <w:p w14:paraId="12D5F2E0" w14:textId="77777777" w:rsidR="00080196" w:rsidRPr="008E1212" w:rsidRDefault="00080196" w:rsidP="006B2627">
      <w:pPr>
        <w:pStyle w:val="CBDDesicionText"/>
        <w:rPr>
          <w:rStyle w:val="None"/>
        </w:rPr>
      </w:pPr>
      <w:r>
        <w:rPr>
          <w:rStyle w:val="None"/>
        </w:rPr>
        <w:t>1.</w:t>
      </w:r>
      <w:r>
        <w:rPr>
          <w:rStyle w:val="None"/>
          <w:i/>
          <w:iCs/>
        </w:rPr>
        <w:tab/>
        <w:t>Accueille avec satisfaction</w:t>
      </w:r>
      <w:r>
        <w:rPr>
          <w:rStyle w:val="None"/>
        </w:rPr>
        <w:t xml:space="preserve"> les améliorations apportées au portail central du Centre d’échange pour la prévention des risques biotechnologiques conformément aux modalités de fonctionnement conjointes pour le mécanisme du centre d’échange de la Convention sur la diversité biologique</w:t>
      </w:r>
      <w:r>
        <w:rPr>
          <w:rStyle w:val="FootnoteReference"/>
        </w:rPr>
        <w:footnoteReference w:id="16"/>
      </w:r>
      <w:r>
        <w:rPr>
          <w:rStyle w:val="None"/>
        </w:rPr>
        <w:t>, le Centre d’échange pour la prévention des risques biotechnologiques et le Centre d’échange pour l’accès et le partage des avantages</w:t>
      </w:r>
      <w:r>
        <w:rPr>
          <w:rStyle w:val="FootnoteReference"/>
        </w:rPr>
        <w:footnoteReference w:id="17"/>
      </w:r>
      <w:r>
        <w:rPr>
          <w:rStyle w:val="None"/>
        </w:rPr>
        <w:t>, telles qu’approuvées dans la décision </w:t>
      </w:r>
      <w:hyperlink r:id="rId19" w:history="1">
        <w:r>
          <w:rPr>
            <w:rStyle w:val="Hyperlink"/>
          </w:rPr>
          <w:t>CP-9/2</w:t>
        </w:r>
      </w:hyperlink>
      <w:r>
        <w:rPr>
          <w:rStyle w:val="None"/>
        </w:rPr>
        <w:t xml:space="preserve"> du 28 novembre 2018 ;</w:t>
      </w:r>
    </w:p>
    <w:p w14:paraId="34D33BAA" w14:textId="77777777" w:rsidR="00080196" w:rsidRPr="008E1212" w:rsidRDefault="00080196" w:rsidP="006B2627">
      <w:pPr>
        <w:pStyle w:val="CBDDesicionText"/>
        <w:rPr>
          <w:rStyle w:val="None"/>
          <w:b/>
          <w:u w:val="single"/>
        </w:rPr>
      </w:pPr>
      <w:r>
        <w:rPr>
          <w:rStyle w:val="None"/>
        </w:rPr>
        <w:t>2.</w:t>
      </w:r>
      <w:r>
        <w:rPr>
          <w:rStyle w:val="None"/>
        </w:rPr>
        <w:tab/>
      </w:r>
      <w:r>
        <w:rPr>
          <w:bCs/>
          <w:i/>
        </w:rPr>
        <w:t>Prend note</w:t>
      </w:r>
      <w:r>
        <w:rPr>
          <w:bCs/>
        </w:rPr>
        <w:t xml:space="preserve"> des travaux du Comité consultatif informel sur le Centre d’échange pour la prévention des risques biotechnologiques </w:t>
      </w:r>
      <w:r>
        <w:rPr>
          <w:bCs/>
          <w:i/>
        </w:rPr>
        <w:t>;</w:t>
      </w:r>
    </w:p>
    <w:p w14:paraId="26A4BCC1" w14:textId="77777777" w:rsidR="00080196" w:rsidRPr="008E1212" w:rsidRDefault="00080196" w:rsidP="006B2627">
      <w:pPr>
        <w:pStyle w:val="CBDDesicionText"/>
      </w:pPr>
      <w:r>
        <w:t>3.</w:t>
      </w:r>
      <w:r>
        <w:rPr>
          <w:i/>
          <w:iCs/>
        </w:rPr>
        <w:tab/>
        <w:t>Demande instamment</w:t>
      </w:r>
      <w:r>
        <w:t xml:space="preserve"> aux Parties de rendre systématiquement disponibles toutes les informations requises dans le Centre d’échange pour la prévention des risques biotechnologiques, y compris les mesures juridiques pour la mise en œuvre du Protocole de Cartagena sur la prévention des risques biotechnologiques</w:t>
      </w:r>
      <w:r>
        <w:rPr>
          <w:rStyle w:val="FootnoteReference"/>
        </w:rPr>
        <w:footnoteReference w:id="18"/>
      </w:r>
      <w:r>
        <w:t>, les décisions concernant l’importation ou la libération d’organismes vivants modifiés et les cas de mouvements transfrontaliers non intentionnels ou illicites, en temps opportun, et conformément aux obligations contractées en vertu du Protocole et des procédures et mécanismes établis dans la décision </w:t>
      </w:r>
      <w:hyperlink r:id="rId20" w:history="1">
        <w:r>
          <w:rPr>
            <w:rStyle w:val="Hyperlink"/>
          </w:rPr>
          <w:t>BS</w:t>
        </w:r>
        <w:r>
          <w:rPr>
            <w:rStyle w:val="Hyperlink"/>
          </w:rPr>
          <w:noBreakHyphen/>
          <w:t>I/3</w:t>
        </w:r>
      </w:hyperlink>
      <w:r>
        <w:t xml:space="preserve"> du 27 février 2004 ;</w:t>
      </w:r>
    </w:p>
    <w:p w14:paraId="18EA0358" w14:textId="77777777" w:rsidR="00080196" w:rsidRPr="008E1212" w:rsidRDefault="00080196" w:rsidP="006B2627">
      <w:pPr>
        <w:pStyle w:val="CBDDesicionText"/>
      </w:pPr>
      <w:r>
        <w:t>4.</w:t>
      </w:r>
      <w:r>
        <w:rPr>
          <w:i/>
          <w:iCs/>
        </w:rPr>
        <w:tab/>
        <w:t>Demande</w:t>
      </w:r>
      <w:r>
        <w:t xml:space="preserve"> aux Parties de vérifier l’exactitude de leurs dossiers nationaux publiés dans le Centre d’échange pour la prévention des risques biotechnologiques, y compris en vérifiant que les informations mises à disposition dans le Centre d’échange sont à jour et complètes et que les documents contenant les informations sont correctement téléchargés ou, dans les cas où des liens vers les documents sont fournis, que les liens fonctionnent, notant que le Comité chargé du respect des obligations au titre du Protocole de Cartagena examinera les informations sur le Centre d’échange pour la prévention des risques biotechnologiques lors de sa vingtième réunion, conformément aux obligations contractées en vertu du Protocole et des procédures et mécanismes établis dans la décision </w:t>
      </w:r>
      <w:hyperlink r:id="rId21" w:history="1">
        <w:r>
          <w:rPr>
            <w:rStyle w:val="Hyperlink"/>
          </w:rPr>
          <w:t>BS-I/3</w:t>
        </w:r>
      </w:hyperlink>
      <w:r>
        <w:t> ;</w:t>
      </w:r>
    </w:p>
    <w:p w14:paraId="648F0887" w14:textId="77777777" w:rsidR="00080196" w:rsidRPr="008E1212" w:rsidRDefault="00080196" w:rsidP="001F3938">
      <w:pPr>
        <w:pStyle w:val="CBDDesicionText"/>
        <w:rPr>
          <w:rStyle w:val="None"/>
          <w:rFonts w:asciiTheme="majorBidi" w:hAnsiTheme="majorBidi" w:cstheme="majorBidi"/>
        </w:rPr>
      </w:pPr>
      <w:r>
        <w:t>5.</w:t>
      </w:r>
      <w:r>
        <w:tab/>
      </w:r>
      <w:r>
        <w:rPr>
          <w:i/>
          <w:iCs/>
        </w:rPr>
        <w:t>Invite</w:t>
      </w:r>
      <w:r>
        <w:t xml:space="preserve"> les Parties, les autres gouvernements et les organisations compétentes à soumettre des informations scientifiques pour améliorer la qualité des informations publiées dans le Centre d’échange pour la prévention des risques biotechnologiques ;</w:t>
      </w:r>
    </w:p>
    <w:p w14:paraId="5E4720C5" w14:textId="77777777" w:rsidR="00080196" w:rsidRPr="008E1212" w:rsidDel="00EF45A3" w:rsidRDefault="00080196" w:rsidP="001F3938">
      <w:pPr>
        <w:pStyle w:val="CBDDesicionText"/>
        <w:rPr>
          <w:rStyle w:val="None"/>
        </w:rPr>
      </w:pPr>
      <w:r>
        <w:rPr>
          <w:rStyle w:val="None"/>
        </w:rPr>
        <w:t>6.</w:t>
      </w:r>
      <w:r>
        <w:rPr>
          <w:rStyle w:val="None"/>
          <w:i/>
          <w:iCs/>
        </w:rPr>
        <w:tab/>
        <w:t>Exhorte</w:t>
      </w:r>
      <w:r>
        <w:t xml:space="preserve"> les Parties à commencer la préparation de leurs cinquièmes rapports nationaux sur la mise en œuvre du Protocole de Cartagena et à en assurer la publication en temps voulu dans le Centre d’échange pour la prévention des risques biotechnologiques ;</w:t>
      </w:r>
    </w:p>
    <w:p w14:paraId="69C11DD3" w14:textId="77777777" w:rsidR="00080196" w:rsidRPr="008E1212" w:rsidRDefault="00080196" w:rsidP="001F3938">
      <w:pPr>
        <w:pStyle w:val="CBDDesicionText"/>
        <w:rPr>
          <w:rStyle w:val="None"/>
        </w:rPr>
      </w:pPr>
      <w:r>
        <w:rPr>
          <w:rStyle w:val="None"/>
        </w:rPr>
        <w:t>7.</w:t>
      </w:r>
      <w:r>
        <w:rPr>
          <w:rStyle w:val="None"/>
          <w:i/>
          <w:iCs/>
        </w:rPr>
        <w:tab/>
        <w:t>Se félicite</w:t>
      </w:r>
      <w:r>
        <w:t xml:space="preserve"> de la mise en œuvre réussie du projet du Programme des Nations Unies pour l’environnement et du Fonds pour l’environnement mondial (PNUE/FEM) visant le renforcement durable des capacités pour une participation effective au Centre d’échange pour la prévention des risques biotechnologiques, et exhorte les pays Parties donateurs potentiels, les autres gouvernements et les organismes de financement à fournir des fonds pour poursuivre le projet ainsi que d’autres projets de renforcement des capacités liés au Centre d’échange pour la prévention des risques biotechnologiques et pour soutenir le réseau de conseillers régionaux ;</w:t>
      </w:r>
    </w:p>
    <w:p w14:paraId="30A215F3" w14:textId="77777777" w:rsidR="00080196" w:rsidRPr="008E1212" w:rsidRDefault="00080196" w:rsidP="001F3938">
      <w:pPr>
        <w:pStyle w:val="CBDDesicionText"/>
        <w:rPr>
          <w:rStyle w:val="None"/>
        </w:rPr>
      </w:pPr>
      <w:r>
        <w:t>8.</w:t>
      </w:r>
      <w:r>
        <w:rPr>
          <w:i/>
          <w:iCs/>
        </w:rPr>
        <w:tab/>
        <w:t>Convie</w:t>
      </w:r>
      <w:r>
        <w:t xml:space="preserve"> le Fonds pour l’environnement mondial, et invite les autres fonds concernés, à continuer de mettre à disposition des fonds en soutien aux activités liées au Centre d’échange pour la prévention des risques biotechnologiques et aux sites Web nationaux sur la prévention des risques biotechnologiques ;</w:t>
      </w:r>
    </w:p>
    <w:p w14:paraId="5530CD23" w14:textId="77777777" w:rsidR="00080196" w:rsidRPr="008E1212" w:rsidRDefault="00080196" w:rsidP="001F3938">
      <w:pPr>
        <w:pStyle w:val="CBDDesicionText"/>
        <w:rPr>
          <w:rStyle w:val="None"/>
        </w:rPr>
      </w:pPr>
      <w:r>
        <w:rPr>
          <w:rStyle w:val="None"/>
        </w:rPr>
        <w:lastRenderedPageBreak/>
        <w:t>9.</w:t>
      </w:r>
      <w:r>
        <w:rPr>
          <w:rStyle w:val="None"/>
          <w:i/>
          <w:iCs/>
        </w:rPr>
        <w:tab/>
        <w:t>Accueille</w:t>
      </w:r>
      <w:r>
        <w:t xml:space="preserve"> favorablement les activités de collaboration entre le secrétariat de la Convention et les organisations relatives à la prévention des risques biotechnologiques et les liens entre le Centre d’échange pour la prévention des risques biotechnologiques et d’autres bases de données ;</w:t>
      </w:r>
    </w:p>
    <w:p w14:paraId="4C3AAAF4" w14:textId="77777777" w:rsidR="00080196" w:rsidRPr="008E1212" w:rsidRDefault="00080196" w:rsidP="001F3938">
      <w:pPr>
        <w:pStyle w:val="CBDDesicionText"/>
      </w:pPr>
      <w:r>
        <w:t>10.</w:t>
      </w:r>
      <w:r>
        <w:rPr>
          <w:i/>
          <w:iCs/>
        </w:rPr>
        <w:tab/>
        <w:t>Prie</w:t>
      </w:r>
      <w:r>
        <w:t xml:space="preserve"> la Secrétaire exécutive :</w:t>
      </w:r>
    </w:p>
    <w:p w14:paraId="01BD3A6C" w14:textId="77777777" w:rsidR="00080196" w:rsidRPr="008E1212" w:rsidRDefault="00080196" w:rsidP="001F3938">
      <w:pPr>
        <w:pStyle w:val="CBDDesicionText"/>
      </w:pPr>
      <w:r>
        <w:t>a)</w:t>
      </w:r>
      <w:r>
        <w:tab/>
        <w:t>De continuer à maintenir le Centre d’échange pour la prévention des risques biotechnologiques et d’apporter les améliorations nécessaires, y compris celles recommandées par le Comité consultatif informel et celles demandées par la Conférence des Parties siégeant en tant que réunion des Parties au Protocole de Cartagena, et aux fonctionnalités de diverses parties de la plateforme, afin d’éviter de créer de nouvelles pages thématiques ;</w:t>
      </w:r>
    </w:p>
    <w:p w14:paraId="5376E44D" w14:textId="77777777" w:rsidR="00080196" w:rsidRPr="008E1212" w:rsidRDefault="00080196" w:rsidP="001F3938">
      <w:pPr>
        <w:pStyle w:val="CBDDesicionText"/>
      </w:pPr>
      <w:r>
        <w:t>b)</w:t>
      </w:r>
      <w:r>
        <w:tab/>
        <w:t xml:space="preserve">De poursuivre la traduction des pages du Centre d’échange pour la prévention des risques biotechnologiques, y compris des nouvelles fonctionnalités et des nouveaux contenus, au fur et à mesure de leur développement, pour garantir la disponibilité de la plateforme dans les six langues officielles des Nations Unies ; </w:t>
      </w:r>
    </w:p>
    <w:p w14:paraId="1321381E" w14:textId="77777777" w:rsidR="00080196" w:rsidRPr="008E1212" w:rsidRDefault="00080196" w:rsidP="001F3938">
      <w:pPr>
        <w:pStyle w:val="CBDDesicionText"/>
      </w:pPr>
      <w:r>
        <w:t>c)</w:t>
      </w:r>
      <w:r>
        <w:tab/>
        <w:t>De développer un modèle de site Web national personnalisé sur la prévention des risques biotechnologiques en utilisant l’outil Bioland et de le mettre à la disposition des Parties souhaitant créer un site Web national sur la prévention des risques biotechnologiques avec des liens vers le Centre d’échange pour la prévention des risques biotechnologiques ;</w:t>
      </w:r>
    </w:p>
    <w:p w14:paraId="7C728EB7" w14:textId="77777777" w:rsidR="00080196" w:rsidRPr="008E1212" w:rsidRDefault="00080196" w:rsidP="001F3938">
      <w:pPr>
        <w:pStyle w:val="CBDDesicionText"/>
      </w:pPr>
      <w:r>
        <w:t>d)</w:t>
      </w:r>
      <w:r>
        <w:tab/>
        <w:t xml:space="preserve">De continuer à élaborer du matériel de renforcement des capacités et à impartir des formations sur les nouvelles fonctionnalités du Centre d’échange pour la prévention des risques biotechnologiques ; </w:t>
      </w:r>
    </w:p>
    <w:p w14:paraId="51DA0F0C" w14:textId="77777777" w:rsidR="00080196" w:rsidRPr="008E1212" w:rsidRDefault="00080196" w:rsidP="001F3938">
      <w:pPr>
        <w:pStyle w:val="CBDDesicionText"/>
      </w:pPr>
      <w:r>
        <w:t>e)</w:t>
      </w:r>
      <w:r>
        <w:tab/>
        <w:t>De continuer à collaborer avec d’autres bases de données et organisations relatives à la prévention des risques biotechnologiques.</w:t>
      </w:r>
    </w:p>
    <w:p w14:paraId="35800FE9" w14:textId="77777777" w:rsidR="00080196" w:rsidRPr="008E1212" w:rsidRDefault="00080196" w:rsidP="00A37262">
      <w:pPr>
        <w:pStyle w:val="CBDNormal"/>
      </w:pPr>
    </w:p>
    <w:p w14:paraId="0CEF1B3D"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4BF4B279" w14:textId="77777777" w:rsidR="00080196" w:rsidRPr="008E1212" w:rsidRDefault="00080196" w:rsidP="006353AF">
      <w:pPr>
        <w:pStyle w:val="CBDH2"/>
      </w:pPr>
      <w:r>
        <w:lastRenderedPageBreak/>
        <w:tab/>
      </w:r>
      <w:bookmarkStart w:id="12" w:name="_Toc194399414"/>
      <w:bookmarkStart w:id="13" w:name="_Toc194919553"/>
      <w:r>
        <w:t>CP-11/4.</w:t>
      </w:r>
      <w:r>
        <w:tab/>
        <w:t>Procédures relatives à la tenue de réunions virtuelles et hybrides</w:t>
      </w:r>
      <w:bookmarkEnd w:id="12"/>
      <w:bookmarkEnd w:id="13"/>
    </w:p>
    <w:p w14:paraId="056FB875" w14:textId="77777777" w:rsidR="00080196" w:rsidRPr="008E1212" w:rsidRDefault="00080196" w:rsidP="00021A79">
      <w:pPr>
        <w:pStyle w:val="CBDDesicionText"/>
        <w:rPr>
          <w:iCs/>
        </w:rPr>
      </w:pPr>
      <w:r>
        <w:rPr>
          <w:i/>
          <w:iCs/>
        </w:rPr>
        <w:t>La Conférence des Parties siégeant en tant que réunion des Parties au Protocole de Cartagena,</w:t>
      </w:r>
    </w:p>
    <w:p w14:paraId="2A041495" w14:textId="77777777" w:rsidR="00080196" w:rsidRPr="008E1212" w:rsidRDefault="00080196" w:rsidP="006353AF">
      <w:pPr>
        <w:pStyle w:val="CBDDesicionText"/>
      </w:pPr>
      <w:r>
        <w:rPr>
          <w:i/>
          <w:iCs/>
        </w:rPr>
        <w:t>Réaffirmant</w:t>
      </w:r>
      <w:r>
        <w:t xml:space="preserve"> que toutes ses réunions, ainsi que les réunions des organes subsidiaires intergouvernementaux du Protocole de Cartagena sur la prévention des risques biotechnologiques</w:t>
      </w:r>
      <w:r>
        <w:rPr>
          <w:vertAlign w:val="superscript"/>
        </w:rPr>
        <w:footnoteReference w:id="19"/>
      </w:r>
      <w:r>
        <w:t>, doivent respecter leur règlement intérieur respectif,</w:t>
      </w:r>
    </w:p>
    <w:p w14:paraId="799654D1" w14:textId="77777777" w:rsidR="00080196" w:rsidRPr="008E1212" w:rsidRDefault="00080196" w:rsidP="00CB5EC5">
      <w:pPr>
        <w:pStyle w:val="CBDDesicionText"/>
      </w:pPr>
      <w:r>
        <w:t>1.</w:t>
      </w:r>
      <w:r>
        <w:tab/>
      </w:r>
      <w:r>
        <w:rPr>
          <w:i/>
          <w:iCs/>
        </w:rPr>
        <w:t>Affirme</w:t>
      </w:r>
      <w:r>
        <w:t xml:space="preserve"> que ses réunions, ainsi que les réunions des organes subsidiaires intergouvernementaux du Protocole de Cartagena sur la prévention des risques biotechnologiques, devraient se tenir en présentiel à moins que des circonstances extraordinaires, comme indiqué au paragraphe 2 ci-dessous, ne rendent peu pratique la tenue de réunions en présentiel pendant une période prolongée ;</w:t>
      </w:r>
    </w:p>
    <w:p w14:paraId="1740DB13" w14:textId="77777777" w:rsidR="00080196" w:rsidRPr="008E1212" w:rsidRDefault="00080196" w:rsidP="00CB5EC5">
      <w:pPr>
        <w:pStyle w:val="CBDDesicionText"/>
      </w:pPr>
      <w:r>
        <w:t>2.</w:t>
      </w:r>
      <w:r>
        <w:tab/>
      </w:r>
      <w:r>
        <w:rPr>
          <w:i/>
          <w:iCs/>
        </w:rPr>
        <w:t>Réaffirme</w:t>
      </w:r>
      <w:r>
        <w:t xml:space="preserve"> qu’en cas de circonstances extraordinaires qui rendent peu pratique la tenue de réunions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 siégeant en tant que réunion des Parties au Protocole de Cartagena, tant qu’aucune décision de fond n’est prise en ligne, à l’exception de décisions sur des questions budgétaires et des questions de procédure permettant au Secrétariat de la Convention sur la diversité biologique</w:t>
      </w:r>
      <w:r>
        <w:rPr>
          <w:rFonts w:eastAsia="Times New Roman"/>
          <w:szCs w:val="24"/>
          <w:vertAlign w:val="superscript"/>
        </w:rPr>
        <w:footnoteReference w:id="20"/>
      </w:r>
      <w:r>
        <w:t xml:space="preserve"> de fonctionner ;</w:t>
      </w:r>
    </w:p>
    <w:p w14:paraId="2E213933" w14:textId="77777777" w:rsidR="00080196" w:rsidRPr="008E1212" w:rsidRDefault="00080196" w:rsidP="00CB5EC5">
      <w:pPr>
        <w:pStyle w:val="CBDDesicionText"/>
      </w:pPr>
      <w:r>
        <w:t>3.</w:t>
      </w:r>
      <w:r>
        <w:tab/>
      </w:r>
      <w:r>
        <w:rPr>
          <w:i/>
          <w:iCs/>
        </w:rPr>
        <w:t>Note</w:t>
      </w:r>
      <w:r>
        <w:t xml:space="preserve"> qu’en cas de circonstances extraordinaires qui rendraient peu pratique la tenue de réunions en présentiel, des décisions urgentes, telles que celles portant sur des questions budgétaires, peuvent être prises par la Conférence des Parties siégeant en tant que réunion des Parties au Protocole de Cartagena en vertu d’une procédure d’approbation tacite, conformément à la pratique de l’Organisation des Nations Unies</w:t>
      </w:r>
      <w:r>
        <w:rPr>
          <w:rStyle w:val="FootnoteReference"/>
        </w:rPr>
        <w:footnoteReference w:id="21"/>
      </w:r>
      <w:r>
        <w:t xml:space="preserve"> et à une décision du Bureau de la Conférence des Parties siégeant en tant que réunion des Parties au Protocole, à la suite de consultations des membres du Bureau avec leurs régions respectives et en application des procédures établies dans le règlement intérieur régissant la tenue d’une réunion extraordinaire ;</w:t>
      </w:r>
    </w:p>
    <w:p w14:paraId="4B9C3670" w14:textId="77777777" w:rsidR="00080196" w:rsidRPr="008E1212" w:rsidRDefault="00080196" w:rsidP="00021A79">
      <w:pPr>
        <w:pStyle w:val="CBDDesicionText"/>
        <w:rPr>
          <w:rFonts w:eastAsia="Times New Roman"/>
          <w:szCs w:val="24"/>
        </w:rPr>
      </w:pPr>
      <w:r>
        <w:rPr>
          <w:rFonts w:eastAsia="Times New Roman"/>
          <w:szCs w:val="24"/>
        </w:rPr>
        <w:t>4.</w:t>
      </w:r>
      <w:r>
        <w:rPr>
          <w:rFonts w:eastAsia="Times New Roman"/>
          <w:szCs w:val="24"/>
        </w:rPr>
        <w:tab/>
      </w:r>
      <w:r>
        <w:rPr>
          <w:rFonts w:eastAsia="Times New Roman"/>
          <w:i/>
          <w:iCs/>
          <w:szCs w:val="24"/>
        </w:rPr>
        <w:t>Demande</w:t>
      </w:r>
      <w:r>
        <w:rPr>
          <w:rFonts w:eastAsia="Times New Roman"/>
          <w:szCs w:val="24"/>
        </w:rPr>
        <w:t xml:space="preserve"> à la Secrétaire exécutive de veiller à ce que l’organisation des réunions visées au paragraphe 1 ci-dessus comprenne toujours une disposition permettant de diffuser les débats en ligne afin que tous les délégués dûment inscrits puissent suivre les débats en temps réel ;</w:t>
      </w:r>
    </w:p>
    <w:p w14:paraId="42E14985" w14:textId="77777777" w:rsidR="00080196" w:rsidRPr="008E1212" w:rsidRDefault="00080196" w:rsidP="00021A79">
      <w:pPr>
        <w:pStyle w:val="CBDDesicionText"/>
        <w:rPr>
          <w:rFonts w:eastAsia="Times New Roman"/>
          <w:szCs w:val="24"/>
        </w:rPr>
      </w:pPr>
      <w:r>
        <w:rPr>
          <w:rFonts w:eastAsia="Times New Roman"/>
          <w:szCs w:val="24"/>
        </w:rPr>
        <w:t>5.</w:t>
      </w:r>
      <w:r>
        <w:rPr>
          <w:rFonts w:eastAsia="Times New Roman"/>
          <w:szCs w:val="24"/>
        </w:rPr>
        <w:tab/>
      </w:r>
      <w:r>
        <w:rPr>
          <w:rFonts w:eastAsia="Times New Roman"/>
          <w:i/>
          <w:iCs/>
          <w:szCs w:val="24"/>
        </w:rPr>
        <w:t>Note</w:t>
      </w:r>
      <w:r>
        <w:rPr>
          <w:rFonts w:eastAsia="Times New Roman"/>
          <w:szCs w:val="24"/>
        </w:rPr>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 ; </w:t>
      </w:r>
    </w:p>
    <w:p w14:paraId="57CE3D32" w14:textId="7492130F" w:rsidR="00080196" w:rsidRPr="008E1212" w:rsidRDefault="00080196" w:rsidP="00021A79">
      <w:pPr>
        <w:pStyle w:val="CBDDesicionText"/>
        <w:rPr>
          <w:rFonts w:eastAsia="Times New Roman"/>
          <w:szCs w:val="24"/>
        </w:rPr>
      </w:pPr>
      <w:r>
        <w:rPr>
          <w:rFonts w:eastAsia="Times New Roman"/>
          <w:szCs w:val="24"/>
        </w:rPr>
        <w:t>6.</w:t>
      </w:r>
      <w:r>
        <w:rPr>
          <w:rFonts w:eastAsia="Times New Roman"/>
          <w:szCs w:val="24"/>
        </w:rPr>
        <w:tab/>
      </w:r>
      <w:r>
        <w:rPr>
          <w:rFonts w:eastAsia="Times New Roman"/>
          <w:i/>
          <w:iCs/>
          <w:szCs w:val="24"/>
        </w:rPr>
        <w:t>Note</w:t>
      </w:r>
      <w:r>
        <w:rPr>
          <w:rFonts w:eastAsia="Times New Roman"/>
          <w:szCs w:val="24"/>
        </w:rPr>
        <w:t xml:space="preserve"> </w:t>
      </w:r>
      <w:r>
        <w:rPr>
          <w:rFonts w:eastAsia="Times New Roman"/>
          <w:i/>
          <w:iCs/>
          <w:szCs w:val="24"/>
        </w:rPr>
        <w:t>également</w:t>
      </w:r>
      <w:r>
        <w:rPr>
          <w:rFonts w:eastAsia="Times New Roman"/>
          <w:szCs w:val="24"/>
        </w:rPr>
        <w:t xml:space="preserve"> que pendant la période intersessions, les Bureaux peuvent se réunir en ligne pour donner des orientations continues au secrétariat en ce qui concerne la préparation et la tenue des réunions de la Conférence des Parties siégeant en tant que réunion des Parties au Protocole de Cartagena et des organes subsidiaires compétents ; </w:t>
      </w:r>
    </w:p>
    <w:p w14:paraId="1E0E84C0" w14:textId="77777777" w:rsidR="00080196" w:rsidRPr="008E1212" w:rsidRDefault="00080196" w:rsidP="00021A79">
      <w:pPr>
        <w:pStyle w:val="CBDDesicionText"/>
        <w:rPr>
          <w:rFonts w:eastAsia="Times New Roman"/>
          <w:szCs w:val="24"/>
        </w:rPr>
      </w:pPr>
      <w:r>
        <w:rPr>
          <w:rFonts w:eastAsia="Times New Roman"/>
          <w:szCs w:val="24"/>
        </w:rPr>
        <w:t>7.</w:t>
      </w:r>
      <w:r>
        <w:rPr>
          <w:rFonts w:eastAsia="Times New Roman"/>
          <w:szCs w:val="24"/>
        </w:rPr>
        <w:tab/>
      </w:r>
      <w:r>
        <w:rPr>
          <w:rFonts w:eastAsia="Times New Roman"/>
          <w:i/>
          <w:iCs/>
          <w:szCs w:val="24"/>
        </w:rPr>
        <w:t>Décide</w:t>
      </w:r>
      <w:r>
        <w:rPr>
          <w:rFonts w:eastAsia="Times New Roman"/>
          <w:szCs w:val="24"/>
        </w:rPr>
        <w:t xml:space="preserve"> que :</w:t>
      </w:r>
    </w:p>
    <w:p w14:paraId="2E078E92" w14:textId="77777777" w:rsidR="00080196" w:rsidRPr="008E1212" w:rsidRDefault="00080196" w:rsidP="00021A79">
      <w:pPr>
        <w:pStyle w:val="CBDDesicionText"/>
        <w:rPr>
          <w:rFonts w:eastAsia="Times New Roman"/>
          <w:szCs w:val="24"/>
        </w:rPr>
      </w:pPr>
      <w:r>
        <w:rPr>
          <w:rFonts w:eastAsia="Times New Roman"/>
          <w:szCs w:val="24"/>
        </w:rPr>
        <w:t>a)</w:t>
      </w:r>
      <w:r>
        <w:rPr>
          <w:rFonts w:eastAsia="Times New Roman"/>
          <w:szCs w:val="24"/>
        </w:rPr>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 ;</w:t>
      </w:r>
    </w:p>
    <w:p w14:paraId="72F54230" w14:textId="77777777" w:rsidR="00080196" w:rsidRPr="008E1212" w:rsidRDefault="00080196" w:rsidP="00021A79">
      <w:pPr>
        <w:pStyle w:val="CBDDesicionText"/>
        <w:rPr>
          <w:rFonts w:eastAsia="Times New Roman"/>
          <w:szCs w:val="24"/>
        </w:rPr>
      </w:pPr>
      <w:r>
        <w:rPr>
          <w:rFonts w:eastAsia="Times New Roman"/>
          <w:szCs w:val="24"/>
        </w:rPr>
        <w:t>b)</w:t>
      </w:r>
      <w:r>
        <w:rPr>
          <w:rFonts w:eastAsia="Times New Roman"/>
          <w:szCs w:val="24"/>
        </w:rPr>
        <w:tab/>
        <w:t>Lors de la programmation de sessions de réunions en ligne, le secrétariat doit tenir compte des difficultés importantes pour la santé et le bien-être des participants résultant des différences de fuseaux horaires et viser à permettre une participation équitable des Parties de toutes les régions, y compris par la rotation des horaires ;</w:t>
      </w:r>
    </w:p>
    <w:p w14:paraId="45F932C2" w14:textId="77777777" w:rsidR="00080196" w:rsidRPr="008E1212" w:rsidRDefault="00080196" w:rsidP="00021A79">
      <w:pPr>
        <w:pStyle w:val="CBDDesicionText"/>
        <w:rPr>
          <w:rFonts w:eastAsia="Times New Roman"/>
          <w:szCs w:val="24"/>
        </w:rPr>
      </w:pPr>
      <w:r>
        <w:rPr>
          <w:rFonts w:eastAsia="Times New Roman"/>
          <w:szCs w:val="24"/>
        </w:rPr>
        <w:lastRenderedPageBreak/>
        <w:t>c)</w:t>
      </w:r>
      <w:r>
        <w:rPr>
          <w:rFonts w:eastAsia="Times New Roman"/>
          <w:szCs w:val="24"/>
        </w:rPr>
        <w:tab/>
        <w:t xml:space="preserve">La durée des sessions en ligne devrait être limitée de préférence à deux heures consécutives par jour ; </w:t>
      </w:r>
    </w:p>
    <w:p w14:paraId="041D181E" w14:textId="77777777" w:rsidR="00080196" w:rsidRPr="008E1212" w:rsidRDefault="00080196" w:rsidP="006353AF">
      <w:pPr>
        <w:pStyle w:val="CBDDesicionText"/>
      </w:pPr>
      <w:r>
        <w:rPr>
          <w:rFonts w:eastAsia="Times New Roman"/>
          <w:szCs w:val="24"/>
        </w:rPr>
        <w:t>d)</w:t>
      </w:r>
      <w:r>
        <w:rPr>
          <w:rFonts w:eastAsia="Times New Roman"/>
          <w:szCs w:val="24"/>
        </w:rPr>
        <w:tab/>
        <w:t>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p>
    <w:p w14:paraId="6B32EFFE" w14:textId="77777777" w:rsidR="00080196" w:rsidRPr="008E1212" w:rsidRDefault="00080196" w:rsidP="006852AB">
      <w:pPr>
        <w:pStyle w:val="Para1"/>
        <w:jc w:val="center"/>
      </w:pPr>
    </w:p>
    <w:p w14:paraId="1C2DCCDA"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24187820" w14:textId="266251AB" w:rsidR="00080196" w:rsidRPr="008E1212" w:rsidRDefault="00AC6B37" w:rsidP="00AC6B37">
      <w:pPr>
        <w:pStyle w:val="CBDH2"/>
        <w:jc w:val="left"/>
      </w:pPr>
      <w:r>
        <w:lastRenderedPageBreak/>
        <w:tab/>
      </w:r>
      <w:bookmarkStart w:id="14" w:name="_Toc194399415"/>
      <w:bookmarkStart w:id="15" w:name="_Toc194919554"/>
      <w:r>
        <w:t>CP-11/5.</w:t>
      </w:r>
      <w:r>
        <w:tab/>
        <w:t>Options pour améliorer davantage l'efficacité des processus relevant de la Convention et de ses Protocoles</w:t>
      </w:r>
      <w:bookmarkEnd w:id="14"/>
      <w:bookmarkEnd w:id="15"/>
    </w:p>
    <w:p w14:paraId="59C52E8D" w14:textId="77777777" w:rsidR="00080196" w:rsidRPr="008E1212" w:rsidRDefault="00080196" w:rsidP="006C520B">
      <w:pPr>
        <w:pStyle w:val="CBDDesicionText"/>
        <w:rPr>
          <w:i/>
          <w:kern w:val="22"/>
        </w:rPr>
      </w:pPr>
      <w:r>
        <w:rPr>
          <w:i/>
          <w:kern w:val="22"/>
        </w:rPr>
        <w:t xml:space="preserve">La Conférence des Parties siégeant en tant que réunion des Parties au Protocole de Cartagena, </w:t>
      </w:r>
    </w:p>
    <w:p w14:paraId="7C97C9A3" w14:textId="77777777" w:rsidR="00080196" w:rsidRPr="008E1212" w:rsidRDefault="00080196" w:rsidP="006C520B">
      <w:pPr>
        <w:pStyle w:val="CBDDesicionText"/>
      </w:pPr>
      <w:r>
        <w:rPr>
          <w:i/>
          <w:iCs/>
        </w:rPr>
        <w:t xml:space="preserve">Rappelant la </w:t>
      </w:r>
      <w:r>
        <w:t>décision </w:t>
      </w:r>
      <w:hyperlink r:id="rId22" w:history="1">
        <w:r>
          <w:rPr>
            <w:rStyle w:val="Hyperlink"/>
          </w:rPr>
          <w:t>CP-10/8</w:t>
        </w:r>
      </w:hyperlink>
      <w:r>
        <w:t xml:space="preserve"> du 10 décembre 2022,</w:t>
      </w:r>
    </w:p>
    <w:p w14:paraId="661F5A10" w14:textId="77777777" w:rsidR="00080196" w:rsidRPr="008E1212" w:rsidRDefault="00080196" w:rsidP="006C520B">
      <w:pPr>
        <w:pStyle w:val="CBDDesicionText"/>
      </w:pPr>
      <w:r>
        <w:rPr>
          <w:i/>
        </w:rPr>
        <w:t>Reconnaissant</w:t>
      </w:r>
      <w:r>
        <w:t xml:space="preserve"> la nécessité d’améliorer davantage l’efficacité des réunions au titre de la Convention sur la diversité biologique</w:t>
      </w:r>
      <w:r>
        <w:rPr>
          <w:rStyle w:val="FootnoteReference"/>
        </w:rPr>
        <w:footnoteReference w:id="22"/>
      </w:r>
      <w:r>
        <w:t xml:space="preserve"> et de ses Protocoles,</w:t>
      </w:r>
    </w:p>
    <w:p w14:paraId="5BCF0EB9" w14:textId="77777777" w:rsidR="00080196" w:rsidRPr="008E1212" w:rsidRDefault="00080196" w:rsidP="006C520B">
      <w:pPr>
        <w:pStyle w:val="CBDDesicionText"/>
      </w:pPr>
      <w:r>
        <w:t>1.</w:t>
      </w:r>
      <w:r>
        <w:rPr>
          <w:i/>
        </w:rPr>
        <w:tab/>
        <w:t>Prend note</w:t>
      </w:r>
      <w:r>
        <w:t xml:space="preserve"> des expériences récentes et des autres suggestions visant à améliorer l’efficacité des processus relevant de la Convention et de ses Protocoles, résumées dans le document </w:t>
      </w:r>
      <w:hyperlink r:id="rId23" w:history="1">
        <w:r>
          <w:rPr>
            <w:rStyle w:val="Hyperlink"/>
          </w:rPr>
          <w:t>CBD/SBI/4/11</w:t>
        </w:r>
      </w:hyperlink>
      <w:r>
        <w:t> ;</w:t>
      </w:r>
    </w:p>
    <w:p w14:paraId="3174B32A" w14:textId="77777777" w:rsidR="00080196" w:rsidRPr="008E1212" w:rsidRDefault="00080196" w:rsidP="006C520B">
      <w:pPr>
        <w:pStyle w:val="CBDDesicionText"/>
        <w:rPr>
          <w:u w:val="single"/>
        </w:rPr>
      </w:pPr>
      <w:r>
        <w:t>2.</w:t>
      </w:r>
      <w:r>
        <w:tab/>
      </w:r>
      <w:bookmarkStart w:id="16" w:name="_Hlk167785703"/>
      <w:r>
        <w:rPr>
          <w:i/>
          <w:iCs/>
        </w:rPr>
        <w:t>Prie</w:t>
      </w:r>
      <w:r>
        <w:t xml:space="preserve"> la Secrétaire exécutive </w:t>
      </w:r>
      <w:bookmarkEnd w:id="16"/>
      <w:r>
        <w:t xml:space="preserve"> et les Bureaux de mettre à profit ces expériences lorsqu’ils prépareront l’organisation des travaux et les notes de scénario pour les réunions à venir, et de mettre ces notes à la disposition de toutes les Parties avant les réunions ;</w:t>
      </w:r>
    </w:p>
    <w:p w14:paraId="650A1192" w14:textId="77777777" w:rsidR="00080196" w:rsidRPr="008E1212" w:rsidRDefault="00080196" w:rsidP="006C520B">
      <w:pPr>
        <w:pStyle w:val="CBDDesicionText"/>
      </w:pPr>
      <w:r>
        <w:t>3.</w:t>
      </w:r>
      <w:r>
        <w:tab/>
      </w:r>
      <w:r>
        <w:rPr>
          <w:i/>
          <w:iCs/>
        </w:rPr>
        <w:t>Prie</w:t>
      </w:r>
      <w:r>
        <w:t xml:space="preserve"> la Secrétaire exécutive, ainsi que les Bureaux, de continuer à étudier et à utiliser, selon qu'il convient, des méthodes et moyens pertinents pour faciliter la préparation précoce des réunions, notamment des options pour simplifier les ordres du jour, faire examiner les documents par les pairs à l’avance et communiquer rapidement les déclarations ;</w:t>
      </w:r>
    </w:p>
    <w:p w14:paraId="4E50FA89" w14:textId="77777777" w:rsidR="00080196" w:rsidRPr="008E1212" w:rsidRDefault="00080196" w:rsidP="00E322A9">
      <w:pPr>
        <w:pStyle w:val="CBDDesicionText"/>
      </w:pPr>
      <w:r>
        <w:t>4.</w:t>
      </w:r>
      <w:r>
        <w:tab/>
      </w:r>
      <w:r>
        <w:rPr>
          <w:i/>
          <w:iCs/>
        </w:rPr>
        <w:t>Recommande</w:t>
      </w:r>
      <w:r>
        <w:t xml:space="preserve"> que pendant les réunions des organes subsidiaires à composition non limitée, le nombre de réunions des groupes de contacts et des groupes d’amis de la présidence tenues en parallèle devrait être restreint, dans la mesure du possible, au nombre de délégués par pays en développement Partie dont la participation a été soutenue par le secrétariat ;</w:t>
      </w:r>
    </w:p>
    <w:p w14:paraId="13A83436" w14:textId="77777777" w:rsidR="00080196" w:rsidRPr="008E1212" w:rsidRDefault="00080196" w:rsidP="006C520B">
      <w:pPr>
        <w:pStyle w:val="CBDDesicionText"/>
      </w:pPr>
      <w:r>
        <w:t>5.</w:t>
      </w:r>
      <w:r>
        <w:tab/>
      </w:r>
      <w:r>
        <w:rPr>
          <w:i/>
        </w:rPr>
        <w:t>Prie</w:t>
      </w:r>
      <w:r>
        <w:t xml:space="preserve"> la Secrétaire exécutive de faciliter l’identification d’un soutien financier supplémentaire, afin d’accroître la participation des pays en développement Parties, en particulier des pays les moins avancés et des petits États insulaires en développement, et des Parties à économie en transition ;</w:t>
      </w:r>
    </w:p>
    <w:p w14:paraId="36E7B84F" w14:textId="77777777" w:rsidR="00080196" w:rsidRPr="008E1212" w:rsidRDefault="00080196" w:rsidP="006C520B">
      <w:pPr>
        <w:pStyle w:val="CBDDesicionText"/>
      </w:pPr>
      <w:r>
        <w:t>6.</w:t>
      </w:r>
      <w:r>
        <w:tab/>
      </w:r>
      <w:r>
        <w:rPr>
          <w:i/>
          <w:iCs/>
        </w:rPr>
        <w:t>Décide</w:t>
      </w:r>
      <w:r>
        <w:t xml:space="preserve"> que, dans le cas de réunions intergouvernementales consécutives, une journée libre obligatoire sera de préférence planifiée au terme de chaque semaine, sans préjudice du soutien offert aux délégués répondant aux conditions requises ;</w:t>
      </w:r>
    </w:p>
    <w:p w14:paraId="72968D7B" w14:textId="77777777" w:rsidR="00080196" w:rsidRPr="008E1212" w:rsidRDefault="00080196" w:rsidP="006C520B">
      <w:pPr>
        <w:pStyle w:val="CBDDesicionText"/>
      </w:pPr>
      <w:r>
        <w:t>7.</w:t>
      </w:r>
      <w:r>
        <w:tab/>
      </w:r>
      <w:r>
        <w:rPr>
          <w:i/>
          <w:iCs/>
        </w:rPr>
        <w:t>Reconnaît</w:t>
      </w:r>
      <w: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qu’il n’en soit convenu autrement, qu’aucune séance ne devra être prévue au-delà de 13 heures après le début de la première réunion à composition non limitée de la journée ;</w:t>
      </w:r>
    </w:p>
    <w:p w14:paraId="14BE9F46" w14:textId="77777777" w:rsidR="00080196" w:rsidRPr="008E1212" w:rsidRDefault="00080196" w:rsidP="006C520B">
      <w:pPr>
        <w:pStyle w:val="CBDDesicionText"/>
      </w:pPr>
      <w:r>
        <w:t>8.</w:t>
      </w:r>
      <w:r>
        <w:tab/>
      </w:r>
      <w:r>
        <w:rPr>
          <w:i/>
        </w:rPr>
        <w:t xml:space="preserve">Prie </w:t>
      </w:r>
      <w:r>
        <w:t>le Bureau de la Conférence des Parties siégeant en tant que réunion des Parties au Protocole de Cartagena sur la prévention des risques biotechnologiques</w:t>
      </w:r>
      <w:r>
        <w:rPr>
          <w:rStyle w:val="FootnoteReference"/>
        </w:rPr>
        <w:footnoteReference w:id="23"/>
      </w:r>
      <w:r>
        <w:t xml:space="preserve"> et le Bureau de l’Organe subsidiaire chargé de fournir des avis scientifiques, techniques et technologiques d’identifier un bassin de représentants pour siéger comme présidents de groupes de travail, de groupes de contact ou de facilitateurs de groupes d’amis de la présidence, selon leur capacité à instaurer de la confiance et à établir un consensus entre ceux dont les points de vue divergent, et selon leur connaissance avérée relative à la question que les groupes doivent aborder, bien avant les réunions intergouvernementales tenues au titre du Protocole ;</w:t>
      </w:r>
    </w:p>
    <w:p w14:paraId="6FF0F002" w14:textId="77777777" w:rsidR="00080196" w:rsidRPr="008E1212" w:rsidRDefault="00080196" w:rsidP="006C520B">
      <w:pPr>
        <w:pStyle w:val="CBDDesicionText"/>
      </w:pPr>
      <w:r>
        <w:t>9.</w:t>
      </w:r>
      <w:r>
        <w:tab/>
      </w:r>
      <w:r>
        <w:rPr>
          <w:i/>
          <w:iCs/>
        </w:rPr>
        <w:t>Prie</w:t>
      </w:r>
      <w:r>
        <w:t xml:space="preserve"> la Secrétaire exécutive, dans la limite des ressources disponibles, de planifier une séance d’orientation ou de formation pour les représentants nommés en vertu du paragraphe 8 ci-dessus avant les réunions, afin qu’ils puissent se familiariser avec les règlements intérieurs et les </w:t>
      </w:r>
      <w:r>
        <w:lastRenderedPageBreak/>
        <w:t>pratiques, techniques et compétences établies en matière de gestion de négociations multilatérales et d’établissement d’un consensus, dans le but de garantir l’utilisation d’approches éthiques et une impartialité, conformément aux normes et principes des Nations Unies, y compris par l’entremise des modules de formation offerts par les Nations Unies ;</w:t>
      </w:r>
    </w:p>
    <w:p w14:paraId="093463AF" w14:textId="77777777" w:rsidR="00080196" w:rsidRPr="008E1212" w:rsidRDefault="00080196" w:rsidP="006C520B">
      <w:pPr>
        <w:pStyle w:val="CBDDesicionText"/>
      </w:pPr>
      <w:r>
        <w:t>10.</w:t>
      </w:r>
      <w:r>
        <w:tab/>
      </w:r>
      <w:r>
        <w:rPr>
          <w:i/>
        </w:rPr>
        <w:t>Prie</w:t>
      </w:r>
      <w:r>
        <w:t xml:space="preserve"> également la Secrétaire exécutive, dans la limite des ressources disponibles, de faciliter la présence des représentants provenant des pays en développement Parties nommés en vertu du paragraphe 8 ci-dessus aux réunions intergouvernementales au titre du Protocole de Cartagena, sans préjudice du soutien offert pour la participation de leurs délégations, lorsque cela est possible ;</w:t>
      </w:r>
    </w:p>
    <w:p w14:paraId="39E0D3DE" w14:textId="77777777" w:rsidR="00080196" w:rsidRPr="008E1212" w:rsidRDefault="00080196" w:rsidP="006C520B">
      <w:pPr>
        <w:pStyle w:val="CBDDesicionText"/>
      </w:pPr>
      <w:r>
        <w:t>11.</w:t>
      </w:r>
      <w:r>
        <w:tab/>
      </w:r>
      <w:r>
        <w:rPr>
          <w:i/>
          <w:iCs/>
        </w:rPr>
        <w:t>Recommande</w:t>
      </w:r>
      <w:r>
        <w:t xml:space="preserve"> que l’organisation des réunions inclue des options permettant d’éviter des discussions prolongées et infructueuses, telles que l’utilisation appropriée de pauses stratégiques pour permettre aux discussions en petits groupes et des groupes d’amis de la présidence de trouver des solutions possibles ;</w:t>
      </w:r>
    </w:p>
    <w:p w14:paraId="012CB455" w14:textId="77777777" w:rsidR="00080196" w:rsidRPr="008E1212" w:rsidRDefault="00080196" w:rsidP="006C520B">
      <w:pPr>
        <w:pStyle w:val="CBDDesicionText"/>
      </w:pPr>
      <w:r>
        <w:t>12.</w:t>
      </w:r>
      <w:r>
        <w:rPr>
          <w:i/>
        </w:rPr>
        <w:tab/>
        <w:t>Encourage</w:t>
      </w:r>
      <w:r>
        <w:t xml:space="preserve"> les Parties et les autres gouvernements à collaborer avec les peuples autochtones et communautés locales, les femmes et les jeunes, et autres organisations nationales ayant le statut d’observateur, et à solliciter les points de vue d’un large éventail de secteurs, dans le cadre de leur processus de préparation au niveau national en vue des réunions des organes directeurs et organes subsidiaires, afin d’éclairer l’élaboration de leurs positions nationales, le cas échéant et en tenant compte du contexte national ;</w:t>
      </w:r>
    </w:p>
    <w:p w14:paraId="2B0EDBB3" w14:textId="77777777" w:rsidR="00080196" w:rsidRPr="008E1212" w:rsidRDefault="00080196" w:rsidP="006C520B">
      <w:pPr>
        <w:pStyle w:val="CBDDesicionText"/>
      </w:pPr>
      <w:r>
        <w:t>13</w:t>
      </w:r>
      <w:r>
        <w:rPr>
          <w:i/>
        </w:rPr>
        <w:t>.</w:t>
      </w:r>
      <w:r>
        <w:rPr>
          <w:i/>
        </w:rPr>
        <w:tab/>
        <w:t>Prie</w:t>
      </w:r>
      <w:r>
        <w:t xml:space="preserve"> la Secrétaire exécutive, sous la direction du Bureau, de :</w:t>
      </w:r>
    </w:p>
    <w:p w14:paraId="740F2C0E" w14:textId="77777777" w:rsidR="00080196" w:rsidRPr="008E1212" w:rsidRDefault="00080196" w:rsidP="006C520B">
      <w:pPr>
        <w:pStyle w:val="CBDDesicionText"/>
      </w:pPr>
      <w:r>
        <w:t>a)</w:t>
      </w:r>
      <w:r>
        <w:tab/>
        <w:t>Veiller à ce que les documents de travail soient mis à disposition pour les réunions des organes subsidiaires à composition non limitée du Protocole de Cartagena dans toutes les langues officielles des Nations Unies, conformément à leurs règlements intérieurs ou leur mode de fonctionnement respectifs, et six semaines au moins avant l’ouverture de la réunion en question, et de veiller à ce que les dates de publication, y compris de toute version mise à jour, soient clairement indiquées sur le site Web de la réunion concernée, et d’aider les présidents de réunions à demander aux Parties de réexaminer leurs ordres du jour respectifs pour les réunions au début desdites réunions, si les procédures de publication des documents ne sont pas respectées ;</w:t>
      </w:r>
    </w:p>
    <w:p w14:paraId="051A0C1D" w14:textId="77777777" w:rsidR="00080196" w:rsidRPr="008E1212" w:rsidRDefault="00080196" w:rsidP="006C520B">
      <w:pPr>
        <w:pStyle w:val="CBDDesicionText"/>
      </w:pPr>
      <w:r>
        <w:t>b)</w:t>
      </w:r>
      <w:r>
        <w:tab/>
        <w:t>Définir un calendrier précis pour les préparatifs de chaque réunion, en temps opportun, en commençant par les réunions des organes subsidiaires après la onzième réunion de la Conférence des Parties</w:t>
      </w:r>
      <w:bookmarkStart w:id="17" w:name="_Hlk181360976"/>
      <w:r>
        <w:t xml:space="preserve"> siégeant en tant que réunion des Parties au Protocole de Cartagena</w:t>
      </w:r>
      <w:bookmarkEnd w:id="17"/>
      <w:r>
        <w:t> ;</w:t>
      </w:r>
    </w:p>
    <w:p w14:paraId="534F6982" w14:textId="77777777" w:rsidR="00080196" w:rsidRPr="008E1212" w:rsidRDefault="00080196" w:rsidP="006C520B">
      <w:pPr>
        <w:pStyle w:val="CBDDesicionText"/>
        <w:rPr>
          <w:iCs/>
        </w:rPr>
      </w:pPr>
      <w:r>
        <w:t>c)</w:t>
      </w:r>
      <w:r>
        <w:rPr>
          <w:rFonts w:ascii="Arial" w:eastAsia="Arial" w:hAnsi="Arial" w:cs="Arial"/>
        </w:rPr>
        <w:tab/>
      </w:r>
      <w:r>
        <w:t>Fournir aux correspondants nationaux à la fin de chaque année, à partir de 2024, un calendrier des activités et mesures prévues au cours de l’année suivante, de manière à simplifier les activités intersessions et à faciliter la gestion des flux de travail ;</w:t>
      </w:r>
    </w:p>
    <w:p w14:paraId="288F8A2D" w14:textId="77777777" w:rsidR="00080196" w:rsidRPr="008E1212" w:rsidRDefault="00080196" w:rsidP="006C520B">
      <w:pPr>
        <w:pStyle w:val="CBDDesicionText"/>
      </w:pPr>
      <w:r>
        <w:t>d)</w:t>
      </w:r>
      <w:r>
        <w:tab/>
        <w:t>S’efforcer de restreindre la taille des projets de recommandation des organes subsidiaires ou des projets de décision des organes directeurs, et d’éviter le dédoublement et la redondance avec les décisions existantes, sans nuire à la capacité de la Conférence des Parties siégeant en tant que réunion des Parties au Protocole de Cartagena de réexaminer des décisions antérieures, afin de faciliter la mise en œuvre subséquente des décisions ;</w:t>
      </w:r>
    </w:p>
    <w:p w14:paraId="25B4B40B" w14:textId="77777777" w:rsidR="00080196" w:rsidRPr="008E1212" w:rsidRDefault="00080196" w:rsidP="006C520B">
      <w:pPr>
        <w:pStyle w:val="CBDDesicionText"/>
      </w:pPr>
      <w:r>
        <w:t>e)</w:t>
      </w:r>
      <w:r>
        <w:tab/>
        <w:t>Aider les présidents des réunions intergouvernementales à limiter le nombre de points de l’ordre du jour qui ne sont pas assignés à des groupes de contacts, des groupes d’amis de la présidence et des petits groupes, et qui aboutissent directement à des documents de séance pour les points au sujet desquels il subsiste peu de désaccords ;</w:t>
      </w:r>
    </w:p>
    <w:p w14:paraId="206BDFB7" w14:textId="77777777" w:rsidR="00080196" w:rsidRPr="008E1212" w:rsidRDefault="00080196" w:rsidP="006C520B">
      <w:pPr>
        <w:pStyle w:val="CBDDesicionText"/>
      </w:pPr>
      <w:r>
        <w:t>f)</w:t>
      </w:r>
      <w:r>
        <w:tab/>
        <w:t>Revoir la structure du site Web du Protocole de Cartagena, afin de le rendre plus facile à utiliser ;</w:t>
      </w:r>
    </w:p>
    <w:p w14:paraId="65724186" w14:textId="77777777" w:rsidR="00080196" w:rsidRPr="008E1212" w:rsidRDefault="00080196" w:rsidP="006C520B">
      <w:pPr>
        <w:pStyle w:val="CBDDesicionText"/>
      </w:pPr>
      <w:r>
        <w:t>14.</w:t>
      </w:r>
      <w:r>
        <w:tab/>
      </w:r>
      <w:r>
        <w:rPr>
          <w:i/>
          <w:iCs/>
        </w:rPr>
        <w:t>Prie</w:t>
      </w:r>
      <w:r>
        <w:t xml:space="preserve"> le </w:t>
      </w:r>
      <w:bookmarkStart w:id="18" w:name="_Hlk172542561"/>
      <w:r>
        <w:t>Bureau de la Conférence des Parties siégeant en tant que réunion des Parties au Protocole de Cartagena et le Bureau de l’Organe subsidiaire chargé de fournir des avis scientifiques, techniques et technologiques</w:t>
      </w:r>
      <w:bookmarkEnd w:id="18"/>
      <w:r>
        <w:t xml:space="preserve"> de publier des notes de scénario pour chaque réunion </w:t>
      </w:r>
      <w:r>
        <w:lastRenderedPageBreak/>
        <w:t>intergouvernementale tenue au titre du Protocole et de planifier la tenue des réunions du Bureau à des moments stratégiques du processus ;</w:t>
      </w:r>
    </w:p>
    <w:p w14:paraId="6B48ADE9" w14:textId="77777777" w:rsidR="00080196" w:rsidRPr="008E1212" w:rsidRDefault="00080196" w:rsidP="00885473">
      <w:pPr>
        <w:pStyle w:val="CBDNormalNoNumber"/>
        <w:ind w:firstLine="567"/>
      </w:pPr>
      <w:r>
        <w:t>15.</w:t>
      </w:r>
      <w:r>
        <w:tab/>
      </w:r>
      <w:r>
        <w:rPr>
          <w:i/>
          <w:iCs/>
        </w:rPr>
        <w:t>Prie</w:t>
      </w:r>
      <w:r>
        <w:t xml:space="preserve"> la Secrétaire exécutive de permettre des consultations avec les Parties, les membres du Bureau, les partenaires et les parties prenantes, avec le soutien de spécialistes externes dans ce domaine, selon qu’il convient, afin de continuer à mettre au point des options qui permettront d’améliorer davantage l’efficacité des réunions au titre du Protocole de Cartagena, et de transmettre ces propositions pour examen par l’Organe subsidiaire chargé de l’application à sa sixième réunion, en vue d’élaborer un projet de décision pour examen par la Conférence des Parties siégeant en tant que réunion des Parties au Protocole à sa douzième réunion, compte tenu de la recommandation </w:t>
      </w:r>
      <w:hyperlink r:id="rId24" w:history="1">
        <w:r>
          <w:rPr>
            <w:rStyle w:val="Hyperlink"/>
          </w:rPr>
          <w:t>4/12</w:t>
        </w:r>
      </w:hyperlink>
      <w:r>
        <w:t xml:space="preserve"> du 29 mai 2024 de l’Organe subsidiaire chargé de l’application, y compris de la compilation des communications figurant à l’annexe II de la recommandation</w:t>
      </w:r>
      <w:r>
        <w:br w:type="page"/>
      </w:r>
      <w:r>
        <w:lastRenderedPageBreak/>
        <w:t>.</w:t>
      </w:r>
    </w:p>
    <w:p w14:paraId="5E44A3A0" w14:textId="77777777" w:rsidR="00080196" w:rsidRPr="008E1212" w:rsidRDefault="00080196" w:rsidP="0037065A">
      <w:pPr>
        <w:pStyle w:val="CBDH2"/>
      </w:pPr>
      <w:r>
        <w:tab/>
      </w:r>
      <w:bookmarkStart w:id="19" w:name="_Toc194399416"/>
      <w:bookmarkStart w:id="20" w:name="_Toc194919555"/>
      <w:r>
        <w:t>CP-11/6.</w:t>
      </w:r>
      <w:r>
        <w:tab/>
        <w:t>Procédure relative à la prévention et à la gestion des conflits d’intérêts au sein des groupes d’experts</w:t>
      </w:r>
      <w:bookmarkEnd w:id="19"/>
      <w:bookmarkEnd w:id="20"/>
    </w:p>
    <w:p w14:paraId="0A462531" w14:textId="77777777" w:rsidR="00080196" w:rsidRPr="008E1212" w:rsidRDefault="00080196" w:rsidP="00DF7F25">
      <w:pPr>
        <w:pStyle w:val="CBDDesicionText"/>
        <w:rPr>
          <w:iCs/>
        </w:rPr>
      </w:pPr>
      <w:r>
        <w:rPr>
          <w:i/>
          <w:iCs/>
        </w:rPr>
        <w:t xml:space="preserve">La Conférence des Parties siégeant en tant que réunion des Parties au Protocole de Cartagena, </w:t>
      </w:r>
    </w:p>
    <w:p w14:paraId="400D8A23" w14:textId="77777777" w:rsidR="00080196" w:rsidRPr="008E1212" w:rsidRDefault="00080196" w:rsidP="00DF7F25">
      <w:pPr>
        <w:pStyle w:val="CBDDesicionText"/>
        <w:rPr>
          <w:iCs/>
          <w:kern w:val="22"/>
        </w:rPr>
      </w:pPr>
      <w:r>
        <w:rPr>
          <w:i/>
          <w:kern w:val="22"/>
        </w:rPr>
        <w:t>Rappelant</w:t>
      </w:r>
      <w:r>
        <w:rPr>
          <w:kern w:val="22"/>
        </w:rPr>
        <w:t xml:space="preserve"> la </w:t>
      </w:r>
      <w:r>
        <w:rPr>
          <w:iCs/>
          <w:kern w:val="22"/>
        </w:rPr>
        <w:t xml:space="preserve">décision </w:t>
      </w:r>
      <w:hyperlink r:id="rId25" w:history="1">
        <w:r>
          <w:rPr>
            <w:rStyle w:val="Hyperlink"/>
            <w:iCs/>
            <w:kern w:val="22"/>
          </w:rPr>
          <w:t>CP-9/10</w:t>
        </w:r>
      </w:hyperlink>
      <w:r>
        <w:rPr>
          <w:iCs/>
          <w:kern w:val="22"/>
        </w:rPr>
        <w:t xml:space="preserve"> du 28 novembre 2018, </w:t>
      </w:r>
    </w:p>
    <w:p w14:paraId="6279498A" w14:textId="77777777" w:rsidR="00080196" w:rsidRPr="008E1212" w:rsidRDefault="00080196" w:rsidP="00DF7F25">
      <w:pPr>
        <w:pStyle w:val="CBDDesicionText"/>
        <w:rPr>
          <w:iCs/>
          <w:kern w:val="22"/>
        </w:rPr>
      </w:pPr>
      <w:r>
        <w:rPr>
          <w:i/>
          <w:kern w:val="22"/>
        </w:rPr>
        <w:t>Ayant étudié</w:t>
      </w:r>
      <w:r>
        <w:rPr>
          <w:iCs/>
          <w:kern w:val="22"/>
        </w:rPr>
        <w:t xml:space="preserve"> le rapport du secrétariat de la Convention sur la diversité biologique</w:t>
      </w:r>
      <w:r>
        <w:rPr>
          <w:rStyle w:val="FootnoteReference"/>
          <w:iCs/>
          <w:kern w:val="22"/>
        </w:rPr>
        <w:footnoteReference w:id="24"/>
      </w:r>
      <w:r>
        <w:rPr>
          <w:iCs/>
          <w:kern w:val="22"/>
        </w:rPr>
        <w:t xml:space="preserve"> sur l’application de la procédure relative à la prévention et à la gestion des conflits d’intérêts au sein des groupes d’experts</w:t>
      </w:r>
      <w:r>
        <w:rPr>
          <w:rStyle w:val="FootnoteReference"/>
          <w:iCs/>
          <w:kern w:val="22"/>
        </w:rPr>
        <w:footnoteReference w:id="25"/>
      </w:r>
      <w:r>
        <w:rPr>
          <w:iCs/>
          <w:kern w:val="22"/>
        </w:rPr>
        <w:t>,</w:t>
      </w:r>
    </w:p>
    <w:p w14:paraId="62071164" w14:textId="77777777" w:rsidR="00080196" w:rsidRPr="008E1212" w:rsidRDefault="00080196" w:rsidP="00DF7F25">
      <w:pPr>
        <w:pStyle w:val="CBDDesicionText"/>
        <w:rPr>
          <w:kern w:val="22"/>
        </w:rPr>
      </w:pPr>
      <w:r>
        <w:rPr>
          <w:i/>
          <w:kern w:val="22"/>
        </w:rPr>
        <w:t>Tenant compte</w:t>
      </w:r>
      <w:r>
        <w:t xml:space="preserve"> de l’utilisation effective de la procédure relative à la prévention et à la gestion des conflits d’intérêts</w:t>
      </w:r>
      <w:r>
        <w:rPr>
          <w:rStyle w:val="FootnoteReference"/>
          <w:iCs/>
          <w:kern w:val="22"/>
        </w:rPr>
        <w:footnoteReference w:id="26"/>
      </w:r>
      <w:r>
        <w:rPr>
          <w:kern w:val="22"/>
        </w:rPr>
        <w:t xml:space="preserve"> </w:t>
      </w:r>
      <w:r>
        <w:t>dans le cadre de la sélection des experts des groupes d’experts techniques réunis lors des processus menés au titre de la Convention et de ses Protocoles,</w:t>
      </w:r>
    </w:p>
    <w:p w14:paraId="44331680" w14:textId="77777777" w:rsidR="00080196" w:rsidRPr="008E1212" w:rsidRDefault="00080196" w:rsidP="00DF7F25">
      <w:pPr>
        <w:pStyle w:val="CBDDesicionText"/>
        <w:rPr>
          <w:kern w:val="22"/>
        </w:rPr>
      </w:pPr>
      <w:r>
        <w:rPr>
          <w:kern w:val="22"/>
        </w:rPr>
        <w:t>1.</w:t>
      </w:r>
      <w:r>
        <w:rPr>
          <w:kern w:val="22"/>
        </w:rPr>
        <w:tab/>
      </w:r>
      <w:r>
        <w:rPr>
          <w:i/>
          <w:iCs/>
          <w:kern w:val="22"/>
        </w:rPr>
        <w:t>Approuve</w:t>
      </w:r>
      <w:r>
        <w:rPr>
          <w:kern w:val="22"/>
        </w:rPr>
        <w:t xml:space="preserve"> les modifications suivantes du formulaire de déclaration d’intérêts contenu dans l’appendice de la procédure :</w:t>
      </w:r>
    </w:p>
    <w:p w14:paraId="76F2F8ED" w14:textId="77777777" w:rsidR="00080196" w:rsidRPr="008E1212" w:rsidRDefault="00080196" w:rsidP="00DF7F25">
      <w:pPr>
        <w:pStyle w:val="CBDDesicionText"/>
        <w:rPr>
          <w:kern w:val="22"/>
        </w:rPr>
      </w:pPr>
      <w:r>
        <w:rPr>
          <w:kern w:val="22"/>
        </w:rPr>
        <w:t>a)</w:t>
      </w:r>
      <w:r>
        <w:rPr>
          <w:kern w:val="22"/>
        </w:rPr>
        <w:tab/>
      </w:r>
      <w:r>
        <w:t>Dans la phrase de déclaration à la fin du formulaire, le texte suivant est inséré : « Dans le cas où je serais sélectionné(e) pour être membre du groupe d'experts, je m'engage à exercer mes fonctions et responsabilités en toute objectivité et, dans le cas où un conflit d'intérêts serait établi, je m'engage à ne pas participer aux discussions ou prises de  décisions concernées, selon qu'il conviendra. » ;</w:t>
      </w:r>
    </w:p>
    <w:p w14:paraId="6244806D" w14:textId="77777777" w:rsidR="00080196" w:rsidRPr="008E1212" w:rsidRDefault="00080196" w:rsidP="00DF7F25">
      <w:pPr>
        <w:pStyle w:val="CBDDesicionText"/>
      </w:pPr>
      <w:r>
        <w:t>b)</w:t>
      </w:r>
      <w:r>
        <w:tab/>
        <w:t>Un champ « Nom ou description du groupe d’experts » est ajouté au début du formulaire de déclaration d’intérêts, avant le champ « Nom », et un champ « Intitulé de la fonction » est ajouté après le champ « Employeur actuel » ;</w:t>
      </w:r>
    </w:p>
    <w:p w14:paraId="78FFB7D3" w14:textId="77777777" w:rsidR="00080196" w:rsidRPr="008E1212" w:rsidRDefault="00080196" w:rsidP="00DF7F25">
      <w:pPr>
        <w:pStyle w:val="CBDDesicionText"/>
        <w:rPr>
          <w:kern w:val="22"/>
        </w:rPr>
      </w:pPr>
      <w:r>
        <w:rPr>
          <w:kern w:val="22"/>
        </w:rPr>
        <w:t>2.</w:t>
      </w:r>
      <w:r>
        <w:rPr>
          <w:kern w:val="22"/>
        </w:rPr>
        <w:tab/>
      </w:r>
      <w:r>
        <w:rPr>
          <w:i/>
          <w:iCs/>
          <w:kern w:val="22"/>
        </w:rPr>
        <w:t>Prie</w:t>
      </w:r>
      <w:r>
        <w:rPr>
          <w:kern w:val="22"/>
        </w:rPr>
        <w:t xml:space="preserve"> la Secrétaire exécutive d’intégrer les modifications citées au paragraphe 1 ci-dessus dans le formulaire de déclaration d’intérêts et de remplacer le formulaire original par la  version modifiée ;</w:t>
      </w:r>
    </w:p>
    <w:p w14:paraId="053C1EE1" w14:textId="77777777" w:rsidR="00080196" w:rsidRPr="008E1212" w:rsidRDefault="00080196" w:rsidP="00DF7F25">
      <w:pPr>
        <w:pStyle w:val="CBDDesicionText"/>
        <w:rPr>
          <w:kern w:val="22"/>
        </w:rPr>
      </w:pPr>
      <w:r>
        <w:rPr>
          <w:kern w:val="22"/>
        </w:rPr>
        <w:t>3.</w:t>
      </w:r>
      <w:r>
        <w:rPr>
          <w:kern w:val="22"/>
        </w:rPr>
        <w:tab/>
      </w:r>
      <w:r>
        <w:rPr>
          <w:i/>
          <w:iCs/>
          <w:kern w:val="22"/>
        </w:rPr>
        <w:t>Prie</w:t>
      </w:r>
      <w:r>
        <w:rPr>
          <w:kern w:val="22"/>
        </w:rPr>
        <w:t xml:space="preserve"> également la Secrétaire exécutive de prendre des mesures, selon qu’il conviendra, pour améliorer la mise en œuvre de la procédure, en consultation avec le Bureau de l’Organe subsidiaire chargé de fournir des avis scientifiques, techniques et technologiques ou le Bureau de la Conférence des Parties siégeant en tant que réunion des Parties au Protocole de Cartagena sur la prévention des risques biotechnologiques</w:t>
      </w:r>
      <w:r>
        <w:rPr>
          <w:rStyle w:val="FootnoteReference"/>
          <w:kern w:val="22"/>
        </w:rPr>
        <w:footnoteReference w:id="27"/>
      </w:r>
      <w:r>
        <w:rPr>
          <w:kern w:val="22"/>
        </w:rPr>
        <w:t xml:space="preserve">, y compris : </w:t>
      </w:r>
    </w:p>
    <w:p w14:paraId="6E794FB7" w14:textId="77777777" w:rsidR="00080196" w:rsidRPr="008E1212" w:rsidRDefault="00080196" w:rsidP="00DF7F25">
      <w:pPr>
        <w:pStyle w:val="CBDDesicionText"/>
        <w:rPr>
          <w:kern w:val="22"/>
        </w:rPr>
      </w:pPr>
      <w:r>
        <w:rPr>
          <w:kern w:val="22"/>
        </w:rPr>
        <w:t>a)</w:t>
      </w:r>
      <w:r>
        <w:rPr>
          <w:kern w:val="22"/>
        </w:rPr>
        <w:tab/>
        <w:t>Sans préjudice du point b) du paragraphe 4.4 de la procédure, en divulguant aux autres membres du groupe d’experts et au début de toute réunion d’un groupe d’experts les conflits d’intérêts significatifs déclarés par un membre particulier ;</w:t>
      </w:r>
    </w:p>
    <w:p w14:paraId="3EF3FF3D" w14:textId="77777777" w:rsidR="00080196" w:rsidRPr="008E1212" w:rsidRDefault="00080196" w:rsidP="00DF7F25">
      <w:pPr>
        <w:pStyle w:val="CBDDesicionText"/>
        <w:rPr>
          <w:kern w:val="22"/>
        </w:rPr>
      </w:pPr>
      <w:r>
        <w:rPr>
          <w:kern w:val="22"/>
        </w:rPr>
        <w:t>b)</w:t>
      </w:r>
      <w:r>
        <w:rPr>
          <w:kern w:val="22"/>
        </w:rPr>
        <w:tab/>
        <w:t>En publiant un résumé de toutes les déclarations faites et des mesures prises pour gérer tout conflit d’intérêts réel ou potentiel dans le rapport d’une réunion et dans tout autre résultat de travail ou produit d’un groupe d’experts ;</w:t>
      </w:r>
    </w:p>
    <w:p w14:paraId="3193A665" w14:textId="77777777" w:rsidR="00080196" w:rsidRPr="008E1212" w:rsidRDefault="00080196" w:rsidP="00DF7F25">
      <w:pPr>
        <w:pStyle w:val="CBDDesicionText"/>
      </w:pPr>
      <w:r>
        <w:rPr>
          <w:kern w:val="22"/>
        </w:rPr>
        <w:t>4.</w:t>
      </w:r>
      <w:r>
        <w:rPr>
          <w:kern w:val="22"/>
        </w:rPr>
        <w:tab/>
      </w:r>
      <w:r>
        <w:rPr>
          <w:i/>
          <w:iCs/>
          <w:kern w:val="22"/>
        </w:rPr>
        <w:t>Prie en outre</w:t>
      </w:r>
      <w:r>
        <w:rPr>
          <w:kern w:val="22"/>
        </w:rPr>
        <w:t xml:space="preserve"> la Secrétaire exécutive d’établir un rapport sur la mise en œuvre de la procédure et, le cas échéant, de proposer des mises à jour et des modifications de la procédure pour examen par l’Organe subsidiaire chargé de l’application à une réunion tenue avant la quatorzième réunion de la Conférence des Parties siégeant en tant que réunion des Parties au Protocole de Cartagena ;</w:t>
      </w:r>
    </w:p>
    <w:p w14:paraId="0863455D" w14:textId="77777777" w:rsidR="00080196" w:rsidRPr="008E1212" w:rsidRDefault="00080196" w:rsidP="00885473">
      <w:pPr>
        <w:pStyle w:val="CBDDesicionText"/>
      </w:pPr>
      <w:r>
        <w:rPr>
          <w:kern w:val="22"/>
        </w:rPr>
        <w:lastRenderedPageBreak/>
        <w:t>5.</w:t>
      </w:r>
      <w:r>
        <w:rPr>
          <w:kern w:val="22"/>
        </w:rPr>
        <w:tab/>
      </w:r>
      <w:r>
        <w:rPr>
          <w:i/>
          <w:iCs/>
          <w:kern w:val="22"/>
        </w:rPr>
        <w:t>Demande</w:t>
      </w:r>
      <w:r>
        <w:t xml:space="preserve"> à l’Organe subsidiaire chargé de l’application d’examiner le rapport et toute proposition de modification visée au paragraphe 4 ci-dessus et de soumettre une recommandation pour examen par la Conférence des Parties siégeant en tant que réunion des Parties au Protocole de Cartagena à sa quatorzième réunion.</w:t>
      </w:r>
    </w:p>
    <w:p w14:paraId="6368BE00"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444DEF33" w14:textId="44AD41A8" w:rsidR="00080196" w:rsidRPr="008E1212" w:rsidRDefault="0037065A" w:rsidP="0037065A">
      <w:pPr>
        <w:pStyle w:val="CBDH2"/>
      </w:pPr>
      <w:r>
        <w:lastRenderedPageBreak/>
        <w:tab/>
      </w:r>
      <w:bookmarkStart w:id="21" w:name="_Toc194399417"/>
      <w:bookmarkStart w:id="22" w:name="_Toc194919556"/>
      <w:r>
        <w:t>CP-11/7.</w:t>
      </w:r>
      <w:r>
        <w:tab/>
        <w:t>Évaluation et gestion des risques</w:t>
      </w:r>
      <w:bookmarkEnd w:id="21"/>
      <w:bookmarkEnd w:id="22"/>
    </w:p>
    <w:p w14:paraId="7CDE5243" w14:textId="77777777" w:rsidR="00080196" w:rsidRPr="008E1212" w:rsidRDefault="00080196" w:rsidP="00417CEB">
      <w:pPr>
        <w:pStyle w:val="CBDDesicionText"/>
      </w:pPr>
      <w:r>
        <w:rPr>
          <w:i/>
          <w:iCs/>
        </w:rPr>
        <w:t xml:space="preserve">La </w:t>
      </w:r>
      <w:bookmarkStart w:id="23" w:name="_Hlk166647235"/>
      <w:r>
        <w:rPr>
          <w:i/>
          <w:iCs/>
        </w:rPr>
        <w:t>Conference des Parties siégeant en tant que réunion des Parties au Protocole de Cartagena</w:t>
      </w:r>
      <w:r>
        <w:t>,</w:t>
      </w:r>
      <w:bookmarkEnd w:id="23"/>
    </w:p>
    <w:p w14:paraId="7806D344" w14:textId="77777777" w:rsidR="00080196" w:rsidRPr="008E1212" w:rsidRDefault="00080196" w:rsidP="00417CEB">
      <w:pPr>
        <w:pStyle w:val="CBDDesicionText"/>
      </w:pPr>
      <w:r>
        <w:rPr>
          <w:i/>
          <w:iCs/>
        </w:rPr>
        <w:t>Rappelant</w:t>
      </w:r>
      <w:r>
        <w:t xml:space="preserve"> l'article 1 du Protocole de Cartagena sur la prévention des risques biotechnologiques</w:t>
      </w:r>
      <w:r>
        <w:rPr>
          <w:rStyle w:val="FootnoteReference"/>
        </w:rPr>
        <w:footnoteReference w:id="28"/>
      </w:r>
      <w:r>
        <w:t>,</w:t>
      </w:r>
    </w:p>
    <w:p w14:paraId="38E3CC84" w14:textId="77777777" w:rsidR="00080196" w:rsidRPr="008E1212" w:rsidRDefault="00080196" w:rsidP="00417CEB">
      <w:pPr>
        <w:pStyle w:val="CBDDesicionText"/>
      </w:pPr>
      <w:r>
        <w:rPr>
          <w:i/>
          <w:iCs/>
        </w:rPr>
        <w:t xml:space="preserve">Rappelant également </w:t>
      </w:r>
      <w:r>
        <w:t>la décision </w:t>
      </w:r>
      <w:hyperlink r:id="rId26" w:history="1">
        <w:r>
          <w:rPr>
            <w:rStyle w:val="Hyperlink"/>
          </w:rPr>
          <w:t>CP-10/10</w:t>
        </w:r>
      </w:hyperlink>
      <w:r>
        <w:t xml:space="preserve"> du 10 décembre 2022,</w:t>
      </w:r>
    </w:p>
    <w:p w14:paraId="1629C4B0" w14:textId="77777777" w:rsidR="00080196" w:rsidRPr="008E1212" w:rsidRDefault="00080196" w:rsidP="00417CEB">
      <w:pPr>
        <w:pStyle w:val="CBDDesicionText"/>
        <w:rPr>
          <w:i/>
          <w:iCs/>
        </w:rPr>
      </w:pPr>
      <w:r>
        <w:rPr>
          <w:i/>
          <w:iCs/>
        </w:rPr>
        <w:t xml:space="preserve">Rappelant en outre </w:t>
      </w:r>
      <w:r>
        <w:t>la décision </w:t>
      </w:r>
      <w:hyperlink r:id="rId27" w:history="1">
        <w:r>
          <w:rPr>
            <w:rStyle w:val="Hyperlink"/>
          </w:rPr>
          <w:t>CP-9/13</w:t>
        </w:r>
      </w:hyperlink>
      <w:r>
        <w:t xml:space="preserve"> du 28 novembre 2018, par laquelle elle a établi un processus d’identification et de hiérarchisation des questions particulières concernant l’évaluation des risques liés aux organismes vivants modifiés qui pourraient mériter d’être examinées,</w:t>
      </w:r>
    </w:p>
    <w:p w14:paraId="5B6B5A85" w14:textId="77777777" w:rsidR="00080196" w:rsidRPr="008E1212" w:rsidRDefault="00080196" w:rsidP="00417CEB">
      <w:pPr>
        <w:pStyle w:val="CBDDesicionText"/>
      </w:pPr>
      <w:r>
        <w:rPr>
          <w:i/>
          <w:iCs/>
        </w:rPr>
        <w:t xml:space="preserve">Rappelant </w:t>
      </w:r>
      <w:r>
        <w:t>le paragraphe 7 de la décision </w:t>
      </w:r>
      <w:hyperlink r:id="rId28" w:history="1">
        <w:r>
          <w:rPr>
            <w:rStyle w:val="Hyperlink"/>
          </w:rPr>
          <w:t>14/19</w:t>
        </w:r>
      </w:hyperlink>
      <w:r>
        <w:t xml:space="preserve"> du 29 novembre 2018 de la Conférence des Parties à la Convention sur la diversité biologique</w:t>
      </w:r>
      <w:r>
        <w:rPr>
          <w:rStyle w:val="FootnoteReference"/>
        </w:rPr>
        <w:footnoteReference w:id="29"/>
      </w:r>
      <w:r>
        <w:t>, dans lequel la Conférence des Parties a souligné la nécessité d’une approche coordonnée, complémentaire et non redondante sur les questions liées à la biologie de synthèse dans le cadre de la Convention et de ses Protocoles, et prenant note, selon ce qu’il convient, des conclusions du Groupe spécial d’experts techniques multidisciplinaire sur la biologie de synthèse à l’appui du processus d’analyse prospective, de suivi et d’évaluation élargi et régulier</w:t>
      </w:r>
      <w:r>
        <w:rPr>
          <w:rStyle w:val="FootnoteReference"/>
        </w:rPr>
        <w:footnoteReference w:id="30"/>
      </w:r>
      <w:r>
        <w:t>,</w:t>
      </w:r>
    </w:p>
    <w:p w14:paraId="407C7E34" w14:textId="77777777" w:rsidR="00080196" w:rsidRPr="008E1212" w:rsidRDefault="00080196" w:rsidP="00417CEB">
      <w:pPr>
        <w:pStyle w:val="CBDDesicionText"/>
      </w:pPr>
      <w:r>
        <w:rPr>
          <w:i/>
          <w:iCs/>
        </w:rPr>
        <w:t>Prenant note</w:t>
      </w:r>
      <w:r>
        <w:t xml:space="preserve"> de l’évaluation par le Groupe spécial d’experts techniques sur l’évaluation des risques de questions supplémentaires pour lesquelles des documents d’orientation sur l’évaluation des risques pourraient être nécessaires</w:t>
      </w:r>
      <w:r>
        <w:rPr>
          <w:rStyle w:val="FootnoteReference"/>
          <w:kern w:val="22"/>
        </w:rPr>
        <w:footnoteReference w:id="31"/>
      </w:r>
      <w:r>
        <w:t>,</w:t>
      </w:r>
    </w:p>
    <w:p w14:paraId="03025B39" w14:textId="77777777" w:rsidR="00080196" w:rsidRPr="008E1212" w:rsidRDefault="00080196" w:rsidP="00417CEB">
      <w:pPr>
        <w:pStyle w:val="CBDDesicionText"/>
        <w:rPr>
          <w:i/>
          <w:iCs/>
        </w:rPr>
      </w:pPr>
      <w:r>
        <w:t>1.</w:t>
      </w:r>
      <w:r>
        <w:tab/>
      </w:r>
      <w:r>
        <w:rPr>
          <w:i/>
          <w:iCs/>
        </w:rPr>
        <w:t>Accueille avec satisfaction</w:t>
      </w:r>
      <w:r>
        <w:t xml:space="preserve"> les résultats des réunions du Groupe spécial d’experts techniques sur l’évaluation des risques</w:t>
      </w:r>
      <w:r>
        <w:rPr>
          <w:rStyle w:val="FootnoteReference"/>
        </w:rPr>
        <w:footnoteReference w:id="32"/>
      </w:r>
      <w:r>
        <w:t> ;</w:t>
      </w:r>
    </w:p>
    <w:p w14:paraId="0C725461" w14:textId="77777777" w:rsidR="00080196" w:rsidRPr="008E1212" w:rsidRDefault="00080196" w:rsidP="00417CEB">
      <w:pPr>
        <w:pStyle w:val="CBDDesicionText"/>
        <w:rPr>
          <w:i/>
          <w:iCs/>
        </w:rPr>
      </w:pPr>
      <w:r>
        <w:t>2.</w:t>
      </w:r>
      <w:r>
        <w:tab/>
      </w:r>
      <w:r>
        <w:rPr>
          <w:i/>
          <w:iCs/>
        </w:rPr>
        <w:t>Se félicite</w:t>
      </w:r>
      <w:r>
        <w:t xml:space="preserve"> des documents d’orientations facultatives supplémentaires destinés à appuyer l’évaluation des risques au cas par cas des organismes vivants modifiés contenant des gènes issus du forçage génétique</w:t>
      </w:r>
      <w:r>
        <w:rPr>
          <w:rStyle w:val="FootnoteReference"/>
        </w:rPr>
        <w:footnoteReference w:id="33"/>
      </w:r>
      <w:r>
        <w:t> ;</w:t>
      </w:r>
    </w:p>
    <w:p w14:paraId="191BC956" w14:textId="77777777" w:rsidR="00080196" w:rsidRPr="008E1212" w:rsidRDefault="00080196" w:rsidP="00417CEB">
      <w:pPr>
        <w:pStyle w:val="CBDDesicionText"/>
      </w:pPr>
      <w:r>
        <w:t>3.</w:t>
      </w:r>
      <w:r>
        <w:tab/>
      </w:r>
      <w:r>
        <w:rPr>
          <w:i/>
          <w:iCs/>
          <w:kern w:val="22"/>
        </w:rPr>
        <w:t>Invite</w:t>
      </w:r>
      <w:r>
        <w:t xml:space="preserve"> les Parties, les autres gouvernements, les peuples autochtones et communautés locales, les organisations de femmes et de jeunes, ainsi que les organisations et les parties prenantes concernées, à utiliser les documents d’orientations facultatives supplémentaires pour réaliser les évaluations des risques pertinentes et comme outil pour les activités de renforcement des capacités dans le domaine de l’évaluation des risques ;</w:t>
      </w:r>
    </w:p>
    <w:p w14:paraId="5A07A646" w14:textId="77777777" w:rsidR="00080196" w:rsidRPr="008E1212" w:rsidRDefault="00080196" w:rsidP="00417CEB">
      <w:pPr>
        <w:pStyle w:val="CBDDesicionText"/>
        <w:rPr>
          <w:kern w:val="22"/>
        </w:rPr>
      </w:pPr>
      <w:r>
        <w:rPr>
          <w:kern w:val="22"/>
        </w:rPr>
        <w:t>4.</w:t>
      </w:r>
      <w:r>
        <w:rPr>
          <w:kern w:val="22"/>
        </w:rPr>
        <w:tab/>
      </w:r>
      <w:r>
        <w:rPr>
          <w:i/>
          <w:iCs/>
          <w:kern w:val="22"/>
        </w:rPr>
        <w:t>Demande</w:t>
      </w:r>
      <w:r>
        <w:t xml:space="preserve"> la prise en compte des questions connexes exposées dans les orientations facultatives supplémentaires</w:t>
      </w:r>
      <w:r>
        <w:rPr>
          <w:rStyle w:val="FootnoteReference"/>
          <w:kern w:val="22"/>
        </w:rPr>
        <w:footnoteReference w:id="34"/>
      </w:r>
      <w:r>
        <w:rPr>
          <w:kern w:val="22"/>
        </w:rPr>
        <w:t xml:space="preserve">, </w:t>
      </w:r>
      <w:r>
        <w:t>y compris les connaissances, innovations et pratiques traditionnelles des peuples autochtones et communautés locales, dans le processus de prise de décisions ;</w:t>
      </w:r>
    </w:p>
    <w:p w14:paraId="7282A54E" w14:textId="77777777" w:rsidR="00080196" w:rsidRPr="008E1212" w:rsidRDefault="00080196" w:rsidP="00417CEB">
      <w:pPr>
        <w:pStyle w:val="CBDDesicionText"/>
        <w:rPr>
          <w:kern w:val="22"/>
        </w:rPr>
      </w:pPr>
      <w:r>
        <w:rPr>
          <w:kern w:val="22"/>
        </w:rPr>
        <w:t>5.</w:t>
      </w:r>
      <w:r>
        <w:rPr>
          <w:kern w:val="22"/>
        </w:rPr>
        <w:tab/>
      </w:r>
      <w:r>
        <w:rPr>
          <w:i/>
          <w:iCs/>
        </w:rPr>
        <w:t>Invite</w:t>
      </w:r>
      <w:r>
        <w:t xml:space="preserve"> les Parties, les autres gouvernements, les peuples autochtones et communautés locales, ainsi que les organisations et les parties prenantes concernées qui ont utilisé les documents d’orientations facultatives à communiquer à la Secrétaire exécutive de la Convention sur la diversité biologique des informations sur leur expérience et leur évaluation de l’applicabilité et de l’utilité de ces documents ;</w:t>
      </w:r>
    </w:p>
    <w:p w14:paraId="190C89A4" w14:textId="77777777" w:rsidR="00080196" w:rsidRPr="008E1212" w:rsidRDefault="00080196" w:rsidP="00417CEB">
      <w:pPr>
        <w:pStyle w:val="CBDDesicionText"/>
        <w:rPr>
          <w:kern w:val="22"/>
        </w:rPr>
      </w:pPr>
      <w:r>
        <w:t>6.</w:t>
      </w:r>
      <w:r>
        <w:tab/>
      </w:r>
      <w:r>
        <w:rPr>
          <w:i/>
          <w:iCs/>
          <w:kern w:val="22"/>
        </w:rPr>
        <w:t>Demande</w:t>
      </w:r>
      <w:r>
        <w:t xml:space="preserve"> une large coopération internationale, un partage des connaissances, un renforcement des capacités et une mobilisation des ressources afin d’appuyer, entre autres, l’application des documents d’orientations facultatives supplémentaires </w:t>
      </w:r>
      <w:r>
        <w:rPr>
          <w:i/>
          <w:iCs/>
          <w:kern w:val="22"/>
        </w:rPr>
        <w:t>;</w:t>
      </w:r>
    </w:p>
    <w:p w14:paraId="11090610" w14:textId="77777777" w:rsidR="00080196" w:rsidRPr="008E1212" w:rsidRDefault="00080196" w:rsidP="00417CEB">
      <w:pPr>
        <w:pStyle w:val="CBDDesicionText"/>
      </w:pPr>
      <w:r>
        <w:lastRenderedPageBreak/>
        <w:t>7.</w:t>
      </w:r>
      <w:r>
        <w:tab/>
      </w:r>
      <w:r>
        <w:rPr>
          <w:i/>
          <w:iCs/>
        </w:rPr>
        <w:t>Décide</w:t>
      </w:r>
      <w:r>
        <w:t xml:space="preserve"> de créer un Groupe spécial d’experts techniques sur l’évaluation des risques, dont le mandat figure à l’annexe de la présente décision, chargé d’évaluer les besoins et priorités cernés par les Parties par l’entremise de la communication des renseignements demandés au paragraphe 8 ci-dessous ;</w:t>
      </w:r>
    </w:p>
    <w:p w14:paraId="223A511B" w14:textId="16A1DACB" w:rsidR="00080196" w:rsidRPr="008E1212" w:rsidRDefault="00080196" w:rsidP="00417CEB">
      <w:pPr>
        <w:pStyle w:val="CBDDesicionText"/>
      </w:pPr>
      <w:r>
        <w:t>8.</w:t>
      </w:r>
      <w:r>
        <w:tab/>
      </w:r>
      <w:r>
        <w:rPr>
          <w:i/>
          <w:iCs/>
        </w:rPr>
        <w:t>Invite</w:t>
      </w:r>
      <w:r>
        <w:t xml:space="preserve"> 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w:t>
      </w:r>
      <w:r w:rsidR="000501ED">
        <w:t> </w:t>
      </w:r>
      <w:hyperlink r:id="rId29" w:history="1">
        <w:r>
          <w:rPr>
            <w:rStyle w:val="Hyperlink"/>
          </w:rPr>
          <w:t>CP-9/13</w:t>
        </w:r>
      </w:hyperlink>
      <w:r>
        <w:t> ;</w:t>
      </w:r>
    </w:p>
    <w:p w14:paraId="3246429D" w14:textId="5A535496" w:rsidR="00080196" w:rsidRPr="008E1212" w:rsidRDefault="00080196" w:rsidP="00417CEB">
      <w:pPr>
        <w:pStyle w:val="CBDDesicionText"/>
        <w:rPr>
          <w:kern w:val="22"/>
        </w:rPr>
      </w:pPr>
      <w:r>
        <w:t>9.</w:t>
      </w:r>
      <w:r>
        <w:tab/>
      </w:r>
      <w:r>
        <w:rPr>
          <w:i/>
          <w:iCs/>
        </w:rPr>
        <w:t>Décide</w:t>
      </w:r>
      <w:r>
        <w:t xml:space="preserve"> d’étendre le Forum en ligne à composition non limitée sur l’évaluation et la gestion des risques afin d’appuyer l’analyse d’autres sujets d’évaluation des risques conformément aux critères énoncés à l’annexe I de la décision</w:t>
      </w:r>
      <w:r w:rsidR="000501ED">
        <w:t> </w:t>
      </w:r>
      <w:hyperlink r:id="rId30" w:history="1">
        <w:r>
          <w:rPr>
            <w:rStyle w:val="Hyperlink"/>
            <w:kern w:val="22"/>
          </w:rPr>
          <w:t>CP-9/13</w:t>
        </w:r>
      </w:hyperlink>
      <w:r>
        <w:t> </w:t>
      </w:r>
      <w:r>
        <w:rPr>
          <w:kern w:val="22"/>
        </w:rPr>
        <w:t>;</w:t>
      </w:r>
    </w:p>
    <w:p w14:paraId="4C7657A7" w14:textId="77777777" w:rsidR="00080196" w:rsidRPr="008E1212" w:rsidRDefault="00080196" w:rsidP="00417CEB">
      <w:pPr>
        <w:pStyle w:val="CBDDesicionText"/>
      </w:pPr>
      <w:r>
        <w:t>10.</w:t>
      </w:r>
      <w:r>
        <w:tab/>
      </w:r>
      <w:r>
        <w:rPr>
          <w:i/>
          <w:iCs/>
        </w:rPr>
        <w:t xml:space="preserve">Décide également </w:t>
      </w:r>
      <w:r>
        <w:t>d’examiner à sa douzième réunion des questions supplémentaires pour lesquelles des documents d’orientations sur l’évaluation des risques pourraient être nécessaires, le cas échéant, à la suite du processus de définition et de hiérarchisation des questions spécifiques de l’évaluation des risques liés aux organismes vivants modifiés établi dans la décision </w:t>
      </w:r>
      <w:hyperlink r:id="rId31" w:history="1">
        <w:r>
          <w:rPr>
            <w:rStyle w:val="Hyperlink"/>
          </w:rPr>
          <w:t>CP-9/13</w:t>
        </w:r>
      </w:hyperlink>
      <w:r>
        <w:t>, en tenant compte des besoins et des priorités identifiés par les Parties conformément au paragraphe 8 ci-dessus et de la recommandation de l’Organe subsidiaire chargé de fournir des avis scientifiques, techniques et technologiques au titre du paragraphe 1 d) du mandat du Groupe spécial d’experts techniques sur l’évaluation des risques ;</w:t>
      </w:r>
    </w:p>
    <w:p w14:paraId="730D7A9B" w14:textId="77777777" w:rsidR="00080196" w:rsidRPr="008E1212" w:rsidRDefault="00080196" w:rsidP="00417CEB">
      <w:pPr>
        <w:pStyle w:val="CBDDesicionText"/>
      </w:pPr>
      <w:r>
        <w:t>11.</w:t>
      </w:r>
      <w:r>
        <w:tab/>
      </w:r>
      <w:r>
        <w:rPr>
          <w:i/>
          <w:iCs/>
        </w:rPr>
        <w:t>Demande</w:t>
      </w:r>
      <w:r>
        <w:t xml:space="preserve"> au Secrétariat, sous réserve de la disponibilité des ressources :</w:t>
      </w:r>
    </w:p>
    <w:p w14:paraId="67257D73" w14:textId="77777777" w:rsidR="00080196" w:rsidRPr="008E1212" w:rsidRDefault="00080196" w:rsidP="00417CEB">
      <w:pPr>
        <w:pStyle w:val="CBDDesicionText"/>
      </w:pPr>
      <w:r>
        <w:t>a)</w:t>
      </w:r>
      <w:r>
        <w:tab/>
        <w:t>De faire la synthèse des informations communiquées en réponse au paragraphe 5 ci-dessus, pour examen par la Conférence des Parties en tant que Réunion des Parties au Protocole de Cartagena à sa douzième réunion ;</w:t>
      </w:r>
    </w:p>
    <w:p w14:paraId="244A8968" w14:textId="77777777" w:rsidR="00080196" w:rsidRPr="008E1212" w:rsidRDefault="00080196" w:rsidP="00417CEB">
      <w:pPr>
        <w:pStyle w:val="CBDDesicionText"/>
      </w:pPr>
      <w:r>
        <w:t>b)</w:t>
      </w:r>
      <w:r>
        <w:tab/>
        <w:t>D’organiser des discussions en ligne dans le cadre du Forum en ligne à composition non limitée sur l’évaluation et la gestion des risques ;</w:t>
      </w:r>
    </w:p>
    <w:p w14:paraId="5A863272" w14:textId="77777777" w:rsidR="00080196" w:rsidRPr="008E1212" w:rsidRDefault="00080196" w:rsidP="00417CEB">
      <w:pPr>
        <w:pStyle w:val="CBDDesicionText"/>
      </w:pPr>
      <w:r>
        <w:t>c)</w:t>
      </w:r>
      <w:r>
        <w:tab/>
        <w:t>De faire la synthèse des informations communiquées en réponse aux paragraphes 8 et 9 ci-dessus, afin d’appuyer les travaux du Groupe spécial d’experts techniques sur l’évaluation des risques ;</w:t>
      </w:r>
    </w:p>
    <w:p w14:paraId="694A2D2F" w14:textId="77777777" w:rsidR="00080196" w:rsidRPr="008E1212" w:rsidRDefault="00080196" w:rsidP="00417CEB">
      <w:pPr>
        <w:pStyle w:val="CBDDesicionText"/>
      </w:pPr>
      <w:r>
        <w:t>d)</w:t>
      </w:r>
      <w:r>
        <w:tab/>
        <w:t>De convoquer au moins une réunion du Groupe spécial d’experts techniques sur l’évaluation des risques avant la douzième réunion de la Conférence des Parties siégeant en tant que réunion des Parties au Protocole de Cartagena ;</w:t>
      </w:r>
    </w:p>
    <w:p w14:paraId="5DB441E2" w14:textId="77777777" w:rsidR="00080196" w:rsidRPr="008E1212" w:rsidRDefault="00080196" w:rsidP="00417CEB">
      <w:pPr>
        <w:pStyle w:val="CBDDesicionText"/>
        <w:rPr>
          <w:i/>
          <w:iCs/>
        </w:rPr>
      </w:pPr>
      <w:r>
        <w:t>e)</w:t>
      </w:r>
      <w:r>
        <w:tab/>
        <w:t>D’organiser des activités de renforcement et de création des capacités à l’appui de l’évaluation des risques, en mettant particulièrement l’accent sur l’évaluation des risques liés aux organismes vivants modifiés contenant des gènes issus du forçage génétique.</w:t>
      </w:r>
    </w:p>
    <w:p w14:paraId="675064D3" w14:textId="77777777" w:rsidR="00080196" w:rsidRPr="008E1212" w:rsidRDefault="00080196" w:rsidP="001E6528">
      <w:pPr>
        <w:pStyle w:val="CBDDesicionAnnex"/>
        <w:rPr>
          <w:rFonts w:hint="eastAsia"/>
        </w:rPr>
      </w:pPr>
      <w:r>
        <w:rPr>
          <w:b/>
        </w:rPr>
        <w:t xml:space="preserve">Annexe </w:t>
      </w:r>
      <w:r>
        <w:rPr>
          <w:b/>
        </w:rPr>
        <w:br/>
      </w:r>
      <w:r>
        <w:t>Mandat du Groupe spécial d’experts techniques sur l’évaluation des risques</w:t>
      </w:r>
    </w:p>
    <w:p w14:paraId="1238D7CF" w14:textId="77777777" w:rsidR="00080196" w:rsidRPr="008E1212" w:rsidRDefault="00080196" w:rsidP="001E6528">
      <w:pPr>
        <w:pStyle w:val="CBDNormalNoNumber"/>
      </w:pPr>
      <w:r>
        <w:t>1.</w:t>
      </w:r>
      <w:r>
        <w:tab/>
        <w:t>Le Groupe spécial d’experts techniques :</w:t>
      </w:r>
    </w:p>
    <w:p w14:paraId="29BBDBEB" w14:textId="77777777" w:rsidR="00080196" w:rsidRPr="008E1212" w:rsidRDefault="00080196" w:rsidP="001E6528">
      <w:pPr>
        <w:pStyle w:val="CBDNormalNoNumber"/>
        <w:ind w:firstLine="567"/>
      </w:pPr>
      <w:r>
        <w:t>a)</w:t>
      </w:r>
      <w:r>
        <w:tab/>
        <w:t>Sera composé d’experts choisis conformément à la partie H du mode de fonctionnement général de l’Organe subsidiaire chargé de fournir des avis scientifiques, techniques et technologiques</w:t>
      </w:r>
      <w:r>
        <w:rPr>
          <w:rStyle w:val="FootnoteReference"/>
        </w:rPr>
        <w:footnoteReference w:id="35"/>
      </w:r>
      <w:r>
        <w:t>, possédant une expertise technique et scientifique particulière pertinente au mandat du Groupe d’experts, et inclura des experts provenant d’universités, d’organisations internationales compétentes et de peuples autochtones et communautés locales, conformément à la décision </w:t>
      </w:r>
      <w:hyperlink r:id="rId32" w:history="1">
        <w:r>
          <w:rPr>
            <w:rStyle w:val="Hyperlink"/>
          </w:rPr>
          <w:t>14/33</w:t>
        </w:r>
      </w:hyperlink>
      <w:r>
        <w:t xml:space="preserve"> du 29 novembre 2018 sur la procédure pour éviter ou gérer les conflits d’intérêts au sein des groupes d’experts ;</w:t>
      </w:r>
    </w:p>
    <w:p w14:paraId="26F0974C" w14:textId="77777777" w:rsidR="00080196" w:rsidRPr="008E1212" w:rsidRDefault="00080196" w:rsidP="001E6528">
      <w:pPr>
        <w:pStyle w:val="CBDNormalNoNumber"/>
        <w:ind w:firstLine="567"/>
      </w:pPr>
      <w:r>
        <w:lastRenderedPageBreak/>
        <w:t>b)</w:t>
      </w:r>
      <w:r>
        <w:tab/>
        <w:t>Convoquera au moins une réunion en personne avant la douzième réunion du la Conférence des Parties siégeant en tant que réunion des Parties au Protocole de Cartagena sur la prévention des risques biotechnologiques</w:t>
      </w:r>
      <w:r w:rsidRPr="000F6DE9">
        <w:rPr>
          <w:vertAlign w:val="superscript"/>
        </w:rPr>
        <w:footnoteReference w:id="36"/>
      </w:r>
      <w:r>
        <w:t>, selon la disponibilité des ressources ;</w:t>
      </w:r>
    </w:p>
    <w:p w14:paraId="76E8F8AD" w14:textId="424CC4F5" w:rsidR="00080196" w:rsidRPr="008E1212" w:rsidRDefault="00080196" w:rsidP="001E6528">
      <w:pPr>
        <w:pStyle w:val="CBDNormalNoNumber"/>
        <w:ind w:firstLine="567"/>
      </w:pPr>
      <w:r>
        <w:t>c)</w:t>
      </w:r>
      <w:r>
        <w:tab/>
        <w:t>Analysera les informations proposées par les Parties en réponse au paragraphe 8 de la présente décision et aux discussions du Forum en ligne à composition non limitée sur l’évaluation et la gestion des risques et à partir de celles-ci, préparera une liste des thèmes prioritaires, s’il y a lieu, sur lesquels des documents d’orientations supplémentaires pourraient être nécessaires selon les critères établis à l’annexe I à la décision</w:t>
      </w:r>
      <w:r w:rsidR="00191520">
        <w:t> </w:t>
      </w:r>
      <w:hyperlink r:id="rId33" w:history="1">
        <w:r>
          <w:rPr>
            <w:rStyle w:val="Hyperlink"/>
          </w:rPr>
          <w:t>CP</w:t>
        </w:r>
        <w:r>
          <w:rPr>
            <w:rStyle w:val="Hyperlink"/>
          </w:rPr>
          <w:noBreakHyphen/>
          <w:t>9/13</w:t>
        </w:r>
      </w:hyperlink>
      <w:r>
        <w:t> ;</w:t>
      </w:r>
    </w:p>
    <w:p w14:paraId="6298FC48" w14:textId="77777777" w:rsidR="00080196" w:rsidRPr="008E1212" w:rsidRDefault="00080196" w:rsidP="001E6528">
      <w:pPr>
        <w:pStyle w:val="CBDNormalNoNumber"/>
        <w:ind w:firstLine="567"/>
      </w:pPr>
      <w:r>
        <w:t>d)</w:t>
      </w:r>
      <w:r>
        <w:tab/>
        <w:t>Préparera un rapport pour examen par l’Organe subsidiaire chargé de fournir des avis scientifiques, techniques et technologiques, avec l’objectif de permettre à l’Organe subsidiaire d’élaborer une recommandation qui sera soumise à des fins d’examen à la Conférence des Parties siégeant en tant que réunion des Parties au Protocole de Cartagena à sa douzième réunion.</w:t>
      </w:r>
    </w:p>
    <w:p w14:paraId="221344AD" w14:textId="77777777" w:rsidR="00080196" w:rsidRPr="008E1212" w:rsidRDefault="00080196" w:rsidP="001E6528">
      <w:pPr>
        <w:pStyle w:val="CBDNormalNoNumber"/>
      </w:pPr>
      <w:r>
        <w:t>2.</w:t>
      </w:r>
      <w:r>
        <w:tab/>
        <w:t>Dans le cadre de l’exécution de ses travaux, le Groupe spécial d’experts techniques sur l’évaluation des risques tiendra compte de la synthèse des points de vue recueillis dans les propositions et lors des échanges du Forum en ligne à composition non limitée sur l’évaluation et la gestion des risques préparée par le secrétariat.</w:t>
      </w:r>
    </w:p>
    <w:p w14:paraId="583E779D" w14:textId="77777777" w:rsidR="00080196" w:rsidRPr="008E1212" w:rsidRDefault="00080196" w:rsidP="00826B18">
      <w:pPr>
        <w:pStyle w:val="CBDNormal"/>
      </w:pPr>
    </w:p>
    <w:p w14:paraId="6F7FA8E9"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F7FDB8C" w14:textId="255F70DB" w:rsidR="00080196" w:rsidRPr="008E1212" w:rsidRDefault="00E41BCC" w:rsidP="00E41BCC">
      <w:pPr>
        <w:pStyle w:val="CBDH2"/>
      </w:pPr>
      <w:r>
        <w:lastRenderedPageBreak/>
        <w:tab/>
      </w:r>
      <w:bookmarkStart w:id="24" w:name="_Toc194399418"/>
      <w:bookmarkStart w:id="25" w:name="_Toc194919557"/>
      <w:r>
        <w:t>CP-11/8.</w:t>
      </w:r>
      <w:r>
        <w:tab/>
        <w:t>Détection et identification des organismes vivants modifiés</w:t>
      </w:r>
      <w:bookmarkEnd w:id="24"/>
      <w:bookmarkEnd w:id="25"/>
    </w:p>
    <w:p w14:paraId="371648BA" w14:textId="77777777" w:rsidR="00080196" w:rsidRPr="008E1212" w:rsidRDefault="00080196" w:rsidP="00D9789B">
      <w:pPr>
        <w:pStyle w:val="CBDNormalNoNumber"/>
        <w:ind w:firstLine="567"/>
      </w:pPr>
      <w:r>
        <w:rPr>
          <w:i/>
          <w:iCs/>
        </w:rPr>
        <w:t>La Conférence des Parties siégeant en tant que réunion des Parties au Protocole de Cartagena,</w:t>
      </w:r>
    </w:p>
    <w:p w14:paraId="6CF0CA41" w14:textId="77777777" w:rsidR="00080196" w:rsidRPr="008E1212" w:rsidRDefault="00080196" w:rsidP="00BF410B">
      <w:pPr>
        <w:pStyle w:val="CBDDesicionText"/>
      </w:pPr>
      <w:r>
        <w:rPr>
          <w:i/>
          <w:iCs/>
        </w:rPr>
        <w:t>Rappelant</w:t>
      </w:r>
      <w:r>
        <w:t xml:space="preserve"> ses décisions </w:t>
      </w:r>
      <w:hyperlink r:id="rId34" w:history="1">
        <w:r>
          <w:rPr>
            <w:rStyle w:val="Hyperlink"/>
          </w:rPr>
          <w:t>CP-10/7</w:t>
        </w:r>
      </w:hyperlink>
      <w:r>
        <w:t xml:space="preserve"> et </w:t>
      </w:r>
      <w:hyperlink r:id="rId35" w:history="1">
        <w:r>
          <w:rPr>
            <w:rStyle w:val="Hyperlink"/>
          </w:rPr>
          <w:t>CP-10/11</w:t>
        </w:r>
      </w:hyperlink>
      <w:r>
        <w:t xml:space="preserve"> du 10 décembre 2022 et le besoin d’activités de renforcement des capacités pour les nouvelles techniques de détection et d’identification des organismes vivants modifiés et la détection et l’identification des organismes vivants modifiés non autorisés,</w:t>
      </w:r>
    </w:p>
    <w:p w14:paraId="6C8C12C7" w14:textId="77777777" w:rsidR="00080196" w:rsidRPr="008E1212" w:rsidRDefault="00080196" w:rsidP="00BF410B">
      <w:pPr>
        <w:pStyle w:val="CBDDesicionText"/>
        <w:rPr>
          <w:b/>
          <w:bCs/>
          <w:sz w:val="20"/>
          <w:szCs w:val="20"/>
        </w:rPr>
      </w:pPr>
      <w:r>
        <w:rPr>
          <w:i/>
          <w:iCs/>
        </w:rPr>
        <w:t>Rappelant également</w:t>
      </w:r>
      <w:r>
        <w:t xml:space="preserve"> ses décisions </w:t>
      </w:r>
      <w:hyperlink r:id="rId36" w:history="1">
        <w:r>
          <w:rPr>
            <w:rStyle w:val="Hyperlink"/>
          </w:rPr>
          <w:t>CP-10/3</w:t>
        </w:r>
      </w:hyperlink>
      <w:r>
        <w:t xml:space="preserve"> et </w:t>
      </w:r>
      <w:hyperlink r:id="rId37" w:history="1">
        <w:r>
          <w:rPr>
            <w:rStyle w:val="Hyperlink"/>
          </w:rPr>
          <w:t>CP-10/4</w:t>
        </w:r>
      </w:hyperlink>
      <w:r>
        <w:t xml:space="preserve"> du 19 décembre 2022, en particulier les objectifs A.6 à A.8 du plan de mise en œuvre ainsi que les objectifs A.6 à A.8 et les activités connexes de renforcement des capacités du plan d’action pour le renforcement des capacités dans le cadre du Protocole de Cartagena sur la prévention des risques biotechnologiques</w:t>
      </w:r>
      <w:r>
        <w:rPr>
          <w:rStyle w:val="FootnoteReference"/>
        </w:rPr>
        <w:footnoteReference w:id="37"/>
      </w:r>
      <w:r>
        <w:t xml:space="preserve">, </w:t>
      </w:r>
    </w:p>
    <w:p w14:paraId="54B93D2D" w14:textId="77777777" w:rsidR="00080196" w:rsidRPr="008E1212" w:rsidRDefault="00080196" w:rsidP="00BF410B">
      <w:pPr>
        <w:pStyle w:val="CBDDesicionText"/>
      </w:pPr>
      <w:r>
        <w:rPr>
          <w:i/>
          <w:iCs/>
        </w:rPr>
        <w:t>Réitérant</w:t>
      </w:r>
      <w:r>
        <w:t xml:space="preserve"> l’importance du domaine de la détection et de l’identification des organismes vivants modifiés pour le Protocole de Cartagena et sa pertinence et son applicabilité dans d’autres secteurs d’activités,</w:t>
      </w:r>
    </w:p>
    <w:p w14:paraId="616CBBF1" w14:textId="77777777" w:rsidR="00080196" w:rsidRPr="008E1212" w:rsidRDefault="00080196" w:rsidP="00BF410B">
      <w:pPr>
        <w:pStyle w:val="CBDDesicionText"/>
      </w:pPr>
      <w:r>
        <w:rPr>
          <w:i/>
          <w:iCs/>
        </w:rPr>
        <w:t>Reconnaissant</w:t>
      </w:r>
      <w:r>
        <w:t xml:space="preserve"> que la détection et l’identification d’organismes vivants modifiés peuvent poser des difficultés, en particulier pour les pays en développement,</w:t>
      </w:r>
    </w:p>
    <w:p w14:paraId="2372E92A" w14:textId="77777777" w:rsidR="00080196" w:rsidRPr="008E1212" w:rsidRDefault="00080196" w:rsidP="00BF410B">
      <w:pPr>
        <w:pStyle w:val="CBDDesicionText"/>
      </w:pPr>
      <w:r>
        <w:rPr>
          <w:i/>
          <w:iCs/>
        </w:rPr>
        <w:t>Reconnaissant également</w:t>
      </w:r>
      <w:r>
        <w:t xml:space="preserve"> qu’il existe peu d’information sur les nouvelles techniques de détection et d’identification des organismes vivants modifiés,</w:t>
      </w:r>
    </w:p>
    <w:p w14:paraId="0A67B738" w14:textId="77777777" w:rsidR="00080196" w:rsidRPr="008E1212" w:rsidRDefault="00080196" w:rsidP="00BF410B">
      <w:pPr>
        <w:pStyle w:val="CBDDesicionText"/>
      </w:pPr>
      <w:r>
        <w:rPr>
          <w:i/>
          <w:iCs/>
        </w:rPr>
        <w:t>Reconnaissant en outre</w:t>
      </w:r>
      <w:r>
        <w:t xml:space="preserve"> les avancées dans les nouvelles techniques de détection et d’identification des organismes vivants modifiés, telles que la réaction en chaîne par polymérase numérique et le séquençage de nouvelle génération,</w:t>
      </w:r>
    </w:p>
    <w:p w14:paraId="47EC9358" w14:textId="77777777" w:rsidR="00080196" w:rsidRPr="008E1212" w:rsidRDefault="00080196" w:rsidP="00BF410B">
      <w:pPr>
        <w:pStyle w:val="CBDDesicionText"/>
      </w:pPr>
      <w:r>
        <w:rPr>
          <w:i/>
          <w:iCs/>
        </w:rPr>
        <w:t>Notant avec inquiétude</w:t>
      </w:r>
      <w:r>
        <w:t xml:space="preserve"> le coût élevé des infrastructures de laboratoire et des consommables requis pour ces nouvelles techniques et le manque d’accès aux réactifs pour certains pays en développement Parties,</w:t>
      </w:r>
      <w:r>
        <w:rPr>
          <w:i/>
          <w:iCs/>
        </w:rPr>
        <w:t xml:space="preserve"> </w:t>
      </w:r>
    </w:p>
    <w:p w14:paraId="59DD730E" w14:textId="77777777" w:rsidR="00080196" w:rsidRPr="008E1212" w:rsidRDefault="00080196" w:rsidP="00BF410B">
      <w:pPr>
        <w:pStyle w:val="CBDDesicionText"/>
      </w:pPr>
      <w:r>
        <w:rPr>
          <w:i/>
          <w:iCs/>
        </w:rPr>
        <w:t>Confirmant</w:t>
      </w:r>
      <w:r>
        <w:t xml:space="preserve"> que le </w:t>
      </w:r>
      <w:r>
        <w:rPr>
          <w:i/>
          <w:iCs/>
        </w:rPr>
        <w:t>Manuel de formation</w:t>
      </w:r>
      <w:r>
        <w:t xml:space="preserve"> </w:t>
      </w:r>
      <w:r>
        <w:rPr>
          <w:i/>
          <w:iCs/>
        </w:rPr>
        <w:t>sur la détection et l’identification des organismes vivants modifiés dans le cadre du Protocole de Cartagena sur la prévention des risques biotechnologiques</w:t>
      </w:r>
      <w:r>
        <w:t xml:space="preserve"> (Cahier technique sur la prévention des risques biotechnologiques 5) est toujours pertinent et utile à la détection et à l’identification des organismes vivants modifiés,</w:t>
      </w:r>
    </w:p>
    <w:p w14:paraId="1F93C2FE" w14:textId="77777777" w:rsidR="00080196" w:rsidRPr="008E1212" w:rsidRDefault="00080196" w:rsidP="00BF410B">
      <w:pPr>
        <w:pStyle w:val="CBDDesicionText"/>
      </w:pPr>
      <w:r>
        <w:rPr>
          <w:i/>
          <w:iCs/>
        </w:rPr>
        <w:t>Reconnaissant</w:t>
      </w:r>
      <w:r>
        <w:t xml:space="preserve"> l’utilité du Réseau de laboratoires pour la détection et l’identification des organismes vivants modifiés pour faciliter l’échange d’expériences, le partage d’informations et l’acquisition de compétences,</w:t>
      </w:r>
    </w:p>
    <w:p w14:paraId="02AC5B20" w14:textId="02DF60EF" w:rsidR="00080196" w:rsidRPr="008E1212" w:rsidRDefault="00080196" w:rsidP="00BF410B">
      <w:pPr>
        <w:pStyle w:val="CBDDesicionText"/>
      </w:pPr>
      <w:r>
        <w:t>1.</w:t>
      </w:r>
      <w:r>
        <w:tab/>
      </w:r>
      <w:r>
        <w:rPr>
          <w:i/>
          <w:iCs/>
        </w:rPr>
        <w:t>Invite</w:t>
      </w:r>
      <w:r>
        <w:t xml:space="preserve"> les Parties, les autres gouvernements, les membres du Réseau des laboratoires de détection et d’identification des organismes vivants modifiés, les développeurs et autres organisations pertinentes à soumettre au Secrétariat de la Convention sur la diversité biologique</w:t>
      </w:r>
      <w:r>
        <w:rPr>
          <w:rStyle w:val="FootnoteReference"/>
        </w:rPr>
        <w:footnoteReference w:id="38"/>
      </w:r>
      <w:r>
        <w:t xml:space="preserve"> les documents de référence techniques et les autres matériels concernant les nouvelles techniques quantitatives de réaction en chaîne par polymérase, la réaction en chaîne par polymérase numérique, le séquençage de nouvelle génération et les techniques d’amplification isothermique afin de compléter et de mettre à jour les éditions futures du </w:t>
      </w:r>
      <w:r>
        <w:rPr>
          <w:i/>
          <w:iCs/>
        </w:rPr>
        <w:t>Manuel de formation sur la détection et l’identification des organismes vivants modifiés dans le cadre du Protocole de Cartagena sur la prévention des risques biotechnologiques</w:t>
      </w:r>
      <w:r>
        <w:t> ;</w:t>
      </w:r>
    </w:p>
    <w:p w14:paraId="29308DBA" w14:textId="77777777" w:rsidR="00080196" w:rsidRPr="008E1212" w:rsidRDefault="00080196" w:rsidP="00BF410B">
      <w:pPr>
        <w:pStyle w:val="CBDDesicionText"/>
      </w:pPr>
      <w:r>
        <w:t>2.</w:t>
      </w:r>
      <w:r>
        <w:tab/>
      </w:r>
      <w:r>
        <w:rPr>
          <w:i/>
          <w:iCs/>
        </w:rPr>
        <w:t>Invite</w:t>
      </w:r>
      <w:r>
        <w:t xml:space="preserve"> les Parties à partager, via le Centre d’échange pour la prévention des risques biotechnologiques, conformément aux décisions et aux lois nationales, le cas échéant, leurs expériences en matière de nouvelles techniques de détection, telles que celles utilisées pour la détection d’organismes vivants modifiés nouvellement développés et les organismes vivants </w:t>
      </w:r>
      <w:r>
        <w:lastRenderedPageBreak/>
        <w:t>modifiés non autorisés, y compris ceux présentant des événements empilés, ainsi que leurs expériences en matière de développement, d’utilisation et de tenue à jour de documents de référence ;</w:t>
      </w:r>
    </w:p>
    <w:p w14:paraId="46B9EDC4" w14:textId="77777777" w:rsidR="00080196" w:rsidRPr="008E1212" w:rsidRDefault="00080196" w:rsidP="00BF410B">
      <w:pPr>
        <w:pStyle w:val="CBDDesicionText"/>
      </w:pPr>
      <w:r>
        <w:t>3</w:t>
      </w:r>
      <w:r>
        <w:rPr>
          <w:i/>
          <w:iCs/>
        </w:rPr>
        <w:t>.</w:t>
      </w:r>
      <w:r>
        <w:rPr>
          <w:i/>
          <w:iCs/>
        </w:rPr>
        <w:tab/>
        <w:t>Invite</w:t>
      </w:r>
      <w:r>
        <w:t xml:space="preserve"> les Parties, les autres gouvernements et les organisations compétentes à partager et à mettre à disposition, par l’intermédiaire du Centre d’échange pour la prévention des risques biotechnologiques, du matériel de formation et des publications de référence ;</w:t>
      </w:r>
    </w:p>
    <w:p w14:paraId="65E356D6" w14:textId="77777777" w:rsidR="00080196" w:rsidRPr="008E1212" w:rsidRDefault="00080196" w:rsidP="00BF410B">
      <w:pPr>
        <w:pStyle w:val="CBDDesicionText"/>
      </w:pPr>
      <w:r>
        <w:t>4</w:t>
      </w:r>
      <w:r>
        <w:rPr>
          <w:i/>
          <w:iCs/>
        </w:rPr>
        <w:t>.</w:t>
      </w:r>
      <w:r>
        <w:tab/>
      </w:r>
      <w:r>
        <w:rPr>
          <w:i/>
          <w:iCs/>
        </w:rPr>
        <w:t>Encourage</w:t>
      </w:r>
      <w:r>
        <w:t xml:space="preserve"> les Parties à établir des réseaux régionaux de laboratoires et de partenariats pour soutenir les activités dans le domaine de la détection et de l’identification des organismes vivants modifiés, et pour promouvoir le renforcement des capacités et le partage des connaissances ;</w:t>
      </w:r>
    </w:p>
    <w:p w14:paraId="5D873964" w14:textId="77777777" w:rsidR="00080196" w:rsidRPr="008E1212" w:rsidRDefault="00080196" w:rsidP="00BF410B">
      <w:pPr>
        <w:pStyle w:val="CBDDesicionText"/>
      </w:pPr>
      <w:r>
        <w:t>5.</w:t>
      </w:r>
      <w:r>
        <w:tab/>
      </w:r>
      <w:r>
        <w:rPr>
          <w:i/>
          <w:iCs/>
        </w:rPr>
        <w:t>Exhorte</w:t>
      </w:r>
      <w:r>
        <w:t xml:space="preserve"> les Parties, 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l’infrastructure de détection et d’identification des organismes vivants modifiés, la formation de réseaux régionaux de laboratoires, les activités de renforcement des capacités et l’élaboration ou l’acquisition de documents de référence certifiés ;</w:t>
      </w:r>
    </w:p>
    <w:p w14:paraId="27B18F84" w14:textId="77777777" w:rsidR="00080196" w:rsidRPr="008E1212" w:rsidRDefault="00080196" w:rsidP="00BF410B">
      <w:pPr>
        <w:pStyle w:val="CBDDesicionText"/>
      </w:pPr>
      <w:r>
        <w:t>6.</w:t>
      </w:r>
      <w:r>
        <w:tab/>
      </w:r>
      <w:r>
        <w:rPr>
          <w:i/>
          <w:iCs/>
        </w:rPr>
        <w:t>Recommande</w:t>
      </w:r>
      <w:r>
        <w:t xml:space="preserve"> à la Conférence des Parties à la Convention, lorsqu’elle adoptera ses orientations à l’intention du Fonds pour l’environnement mondial sur l’appui à la mise en œuvre du Protocole de Cartagena sur la prévention des risques biotechnologiques, d’inviter le Fonds pour l’environnement mondial à aider les Parties remplissant les conditions requises, en fournissant un accès aux moyens de mise en œuvre rapidement et à l’échelle requise en termes de portée et de rapidité, afin d’apporter l’aide nécessaire, notamment pour renforcer leur infrastructure de détection et d’identification des organismes vivants modifiés, mettre en place des réseaux régionaux de laboratoires, entreprendre des activités de renforcement des capacités et développer ou acquérir des documents de référence certifiés, et exhorte les Parties à soumettre des propositions au Fonds pour l’environnement mondial pour lui permettre de soutenir de telles activités ;</w:t>
      </w:r>
    </w:p>
    <w:p w14:paraId="61DB7ACA" w14:textId="77777777" w:rsidR="00080196" w:rsidRPr="008E1212" w:rsidRDefault="00080196" w:rsidP="00BF410B">
      <w:pPr>
        <w:pStyle w:val="CBDDesicionText"/>
      </w:pPr>
      <w:r>
        <w:t>7.</w:t>
      </w:r>
      <w:r>
        <w:tab/>
      </w:r>
      <w:r>
        <w:rPr>
          <w:i/>
          <w:iCs/>
        </w:rPr>
        <w:t>Encourage</w:t>
      </w:r>
      <w:r>
        <w:t xml:space="preserve"> les développeurs de technologies à partager, selon qu’il convient, les méthodes de détection et d’identification des organismes vivants modifiés nouvellement développés via le Centre d’échange pour la prévention des risques biotechnologiques ;</w:t>
      </w:r>
    </w:p>
    <w:p w14:paraId="3C028E4B" w14:textId="77777777" w:rsidR="00080196" w:rsidRPr="008E1212" w:rsidRDefault="00080196" w:rsidP="00BF410B">
      <w:pPr>
        <w:pStyle w:val="CBDDesicionText"/>
      </w:pPr>
      <w:r>
        <w:t>8.</w:t>
      </w:r>
      <w:r>
        <w:tab/>
      </w:r>
      <w:r>
        <w:rPr>
          <w:i/>
          <w:iCs/>
        </w:rPr>
        <w:t>Prie</w:t>
      </w:r>
      <w:r>
        <w:t xml:space="preserve"> le Secrétariat, sous réserve de disponibilité des ressources :</w:t>
      </w:r>
    </w:p>
    <w:p w14:paraId="4919B733" w14:textId="77777777" w:rsidR="00080196" w:rsidRPr="008E1212" w:rsidRDefault="00080196" w:rsidP="00BF410B">
      <w:pPr>
        <w:pStyle w:val="CBDDesicionText"/>
      </w:pPr>
      <w:r>
        <w:t>a)</w:t>
      </w:r>
      <w:r>
        <w:tab/>
        <w:t>De continuer à collecter des publications et des ressources techniques en plusieurs langues et de les mettre à disposition sur le portail dédié à l’échantillonnage, à la détection et à l’identification des organismes vivants modifiés du Centre d’échange pour la prévention des risques biotechnologiques ;</w:t>
      </w:r>
    </w:p>
    <w:p w14:paraId="7A960534" w14:textId="77777777" w:rsidR="00080196" w:rsidRPr="008E1212" w:rsidRDefault="00080196" w:rsidP="00BF410B">
      <w:pPr>
        <w:pStyle w:val="CBDDesicionText"/>
      </w:pPr>
      <w:r>
        <w:t>b)</w:t>
      </w:r>
      <w:r>
        <w:tab/>
        <w:t>De préparer une synthèse des documents de référence techniques et d’autres matériels soumis en réponse à la demande formulée au paragraphe 1, pour examen par la Conférence des Parties siégeant en tant que réunion des Parties au Protocole de Cartagena, à sa douzième réunion ;</w:t>
      </w:r>
    </w:p>
    <w:p w14:paraId="68528862" w14:textId="77777777" w:rsidR="00080196" w:rsidRPr="008E1212" w:rsidRDefault="00080196" w:rsidP="00BF410B">
      <w:pPr>
        <w:pStyle w:val="CBDDesicionText"/>
      </w:pPr>
      <w:r>
        <w:t>c)</w:t>
      </w:r>
      <w:r>
        <w:tab/>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 ;</w:t>
      </w:r>
    </w:p>
    <w:p w14:paraId="41471867" w14:textId="77777777" w:rsidR="00080196" w:rsidRPr="008E1212" w:rsidRDefault="00080196" w:rsidP="00BF410B">
      <w:pPr>
        <w:pStyle w:val="CBDDesicionText"/>
      </w:pPr>
      <w:r>
        <w:t>d)</w:t>
      </w:r>
      <w:r>
        <w:tab/>
        <w:t xml:space="preserve">De faire davantage connaître l’utilité du portail d’échantillonnage, de détection et d’identification du Centre d’échange pour la prévention des risques biotechnologiques et d’étudier la possibilité d’établir des liens et des références croisées entre le contenu des différentes bases de données pertinentes qui n’ont pas encore été partagées avec le Centre d’échange pour la prévention des risques biotechnologiques. </w:t>
      </w:r>
    </w:p>
    <w:p w14:paraId="5F800A79" w14:textId="77777777" w:rsidR="00080196" w:rsidRPr="008E1212" w:rsidRDefault="00080196" w:rsidP="00826B18">
      <w:pPr>
        <w:pStyle w:val="CBDNormal"/>
      </w:pPr>
    </w:p>
    <w:p w14:paraId="4E1EA2BE"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8562440" w14:textId="6B0A5EF8" w:rsidR="00080196" w:rsidRPr="008E1212" w:rsidRDefault="00CC5899" w:rsidP="00CC5899">
      <w:pPr>
        <w:pStyle w:val="CBDH2"/>
      </w:pPr>
      <w:r>
        <w:lastRenderedPageBreak/>
        <w:tab/>
      </w:r>
      <w:bookmarkStart w:id="26" w:name="_Toc194399419"/>
      <w:bookmarkStart w:id="27" w:name="_Toc194919558"/>
      <w:r>
        <w:t>CP-11/9.</w:t>
      </w:r>
      <w:r>
        <w:tab/>
        <w:t>Considérations socio-économiques</w:t>
      </w:r>
      <w:bookmarkEnd w:id="26"/>
      <w:bookmarkEnd w:id="27"/>
    </w:p>
    <w:p w14:paraId="6BB95AD4" w14:textId="77777777" w:rsidR="00080196" w:rsidRPr="008E1212" w:rsidRDefault="00080196" w:rsidP="00D5133F">
      <w:pPr>
        <w:pStyle w:val="CBDDesicionText"/>
      </w:pPr>
      <w:r>
        <w:rPr>
          <w:i/>
          <w:iCs/>
        </w:rPr>
        <w:t>La Conférence des Parties siégeant en tant que réunion des Parties au Protocole de Cartagena,</w:t>
      </w:r>
    </w:p>
    <w:p w14:paraId="40DE5DF8" w14:textId="77777777" w:rsidR="00080196" w:rsidRPr="008E1212" w:rsidRDefault="00080196" w:rsidP="00D5133F">
      <w:pPr>
        <w:pStyle w:val="CBDDesicionText"/>
      </w:pPr>
      <w:r w:rsidRPr="00A24CB4">
        <w:rPr>
          <w:i/>
          <w:iCs/>
        </w:rPr>
        <w:t>Rappelant</w:t>
      </w:r>
      <w:r>
        <w:t xml:space="preserve"> les orientations sur l’évaluation des considérations socio-économiques dans le contexte de l’article 26 du Protocole de Cartagena sur la prévention des risques biotechnologiques</w:t>
      </w:r>
      <w:r>
        <w:rPr>
          <w:rStyle w:val="FootnoteReference"/>
        </w:rPr>
        <w:footnoteReference w:id="39"/>
      </w:r>
      <w:r>
        <w:rPr>
          <w:vertAlign w:val="superscript"/>
        </w:rPr>
        <w:t>,</w:t>
      </w:r>
      <w:r>
        <w:rPr>
          <w:rStyle w:val="FootnoteReference"/>
        </w:rPr>
        <w:footnoteReference w:id="40"/>
      </w:r>
      <w:r>
        <w:t>, dont il a été pris note dans la décision </w:t>
      </w:r>
      <w:hyperlink r:id="rId38" w:history="1">
        <w:r>
          <w:rPr>
            <w:rStyle w:val="Hyperlink"/>
          </w:rPr>
          <w:t>CP-9/14</w:t>
        </w:r>
      </w:hyperlink>
      <w:r>
        <w:t xml:space="preserve"> du 28 novembre 2018,</w:t>
      </w:r>
    </w:p>
    <w:p w14:paraId="2DC7BCC0" w14:textId="77777777" w:rsidR="00080196" w:rsidRPr="008E1212" w:rsidRDefault="00080196" w:rsidP="00D5133F">
      <w:pPr>
        <w:pStyle w:val="CBDDesicionText"/>
      </w:pPr>
      <w:r>
        <w:rPr>
          <w:i/>
          <w:iCs/>
        </w:rPr>
        <w:t xml:space="preserve">Rappelant également </w:t>
      </w:r>
      <w:r>
        <w:t>la décision </w:t>
      </w:r>
      <w:hyperlink r:id="rId39" w:history="1">
        <w:r>
          <w:rPr>
            <w:rStyle w:val="Hyperlink"/>
          </w:rPr>
          <w:t>CP-10/12</w:t>
        </w:r>
      </w:hyperlink>
      <w:r>
        <w:t xml:space="preserve"> du 10 décembre 2022,</w:t>
      </w:r>
    </w:p>
    <w:p w14:paraId="62A0DA6E" w14:textId="77777777" w:rsidR="00080196" w:rsidRPr="008E1212" w:rsidRDefault="00080196" w:rsidP="00D5133F">
      <w:pPr>
        <w:pStyle w:val="CBDDesicionText"/>
      </w:pPr>
      <w:r>
        <w:rPr>
          <w:i/>
          <w:iCs/>
        </w:rPr>
        <w:t xml:space="preserve">Rappelant en outre </w:t>
      </w:r>
      <w:r>
        <w:t>l'Objectif A.9 du plan de mise en œuvre</w:t>
      </w:r>
      <w:r>
        <w:rPr>
          <w:rStyle w:val="FootnoteReference"/>
        </w:rPr>
        <w:footnoteReference w:id="41"/>
      </w:r>
      <w:r>
        <w:t xml:space="preserve"> et du plan d'action pour le renforcement des capacités du Protocole de Cartagena</w:t>
      </w:r>
      <w:r>
        <w:rPr>
          <w:rStyle w:val="FootnoteReference"/>
        </w:rPr>
        <w:footnoteReference w:id="42"/>
      </w:r>
      <w:r>
        <w:t>,</w:t>
      </w:r>
    </w:p>
    <w:p w14:paraId="4FE88F24" w14:textId="77777777" w:rsidR="00080196" w:rsidRPr="008E1212" w:rsidRDefault="00080196" w:rsidP="00D5133F">
      <w:pPr>
        <w:pStyle w:val="CBDDesicionText"/>
      </w:pPr>
      <w:r>
        <w:t>1.</w:t>
      </w:r>
      <w:r>
        <w:rPr>
          <w:i/>
          <w:iCs/>
        </w:rPr>
        <w:tab/>
        <w:t xml:space="preserve">Accueille avec satisfaction </w:t>
      </w:r>
      <w:r>
        <w:t>les informations partagées sur les expériences réalisées en matière d'utilisation des orientations facultatives, les exemples de méthodes et d'applications de considérations socio-économiques au regard des éléments des orientations</w:t>
      </w:r>
      <w:r>
        <w:rPr>
          <w:rStyle w:val="FootnoteReference"/>
        </w:rPr>
        <w:footnoteReference w:id="43"/>
      </w:r>
      <w:r>
        <w:t>, tout en reconnaissant que peu d'informations ont été communiquées à ce sujet ;</w:t>
      </w:r>
    </w:p>
    <w:p w14:paraId="27C84879" w14:textId="77777777" w:rsidR="00080196" w:rsidRPr="008E1212" w:rsidRDefault="00080196" w:rsidP="00D5133F">
      <w:pPr>
        <w:pStyle w:val="CBDDesicionText"/>
        <w:rPr>
          <w:i/>
          <w:iCs/>
        </w:rPr>
      </w:pPr>
      <w:r>
        <w:t>2.</w:t>
      </w:r>
      <w:r>
        <w:rPr>
          <w:i/>
          <w:iCs/>
        </w:rPr>
        <w:tab/>
        <w:t>Accueille également avec satisfaction</w:t>
      </w:r>
      <w:r>
        <w:t xml:space="preserve"> les informations communiquées par les Parties sur les méthodes et les exigences relatives aux considérations socio-économiques et sur les expériences en matière d'évaluation des considérations socio-économiques suite aux réponses fournies dans leurs quatrièmes rapports nationaux</w:t>
      </w:r>
      <w:r>
        <w:rPr>
          <w:rStyle w:val="FootnoteReference"/>
        </w:rPr>
        <w:footnoteReference w:id="44"/>
      </w:r>
      <w:r>
        <w:t> ;</w:t>
      </w:r>
    </w:p>
    <w:p w14:paraId="49910F1E" w14:textId="77777777" w:rsidR="00080196" w:rsidRPr="008E1212" w:rsidRDefault="00080196" w:rsidP="00D5133F">
      <w:pPr>
        <w:pStyle w:val="CBDDesicionText"/>
        <w:rPr>
          <w:i/>
          <w:iCs/>
        </w:rPr>
      </w:pPr>
      <w:r>
        <w:t>3.</w:t>
      </w:r>
      <w:r>
        <w:rPr>
          <w:i/>
          <w:iCs/>
        </w:rPr>
        <w:tab/>
        <w:t>Invite</w:t>
      </w:r>
      <w:r>
        <w:t xml:space="preserve"> les Parties, les autres gouvernements, les organisations compétentes et les autres parties prenantes, selon qu’il convient, à utiliser les orientations facultatives et à partager leurs expériences à cet égard dans leur cinquième rapport national ou à mettre ces expériences à disposition dans la bibliothèque virtuelle du Centre d’échange pour la prévention des risques biotechnologiques ;</w:t>
      </w:r>
    </w:p>
    <w:p w14:paraId="5CFDBE79" w14:textId="77777777" w:rsidR="00080196" w:rsidRPr="008E1212" w:rsidRDefault="00080196" w:rsidP="00D5133F">
      <w:pPr>
        <w:pStyle w:val="CBDDesicionText"/>
        <w:rPr>
          <w:i/>
          <w:iCs/>
        </w:rPr>
      </w:pPr>
      <w:r>
        <w:t>4.</w:t>
      </w:r>
      <w:r>
        <w:rPr>
          <w:i/>
          <w:iCs/>
        </w:rPr>
        <w:tab/>
        <w:t>Prie</w:t>
      </w:r>
      <w:r>
        <w:t xml:space="preserve"> la Secrétaire exécutive de la Convention sur la diversité biologique</w:t>
      </w:r>
      <w:r>
        <w:rPr>
          <w:rStyle w:val="FootnoteReference"/>
        </w:rPr>
        <w:footnoteReference w:id="45"/>
      </w:r>
      <w:r>
        <w:rPr>
          <w:rStyle w:val="FootnoteReference"/>
        </w:rPr>
        <w:t xml:space="preserve"> </w:t>
      </w:r>
      <w:r>
        <w:t>de synthétiser les informations fournies dans les cinquièmes rapports nationaux conformément au paragraphe 3 ci-dessus aux fins d’examen par la Conférence des Parties siégeant en tant que réunion des Parties au Protocole de Cartagena sur la prévention des risques biotechnologiques à sa douzième réunion ;</w:t>
      </w:r>
    </w:p>
    <w:p w14:paraId="0D811A3A" w14:textId="77777777" w:rsidR="00080196" w:rsidRPr="008E1212" w:rsidRDefault="00080196" w:rsidP="00D5133F">
      <w:pPr>
        <w:pStyle w:val="CBDDesicionText"/>
        <w:rPr>
          <w:i/>
          <w:iCs/>
        </w:rPr>
      </w:pPr>
      <w:r>
        <w:t>5.</w:t>
      </w:r>
      <w:r>
        <w:rPr>
          <w:i/>
          <w:iCs/>
        </w:rPr>
        <w:tab/>
        <w:t xml:space="preserve">Invite </w:t>
      </w:r>
      <w:r>
        <w:t>les Parties, les autres gouvernements et les organisations à mener des activités de renforcement des capacités et de sensibilisation en appui à l'Objectif A.9 du plan de mise en œuvre et du plan d'action de renforcement des capacités du Protocole de Cartagena, et encourage les donateurs à fournir les ressources nécessaires à cet égard.</w:t>
      </w:r>
    </w:p>
    <w:p w14:paraId="2CD7D69F" w14:textId="77777777" w:rsidR="00080196" w:rsidRPr="008E1212" w:rsidRDefault="00080196" w:rsidP="00826B18">
      <w:pPr>
        <w:pStyle w:val="CBDNormal"/>
      </w:pPr>
    </w:p>
    <w:p w14:paraId="6F516A66"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216BC6B0" w14:textId="268CEF44" w:rsidR="00080196" w:rsidRPr="008E1212" w:rsidRDefault="00CC5899" w:rsidP="00820E7D">
      <w:pPr>
        <w:pStyle w:val="CBDH2"/>
        <w:jc w:val="left"/>
      </w:pPr>
      <w:r>
        <w:lastRenderedPageBreak/>
        <w:tab/>
      </w:r>
      <w:bookmarkStart w:id="28" w:name="_Toc194399420"/>
      <w:bookmarkStart w:id="29" w:name="_Toc194919559"/>
      <w:r>
        <w:t>CP-11/10.</w:t>
      </w:r>
      <w:r>
        <w:tab/>
        <w:t>Protocole additionnel de Nagoya-Kuala Lumpur sur la responsabilité et la réparation</w:t>
      </w:r>
      <w:bookmarkEnd w:id="28"/>
      <w:bookmarkEnd w:id="29"/>
    </w:p>
    <w:p w14:paraId="3EB21CB0" w14:textId="77777777" w:rsidR="00080196" w:rsidRPr="008E1212" w:rsidRDefault="00080196" w:rsidP="000D063F">
      <w:pPr>
        <w:pStyle w:val="CBDDesicionText"/>
      </w:pPr>
      <w:r>
        <w:rPr>
          <w:i/>
          <w:iCs/>
        </w:rPr>
        <w:t>La Conférence des Parties siégeant en tant que réunion des Parties au Protocole de Cartagena et siégeant en tant que réunion des Parties au Protocole additionnel de Nagoya-Kuala Lumpur</w:t>
      </w:r>
      <w:r>
        <w:rPr>
          <w:rStyle w:val="FootnoteReference"/>
        </w:rPr>
        <w:footnoteReference w:id="46"/>
      </w:r>
      <w:r>
        <w:t>,</w:t>
      </w:r>
    </w:p>
    <w:p w14:paraId="5203621B" w14:textId="77777777" w:rsidR="00080196" w:rsidRPr="008E1212" w:rsidRDefault="00080196" w:rsidP="000D063F">
      <w:pPr>
        <w:pStyle w:val="CBDDesicionText"/>
      </w:pPr>
      <w:r>
        <w:rPr>
          <w:i/>
          <w:iCs/>
        </w:rPr>
        <w:t xml:space="preserve">Rappelant </w:t>
      </w:r>
      <w:r>
        <w:t>la décision </w:t>
      </w:r>
      <w:hyperlink r:id="rId40" w:history="1">
        <w:r>
          <w:rPr>
            <w:rStyle w:val="Hyperlink"/>
          </w:rPr>
          <w:t>CP-10/13</w:t>
        </w:r>
      </w:hyperlink>
      <w:r>
        <w:t xml:space="preserve"> du 10 décembre 2022, en particulier le paragraphe 8,</w:t>
      </w:r>
    </w:p>
    <w:p w14:paraId="66D77B4D" w14:textId="77777777" w:rsidR="00080196" w:rsidRPr="008E1212" w:rsidRDefault="00080196" w:rsidP="000D063F">
      <w:pPr>
        <w:pStyle w:val="CBDDesicionText"/>
      </w:pPr>
      <w:r>
        <w:rPr>
          <w:i/>
          <w:iCs/>
        </w:rPr>
        <w:t>Rappelant également</w:t>
      </w:r>
      <w:r>
        <w:t xml:space="preserve"> l’Objectif A.10 du plan de mise en œuvre</w:t>
      </w:r>
      <w:r>
        <w:rPr>
          <w:rStyle w:val="FootnoteReference"/>
          <w:rFonts w:asciiTheme="majorBidi" w:hAnsiTheme="majorBidi"/>
        </w:rPr>
        <w:footnoteReference w:id="47"/>
      </w:r>
      <w:r>
        <w:t xml:space="preserve"> et le plan d’action pour le renforcement des capacités</w:t>
      </w:r>
      <w:r>
        <w:rPr>
          <w:rStyle w:val="FootnoteReference"/>
          <w:rFonts w:asciiTheme="majorBidi" w:eastAsiaTheme="minorEastAsia" w:hAnsiTheme="majorBidi"/>
        </w:rPr>
        <w:footnoteReference w:id="48"/>
      </w:r>
      <w:r>
        <w:rPr>
          <w:rStyle w:val="FootnoteReference"/>
          <w:rFonts w:asciiTheme="majorBidi" w:eastAsiaTheme="minorEastAsia" w:hAnsiTheme="majorBidi"/>
        </w:rPr>
        <w:t xml:space="preserve"> </w:t>
      </w:r>
      <w:r>
        <w:t>du Protocole de Cartagena sur la prévention des risques biotechnologiques</w:t>
      </w:r>
      <w:r>
        <w:rPr>
          <w:rStyle w:val="FootnoteReference"/>
          <w:rFonts w:asciiTheme="majorBidi" w:eastAsiaTheme="minorEastAsia" w:hAnsiTheme="majorBidi"/>
        </w:rPr>
        <w:footnoteReference w:id="49"/>
      </w:r>
      <w:r>
        <w:t>,</w:t>
      </w:r>
    </w:p>
    <w:p w14:paraId="73A21C79" w14:textId="2994D931" w:rsidR="00080196" w:rsidRPr="008E1212" w:rsidRDefault="00080196" w:rsidP="000D063F">
      <w:pPr>
        <w:pStyle w:val="CBDDesicionText"/>
      </w:pPr>
      <w:r>
        <w:rPr>
          <w:iCs/>
        </w:rPr>
        <w:t>1.</w:t>
      </w:r>
      <w:r>
        <w:rPr>
          <w:i/>
        </w:rPr>
        <w:tab/>
        <w:t>Accueille avec satisfaction</w:t>
      </w:r>
      <w:r>
        <w:t xml:space="preserve"> les instruments additionnels de ratification, d’acceptation, d’approbation ou d’adhésion au Protocole additionnel de Nagoya-Kuala Lumpur sur la </w:t>
      </w:r>
      <w:r w:rsidR="003F607B">
        <w:br/>
      </w:r>
      <w:r>
        <w:t>responsabilité et la réparation au Protocole de Cartagena</w:t>
      </w:r>
      <w:r>
        <w:rPr>
          <w:rStyle w:val="FootnoteReference"/>
        </w:rPr>
        <w:footnoteReference w:id="50"/>
      </w:r>
      <w:r>
        <w:t xml:space="preserve"> qui ont été déposés depuis l’adoption de la décision </w:t>
      </w:r>
      <w:hyperlink r:id="rId41" w:history="1">
        <w:r>
          <w:rPr>
            <w:rStyle w:val="Hyperlink"/>
          </w:rPr>
          <w:t>CP-10/13</w:t>
        </w:r>
      </w:hyperlink>
      <w:r>
        <w:t> ;</w:t>
      </w:r>
    </w:p>
    <w:p w14:paraId="2D2B568E" w14:textId="77777777" w:rsidR="00080196" w:rsidRPr="008E1212" w:rsidRDefault="00080196" w:rsidP="000D063F">
      <w:pPr>
        <w:pStyle w:val="CBDDesicionText"/>
      </w:pPr>
      <w:r>
        <w:rPr>
          <w:iCs/>
        </w:rPr>
        <w:t>2.</w:t>
      </w:r>
      <w:r>
        <w:rPr>
          <w:i/>
        </w:rPr>
        <w:tab/>
      </w:r>
      <w:r>
        <w:rPr>
          <w:bCs/>
          <w:i/>
          <w:color w:val="000000" w:themeColor="text1"/>
        </w:rPr>
        <w:t>Constate avec regret</w:t>
      </w:r>
      <w:r>
        <w:t xml:space="preserve"> qu’un nombre limité de Parties au Protocole de Cartagena ont ratifié le Protocole additionnel de Nagoya-Kuala Lumpur, et invite toutes les Parties au Protocole de Cartagena qui ne l’ont pas encore fait à déposer, dès que possible, un instrument de ratification, d’acceptation, d’approbation ou d’adhésion au Protocole additionnel ;</w:t>
      </w:r>
    </w:p>
    <w:p w14:paraId="72A43E27" w14:textId="77777777" w:rsidR="00080196" w:rsidRPr="008E1212" w:rsidRDefault="00080196" w:rsidP="000D063F">
      <w:pPr>
        <w:pStyle w:val="CBDDesicionText"/>
        <w:rPr>
          <w:b/>
          <w:bCs/>
          <w:caps/>
        </w:rPr>
      </w:pPr>
      <w:r>
        <w:t>3.</w:t>
      </w:r>
      <w:r>
        <w:rPr>
          <w:i/>
          <w:iCs/>
        </w:rPr>
        <w:tab/>
        <w:t>Se félicite</w:t>
      </w:r>
      <w:r>
        <w:t xml:space="preserve"> des dossiers supplémentaires publiés dans le Centre d’échange pour la prévention des risques biotechnologiques, qui contiennent les coordonnées des autorités compétentes chargées d’exercer les fonctions énoncées à l’article 5 du Protocole additionnel de Nagoya-Kuala Lumpur ;</w:t>
      </w:r>
    </w:p>
    <w:p w14:paraId="21F163B1" w14:textId="77777777" w:rsidR="00080196" w:rsidRPr="008E1212" w:rsidRDefault="00080196" w:rsidP="000D063F">
      <w:pPr>
        <w:pStyle w:val="CBDDesicionText"/>
        <w:rPr>
          <w:b/>
          <w:bCs/>
          <w:caps/>
        </w:rPr>
      </w:pPr>
      <w:r>
        <w:rPr>
          <w:iCs/>
        </w:rPr>
        <w:t>4.</w:t>
      </w:r>
      <w:r>
        <w:rPr>
          <w:i/>
        </w:rPr>
        <w:tab/>
        <w:t>Rappelle</w:t>
      </w:r>
      <w:r>
        <w:t xml:space="preserve"> aux Parties au Protocole additionnel de Nagoya-Kuala Lumpur de désigner une autorité compétente pour exercer les fonctions énoncées à l’article 5 du Protocole additionnel et de publier des informations sur les autorités compétentes en utilisant le modèle commun disponible à cet effet dans le Centre d’échange pour la prévention des risques biotechnologiques ;</w:t>
      </w:r>
    </w:p>
    <w:p w14:paraId="448A4B27" w14:textId="77777777" w:rsidR="00080196" w:rsidRPr="008E1212" w:rsidRDefault="00080196" w:rsidP="000D063F">
      <w:pPr>
        <w:pStyle w:val="CBDDesicionText"/>
        <w:rPr>
          <w:b/>
          <w:bCs/>
          <w:caps/>
        </w:rPr>
      </w:pPr>
      <w:r>
        <w:t>5.</w:t>
      </w:r>
      <w:r>
        <w:rPr>
          <w:i/>
          <w:iCs/>
        </w:rPr>
        <w:tab/>
        <w:t>Accueille avec satisfaction</w:t>
      </w:r>
      <w:r>
        <w:t xml:space="preserve"> les informations communiquées par les Parties sur les mesures mises en place pour assurer une garantie financière en cas de dommages causés par les organismes vivants modifiés, tout en relevant avec regret que seules quelques Parties ont fourni de telles informations ;</w:t>
      </w:r>
    </w:p>
    <w:p w14:paraId="0871E672" w14:textId="77777777" w:rsidR="00080196" w:rsidRPr="008E1212" w:rsidRDefault="00080196" w:rsidP="000D063F">
      <w:pPr>
        <w:pStyle w:val="CBDDesicionText"/>
        <w:rPr>
          <w:b/>
          <w:bCs/>
          <w:caps/>
        </w:rPr>
      </w:pPr>
      <w:r>
        <w:t>6.</w:t>
      </w:r>
      <w:r>
        <w:rPr>
          <w:i/>
          <w:iCs/>
        </w:rPr>
        <w:tab/>
        <w:t>Invite</w:t>
      </w:r>
      <w:r>
        <w:t xml:space="preserve"> les Parties à partager des informations sur les mécanismes de sécurité financière, ainsi que d’autres informations sur les mesures nationales en faveur de la mise en œuvre du Protocole additionnel de Nagoya-Kuala Lumpur, dans leurs cinquièmes rapports nationaux, et prie la Secrétaire exécutive à la Convention sur la diversité biologique</w:t>
      </w:r>
      <w:r>
        <w:rPr>
          <w:rStyle w:val="FootnoteReference"/>
        </w:rPr>
        <w:footnoteReference w:id="51"/>
      </w:r>
      <w:r>
        <w:t xml:space="preserve"> de s’appuyer sur ces informations lors de la préparation de la documentation destinée au premier exercice d’évaluation et d’examen de l’efficacité du Protocole additionnel</w:t>
      </w:r>
      <w:r>
        <w:rPr>
          <w:rStyle w:val="FootnoteReference"/>
        </w:rPr>
        <w:footnoteReference w:id="52"/>
      </w:r>
      <w:r>
        <w:t> ;</w:t>
      </w:r>
      <w:r>
        <w:rPr>
          <w:rStyle w:val="FootnoteReference"/>
        </w:rPr>
        <w:t xml:space="preserve"> </w:t>
      </w:r>
    </w:p>
    <w:p w14:paraId="14A25DA3" w14:textId="77777777" w:rsidR="00080196" w:rsidRPr="008E1212" w:rsidRDefault="00080196" w:rsidP="000D063F">
      <w:pPr>
        <w:pStyle w:val="CBDDesicionText"/>
      </w:pPr>
      <w:r>
        <w:t>7.</w:t>
      </w:r>
      <w:r>
        <w:rPr>
          <w:i/>
          <w:iCs/>
        </w:rPr>
        <w:tab/>
        <w:t>Invite</w:t>
      </w:r>
      <w:r>
        <w:t xml:space="preserve"> les Parties, les autres gouvernements et les organisations à mener des activités de renforcement des capacités et de sensibilisation en appui à la ratification et à la mise en œuvre effective du Protocole additionnel de Nagoya-Kuala Lumpur, et encourage les donateurs à mettre à </w:t>
      </w:r>
      <w:r>
        <w:lastRenderedPageBreak/>
        <w:t>disposition les ressources nécessaires à cet égard, conformément à l’Objectif A.10 du plan de mise en œuvre et le plan d’action de renforcement des capacités pour le Protocole de Cartagena ;</w:t>
      </w:r>
    </w:p>
    <w:p w14:paraId="33EEEEDD" w14:textId="7FBD12E5" w:rsidR="00080196" w:rsidRPr="008E1212" w:rsidRDefault="00080196" w:rsidP="00885473">
      <w:pPr>
        <w:pStyle w:val="CBDDesicionText"/>
      </w:pPr>
      <w:r>
        <w:t>8.</w:t>
      </w:r>
      <w:r>
        <w:tab/>
      </w:r>
      <w:r>
        <w:rPr>
          <w:i/>
          <w:iCs/>
        </w:rPr>
        <w:t>Prie</w:t>
      </w:r>
      <w:r>
        <w:t xml:space="preserve"> la Secrétaire exécutive, selon la disponibilité des ressources, de continuer à entreprendre des activités de sensibilisation et de renforcement des capacités et de fournir un soutien aux Parties dans leur mise en œuvre du Protocole additionnel de Nagoya-Kuala Lumpur à l’échelle nationale</w:t>
      </w:r>
      <w:r w:rsidR="00512F5B">
        <w:t>.</w:t>
      </w:r>
      <w:r>
        <w:br w:type="page"/>
      </w:r>
    </w:p>
    <w:p w14:paraId="704E540C" w14:textId="7B110304" w:rsidR="00080196" w:rsidRPr="008E1212" w:rsidRDefault="00820E7D" w:rsidP="00820E7D">
      <w:pPr>
        <w:pStyle w:val="CBDH2"/>
        <w:jc w:val="left"/>
      </w:pPr>
      <w:r>
        <w:lastRenderedPageBreak/>
        <w:tab/>
      </w:r>
      <w:bookmarkStart w:id="30" w:name="_Toc194399421"/>
      <w:bookmarkStart w:id="31" w:name="_Toc194919560"/>
      <w:r>
        <w:t>CP-11/11.</w:t>
      </w:r>
      <w:r>
        <w:tab/>
        <w:t>Administration du Protocole de Cartagena et budget des fonds d’affectation spéciale</w:t>
      </w:r>
      <w:bookmarkEnd w:id="30"/>
      <w:bookmarkEnd w:id="31"/>
    </w:p>
    <w:p w14:paraId="07FB404E" w14:textId="77777777" w:rsidR="00080196" w:rsidRPr="008E1212" w:rsidRDefault="00080196" w:rsidP="009F3F4F">
      <w:pPr>
        <w:pStyle w:val="CBDDesicionText"/>
        <w:rPr>
          <w:i/>
          <w:iCs/>
          <w:lang w:eastAsia="ko-KR"/>
        </w:rPr>
      </w:pPr>
      <w:r>
        <w:rPr>
          <w:i/>
          <w:iCs/>
        </w:rPr>
        <w:t>La Conférence des Parties siégeant en tant que réunion des Parties au Protocole de Cartagena</w:t>
      </w:r>
    </w:p>
    <w:p w14:paraId="4CDEB233" w14:textId="77777777" w:rsidR="00080196" w:rsidRPr="008E1212" w:rsidRDefault="00080196" w:rsidP="009F3F4F">
      <w:pPr>
        <w:pStyle w:val="CBDDesicionText"/>
        <w:rPr>
          <w:lang w:eastAsia="ko-KR"/>
        </w:rPr>
      </w:pPr>
      <w:r>
        <w:rPr>
          <w:rFonts w:asciiTheme="majorBidi" w:hAnsiTheme="majorBidi" w:cstheme="majorBidi"/>
        </w:rPr>
        <w:t>1.</w:t>
      </w:r>
      <w:r>
        <w:rPr>
          <w:rFonts w:asciiTheme="majorBidi" w:hAnsiTheme="majorBidi" w:cstheme="majorBidi"/>
        </w:rPr>
        <w:tab/>
      </w:r>
      <w:r>
        <w:rPr>
          <w:i/>
        </w:rPr>
        <w:t>Décide</w:t>
      </w:r>
      <w:r>
        <w:t xml:space="preserve"> d’adopter un programme de travail et un budget intégrés pour la Convention sur la diversité biologique</w:t>
      </w:r>
      <w:r>
        <w:rPr>
          <w:rStyle w:val="FootnoteReference"/>
          <w:rFonts w:eastAsia="Malgun Gothic"/>
          <w:iCs/>
          <w:color w:val="000000" w:themeColor="text1"/>
          <w:kern w:val="20"/>
        </w:rPr>
        <w:footnoteReference w:id="53"/>
      </w:r>
      <w:r>
        <w:t>, le Protocole de Cartagena sur la prévention des risques biotechnologiques</w:t>
      </w:r>
      <w:r>
        <w:rPr>
          <w:rStyle w:val="FootnoteReference"/>
          <w:rFonts w:eastAsia="Malgun Gothic"/>
          <w:iCs/>
          <w:color w:val="000000" w:themeColor="text1"/>
          <w:kern w:val="20"/>
        </w:rPr>
        <w:footnoteReference w:id="54"/>
      </w:r>
      <w:r>
        <w:t xml:space="preserve"> et le Protocole de Nagoya sur l’accès aux ressources génétiques et le partage juste et équitable des avantages découlant de leur utilisation</w:t>
      </w:r>
      <w:r>
        <w:rPr>
          <w:rStyle w:val="FootnoteReference"/>
          <w:rFonts w:eastAsia="Malgun Gothic"/>
          <w:iCs/>
          <w:color w:val="000000" w:themeColor="text1"/>
          <w:kern w:val="20"/>
        </w:rPr>
        <w:footnoteReference w:id="55"/>
      </w:r>
      <w:r>
        <w:t> ;</w:t>
      </w:r>
    </w:p>
    <w:p w14:paraId="16671B68" w14:textId="77777777" w:rsidR="00080196" w:rsidRPr="008E1212" w:rsidRDefault="00080196" w:rsidP="009F3F4F">
      <w:pPr>
        <w:pStyle w:val="CBDDesicionText"/>
      </w:pPr>
      <w:r>
        <w:rPr>
          <w:rFonts w:asciiTheme="majorBidi" w:hAnsiTheme="majorBidi" w:cstheme="majorBidi"/>
        </w:rPr>
        <w:t>2.</w:t>
      </w:r>
      <w:r>
        <w:rPr>
          <w:rFonts w:asciiTheme="majorBidi" w:hAnsiTheme="majorBidi" w:cstheme="majorBidi"/>
        </w:rPr>
        <w:tab/>
      </w:r>
      <w:r>
        <w:rPr>
          <w:i/>
        </w:rPr>
        <w:t>Décide également</w:t>
      </w:r>
      <w:r>
        <w:t xml:space="preserve"> de répartir tous les coûts des services de secrétariat entre la Convention, le Protocole de Cartagena et le Protocole de Nagoya dans un rapport de 72 à 15 à 13 pour l’exercice biennal 2025-2026 ;</w:t>
      </w:r>
    </w:p>
    <w:p w14:paraId="0C932632" w14:textId="77777777" w:rsidR="00080196" w:rsidRPr="008E1212" w:rsidRDefault="00080196" w:rsidP="00045979">
      <w:pPr>
        <w:pStyle w:val="CBDDesicionText"/>
      </w:pPr>
      <w:r>
        <w:rPr>
          <w:rFonts w:asciiTheme="majorBidi" w:hAnsiTheme="majorBidi" w:cstheme="majorBidi"/>
        </w:rPr>
        <w:t>3.</w:t>
      </w:r>
      <w:r>
        <w:rPr>
          <w:rFonts w:asciiTheme="majorBidi" w:hAnsiTheme="majorBidi" w:cstheme="majorBidi"/>
        </w:rPr>
        <w:tab/>
      </w:r>
      <w:r>
        <w:rPr>
          <w:i/>
        </w:rPr>
        <w:t>Approuve</w:t>
      </w:r>
      <w:r>
        <w:t xml:space="preserve"> un budget-programme de base pour le Protocole de Cartagena d’un montant de 3 252 308 dollars É.-U. pour 2025 et d’un montant de 3 413 007 dollars pour 2026, ce qui représente 15 % du budget intégré qui s’élève à 21 682 052 dollars pour 2025 et à 22 753 379 dollars pour 2026 pour la Convention et ses Protocoles, afin de répondre aux besoins recensés dans les tableaux 1 et 2 ci-après ;</w:t>
      </w:r>
    </w:p>
    <w:p w14:paraId="042D1599" w14:textId="77777777" w:rsidR="00080196" w:rsidRPr="008E1212" w:rsidRDefault="00080196" w:rsidP="009F3F4F">
      <w:pPr>
        <w:pStyle w:val="CBDDesicionText"/>
      </w:pPr>
      <w:bookmarkStart w:id="32" w:name="_Hlk533085716"/>
      <w:r>
        <w:rPr>
          <w:rFonts w:asciiTheme="majorBidi" w:hAnsiTheme="majorBidi" w:cstheme="majorBidi"/>
        </w:rPr>
        <w:t>4.</w:t>
      </w:r>
      <w:r>
        <w:rPr>
          <w:rFonts w:asciiTheme="majorBidi" w:hAnsiTheme="majorBidi" w:cstheme="majorBidi"/>
        </w:rPr>
        <w:tab/>
      </w:r>
      <w:r>
        <w:rPr>
          <w:rFonts w:asciiTheme="majorBidi" w:hAnsiTheme="majorBidi" w:cstheme="majorBidi"/>
          <w:i/>
          <w:iCs/>
        </w:rPr>
        <w:t>Approuve également</w:t>
      </w:r>
      <w:r>
        <w:t>, advenant qu’il n’y ait pas de local disponible au siège de l’Organisation de l’aviation civile internationale pour la tenue des réunions des organes subsidiaires pendant l’exercice biennal 2025-2026, un budget-programme additionnel ne dépassant pas 28 975 dollars pour 2025 et 28 975 dollars pour 2026, qui représente 15 % du budget intégré additionnel de 193 168 dollars pour 2025 et de 193 168 dollars pour 2026 pour la Convention et ses Protocoles, et qui est financé au moyen du solde inutilisé du Fonds général d’affectation spéciale destiné au budget-programme de base pour le Protocole de Cartagena ;</w:t>
      </w:r>
    </w:p>
    <w:p w14:paraId="50A2425B" w14:textId="77777777" w:rsidR="00080196" w:rsidRPr="008E1212" w:rsidRDefault="00080196" w:rsidP="009F3F4F">
      <w:pPr>
        <w:pStyle w:val="CBDDesicionText"/>
      </w:pPr>
      <w:r>
        <w:rPr>
          <w:rFonts w:asciiTheme="majorBidi" w:hAnsiTheme="majorBidi" w:cstheme="majorBidi"/>
        </w:rPr>
        <w:t>5.</w:t>
      </w:r>
      <w:r>
        <w:rPr>
          <w:rFonts w:asciiTheme="majorBidi" w:hAnsiTheme="majorBidi" w:cstheme="majorBidi"/>
        </w:rPr>
        <w:tab/>
      </w:r>
      <w:r>
        <w:rPr>
          <w:i/>
        </w:rPr>
        <w:t>Adopte</w:t>
      </w:r>
      <w:r>
        <w:t xml:space="preserve"> le barème des quotes-parts pour la répartition des dépenses pour 2025 et 2026, établi en conformité avec le barème actuel des quotes-parts des Nations Unies</w:t>
      </w:r>
      <w:r>
        <w:rPr>
          <w:rStyle w:val="FootnoteReference"/>
          <w:rFonts w:eastAsia="Malgun Gothic"/>
          <w:iCs/>
          <w:color w:val="000000" w:themeColor="text1"/>
          <w:kern w:val="20"/>
        </w:rPr>
        <w:footnoteReference w:id="56"/>
      </w:r>
      <w:r>
        <w:t>, tel qu’il figure dans l’annexe à la présente décision ;</w:t>
      </w:r>
    </w:p>
    <w:bookmarkEnd w:id="32"/>
    <w:p w14:paraId="7BD88A9A" w14:textId="77777777" w:rsidR="00080196" w:rsidRPr="008E1212" w:rsidRDefault="00080196" w:rsidP="009F3F4F">
      <w:pPr>
        <w:pStyle w:val="CBDDesicionText"/>
        <w:rPr>
          <w:rFonts w:eastAsia="Malgun Gothic"/>
          <w:iCs/>
          <w:color w:val="000000" w:themeColor="text1"/>
          <w:kern w:val="20"/>
          <w:lang w:eastAsia="x-none"/>
        </w:rPr>
      </w:pPr>
      <w:r>
        <w:rPr>
          <w:rFonts w:asciiTheme="majorBidi" w:eastAsia="Malgun Gothic" w:hAnsiTheme="majorBidi" w:cstheme="majorBidi"/>
          <w:iCs/>
          <w:color w:val="000000" w:themeColor="text1"/>
          <w:kern w:val="20"/>
        </w:rPr>
        <w:t>6.</w:t>
      </w:r>
      <w:r>
        <w:rPr>
          <w:rFonts w:asciiTheme="majorBidi" w:eastAsia="Malgun Gothic" w:hAnsiTheme="majorBidi" w:cstheme="majorBidi"/>
          <w:iCs/>
          <w:color w:val="000000" w:themeColor="text1"/>
          <w:kern w:val="20"/>
        </w:rPr>
        <w:tab/>
      </w:r>
      <w:r>
        <w:rPr>
          <w:rFonts w:ascii="TimesNewRomanPS" w:hAnsi="TimesNewRomanPS"/>
          <w:i/>
          <w:iCs/>
        </w:rPr>
        <w:t>Décide</w:t>
      </w:r>
      <w:r>
        <w:t xml:space="preserve"> d’appliquer, mutatis mutandis, les paragraphes 5 à 7 et 9 à 43 de la décision 16/28 du 6 décembre 2024 de la Conférence des Parties à la Convention, intitulée « Administration de la Convention et budget des fonds d’affectation spéciale ».</w:t>
      </w:r>
    </w:p>
    <w:p w14:paraId="3D4A2537" w14:textId="77777777" w:rsidR="00080196" w:rsidRPr="008E1212" w:rsidRDefault="00080196" w:rsidP="00350E4A">
      <w:pPr>
        <w:pStyle w:val="CBDTableTitle"/>
        <w:ind w:right="146"/>
        <w:rPr>
          <w:lang w:bidi="ar-SY"/>
        </w:rPr>
      </w:pPr>
      <w:r>
        <w:rPr>
          <w:b w:val="0"/>
          <w:bCs/>
        </w:rPr>
        <w:t>Tableau 1</w:t>
      </w:r>
      <w:r>
        <w:rPr>
          <w:b w:val="0"/>
          <w:bCs/>
        </w:rPr>
        <w:br/>
      </w:r>
      <w:r>
        <w:t xml:space="preserve">Budget intégré des </w:t>
      </w:r>
      <w:bookmarkStart w:id="33" w:name="_Hlk183617486"/>
      <w:r>
        <w:t xml:space="preserve"> fonds d’affectation spéciale de base de la</w:t>
      </w:r>
      <w:bookmarkEnd w:id="33"/>
      <w:r>
        <w:t xml:space="preserve"> Convention et de ses Protocoles pour l’exercice biennal 2025-2026 (par poste de dépenses)</w:t>
      </w:r>
    </w:p>
    <w:p w14:paraId="60827EC7" w14:textId="77777777" w:rsidR="00080196" w:rsidRPr="008E1212" w:rsidRDefault="00080196" w:rsidP="00A52B30">
      <w:pPr>
        <w:pStyle w:val="CBDNormal"/>
        <w:spacing w:after="60"/>
        <w:ind w:left="567"/>
        <w:rPr>
          <w:sz w:val="18"/>
          <w:szCs w:val="18"/>
        </w:rPr>
      </w:pPr>
      <w:r>
        <w:rPr>
          <w:sz w:val="18"/>
          <w:szCs w:val="18"/>
        </w:rPr>
        <w:t>(En milliers de dollars des É.-U.)</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080196" w:rsidRPr="008E1212" w14:paraId="7DE991B2" w14:textId="77777777" w:rsidTr="00A52B30">
        <w:trPr>
          <w:tblHeader/>
        </w:trPr>
        <w:tc>
          <w:tcPr>
            <w:tcW w:w="2501" w:type="pct"/>
            <w:tcBorders>
              <w:top w:val="single" w:sz="4" w:space="0" w:color="auto"/>
              <w:bottom w:val="single" w:sz="4" w:space="0" w:color="auto"/>
            </w:tcBorders>
          </w:tcPr>
          <w:p w14:paraId="0946834B" w14:textId="77777777" w:rsidR="00080196" w:rsidRPr="008E1212" w:rsidRDefault="00080196" w:rsidP="00A52B30">
            <w:pPr>
              <w:spacing w:before="40" w:after="40"/>
              <w:rPr>
                <w:i/>
                <w:iCs/>
                <w:sz w:val="18"/>
                <w:szCs w:val="18"/>
                <w:lang w:bidi="ar-SY"/>
              </w:rPr>
            </w:pPr>
            <w:r>
              <w:rPr>
                <w:i/>
                <w:iCs/>
                <w:sz w:val="18"/>
                <w:szCs w:val="18"/>
              </w:rPr>
              <w:t>Poste de dépense</w:t>
            </w:r>
          </w:p>
        </w:tc>
        <w:tc>
          <w:tcPr>
            <w:tcW w:w="834" w:type="pct"/>
            <w:tcBorders>
              <w:top w:val="single" w:sz="4" w:space="0" w:color="auto"/>
              <w:bottom w:val="single" w:sz="4" w:space="0" w:color="auto"/>
            </w:tcBorders>
          </w:tcPr>
          <w:p w14:paraId="71279668" w14:textId="77777777" w:rsidR="00080196" w:rsidRPr="008E1212" w:rsidRDefault="00080196" w:rsidP="00A52B30">
            <w:pPr>
              <w:spacing w:before="40" w:after="40"/>
              <w:ind w:right="140"/>
              <w:jc w:val="right"/>
              <w:rPr>
                <w:i/>
                <w:iCs/>
                <w:sz w:val="18"/>
                <w:szCs w:val="18"/>
                <w:lang w:bidi="ar-SY"/>
              </w:rPr>
            </w:pPr>
            <w:r>
              <w:rPr>
                <w:i/>
                <w:iCs/>
                <w:sz w:val="18"/>
                <w:szCs w:val="18"/>
              </w:rPr>
              <w:t>2025</w:t>
            </w:r>
          </w:p>
        </w:tc>
        <w:tc>
          <w:tcPr>
            <w:tcW w:w="750" w:type="pct"/>
            <w:tcBorders>
              <w:top w:val="single" w:sz="4" w:space="0" w:color="auto"/>
              <w:bottom w:val="single" w:sz="4" w:space="0" w:color="auto"/>
            </w:tcBorders>
          </w:tcPr>
          <w:p w14:paraId="16C1FC89" w14:textId="77777777" w:rsidR="00080196" w:rsidRPr="008E1212" w:rsidRDefault="00080196" w:rsidP="00A52B30">
            <w:pPr>
              <w:tabs>
                <w:tab w:val="clear" w:pos="1134"/>
              </w:tabs>
              <w:spacing w:before="40" w:after="40"/>
              <w:ind w:right="142"/>
              <w:jc w:val="right"/>
              <w:rPr>
                <w:i/>
                <w:iCs/>
                <w:sz w:val="18"/>
                <w:szCs w:val="18"/>
                <w:lang w:bidi="ar-SY"/>
              </w:rPr>
            </w:pPr>
            <w:r>
              <w:rPr>
                <w:i/>
                <w:iCs/>
                <w:sz w:val="18"/>
                <w:szCs w:val="18"/>
              </w:rPr>
              <w:t>2026</w:t>
            </w:r>
          </w:p>
        </w:tc>
        <w:tc>
          <w:tcPr>
            <w:tcW w:w="915" w:type="pct"/>
            <w:tcBorders>
              <w:top w:val="single" w:sz="4" w:space="0" w:color="auto"/>
              <w:bottom w:val="single" w:sz="4" w:space="0" w:color="auto"/>
            </w:tcBorders>
          </w:tcPr>
          <w:p w14:paraId="2B01C4D9" w14:textId="77777777" w:rsidR="00080196" w:rsidRPr="008E1212" w:rsidRDefault="00080196" w:rsidP="00A52B30">
            <w:pPr>
              <w:spacing w:before="40" w:after="40"/>
              <w:jc w:val="right"/>
              <w:rPr>
                <w:i/>
                <w:iCs/>
                <w:sz w:val="18"/>
                <w:szCs w:val="18"/>
                <w:lang w:bidi="ar-SY"/>
              </w:rPr>
            </w:pPr>
            <w:r>
              <w:rPr>
                <w:i/>
                <w:iCs/>
                <w:sz w:val="18"/>
                <w:szCs w:val="18"/>
              </w:rPr>
              <w:t>2025–2026</w:t>
            </w:r>
          </w:p>
        </w:tc>
      </w:tr>
      <w:tr w:rsidR="00080196" w:rsidRPr="008E1212" w14:paraId="2951F8A9" w14:textId="77777777" w:rsidTr="00A52B30">
        <w:trPr>
          <w:trHeight w:val="258"/>
        </w:trPr>
        <w:tc>
          <w:tcPr>
            <w:tcW w:w="2501" w:type="pct"/>
            <w:tcBorders>
              <w:top w:val="single" w:sz="4" w:space="0" w:color="auto"/>
            </w:tcBorders>
          </w:tcPr>
          <w:p w14:paraId="048743D7" w14:textId="77777777" w:rsidR="00080196" w:rsidRPr="008E1212" w:rsidRDefault="00080196" w:rsidP="00A52B30">
            <w:pPr>
              <w:spacing w:before="40" w:after="40"/>
              <w:rPr>
                <w:sz w:val="18"/>
                <w:szCs w:val="18"/>
                <w:lang w:bidi="ar-SY"/>
              </w:rPr>
            </w:pPr>
            <w:r>
              <w:rPr>
                <w:sz w:val="18"/>
                <w:szCs w:val="18"/>
              </w:rPr>
              <w:t>Dépenses de personnel</w:t>
            </w:r>
          </w:p>
        </w:tc>
        <w:tc>
          <w:tcPr>
            <w:tcW w:w="834" w:type="pct"/>
            <w:tcBorders>
              <w:top w:val="single" w:sz="4" w:space="0" w:color="auto"/>
            </w:tcBorders>
          </w:tcPr>
          <w:p w14:paraId="5442516B" w14:textId="77777777" w:rsidR="00080196" w:rsidRPr="008E1212" w:rsidRDefault="00080196" w:rsidP="00A52B30">
            <w:pPr>
              <w:spacing w:before="40" w:after="40"/>
              <w:ind w:right="140"/>
              <w:jc w:val="right"/>
              <w:rPr>
                <w:sz w:val="18"/>
                <w:szCs w:val="18"/>
                <w:lang w:bidi="ar-SY"/>
              </w:rPr>
            </w:pPr>
            <w:r>
              <w:rPr>
                <w:sz w:val="18"/>
                <w:szCs w:val="18"/>
              </w:rPr>
              <w:t>13 301,0</w:t>
            </w:r>
          </w:p>
        </w:tc>
        <w:tc>
          <w:tcPr>
            <w:tcW w:w="750" w:type="pct"/>
            <w:tcBorders>
              <w:top w:val="single" w:sz="4" w:space="0" w:color="auto"/>
            </w:tcBorders>
          </w:tcPr>
          <w:p w14:paraId="0F3A4633"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13 862,7</w:t>
            </w:r>
          </w:p>
        </w:tc>
        <w:tc>
          <w:tcPr>
            <w:tcW w:w="915" w:type="pct"/>
            <w:tcBorders>
              <w:top w:val="single" w:sz="4" w:space="0" w:color="auto"/>
            </w:tcBorders>
          </w:tcPr>
          <w:p w14:paraId="49A3BB37" w14:textId="77777777" w:rsidR="00080196" w:rsidRPr="008E1212" w:rsidRDefault="00080196" w:rsidP="00A52B30">
            <w:pPr>
              <w:spacing w:before="40" w:after="40"/>
              <w:ind w:right="135"/>
              <w:jc w:val="right"/>
              <w:rPr>
                <w:sz w:val="18"/>
                <w:szCs w:val="18"/>
                <w:lang w:bidi="ar-SY"/>
              </w:rPr>
            </w:pPr>
            <w:r>
              <w:rPr>
                <w:sz w:val="18"/>
                <w:szCs w:val="18"/>
              </w:rPr>
              <w:t>27 163,7</w:t>
            </w:r>
          </w:p>
        </w:tc>
      </w:tr>
      <w:tr w:rsidR="00080196" w:rsidRPr="008E1212" w14:paraId="5C8B181A" w14:textId="77777777" w:rsidTr="00A52B30">
        <w:trPr>
          <w:trHeight w:val="229"/>
        </w:trPr>
        <w:tc>
          <w:tcPr>
            <w:tcW w:w="2501" w:type="pct"/>
          </w:tcPr>
          <w:p w14:paraId="48BD3067" w14:textId="77777777" w:rsidR="00080196" w:rsidRPr="008E1212" w:rsidRDefault="00080196" w:rsidP="00A52B30">
            <w:pPr>
              <w:spacing w:before="40" w:after="40"/>
              <w:rPr>
                <w:sz w:val="18"/>
                <w:szCs w:val="18"/>
                <w:lang w:bidi="ar-SY"/>
              </w:rPr>
            </w:pPr>
            <w:r>
              <w:rPr>
                <w:sz w:val="18"/>
                <w:szCs w:val="18"/>
              </w:rPr>
              <w:t>Assistance temporaire générale</w:t>
            </w:r>
          </w:p>
        </w:tc>
        <w:tc>
          <w:tcPr>
            <w:tcW w:w="834" w:type="pct"/>
          </w:tcPr>
          <w:p w14:paraId="1CF6C46C" w14:textId="77777777" w:rsidR="00080196" w:rsidRPr="008E1212" w:rsidRDefault="00080196" w:rsidP="00A52B30">
            <w:pPr>
              <w:spacing w:before="40" w:after="40"/>
              <w:ind w:right="140"/>
              <w:jc w:val="right"/>
              <w:rPr>
                <w:sz w:val="18"/>
                <w:szCs w:val="18"/>
                <w:lang w:bidi="ar-SY"/>
              </w:rPr>
            </w:pPr>
            <w:r>
              <w:rPr>
                <w:sz w:val="18"/>
                <w:szCs w:val="18"/>
              </w:rPr>
              <w:t>100,0</w:t>
            </w:r>
          </w:p>
        </w:tc>
        <w:tc>
          <w:tcPr>
            <w:tcW w:w="750" w:type="pct"/>
          </w:tcPr>
          <w:p w14:paraId="41DA3761"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100,0</w:t>
            </w:r>
          </w:p>
        </w:tc>
        <w:tc>
          <w:tcPr>
            <w:tcW w:w="915" w:type="pct"/>
          </w:tcPr>
          <w:p w14:paraId="6B8B5D67" w14:textId="77777777" w:rsidR="00080196" w:rsidRPr="008E1212" w:rsidRDefault="00080196" w:rsidP="00A52B30">
            <w:pPr>
              <w:spacing w:before="40" w:after="40"/>
              <w:ind w:right="135"/>
              <w:jc w:val="right"/>
              <w:rPr>
                <w:sz w:val="18"/>
                <w:szCs w:val="18"/>
                <w:lang w:bidi="ar-SY"/>
              </w:rPr>
            </w:pPr>
            <w:r>
              <w:rPr>
                <w:sz w:val="18"/>
                <w:szCs w:val="18"/>
              </w:rPr>
              <w:t>200,0</w:t>
            </w:r>
          </w:p>
        </w:tc>
      </w:tr>
      <w:tr w:rsidR="00080196" w:rsidRPr="008E1212" w14:paraId="6C298E2D" w14:textId="77777777" w:rsidTr="00A52B30">
        <w:trPr>
          <w:trHeight w:val="249"/>
        </w:trPr>
        <w:tc>
          <w:tcPr>
            <w:tcW w:w="2501" w:type="pct"/>
          </w:tcPr>
          <w:p w14:paraId="5F2875A2" w14:textId="77777777" w:rsidR="00080196" w:rsidRPr="008E1212" w:rsidRDefault="00080196" w:rsidP="00A52B30">
            <w:pPr>
              <w:spacing w:before="40" w:after="40"/>
              <w:rPr>
                <w:sz w:val="18"/>
                <w:szCs w:val="18"/>
                <w:lang w:bidi="ar-SY"/>
              </w:rPr>
            </w:pPr>
            <w:r>
              <w:rPr>
                <w:sz w:val="18"/>
                <w:szCs w:val="18"/>
              </w:rPr>
              <w:t>Réunions du Bureau</w:t>
            </w:r>
          </w:p>
        </w:tc>
        <w:tc>
          <w:tcPr>
            <w:tcW w:w="834" w:type="pct"/>
          </w:tcPr>
          <w:p w14:paraId="2E35C00A" w14:textId="77777777" w:rsidR="00080196" w:rsidRPr="008E1212" w:rsidRDefault="00080196" w:rsidP="00A52B30">
            <w:pPr>
              <w:spacing w:before="40" w:after="40"/>
              <w:ind w:right="140"/>
              <w:jc w:val="right"/>
              <w:rPr>
                <w:sz w:val="18"/>
                <w:szCs w:val="18"/>
                <w:lang w:bidi="ar-SY"/>
              </w:rPr>
            </w:pPr>
            <w:r>
              <w:rPr>
                <w:sz w:val="18"/>
                <w:szCs w:val="18"/>
              </w:rPr>
              <w:t>161,5</w:t>
            </w:r>
          </w:p>
        </w:tc>
        <w:tc>
          <w:tcPr>
            <w:tcW w:w="750" w:type="pct"/>
          </w:tcPr>
          <w:p w14:paraId="5F150098"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176,8</w:t>
            </w:r>
          </w:p>
        </w:tc>
        <w:tc>
          <w:tcPr>
            <w:tcW w:w="915" w:type="pct"/>
          </w:tcPr>
          <w:p w14:paraId="43C4B391" w14:textId="77777777" w:rsidR="00080196" w:rsidRPr="008E1212" w:rsidRDefault="00080196" w:rsidP="00A52B30">
            <w:pPr>
              <w:spacing w:before="40" w:after="40"/>
              <w:ind w:right="135"/>
              <w:jc w:val="right"/>
              <w:rPr>
                <w:sz w:val="18"/>
                <w:szCs w:val="18"/>
                <w:lang w:bidi="ar-SY"/>
              </w:rPr>
            </w:pPr>
            <w:r>
              <w:rPr>
                <w:sz w:val="18"/>
                <w:szCs w:val="18"/>
              </w:rPr>
              <w:t>338,3</w:t>
            </w:r>
          </w:p>
        </w:tc>
      </w:tr>
      <w:tr w:rsidR="00080196" w:rsidRPr="008E1212" w14:paraId="6EB358DC" w14:textId="77777777" w:rsidTr="00A52B30">
        <w:trPr>
          <w:trHeight w:val="251"/>
        </w:trPr>
        <w:tc>
          <w:tcPr>
            <w:tcW w:w="2501" w:type="pct"/>
          </w:tcPr>
          <w:p w14:paraId="11403FA6" w14:textId="77777777" w:rsidR="00080196" w:rsidRPr="008E1212" w:rsidRDefault="00080196" w:rsidP="00A52B30">
            <w:pPr>
              <w:spacing w:before="40" w:after="40"/>
              <w:rPr>
                <w:sz w:val="18"/>
                <w:szCs w:val="18"/>
                <w:lang w:bidi="ar-SY"/>
              </w:rPr>
            </w:pPr>
            <w:r>
              <w:rPr>
                <w:sz w:val="18"/>
                <w:szCs w:val="18"/>
              </w:rPr>
              <w:t>Réunions d'experts</w:t>
            </w:r>
          </w:p>
        </w:tc>
        <w:tc>
          <w:tcPr>
            <w:tcW w:w="834" w:type="pct"/>
          </w:tcPr>
          <w:p w14:paraId="68D67AF9" w14:textId="77777777" w:rsidR="00080196" w:rsidRPr="008E1212" w:rsidRDefault="00080196" w:rsidP="00A52B30">
            <w:pPr>
              <w:spacing w:before="40" w:after="40"/>
              <w:ind w:right="140"/>
              <w:jc w:val="right"/>
              <w:rPr>
                <w:sz w:val="18"/>
                <w:szCs w:val="18"/>
                <w:lang w:bidi="ar-SY"/>
              </w:rPr>
            </w:pPr>
            <w:r>
              <w:rPr>
                <w:sz w:val="18"/>
                <w:szCs w:val="18"/>
              </w:rPr>
              <w:t>175,0</w:t>
            </w:r>
          </w:p>
        </w:tc>
        <w:tc>
          <w:tcPr>
            <w:tcW w:w="750" w:type="pct"/>
          </w:tcPr>
          <w:p w14:paraId="0738A117"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205,0</w:t>
            </w:r>
          </w:p>
        </w:tc>
        <w:tc>
          <w:tcPr>
            <w:tcW w:w="915" w:type="pct"/>
          </w:tcPr>
          <w:p w14:paraId="2288A1C9" w14:textId="77777777" w:rsidR="00080196" w:rsidRPr="008E1212" w:rsidRDefault="00080196" w:rsidP="00A52B30">
            <w:pPr>
              <w:spacing w:before="40" w:after="40"/>
              <w:ind w:right="135"/>
              <w:jc w:val="right"/>
              <w:rPr>
                <w:sz w:val="18"/>
                <w:szCs w:val="18"/>
                <w:lang w:bidi="ar-SY"/>
              </w:rPr>
            </w:pPr>
            <w:r>
              <w:rPr>
                <w:sz w:val="18"/>
                <w:szCs w:val="18"/>
              </w:rPr>
              <w:t>380,0</w:t>
            </w:r>
          </w:p>
        </w:tc>
      </w:tr>
      <w:tr w:rsidR="00080196" w:rsidRPr="008E1212" w14:paraId="1A9136FB" w14:textId="77777777" w:rsidTr="00A52B30">
        <w:trPr>
          <w:trHeight w:val="229"/>
        </w:trPr>
        <w:tc>
          <w:tcPr>
            <w:tcW w:w="2501" w:type="pct"/>
          </w:tcPr>
          <w:p w14:paraId="7164DCA4" w14:textId="77777777" w:rsidR="00080196" w:rsidRPr="008E1212" w:rsidRDefault="00080196" w:rsidP="00A52B30">
            <w:pPr>
              <w:spacing w:before="40" w:after="40"/>
              <w:rPr>
                <w:sz w:val="18"/>
                <w:szCs w:val="18"/>
                <w:lang w:bidi="ar-SY"/>
              </w:rPr>
            </w:pPr>
            <w:r>
              <w:rPr>
                <w:sz w:val="18"/>
                <w:szCs w:val="18"/>
              </w:rPr>
              <w:t>Réunions des organes intergouvernementaux</w:t>
            </w:r>
            <w:r>
              <w:rPr>
                <w:i/>
                <w:iCs/>
                <w:sz w:val="18"/>
                <w:szCs w:val="18"/>
                <w:vertAlign w:val="superscript"/>
              </w:rPr>
              <w:t>a</w:t>
            </w:r>
          </w:p>
        </w:tc>
        <w:tc>
          <w:tcPr>
            <w:tcW w:w="834" w:type="pct"/>
          </w:tcPr>
          <w:p w14:paraId="45716EFF" w14:textId="77777777" w:rsidR="00080196" w:rsidRPr="008E1212" w:rsidRDefault="00080196" w:rsidP="00A52B30">
            <w:pPr>
              <w:spacing w:before="40" w:after="40"/>
              <w:ind w:right="140"/>
              <w:jc w:val="right"/>
              <w:rPr>
                <w:sz w:val="18"/>
                <w:szCs w:val="18"/>
                <w:lang w:bidi="ar-SY"/>
              </w:rPr>
            </w:pPr>
            <w:r>
              <w:rPr>
                <w:sz w:val="18"/>
                <w:szCs w:val="18"/>
              </w:rPr>
              <w:t>2 274,6</w:t>
            </w:r>
          </w:p>
        </w:tc>
        <w:tc>
          <w:tcPr>
            <w:tcW w:w="750" w:type="pct"/>
          </w:tcPr>
          <w:p w14:paraId="2BBC0A60"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2 700,9</w:t>
            </w:r>
          </w:p>
        </w:tc>
        <w:tc>
          <w:tcPr>
            <w:tcW w:w="915" w:type="pct"/>
          </w:tcPr>
          <w:p w14:paraId="67E6C144" w14:textId="77777777" w:rsidR="00080196" w:rsidRPr="008E1212" w:rsidRDefault="00080196" w:rsidP="00A52B30">
            <w:pPr>
              <w:spacing w:before="40" w:after="40"/>
              <w:ind w:right="135"/>
              <w:jc w:val="right"/>
              <w:rPr>
                <w:sz w:val="18"/>
                <w:szCs w:val="18"/>
                <w:lang w:bidi="ar-SY"/>
              </w:rPr>
            </w:pPr>
            <w:r>
              <w:rPr>
                <w:sz w:val="18"/>
                <w:szCs w:val="18"/>
              </w:rPr>
              <w:t>4 975,5</w:t>
            </w:r>
          </w:p>
        </w:tc>
      </w:tr>
      <w:tr w:rsidR="00080196" w:rsidRPr="008E1212" w14:paraId="7C8B7B69" w14:textId="77777777" w:rsidTr="00A52B30">
        <w:trPr>
          <w:trHeight w:val="249"/>
        </w:trPr>
        <w:tc>
          <w:tcPr>
            <w:tcW w:w="2501" w:type="pct"/>
          </w:tcPr>
          <w:p w14:paraId="4FF6F687" w14:textId="77777777" w:rsidR="00080196" w:rsidRPr="008E1212" w:rsidRDefault="00080196" w:rsidP="00A52B30">
            <w:pPr>
              <w:spacing w:before="40" w:after="40"/>
              <w:rPr>
                <w:sz w:val="18"/>
                <w:szCs w:val="18"/>
                <w:lang w:bidi="ar-SY"/>
              </w:rPr>
            </w:pPr>
            <w:r>
              <w:rPr>
                <w:sz w:val="18"/>
                <w:szCs w:val="18"/>
              </w:rPr>
              <w:t>Consultants</w:t>
            </w:r>
          </w:p>
        </w:tc>
        <w:tc>
          <w:tcPr>
            <w:tcW w:w="834" w:type="pct"/>
          </w:tcPr>
          <w:p w14:paraId="505C6D7D" w14:textId="77777777" w:rsidR="00080196" w:rsidRPr="008E1212" w:rsidRDefault="00080196" w:rsidP="00A52B30">
            <w:pPr>
              <w:spacing w:before="40" w:after="40"/>
              <w:ind w:right="140"/>
              <w:jc w:val="right"/>
              <w:rPr>
                <w:sz w:val="18"/>
                <w:szCs w:val="18"/>
                <w:lang w:bidi="ar-SY"/>
              </w:rPr>
            </w:pPr>
            <w:r>
              <w:rPr>
                <w:sz w:val="18"/>
                <w:szCs w:val="18"/>
              </w:rPr>
              <w:t>75,0</w:t>
            </w:r>
          </w:p>
        </w:tc>
        <w:tc>
          <w:tcPr>
            <w:tcW w:w="750" w:type="pct"/>
          </w:tcPr>
          <w:p w14:paraId="04E12317"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75,0</w:t>
            </w:r>
          </w:p>
        </w:tc>
        <w:tc>
          <w:tcPr>
            <w:tcW w:w="915" w:type="pct"/>
          </w:tcPr>
          <w:p w14:paraId="4C0BD231" w14:textId="77777777" w:rsidR="00080196" w:rsidRPr="008E1212" w:rsidRDefault="00080196" w:rsidP="00A52B30">
            <w:pPr>
              <w:spacing w:before="40" w:after="40"/>
              <w:ind w:right="135"/>
              <w:jc w:val="right"/>
              <w:rPr>
                <w:sz w:val="18"/>
                <w:szCs w:val="18"/>
                <w:lang w:bidi="ar-SY"/>
              </w:rPr>
            </w:pPr>
            <w:r>
              <w:rPr>
                <w:sz w:val="18"/>
                <w:szCs w:val="18"/>
              </w:rPr>
              <w:t>150,0</w:t>
            </w:r>
          </w:p>
        </w:tc>
      </w:tr>
      <w:tr w:rsidR="00080196" w:rsidRPr="008E1212" w14:paraId="70DB6350" w14:textId="77777777" w:rsidTr="00A52B30">
        <w:trPr>
          <w:trHeight w:val="249"/>
        </w:trPr>
        <w:tc>
          <w:tcPr>
            <w:tcW w:w="2501" w:type="pct"/>
          </w:tcPr>
          <w:p w14:paraId="0E0A74A4" w14:textId="77777777" w:rsidR="00080196" w:rsidRPr="008E1212" w:rsidRDefault="00080196" w:rsidP="00A52B30">
            <w:pPr>
              <w:spacing w:before="40" w:after="40"/>
              <w:rPr>
                <w:sz w:val="18"/>
                <w:szCs w:val="18"/>
                <w:lang w:bidi="ar-SY"/>
              </w:rPr>
            </w:pPr>
            <w:r>
              <w:rPr>
                <w:sz w:val="18"/>
                <w:szCs w:val="18"/>
              </w:rPr>
              <w:t>Examen fonctionnel</w:t>
            </w:r>
          </w:p>
        </w:tc>
        <w:tc>
          <w:tcPr>
            <w:tcW w:w="834" w:type="pct"/>
          </w:tcPr>
          <w:p w14:paraId="4229770B" w14:textId="77777777" w:rsidR="00080196" w:rsidRPr="008E1212" w:rsidRDefault="00080196" w:rsidP="00A52B30">
            <w:pPr>
              <w:spacing w:before="40" w:after="40"/>
              <w:ind w:right="140"/>
              <w:jc w:val="right"/>
              <w:rPr>
                <w:sz w:val="18"/>
                <w:szCs w:val="18"/>
                <w:lang w:bidi="ar-SY"/>
              </w:rPr>
            </w:pPr>
            <w:r>
              <w:rPr>
                <w:sz w:val="18"/>
                <w:szCs w:val="18"/>
              </w:rPr>
              <w:t>250,0</w:t>
            </w:r>
          </w:p>
        </w:tc>
        <w:tc>
          <w:tcPr>
            <w:tcW w:w="750" w:type="pct"/>
          </w:tcPr>
          <w:p w14:paraId="4BC8B511"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w:t>
            </w:r>
          </w:p>
        </w:tc>
        <w:tc>
          <w:tcPr>
            <w:tcW w:w="915" w:type="pct"/>
          </w:tcPr>
          <w:p w14:paraId="6DD71F5F" w14:textId="77777777" w:rsidR="00080196" w:rsidRPr="008E1212" w:rsidRDefault="00080196" w:rsidP="00A52B30">
            <w:pPr>
              <w:spacing w:before="40" w:after="40"/>
              <w:ind w:right="135"/>
              <w:jc w:val="right"/>
              <w:rPr>
                <w:sz w:val="18"/>
                <w:szCs w:val="18"/>
                <w:lang w:bidi="ar-SY"/>
              </w:rPr>
            </w:pPr>
            <w:r>
              <w:rPr>
                <w:sz w:val="18"/>
                <w:szCs w:val="18"/>
              </w:rPr>
              <w:t>250,0</w:t>
            </w:r>
          </w:p>
        </w:tc>
      </w:tr>
      <w:tr w:rsidR="00080196" w:rsidRPr="008E1212" w14:paraId="23A4D829" w14:textId="77777777" w:rsidTr="00A52B30">
        <w:trPr>
          <w:trHeight w:val="249"/>
        </w:trPr>
        <w:tc>
          <w:tcPr>
            <w:tcW w:w="2501" w:type="pct"/>
          </w:tcPr>
          <w:p w14:paraId="2B7DF22B" w14:textId="77777777" w:rsidR="00080196" w:rsidRPr="008E1212" w:rsidRDefault="00080196" w:rsidP="00A52B30">
            <w:pPr>
              <w:spacing w:before="40" w:after="40"/>
              <w:rPr>
                <w:sz w:val="18"/>
                <w:szCs w:val="18"/>
                <w:lang w:bidi="ar-SY"/>
              </w:rPr>
            </w:pPr>
            <w:r>
              <w:rPr>
                <w:sz w:val="18"/>
                <w:szCs w:val="18"/>
              </w:rPr>
              <w:t>Voyages officiels</w:t>
            </w:r>
          </w:p>
        </w:tc>
        <w:tc>
          <w:tcPr>
            <w:tcW w:w="834" w:type="pct"/>
          </w:tcPr>
          <w:p w14:paraId="19C02A13" w14:textId="77777777" w:rsidR="00080196" w:rsidRPr="008E1212" w:rsidRDefault="00080196" w:rsidP="00A52B30">
            <w:pPr>
              <w:spacing w:before="40" w:after="40"/>
              <w:ind w:right="140"/>
              <w:jc w:val="right"/>
              <w:rPr>
                <w:sz w:val="18"/>
                <w:szCs w:val="18"/>
                <w:lang w:bidi="ar-SY"/>
              </w:rPr>
            </w:pPr>
            <w:r>
              <w:rPr>
                <w:sz w:val="18"/>
                <w:szCs w:val="18"/>
              </w:rPr>
              <w:t>400,0</w:t>
            </w:r>
          </w:p>
        </w:tc>
        <w:tc>
          <w:tcPr>
            <w:tcW w:w="750" w:type="pct"/>
          </w:tcPr>
          <w:p w14:paraId="7C1AD531"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450,0</w:t>
            </w:r>
          </w:p>
        </w:tc>
        <w:tc>
          <w:tcPr>
            <w:tcW w:w="915" w:type="pct"/>
          </w:tcPr>
          <w:p w14:paraId="2C71C525" w14:textId="77777777" w:rsidR="00080196" w:rsidRPr="008E1212" w:rsidRDefault="00080196" w:rsidP="00A52B30">
            <w:pPr>
              <w:spacing w:before="40" w:after="40"/>
              <w:ind w:right="135"/>
              <w:jc w:val="right"/>
              <w:rPr>
                <w:sz w:val="18"/>
                <w:szCs w:val="18"/>
                <w:lang w:bidi="ar-SY"/>
              </w:rPr>
            </w:pPr>
            <w:r>
              <w:rPr>
                <w:sz w:val="18"/>
                <w:szCs w:val="18"/>
              </w:rPr>
              <w:t>850,0</w:t>
            </w:r>
          </w:p>
        </w:tc>
      </w:tr>
      <w:tr w:rsidR="00080196" w:rsidRPr="008E1212" w14:paraId="7E4BC545" w14:textId="77777777" w:rsidTr="00A52B30">
        <w:trPr>
          <w:trHeight w:val="249"/>
        </w:trPr>
        <w:tc>
          <w:tcPr>
            <w:tcW w:w="2501" w:type="pct"/>
          </w:tcPr>
          <w:p w14:paraId="06056DD2" w14:textId="77777777" w:rsidR="00080196" w:rsidRPr="008E1212" w:rsidRDefault="00080196" w:rsidP="00A52B30">
            <w:pPr>
              <w:spacing w:before="40" w:after="40"/>
              <w:rPr>
                <w:sz w:val="18"/>
                <w:szCs w:val="18"/>
                <w:lang w:bidi="ar-SY"/>
              </w:rPr>
            </w:pPr>
            <w:r>
              <w:rPr>
                <w:sz w:val="18"/>
                <w:szCs w:val="18"/>
              </w:rPr>
              <w:lastRenderedPageBreak/>
              <w:t>Loyer et frais associés</w:t>
            </w:r>
          </w:p>
        </w:tc>
        <w:tc>
          <w:tcPr>
            <w:tcW w:w="834" w:type="pct"/>
          </w:tcPr>
          <w:p w14:paraId="1952CB5C" w14:textId="77777777" w:rsidR="00080196" w:rsidRPr="008E1212" w:rsidRDefault="00080196" w:rsidP="00A52B30">
            <w:pPr>
              <w:spacing w:before="40" w:after="40"/>
              <w:ind w:right="140"/>
              <w:jc w:val="right"/>
              <w:rPr>
                <w:sz w:val="18"/>
                <w:szCs w:val="18"/>
                <w:lang w:bidi="ar-SY"/>
              </w:rPr>
            </w:pPr>
            <w:r>
              <w:rPr>
                <w:sz w:val="18"/>
                <w:szCs w:val="18"/>
              </w:rPr>
              <w:t>1 462,6</w:t>
            </w:r>
          </w:p>
        </w:tc>
        <w:tc>
          <w:tcPr>
            <w:tcW w:w="750" w:type="pct"/>
          </w:tcPr>
          <w:p w14:paraId="1850597F"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1 476,6</w:t>
            </w:r>
          </w:p>
        </w:tc>
        <w:tc>
          <w:tcPr>
            <w:tcW w:w="915" w:type="pct"/>
          </w:tcPr>
          <w:p w14:paraId="5D862524" w14:textId="77777777" w:rsidR="00080196" w:rsidRPr="008E1212" w:rsidRDefault="00080196" w:rsidP="00A52B30">
            <w:pPr>
              <w:spacing w:before="40" w:after="40"/>
              <w:ind w:right="135"/>
              <w:jc w:val="right"/>
              <w:rPr>
                <w:sz w:val="18"/>
                <w:szCs w:val="18"/>
                <w:lang w:bidi="ar-SY"/>
              </w:rPr>
            </w:pPr>
            <w:r>
              <w:rPr>
                <w:sz w:val="18"/>
                <w:szCs w:val="18"/>
              </w:rPr>
              <w:t>2 939,2</w:t>
            </w:r>
          </w:p>
        </w:tc>
      </w:tr>
      <w:tr w:rsidR="00080196" w:rsidRPr="008E1212" w14:paraId="3882F1D8" w14:textId="77777777" w:rsidTr="00A52B30">
        <w:trPr>
          <w:trHeight w:val="249"/>
        </w:trPr>
        <w:tc>
          <w:tcPr>
            <w:tcW w:w="2501" w:type="pct"/>
          </w:tcPr>
          <w:p w14:paraId="3BDBD730" w14:textId="77777777" w:rsidR="00080196" w:rsidRPr="008E1212" w:rsidRDefault="00080196" w:rsidP="00A52B30">
            <w:pPr>
              <w:spacing w:before="40" w:after="40"/>
              <w:rPr>
                <w:sz w:val="18"/>
                <w:szCs w:val="18"/>
                <w:lang w:bidi="ar-SY"/>
              </w:rPr>
            </w:pPr>
            <w:r>
              <w:rPr>
                <w:sz w:val="18"/>
                <w:szCs w:val="18"/>
              </w:rPr>
              <w:t>Formation</w:t>
            </w:r>
          </w:p>
        </w:tc>
        <w:tc>
          <w:tcPr>
            <w:tcW w:w="834" w:type="pct"/>
          </w:tcPr>
          <w:p w14:paraId="7BDB0E4C" w14:textId="77777777" w:rsidR="00080196" w:rsidRPr="008E1212" w:rsidRDefault="00080196" w:rsidP="00A52B30">
            <w:pPr>
              <w:spacing w:before="40" w:after="40"/>
              <w:ind w:right="140"/>
              <w:jc w:val="right"/>
              <w:rPr>
                <w:sz w:val="18"/>
                <w:szCs w:val="18"/>
                <w:lang w:bidi="ar-SY"/>
              </w:rPr>
            </w:pPr>
            <w:r>
              <w:rPr>
                <w:sz w:val="18"/>
                <w:szCs w:val="18"/>
              </w:rPr>
              <w:t>5,0</w:t>
            </w:r>
          </w:p>
        </w:tc>
        <w:tc>
          <w:tcPr>
            <w:tcW w:w="750" w:type="pct"/>
          </w:tcPr>
          <w:p w14:paraId="1DC06CDA"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5,0</w:t>
            </w:r>
          </w:p>
        </w:tc>
        <w:tc>
          <w:tcPr>
            <w:tcW w:w="915" w:type="pct"/>
          </w:tcPr>
          <w:p w14:paraId="7A1CA8C1" w14:textId="77777777" w:rsidR="00080196" w:rsidRPr="008E1212" w:rsidRDefault="00080196" w:rsidP="00A52B30">
            <w:pPr>
              <w:spacing w:before="40" w:after="40"/>
              <w:ind w:right="135"/>
              <w:jc w:val="right"/>
              <w:rPr>
                <w:sz w:val="18"/>
                <w:szCs w:val="18"/>
                <w:lang w:bidi="ar-SY"/>
              </w:rPr>
            </w:pPr>
            <w:r>
              <w:rPr>
                <w:sz w:val="18"/>
                <w:szCs w:val="18"/>
              </w:rPr>
              <w:t>10,0</w:t>
            </w:r>
          </w:p>
        </w:tc>
      </w:tr>
      <w:tr w:rsidR="00080196" w:rsidRPr="008E1212" w14:paraId="3224AED2" w14:textId="77777777" w:rsidTr="00A52B30">
        <w:trPr>
          <w:trHeight w:val="249"/>
        </w:trPr>
        <w:tc>
          <w:tcPr>
            <w:tcW w:w="2501" w:type="pct"/>
          </w:tcPr>
          <w:p w14:paraId="1284BD85" w14:textId="77777777" w:rsidR="00080196" w:rsidRPr="008E1212" w:rsidRDefault="00080196" w:rsidP="00A52B30">
            <w:pPr>
              <w:spacing w:before="40" w:after="40"/>
              <w:rPr>
                <w:sz w:val="18"/>
                <w:szCs w:val="18"/>
                <w:lang w:bidi="ar-SY"/>
              </w:rPr>
            </w:pPr>
            <w:r>
              <w:rPr>
                <w:sz w:val="18"/>
                <w:szCs w:val="18"/>
              </w:rPr>
              <w:t>Technologie de l'information</w:t>
            </w:r>
          </w:p>
        </w:tc>
        <w:tc>
          <w:tcPr>
            <w:tcW w:w="834" w:type="pct"/>
          </w:tcPr>
          <w:p w14:paraId="096746D3" w14:textId="77777777" w:rsidR="00080196" w:rsidRPr="008E1212" w:rsidRDefault="00080196" w:rsidP="00A52B30">
            <w:pPr>
              <w:spacing w:before="40" w:after="40"/>
              <w:ind w:right="140"/>
              <w:jc w:val="right"/>
              <w:rPr>
                <w:sz w:val="18"/>
                <w:szCs w:val="18"/>
                <w:lang w:bidi="ar-SY"/>
              </w:rPr>
            </w:pPr>
            <w:r>
              <w:rPr>
                <w:sz w:val="18"/>
                <w:szCs w:val="18"/>
              </w:rPr>
              <w:t>65,0</w:t>
            </w:r>
          </w:p>
        </w:tc>
        <w:tc>
          <w:tcPr>
            <w:tcW w:w="750" w:type="pct"/>
          </w:tcPr>
          <w:p w14:paraId="5A14C645"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65,0</w:t>
            </w:r>
          </w:p>
        </w:tc>
        <w:tc>
          <w:tcPr>
            <w:tcW w:w="915" w:type="pct"/>
          </w:tcPr>
          <w:p w14:paraId="6A07390E" w14:textId="77777777" w:rsidR="00080196" w:rsidRPr="008E1212" w:rsidRDefault="00080196" w:rsidP="00A52B30">
            <w:pPr>
              <w:spacing w:before="40" w:after="40"/>
              <w:ind w:right="135"/>
              <w:jc w:val="right"/>
              <w:rPr>
                <w:sz w:val="18"/>
                <w:szCs w:val="18"/>
                <w:lang w:bidi="ar-SY"/>
              </w:rPr>
            </w:pPr>
            <w:r>
              <w:rPr>
                <w:sz w:val="18"/>
                <w:szCs w:val="18"/>
              </w:rPr>
              <w:t>130,0</w:t>
            </w:r>
          </w:p>
        </w:tc>
      </w:tr>
      <w:tr w:rsidR="00080196" w:rsidRPr="008E1212" w14:paraId="097382D0" w14:textId="77777777" w:rsidTr="00A52B30">
        <w:trPr>
          <w:trHeight w:val="249"/>
        </w:trPr>
        <w:tc>
          <w:tcPr>
            <w:tcW w:w="2501" w:type="pct"/>
          </w:tcPr>
          <w:p w14:paraId="445374DF" w14:textId="77777777" w:rsidR="00080196" w:rsidRPr="008E1212" w:rsidRDefault="00080196" w:rsidP="00A52B30">
            <w:pPr>
              <w:spacing w:before="40" w:after="40"/>
              <w:rPr>
                <w:sz w:val="18"/>
                <w:szCs w:val="18"/>
                <w:lang w:bidi="ar-SY"/>
              </w:rPr>
            </w:pPr>
            <w:r>
              <w:rPr>
                <w:sz w:val="18"/>
                <w:szCs w:val="18"/>
              </w:rPr>
              <w:t>Frais de fonctionnement généraux</w:t>
            </w:r>
          </w:p>
        </w:tc>
        <w:tc>
          <w:tcPr>
            <w:tcW w:w="834" w:type="pct"/>
          </w:tcPr>
          <w:p w14:paraId="50B76CE5" w14:textId="77777777" w:rsidR="00080196" w:rsidRPr="008E1212" w:rsidRDefault="00080196" w:rsidP="00A52B30">
            <w:pPr>
              <w:spacing w:before="40" w:after="40"/>
              <w:ind w:right="140"/>
              <w:jc w:val="right"/>
              <w:rPr>
                <w:sz w:val="18"/>
                <w:szCs w:val="18"/>
                <w:lang w:bidi="ar-SY"/>
              </w:rPr>
            </w:pPr>
            <w:r>
              <w:rPr>
                <w:sz w:val="18"/>
                <w:szCs w:val="18"/>
              </w:rPr>
              <w:t>726,6</w:t>
            </w:r>
          </w:p>
        </w:tc>
        <w:tc>
          <w:tcPr>
            <w:tcW w:w="750" w:type="pct"/>
          </w:tcPr>
          <w:p w14:paraId="27D97DE3"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726,6</w:t>
            </w:r>
          </w:p>
        </w:tc>
        <w:tc>
          <w:tcPr>
            <w:tcW w:w="915" w:type="pct"/>
          </w:tcPr>
          <w:p w14:paraId="5DBF2822" w14:textId="77777777" w:rsidR="00080196" w:rsidRPr="008E1212" w:rsidRDefault="00080196" w:rsidP="00A52B30">
            <w:pPr>
              <w:spacing w:before="40" w:after="40"/>
              <w:ind w:right="135"/>
              <w:jc w:val="right"/>
              <w:rPr>
                <w:sz w:val="18"/>
                <w:szCs w:val="18"/>
                <w:lang w:bidi="ar-SY"/>
              </w:rPr>
            </w:pPr>
            <w:r>
              <w:rPr>
                <w:sz w:val="18"/>
                <w:szCs w:val="18"/>
              </w:rPr>
              <w:t>1 453,2</w:t>
            </w:r>
          </w:p>
        </w:tc>
      </w:tr>
      <w:tr w:rsidR="00080196" w:rsidRPr="008E1212" w14:paraId="6F3E1E9B" w14:textId="77777777" w:rsidTr="00A52B30">
        <w:trPr>
          <w:trHeight w:val="251"/>
        </w:trPr>
        <w:tc>
          <w:tcPr>
            <w:tcW w:w="2501" w:type="pct"/>
          </w:tcPr>
          <w:p w14:paraId="2F6E0C9A" w14:textId="77777777" w:rsidR="00080196" w:rsidRPr="008E1212" w:rsidRDefault="00080196" w:rsidP="00A52B30">
            <w:pPr>
              <w:spacing w:before="40" w:after="40"/>
              <w:rPr>
                <w:sz w:val="18"/>
                <w:szCs w:val="18"/>
                <w:lang w:bidi="ar-SY"/>
              </w:rPr>
            </w:pPr>
            <w:r>
              <w:rPr>
                <w:sz w:val="18"/>
                <w:szCs w:val="18"/>
              </w:rPr>
              <w:t>Matériel de sensibilisation du public</w:t>
            </w:r>
          </w:p>
        </w:tc>
        <w:tc>
          <w:tcPr>
            <w:tcW w:w="834" w:type="pct"/>
          </w:tcPr>
          <w:p w14:paraId="2BE63BC6" w14:textId="77777777" w:rsidR="00080196" w:rsidRPr="008E1212" w:rsidRDefault="00080196" w:rsidP="00A52B30">
            <w:pPr>
              <w:spacing w:before="40" w:after="40"/>
              <w:ind w:right="140"/>
              <w:jc w:val="right"/>
              <w:rPr>
                <w:sz w:val="18"/>
                <w:szCs w:val="18"/>
                <w:lang w:bidi="ar-SY"/>
              </w:rPr>
            </w:pPr>
            <w:r>
              <w:rPr>
                <w:sz w:val="18"/>
                <w:szCs w:val="18"/>
              </w:rPr>
              <w:t>100,0</w:t>
            </w:r>
          </w:p>
        </w:tc>
        <w:tc>
          <w:tcPr>
            <w:tcW w:w="750" w:type="pct"/>
          </w:tcPr>
          <w:p w14:paraId="3A8FEDE0"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100,0</w:t>
            </w:r>
          </w:p>
        </w:tc>
        <w:tc>
          <w:tcPr>
            <w:tcW w:w="915" w:type="pct"/>
          </w:tcPr>
          <w:p w14:paraId="3EA58723" w14:textId="77777777" w:rsidR="00080196" w:rsidRPr="008E1212" w:rsidRDefault="00080196" w:rsidP="00A52B30">
            <w:pPr>
              <w:spacing w:before="40" w:after="40"/>
              <w:ind w:right="135"/>
              <w:jc w:val="right"/>
              <w:rPr>
                <w:sz w:val="18"/>
                <w:szCs w:val="18"/>
                <w:lang w:bidi="ar-SY"/>
              </w:rPr>
            </w:pPr>
            <w:r>
              <w:rPr>
                <w:sz w:val="18"/>
                <w:szCs w:val="18"/>
              </w:rPr>
              <w:t>200,0</w:t>
            </w:r>
          </w:p>
        </w:tc>
      </w:tr>
      <w:tr w:rsidR="00080196" w:rsidRPr="008E1212" w14:paraId="0A2BA763" w14:textId="77777777" w:rsidTr="00A52B30">
        <w:trPr>
          <w:trHeight w:val="60"/>
        </w:trPr>
        <w:tc>
          <w:tcPr>
            <w:tcW w:w="2501" w:type="pct"/>
            <w:tcBorders>
              <w:bottom w:val="single" w:sz="4" w:space="0" w:color="auto"/>
            </w:tcBorders>
          </w:tcPr>
          <w:p w14:paraId="3D2918CB" w14:textId="77777777" w:rsidR="00080196" w:rsidRPr="008E1212" w:rsidRDefault="00080196" w:rsidP="00A52B30">
            <w:pPr>
              <w:spacing w:before="40" w:after="40"/>
              <w:jc w:val="left"/>
              <w:rPr>
                <w:sz w:val="18"/>
                <w:szCs w:val="18"/>
                <w:lang w:bidi="ar-SY"/>
              </w:rPr>
            </w:pPr>
            <w:r>
              <w:rPr>
                <w:sz w:val="18"/>
                <w:szCs w:val="18"/>
              </w:rPr>
              <w:t>Traduction des sites Web des centres d’échange</w:t>
            </w:r>
          </w:p>
        </w:tc>
        <w:tc>
          <w:tcPr>
            <w:tcW w:w="834" w:type="pct"/>
            <w:tcBorders>
              <w:bottom w:val="single" w:sz="4" w:space="0" w:color="auto"/>
            </w:tcBorders>
          </w:tcPr>
          <w:p w14:paraId="6CA90094" w14:textId="77777777" w:rsidR="00080196" w:rsidRPr="008E1212" w:rsidRDefault="00080196" w:rsidP="00A52B30">
            <w:pPr>
              <w:spacing w:before="40" w:after="40"/>
              <w:ind w:right="140"/>
              <w:jc w:val="right"/>
              <w:rPr>
                <w:sz w:val="18"/>
                <w:szCs w:val="18"/>
                <w:lang w:bidi="ar-SY"/>
              </w:rPr>
            </w:pPr>
            <w:r>
              <w:rPr>
                <w:sz w:val="18"/>
                <w:szCs w:val="18"/>
              </w:rPr>
              <w:t>65,0</w:t>
            </w:r>
          </w:p>
        </w:tc>
        <w:tc>
          <w:tcPr>
            <w:tcW w:w="750" w:type="pct"/>
            <w:tcBorders>
              <w:bottom w:val="single" w:sz="4" w:space="0" w:color="auto"/>
            </w:tcBorders>
          </w:tcPr>
          <w:p w14:paraId="2A882FFE"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65,0</w:t>
            </w:r>
          </w:p>
        </w:tc>
        <w:tc>
          <w:tcPr>
            <w:tcW w:w="915" w:type="pct"/>
            <w:tcBorders>
              <w:bottom w:val="single" w:sz="4" w:space="0" w:color="auto"/>
            </w:tcBorders>
          </w:tcPr>
          <w:p w14:paraId="45A5F16C" w14:textId="77777777" w:rsidR="00080196" w:rsidRPr="008E1212" w:rsidRDefault="00080196" w:rsidP="00A52B30">
            <w:pPr>
              <w:spacing w:before="40" w:after="40"/>
              <w:ind w:right="135"/>
              <w:jc w:val="right"/>
              <w:rPr>
                <w:sz w:val="18"/>
                <w:szCs w:val="18"/>
                <w:lang w:bidi="ar-SY"/>
              </w:rPr>
            </w:pPr>
            <w:r>
              <w:rPr>
                <w:sz w:val="18"/>
                <w:szCs w:val="18"/>
              </w:rPr>
              <w:t>130,0</w:t>
            </w:r>
          </w:p>
        </w:tc>
      </w:tr>
      <w:tr w:rsidR="00080196" w:rsidRPr="008E1212" w14:paraId="721C37FB" w14:textId="77777777" w:rsidTr="00A52B30">
        <w:trPr>
          <w:trHeight w:val="211"/>
        </w:trPr>
        <w:tc>
          <w:tcPr>
            <w:tcW w:w="2501" w:type="pct"/>
            <w:tcBorders>
              <w:top w:val="single" w:sz="4" w:space="0" w:color="auto"/>
              <w:bottom w:val="single" w:sz="4" w:space="0" w:color="auto"/>
            </w:tcBorders>
          </w:tcPr>
          <w:p w14:paraId="47C12AB3" w14:textId="77777777" w:rsidR="00080196" w:rsidRPr="008E1212" w:rsidRDefault="00080196" w:rsidP="00A52B30">
            <w:pPr>
              <w:tabs>
                <w:tab w:val="clear" w:pos="1134"/>
              </w:tabs>
              <w:spacing w:before="40" w:after="40"/>
              <w:ind w:left="284"/>
              <w:rPr>
                <w:b/>
                <w:bCs/>
                <w:sz w:val="18"/>
                <w:szCs w:val="18"/>
                <w:lang w:bidi="ar-SY"/>
              </w:rPr>
            </w:pPr>
            <w:r>
              <w:rPr>
                <w:b/>
                <w:bCs/>
                <w:sz w:val="18"/>
                <w:szCs w:val="18"/>
              </w:rPr>
              <w:t>Total partiel</w:t>
            </w:r>
          </w:p>
        </w:tc>
        <w:tc>
          <w:tcPr>
            <w:tcW w:w="834" w:type="pct"/>
            <w:tcBorders>
              <w:top w:val="single" w:sz="4" w:space="0" w:color="auto"/>
              <w:bottom w:val="single" w:sz="4" w:space="0" w:color="auto"/>
            </w:tcBorders>
          </w:tcPr>
          <w:p w14:paraId="588FF589" w14:textId="77777777" w:rsidR="00080196" w:rsidRPr="008E1212" w:rsidRDefault="00080196" w:rsidP="00A52B30">
            <w:pPr>
              <w:spacing w:before="40" w:after="40"/>
              <w:ind w:right="140"/>
              <w:jc w:val="right"/>
              <w:rPr>
                <w:b/>
                <w:bCs/>
                <w:sz w:val="18"/>
                <w:szCs w:val="18"/>
                <w:lang w:bidi="ar-SY"/>
              </w:rPr>
            </w:pPr>
            <w:r>
              <w:rPr>
                <w:b/>
                <w:bCs/>
                <w:sz w:val="18"/>
                <w:szCs w:val="18"/>
              </w:rPr>
              <w:t>19 161,3</w:t>
            </w:r>
          </w:p>
        </w:tc>
        <w:tc>
          <w:tcPr>
            <w:tcW w:w="750" w:type="pct"/>
            <w:tcBorders>
              <w:top w:val="single" w:sz="4" w:space="0" w:color="auto"/>
              <w:bottom w:val="single" w:sz="4" w:space="0" w:color="auto"/>
            </w:tcBorders>
          </w:tcPr>
          <w:p w14:paraId="25CB60D0" w14:textId="77777777" w:rsidR="00080196" w:rsidRPr="008E1212" w:rsidRDefault="00080196" w:rsidP="00A52B30">
            <w:pPr>
              <w:tabs>
                <w:tab w:val="clear" w:pos="1134"/>
              </w:tabs>
              <w:spacing w:before="40" w:after="40"/>
              <w:ind w:right="142"/>
              <w:jc w:val="right"/>
              <w:rPr>
                <w:b/>
                <w:bCs/>
                <w:sz w:val="18"/>
                <w:szCs w:val="18"/>
                <w:lang w:bidi="ar-SY"/>
              </w:rPr>
            </w:pPr>
            <w:r>
              <w:rPr>
                <w:b/>
                <w:bCs/>
                <w:sz w:val="18"/>
                <w:szCs w:val="18"/>
              </w:rPr>
              <w:t>20 008,6</w:t>
            </w:r>
          </w:p>
        </w:tc>
        <w:tc>
          <w:tcPr>
            <w:tcW w:w="915" w:type="pct"/>
            <w:tcBorders>
              <w:top w:val="single" w:sz="4" w:space="0" w:color="auto"/>
              <w:bottom w:val="single" w:sz="4" w:space="0" w:color="auto"/>
            </w:tcBorders>
          </w:tcPr>
          <w:p w14:paraId="064DCF74" w14:textId="77777777" w:rsidR="00080196" w:rsidRPr="008E1212" w:rsidRDefault="00080196" w:rsidP="00A52B30">
            <w:pPr>
              <w:spacing w:before="40" w:after="40"/>
              <w:ind w:right="135"/>
              <w:jc w:val="right"/>
              <w:rPr>
                <w:b/>
                <w:bCs/>
                <w:sz w:val="18"/>
                <w:szCs w:val="18"/>
                <w:lang w:bidi="ar-SY"/>
              </w:rPr>
            </w:pPr>
            <w:r>
              <w:rPr>
                <w:b/>
                <w:bCs/>
                <w:sz w:val="18"/>
                <w:szCs w:val="18"/>
              </w:rPr>
              <w:t>39 170,9</w:t>
            </w:r>
          </w:p>
        </w:tc>
      </w:tr>
      <w:tr w:rsidR="00080196" w:rsidRPr="008E1212" w14:paraId="779AF1C9" w14:textId="77777777" w:rsidTr="00A52B30">
        <w:trPr>
          <w:trHeight w:val="211"/>
        </w:trPr>
        <w:tc>
          <w:tcPr>
            <w:tcW w:w="2501" w:type="pct"/>
            <w:tcBorders>
              <w:top w:val="single" w:sz="4" w:space="0" w:color="auto"/>
              <w:bottom w:val="single" w:sz="4" w:space="0" w:color="auto"/>
            </w:tcBorders>
          </w:tcPr>
          <w:p w14:paraId="3F9C83C8" w14:textId="77777777" w:rsidR="00080196" w:rsidRPr="008E1212" w:rsidRDefault="00080196" w:rsidP="00A52B30">
            <w:pPr>
              <w:spacing w:before="40" w:after="40"/>
              <w:rPr>
                <w:sz w:val="18"/>
                <w:szCs w:val="18"/>
                <w:lang w:bidi="ar-SY"/>
              </w:rPr>
            </w:pPr>
            <w:r>
              <w:rPr>
                <w:sz w:val="18"/>
                <w:szCs w:val="18"/>
              </w:rPr>
              <w:t>Dépenses d’appui au programme (13 %)</w:t>
            </w:r>
          </w:p>
        </w:tc>
        <w:tc>
          <w:tcPr>
            <w:tcW w:w="834" w:type="pct"/>
            <w:tcBorders>
              <w:top w:val="single" w:sz="4" w:space="0" w:color="auto"/>
              <w:bottom w:val="single" w:sz="4" w:space="0" w:color="auto"/>
            </w:tcBorders>
          </w:tcPr>
          <w:p w14:paraId="72786333" w14:textId="77777777" w:rsidR="00080196" w:rsidRPr="008E1212" w:rsidRDefault="00080196" w:rsidP="00A52B30">
            <w:pPr>
              <w:spacing w:before="40" w:after="40"/>
              <w:ind w:right="140"/>
              <w:jc w:val="right"/>
              <w:rPr>
                <w:sz w:val="18"/>
                <w:szCs w:val="18"/>
                <w:lang w:bidi="ar-SY"/>
              </w:rPr>
            </w:pPr>
            <w:r>
              <w:rPr>
                <w:sz w:val="18"/>
                <w:szCs w:val="18"/>
              </w:rPr>
              <w:t>2 491,0</w:t>
            </w:r>
          </w:p>
        </w:tc>
        <w:tc>
          <w:tcPr>
            <w:tcW w:w="750" w:type="pct"/>
            <w:tcBorders>
              <w:top w:val="single" w:sz="4" w:space="0" w:color="auto"/>
              <w:bottom w:val="single" w:sz="4" w:space="0" w:color="auto"/>
            </w:tcBorders>
          </w:tcPr>
          <w:p w14:paraId="0F8289AD"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2 601,1</w:t>
            </w:r>
          </w:p>
        </w:tc>
        <w:tc>
          <w:tcPr>
            <w:tcW w:w="915" w:type="pct"/>
            <w:tcBorders>
              <w:top w:val="single" w:sz="4" w:space="0" w:color="auto"/>
              <w:bottom w:val="single" w:sz="4" w:space="0" w:color="auto"/>
            </w:tcBorders>
          </w:tcPr>
          <w:p w14:paraId="1DE865ED" w14:textId="77777777" w:rsidR="00080196" w:rsidRPr="008E1212" w:rsidRDefault="00080196" w:rsidP="00A52B30">
            <w:pPr>
              <w:spacing w:before="40" w:after="40"/>
              <w:ind w:right="135"/>
              <w:jc w:val="right"/>
              <w:rPr>
                <w:sz w:val="18"/>
                <w:szCs w:val="18"/>
                <w:lang w:bidi="ar-SY"/>
              </w:rPr>
            </w:pPr>
            <w:r>
              <w:rPr>
                <w:sz w:val="18"/>
                <w:szCs w:val="18"/>
              </w:rPr>
              <w:t>5 092,1</w:t>
            </w:r>
          </w:p>
        </w:tc>
      </w:tr>
      <w:tr w:rsidR="00080196" w:rsidRPr="008E1212" w14:paraId="0DE9AECB" w14:textId="77777777" w:rsidTr="00A52B30">
        <w:trPr>
          <w:trHeight w:val="211"/>
        </w:trPr>
        <w:tc>
          <w:tcPr>
            <w:tcW w:w="2501" w:type="pct"/>
            <w:tcBorders>
              <w:top w:val="single" w:sz="4" w:space="0" w:color="auto"/>
              <w:bottom w:val="single" w:sz="4" w:space="0" w:color="auto"/>
            </w:tcBorders>
          </w:tcPr>
          <w:p w14:paraId="0E3AB12C" w14:textId="77777777" w:rsidR="00080196" w:rsidRPr="008E1212" w:rsidRDefault="00080196" w:rsidP="00A52B30">
            <w:pPr>
              <w:spacing w:before="40" w:after="40"/>
              <w:ind w:left="284"/>
              <w:rPr>
                <w:b/>
                <w:bCs/>
                <w:sz w:val="18"/>
                <w:szCs w:val="18"/>
                <w:lang w:bidi="ar-SY"/>
              </w:rPr>
            </w:pPr>
            <w:r>
              <w:rPr>
                <w:b/>
                <w:bCs/>
                <w:sz w:val="18"/>
                <w:szCs w:val="18"/>
              </w:rPr>
              <w:t>Total partiel</w:t>
            </w:r>
          </w:p>
        </w:tc>
        <w:tc>
          <w:tcPr>
            <w:tcW w:w="834" w:type="pct"/>
            <w:tcBorders>
              <w:top w:val="single" w:sz="4" w:space="0" w:color="auto"/>
              <w:bottom w:val="single" w:sz="4" w:space="0" w:color="auto"/>
            </w:tcBorders>
          </w:tcPr>
          <w:p w14:paraId="7CAB8FEA" w14:textId="77777777" w:rsidR="00080196" w:rsidRPr="008E1212" w:rsidRDefault="00080196" w:rsidP="00A52B30">
            <w:pPr>
              <w:spacing w:before="40" w:after="40"/>
              <w:ind w:right="140"/>
              <w:jc w:val="right"/>
              <w:rPr>
                <w:b/>
                <w:bCs/>
                <w:sz w:val="18"/>
                <w:szCs w:val="18"/>
                <w:lang w:bidi="ar-SY"/>
              </w:rPr>
            </w:pPr>
            <w:r>
              <w:rPr>
                <w:b/>
                <w:bCs/>
                <w:sz w:val="18"/>
                <w:szCs w:val="18"/>
              </w:rPr>
              <w:t>21 652,3</w:t>
            </w:r>
          </w:p>
        </w:tc>
        <w:tc>
          <w:tcPr>
            <w:tcW w:w="750" w:type="pct"/>
            <w:tcBorders>
              <w:top w:val="single" w:sz="4" w:space="0" w:color="auto"/>
              <w:bottom w:val="single" w:sz="4" w:space="0" w:color="auto"/>
            </w:tcBorders>
          </w:tcPr>
          <w:p w14:paraId="5CBD0748" w14:textId="77777777" w:rsidR="00080196" w:rsidRPr="008E1212" w:rsidRDefault="00080196" w:rsidP="00A52B30">
            <w:pPr>
              <w:tabs>
                <w:tab w:val="clear" w:pos="1134"/>
              </w:tabs>
              <w:spacing w:before="40" w:after="40"/>
              <w:ind w:right="142"/>
              <w:jc w:val="right"/>
              <w:rPr>
                <w:b/>
                <w:bCs/>
                <w:sz w:val="18"/>
                <w:szCs w:val="18"/>
                <w:lang w:bidi="ar-SY"/>
              </w:rPr>
            </w:pPr>
            <w:r>
              <w:rPr>
                <w:b/>
                <w:bCs/>
                <w:sz w:val="18"/>
                <w:szCs w:val="18"/>
              </w:rPr>
              <w:t>22 609,8</w:t>
            </w:r>
          </w:p>
        </w:tc>
        <w:tc>
          <w:tcPr>
            <w:tcW w:w="915" w:type="pct"/>
            <w:tcBorders>
              <w:top w:val="single" w:sz="4" w:space="0" w:color="auto"/>
              <w:bottom w:val="single" w:sz="4" w:space="0" w:color="auto"/>
            </w:tcBorders>
          </w:tcPr>
          <w:p w14:paraId="5ACD37FC" w14:textId="77777777" w:rsidR="00080196" w:rsidRPr="008E1212" w:rsidRDefault="00080196" w:rsidP="00A52B30">
            <w:pPr>
              <w:spacing w:before="40" w:after="40"/>
              <w:ind w:right="135"/>
              <w:jc w:val="right"/>
              <w:rPr>
                <w:b/>
                <w:bCs/>
                <w:sz w:val="18"/>
                <w:szCs w:val="18"/>
                <w:lang w:bidi="ar-SY"/>
              </w:rPr>
            </w:pPr>
            <w:r>
              <w:rPr>
                <w:b/>
                <w:bCs/>
                <w:sz w:val="18"/>
                <w:szCs w:val="18"/>
              </w:rPr>
              <w:t>44 262,1</w:t>
            </w:r>
          </w:p>
        </w:tc>
      </w:tr>
      <w:tr w:rsidR="00080196" w:rsidRPr="008E1212" w14:paraId="1040E1B0" w14:textId="77777777" w:rsidTr="00A52B30">
        <w:trPr>
          <w:trHeight w:val="211"/>
        </w:trPr>
        <w:tc>
          <w:tcPr>
            <w:tcW w:w="2501" w:type="pct"/>
            <w:tcBorders>
              <w:top w:val="single" w:sz="4" w:space="0" w:color="auto"/>
              <w:bottom w:val="single" w:sz="4" w:space="0" w:color="auto"/>
            </w:tcBorders>
          </w:tcPr>
          <w:p w14:paraId="58E358F8" w14:textId="77777777" w:rsidR="00080196" w:rsidRPr="008E1212" w:rsidRDefault="00080196" w:rsidP="00A52B30">
            <w:pPr>
              <w:spacing w:before="40" w:after="40"/>
              <w:rPr>
                <w:sz w:val="18"/>
                <w:szCs w:val="18"/>
                <w:lang w:bidi="ar-SY"/>
              </w:rPr>
            </w:pPr>
            <w:r>
              <w:rPr>
                <w:sz w:val="18"/>
                <w:szCs w:val="18"/>
              </w:rPr>
              <w:t>Réserve du fonds de roulement</w:t>
            </w:r>
          </w:p>
        </w:tc>
        <w:tc>
          <w:tcPr>
            <w:tcW w:w="834" w:type="pct"/>
            <w:tcBorders>
              <w:top w:val="single" w:sz="4" w:space="0" w:color="auto"/>
              <w:bottom w:val="single" w:sz="4" w:space="0" w:color="auto"/>
            </w:tcBorders>
          </w:tcPr>
          <w:p w14:paraId="24D8F6EA" w14:textId="77777777" w:rsidR="00080196" w:rsidRPr="008E1212" w:rsidRDefault="00080196" w:rsidP="00A52B30">
            <w:pPr>
              <w:spacing w:before="40" w:after="40"/>
              <w:ind w:right="140"/>
              <w:jc w:val="right"/>
              <w:rPr>
                <w:sz w:val="18"/>
                <w:szCs w:val="18"/>
                <w:lang w:bidi="ar-SY"/>
              </w:rPr>
            </w:pPr>
            <w:r>
              <w:rPr>
                <w:sz w:val="18"/>
                <w:szCs w:val="18"/>
              </w:rPr>
              <w:t>29,8</w:t>
            </w:r>
          </w:p>
        </w:tc>
        <w:tc>
          <w:tcPr>
            <w:tcW w:w="750" w:type="pct"/>
            <w:tcBorders>
              <w:top w:val="single" w:sz="4" w:space="0" w:color="auto"/>
              <w:bottom w:val="single" w:sz="4" w:space="0" w:color="auto"/>
            </w:tcBorders>
          </w:tcPr>
          <w:p w14:paraId="32853A29"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143,6</w:t>
            </w:r>
          </w:p>
        </w:tc>
        <w:tc>
          <w:tcPr>
            <w:tcW w:w="915" w:type="pct"/>
            <w:tcBorders>
              <w:top w:val="single" w:sz="4" w:space="0" w:color="auto"/>
              <w:bottom w:val="single" w:sz="4" w:space="0" w:color="auto"/>
            </w:tcBorders>
          </w:tcPr>
          <w:p w14:paraId="3C1517DA" w14:textId="77777777" w:rsidR="00080196" w:rsidRPr="008E1212" w:rsidRDefault="00080196" w:rsidP="00A52B30">
            <w:pPr>
              <w:spacing w:before="40" w:after="40"/>
              <w:ind w:right="135"/>
              <w:jc w:val="right"/>
              <w:rPr>
                <w:sz w:val="18"/>
                <w:szCs w:val="18"/>
                <w:lang w:bidi="ar-SY"/>
              </w:rPr>
            </w:pPr>
            <w:r>
              <w:rPr>
                <w:sz w:val="18"/>
                <w:szCs w:val="18"/>
              </w:rPr>
              <w:t>173,4</w:t>
            </w:r>
          </w:p>
        </w:tc>
      </w:tr>
      <w:tr w:rsidR="00080196" w:rsidRPr="008E1212" w14:paraId="55D9B947" w14:textId="77777777" w:rsidTr="00A52B30">
        <w:trPr>
          <w:trHeight w:val="211"/>
        </w:trPr>
        <w:tc>
          <w:tcPr>
            <w:tcW w:w="2501" w:type="pct"/>
            <w:tcBorders>
              <w:top w:val="single" w:sz="4" w:space="0" w:color="auto"/>
              <w:bottom w:val="single" w:sz="4" w:space="0" w:color="auto"/>
            </w:tcBorders>
          </w:tcPr>
          <w:p w14:paraId="241EC819" w14:textId="77777777" w:rsidR="00080196" w:rsidRPr="008E1212" w:rsidRDefault="00080196" w:rsidP="00A52B30">
            <w:pPr>
              <w:spacing w:before="40" w:after="40"/>
              <w:ind w:left="284"/>
              <w:rPr>
                <w:b/>
                <w:bCs/>
                <w:sz w:val="18"/>
                <w:szCs w:val="18"/>
                <w:lang w:bidi="ar-SY"/>
              </w:rPr>
            </w:pPr>
            <w:r>
              <w:rPr>
                <w:b/>
                <w:bCs/>
                <w:sz w:val="18"/>
                <w:szCs w:val="18"/>
              </w:rPr>
              <w:t>Total</w:t>
            </w:r>
          </w:p>
        </w:tc>
        <w:tc>
          <w:tcPr>
            <w:tcW w:w="834" w:type="pct"/>
            <w:tcBorders>
              <w:top w:val="single" w:sz="4" w:space="0" w:color="auto"/>
              <w:bottom w:val="single" w:sz="4" w:space="0" w:color="auto"/>
            </w:tcBorders>
          </w:tcPr>
          <w:p w14:paraId="4BEF3289" w14:textId="77777777" w:rsidR="00080196" w:rsidRPr="008E1212" w:rsidRDefault="00080196" w:rsidP="00A52B30">
            <w:pPr>
              <w:spacing w:before="40" w:after="40"/>
              <w:ind w:right="140"/>
              <w:jc w:val="right"/>
              <w:rPr>
                <w:b/>
                <w:bCs/>
                <w:sz w:val="18"/>
                <w:szCs w:val="18"/>
                <w:lang w:bidi="ar-SY"/>
              </w:rPr>
            </w:pPr>
            <w:r>
              <w:rPr>
                <w:b/>
                <w:bCs/>
                <w:sz w:val="18"/>
                <w:szCs w:val="18"/>
              </w:rPr>
              <w:t>21 682,1</w:t>
            </w:r>
          </w:p>
        </w:tc>
        <w:tc>
          <w:tcPr>
            <w:tcW w:w="750" w:type="pct"/>
            <w:tcBorders>
              <w:top w:val="single" w:sz="4" w:space="0" w:color="auto"/>
              <w:bottom w:val="single" w:sz="4" w:space="0" w:color="auto"/>
            </w:tcBorders>
          </w:tcPr>
          <w:p w14:paraId="3272883D" w14:textId="77777777" w:rsidR="00080196" w:rsidRPr="008E1212" w:rsidRDefault="00080196" w:rsidP="00A52B30">
            <w:pPr>
              <w:tabs>
                <w:tab w:val="clear" w:pos="1134"/>
              </w:tabs>
              <w:spacing w:before="40" w:after="40"/>
              <w:ind w:right="142"/>
              <w:jc w:val="right"/>
              <w:rPr>
                <w:b/>
                <w:bCs/>
                <w:sz w:val="18"/>
                <w:szCs w:val="18"/>
                <w:lang w:bidi="ar-SY"/>
              </w:rPr>
            </w:pPr>
            <w:r>
              <w:rPr>
                <w:b/>
                <w:bCs/>
                <w:sz w:val="18"/>
                <w:szCs w:val="18"/>
              </w:rPr>
              <w:t>22 753,4</w:t>
            </w:r>
          </w:p>
        </w:tc>
        <w:tc>
          <w:tcPr>
            <w:tcW w:w="915" w:type="pct"/>
            <w:tcBorders>
              <w:top w:val="single" w:sz="4" w:space="0" w:color="auto"/>
              <w:bottom w:val="single" w:sz="4" w:space="0" w:color="auto"/>
            </w:tcBorders>
          </w:tcPr>
          <w:p w14:paraId="6EE15729" w14:textId="77777777" w:rsidR="00080196" w:rsidRPr="008E1212" w:rsidRDefault="00080196" w:rsidP="00A52B30">
            <w:pPr>
              <w:spacing w:before="40" w:after="40"/>
              <w:ind w:right="135"/>
              <w:jc w:val="right"/>
              <w:rPr>
                <w:b/>
                <w:bCs/>
                <w:sz w:val="18"/>
                <w:szCs w:val="18"/>
                <w:lang w:bidi="ar-SY"/>
              </w:rPr>
            </w:pPr>
            <w:r>
              <w:rPr>
                <w:b/>
                <w:bCs/>
                <w:sz w:val="18"/>
                <w:szCs w:val="18"/>
              </w:rPr>
              <w:t>44 435,5</w:t>
            </w:r>
          </w:p>
        </w:tc>
      </w:tr>
      <w:tr w:rsidR="00080196" w:rsidRPr="008E1212" w14:paraId="6EA95FA9" w14:textId="77777777" w:rsidTr="00A52B30">
        <w:trPr>
          <w:trHeight w:val="211"/>
        </w:trPr>
        <w:tc>
          <w:tcPr>
            <w:tcW w:w="2501" w:type="pct"/>
            <w:tcBorders>
              <w:top w:val="single" w:sz="4" w:space="0" w:color="auto"/>
            </w:tcBorders>
          </w:tcPr>
          <w:p w14:paraId="1CA5BC86" w14:textId="77777777" w:rsidR="00080196" w:rsidRPr="008E1212" w:rsidRDefault="00080196" w:rsidP="00A52B30">
            <w:pPr>
              <w:spacing w:before="40" w:after="40"/>
              <w:jc w:val="left"/>
              <w:rPr>
                <w:sz w:val="18"/>
                <w:szCs w:val="18"/>
                <w:lang w:bidi="ar-SY"/>
              </w:rPr>
            </w:pPr>
            <w:r>
              <w:rPr>
                <w:sz w:val="18"/>
                <w:szCs w:val="18"/>
              </w:rPr>
              <w:t>Part du budget intégré consacrée au Protocole de Cartagena (15 %)</w:t>
            </w:r>
          </w:p>
        </w:tc>
        <w:tc>
          <w:tcPr>
            <w:tcW w:w="834" w:type="pct"/>
            <w:tcBorders>
              <w:top w:val="single" w:sz="4" w:space="0" w:color="auto"/>
            </w:tcBorders>
          </w:tcPr>
          <w:p w14:paraId="1D3E3174" w14:textId="77777777" w:rsidR="00080196" w:rsidRPr="008E1212" w:rsidRDefault="00080196" w:rsidP="00A52B30">
            <w:pPr>
              <w:spacing w:before="40" w:after="40"/>
              <w:ind w:right="140"/>
              <w:jc w:val="right"/>
              <w:rPr>
                <w:sz w:val="18"/>
                <w:szCs w:val="18"/>
                <w:lang w:bidi="ar-SY"/>
              </w:rPr>
            </w:pPr>
            <w:r>
              <w:rPr>
                <w:sz w:val="18"/>
                <w:szCs w:val="18"/>
              </w:rPr>
              <w:t>3 252,3</w:t>
            </w:r>
          </w:p>
        </w:tc>
        <w:tc>
          <w:tcPr>
            <w:tcW w:w="750" w:type="pct"/>
            <w:tcBorders>
              <w:top w:val="single" w:sz="4" w:space="0" w:color="auto"/>
            </w:tcBorders>
          </w:tcPr>
          <w:p w14:paraId="75FC01A2"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3 413,0</w:t>
            </w:r>
          </w:p>
        </w:tc>
        <w:tc>
          <w:tcPr>
            <w:tcW w:w="915" w:type="pct"/>
            <w:tcBorders>
              <w:top w:val="single" w:sz="4" w:space="0" w:color="auto"/>
            </w:tcBorders>
          </w:tcPr>
          <w:p w14:paraId="5FD7A387" w14:textId="77777777" w:rsidR="00080196" w:rsidRPr="008E1212" w:rsidRDefault="00080196" w:rsidP="00A52B30">
            <w:pPr>
              <w:spacing w:before="40" w:after="40"/>
              <w:ind w:right="135"/>
              <w:jc w:val="right"/>
              <w:rPr>
                <w:sz w:val="18"/>
                <w:szCs w:val="18"/>
                <w:lang w:bidi="ar-SY"/>
              </w:rPr>
            </w:pPr>
            <w:r>
              <w:rPr>
                <w:sz w:val="18"/>
                <w:szCs w:val="18"/>
              </w:rPr>
              <w:t>6 665,3</w:t>
            </w:r>
          </w:p>
        </w:tc>
      </w:tr>
      <w:tr w:rsidR="00080196" w:rsidRPr="008E1212" w14:paraId="37C416B3" w14:textId="77777777" w:rsidTr="00A52B30">
        <w:trPr>
          <w:trHeight w:val="211"/>
        </w:trPr>
        <w:tc>
          <w:tcPr>
            <w:tcW w:w="2501" w:type="pct"/>
          </w:tcPr>
          <w:p w14:paraId="72C7CCA1" w14:textId="77777777" w:rsidR="00080196" w:rsidRPr="008E1212" w:rsidRDefault="00080196" w:rsidP="00A52B30">
            <w:pPr>
              <w:spacing w:before="40" w:after="40"/>
              <w:rPr>
                <w:sz w:val="18"/>
                <w:szCs w:val="18"/>
                <w:lang w:bidi="ar-SY"/>
              </w:rPr>
            </w:pPr>
            <w:r>
              <w:rPr>
                <w:sz w:val="18"/>
                <w:szCs w:val="18"/>
              </w:rPr>
              <w:t>Contributions du pays hôte</w:t>
            </w:r>
          </w:p>
        </w:tc>
        <w:tc>
          <w:tcPr>
            <w:tcW w:w="834" w:type="pct"/>
          </w:tcPr>
          <w:p w14:paraId="76022E9A" w14:textId="77777777" w:rsidR="00080196" w:rsidRPr="008E1212" w:rsidRDefault="00080196" w:rsidP="00A52B30">
            <w:pPr>
              <w:spacing w:before="40" w:after="40"/>
              <w:ind w:right="140"/>
              <w:jc w:val="right"/>
              <w:rPr>
                <w:sz w:val="18"/>
                <w:szCs w:val="18"/>
                <w:lang w:bidi="ar-SY"/>
              </w:rPr>
            </w:pPr>
            <w:r>
              <w:rPr>
                <w:sz w:val="18"/>
                <w:szCs w:val="18"/>
              </w:rPr>
              <w:t>(247,9)</w:t>
            </w:r>
          </w:p>
        </w:tc>
        <w:tc>
          <w:tcPr>
            <w:tcW w:w="750" w:type="pct"/>
          </w:tcPr>
          <w:p w14:paraId="4CC2BC5C"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(250,3)</w:t>
            </w:r>
          </w:p>
        </w:tc>
        <w:tc>
          <w:tcPr>
            <w:tcW w:w="915" w:type="pct"/>
          </w:tcPr>
          <w:p w14:paraId="65C0FD58" w14:textId="77777777" w:rsidR="00080196" w:rsidRPr="008E1212" w:rsidRDefault="00080196" w:rsidP="00A52B30">
            <w:pPr>
              <w:spacing w:before="40" w:after="40"/>
              <w:ind w:right="135"/>
              <w:jc w:val="right"/>
              <w:rPr>
                <w:sz w:val="18"/>
                <w:szCs w:val="18"/>
                <w:lang w:bidi="ar-SY"/>
              </w:rPr>
            </w:pPr>
            <w:r>
              <w:rPr>
                <w:sz w:val="18"/>
                <w:szCs w:val="18"/>
              </w:rPr>
              <w:t>(498,2)</w:t>
            </w:r>
          </w:p>
        </w:tc>
      </w:tr>
      <w:tr w:rsidR="00080196" w:rsidRPr="008E1212" w14:paraId="731CF2D3" w14:textId="77777777" w:rsidTr="00A52B30">
        <w:trPr>
          <w:trHeight w:val="211"/>
        </w:trPr>
        <w:tc>
          <w:tcPr>
            <w:tcW w:w="2501" w:type="pct"/>
            <w:tcBorders>
              <w:bottom w:val="single" w:sz="4" w:space="0" w:color="auto"/>
            </w:tcBorders>
          </w:tcPr>
          <w:p w14:paraId="78A7A2EC" w14:textId="77777777" w:rsidR="00080196" w:rsidRPr="008E1212" w:rsidRDefault="00080196" w:rsidP="00A52B30">
            <w:pPr>
              <w:spacing w:before="40" w:after="40"/>
              <w:rPr>
                <w:sz w:val="18"/>
                <w:szCs w:val="18"/>
                <w:lang w:bidi="ar-SY"/>
              </w:rPr>
            </w:pPr>
            <w:r>
              <w:rPr>
                <w:sz w:val="18"/>
                <w:szCs w:val="18"/>
              </w:rPr>
              <w:t>Utilisation des réserves</w:t>
            </w:r>
          </w:p>
        </w:tc>
        <w:tc>
          <w:tcPr>
            <w:tcW w:w="834" w:type="pct"/>
            <w:tcBorders>
              <w:bottom w:val="single" w:sz="4" w:space="0" w:color="auto"/>
            </w:tcBorders>
          </w:tcPr>
          <w:p w14:paraId="52222607" w14:textId="77777777" w:rsidR="00080196" w:rsidRPr="008E1212" w:rsidRDefault="00080196" w:rsidP="00A52B30">
            <w:pPr>
              <w:spacing w:before="40" w:after="40"/>
              <w:ind w:right="140"/>
              <w:jc w:val="right"/>
              <w:rPr>
                <w:sz w:val="18"/>
                <w:szCs w:val="18"/>
                <w:lang w:bidi="ar-SY"/>
              </w:rPr>
            </w:pPr>
            <w:r>
              <w:rPr>
                <w:sz w:val="18"/>
                <w:szCs w:val="18"/>
              </w:rPr>
              <w:t>(71,3)</w:t>
            </w:r>
          </w:p>
        </w:tc>
        <w:tc>
          <w:tcPr>
            <w:tcW w:w="750" w:type="pct"/>
            <w:tcBorders>
              <w:bottom w:val="single" w:sz="4" w:space="0" w:color="auto"/>
            </w:tcBorders>
          </w:tcPr>
          <w:p w14:paraId="0319C2C6" w14:textId="77777777" w:rsidR="00080196" w:rsidRPr="008E1212" w:rsidRDefault="00080196" w:rsidP="00A52B30">
            <w:pPr>
              <w:tabs>
                <w:tab w:val="clear" w:pos="1134"/>
              </w:tabs>
              <w:spacing w:before="40" w:after="40"/>
              <w:ind w:right="142"/>
              <w:jc w:val="right"/>
              <w:rPr>
                <w:sz w:val="18"/>
                <w:szCs w:val="18"/>
                <w:lang w:bidi="ar-SY"/>
              </w:rPr>
            </w:pPr>
            <w:r>
              <w:rPr>
                <w:sz w:val="18"/>
                <w:szCs w:val="18"/>
              </w:rPr>
              <w:t>(29,0)</w:t>
            </w:r>
          </w:p>
        </w:tc>
        <w:tc>
          <w:tcPr>
            <w:tcW w:w="915" w:type="pct"/>
            <w:tcBorders>
              <w:bottom w:val="single" w:sz="4" w:space="0" w:color="auto"/>
            </w:tcBorders>
          </w:tcPr>
          <w:p w14:paraId="0E51CC72" w14:textId="77777777" w:rsidR="00080196" w:rsidRPr="008E1212" w:rsidRDefault="00080196" w:rsidP="00A52B30">
            <w:pPr>
              <w:spacing w:before="40" w:after="40"/>
              <w:ind w:right="135"/>
              <w:jc w:val="right"/>
              <w:rPr>
                <w:sz w:val="18"/>
                <w:szCs w:val="18"/>
                <w:lang w:bidi="ar-SY"/>
              </w:rPr>
            </w:pPr>
            <w:r>
              <w:rPr>
                <w:sz w:val="18"/>
                <w:szCs w:val="18"/>
              </w:rPr>
              <w:t>(100,3)</w:t>
            </w:r>
          </w:p>
        </w:tc>
      </w:tr>
      <w:tr w:rsidR="00080196" w:rsidRPr="008E1212" w14:paraId="2EA67F2B" w14:textId="77777777" w:rsidTr="00A52B30">
        <w:trPr>
          <w:trHeight w:val="211"/>
        </w:trPr>
        <w:tc>
          <w:tcPr>
            <w:tcW w:w="2501" w:type="pct"/>
            <w:tcBorders>
              <w:top w:val="single" w:sz="4" w:space="0" w:color="auto"/>
              <w:bottom w:val="single" w:sz="4" w:space="0" w:color="auto"/>
            </w:tcBorders>
          </w:tcPr>
          <w:p w14:paraId="389C8F73" w14:textId="77777777" w:rsidR="00080196" w:rsidRPr="008E1212" w:rsidRDefault="00080196" w:rsidP="00A52B30">
            <w:pPr>
              <w:spacing w:before="40" w:after="40"/>
              <w:ind w:left="284"/>
              <w:rPr>
                <w:b/>
                <w:bCs/>
                <w:sz w:val="18"/>
                <w:szCs w:val="18"/>
                <w:lang w:bidi="ar-SY"/>
              </w:rPr>
            </w:pPr>
            <w:r>
              <w:rPr>
                <w:b/>
                <w:bCs/>
                <w:sz w:val="18"/>
                <w:szCs w:val="18"/>
              </w:rPr>
              <w:t>Total net (somme à répartir entre les Parties)</w:t>
            </w:r>
          </w:p>
        </w:tc>
        <w:tc>
          <w:tcPr>
            <w:tcW w:w="834" w:type="pct"/>
            <w:tcBorders>
              <w:top w:val="single" w:sz="4" w:space="0" w:color="auto"/>
              <w:bottom w:val="single" w:sz="4" w:space="0" w:color="auto"/>
            </w:tcBorders>
          </w:tcPr>
          <w:p w14:paraId="6937FFEC" w14:textId="77777777" w:rsidR="00080196" w:rsidRPr="008E1212" w:rsidRDefault="00080196" w:rsidP="00A52B30">
            <w:pPr>
              <w:spacing w:before="40" w:after="40"/>
              <w:ind w:right="140"/>
              <w:jc w:val="right"/>
              <w:rPr>
                <w:b/>
                <w:bCs/>
                <w:sz w:val="18"/>
                <w:szCs w:val="18"/>
                <w:lang w:bidi="ar-SY"/>
              </w:rPr>
            </w:pPr>
            <w:r>
              <w:rPr>
                <w:b/>
                <w:bCs/>
                <w:sz w:val="18"/>
                <w:szCs w:val="18"/>
              </w:rPr>
              <w:t>2 933,1</w:t>
            </w:r>
          </w:p>
        </w:tc>
        <w:tc>
          <w:tcPr>
            <w:tcW w:w="750" w:type="pct"/>
            <w:tcBorders>
              <w:top w:val="single" w:sz="4" w:space="0" w:color="auto"/>
              <w:bottom w:val="single" w:sz="4" w:space="0" w:color="auto"/>
            </w:tcBorders>
          </w:tcPr>
          <w:p w14:paraId="2461F613" w14:textId="77777777" w:rsidR="00080196" w:rsidRPr="008E1212" w:rsidRDefault="00080196" w:rsidP="00A52B30">
            <w:pPr>
              <w:tabs>
                <w:tab w:val="clear" w:pos="1134"/>
              </w:tabs>
              <w:spacing w:before="40" w:after="40"/>
              <w:ind w:right="142"/>
              <w:jc w:val="right"/>
              <w:rPr>
                <w:b/>
                <w:bCs/>
                <w:sz w:val="18"/>
                <w:szCs w:val="18"/>
                <w:lang w:bidi="ar-SY"/>
              </w:rPr>
            </w:pPr>
            <w:r>
              <w:rPr>
                <w:b/>
                <w:bCs/>
                <w:sz w:val="18"/>
                <w:szCs w:val="18"/>
              </w:rPr>
              <w:t>3 133,7</w:t>
            </w:r>
          </w:p>
        </w:tc>
        <w:tc>
          <w:tcPr>
            <w:tcW w:w="915" w:type="pct"/>
            <w:tcBorders>
              <w:top w:val="single" w:sz="4" w:space="0" w:color="auto"/>
              <w:bottom w:val="single" w:sz="4" w:space="0" w:color="auto"/>
            </w:tcBorders>
          </w:tcPr>
          <w:p w14:paraId="5D29FB9C" w14:textId="77777777" w:rsidR="00080196" w:rsidRPr="008E1212" w:rsidRDefault="00080196" w:rsidP="00A52B30">
            <w:pPr>
              <w:spacing w:before="40" w:after="40"/>
              <w:ind w:right="135"/>
              <w:jc w:val="right"/>
              <w:rPr>
                <w:b/>
                <w:bCs/>
                <w:sz w:val="18"/>
                <w:szCs w:val="18"/>
                <w:lang w:bidi="ar-SY"/>
              </w:rPr>
            </w:pPr>
            <w:r>
              <w:rPr>
                <w:b/>
                <w:bCs/>
                <w:sz w:val="18"/>
                <w:szCs w:val="18"/>
              </w:rPr>
              <w:t>6 066,8</w:t>
            </w:r>
          </w:p>
        </w:tc>
      </w:tr>
    </w:tbl>
    <w:p w14:paraId="446952E3" w14:textId="77777777" w:rsidR="00080196" w:rsidRPr="008E1212" w:rsidRDefault="00080196" w:rsidP="00A52B30">
      <w:pPr>
        <w:pStyle w:val="ListParagraph"/>
        <w:tabs>
          <w:tab w:val="clear" w:pos="567"/>
          <w:tab w:val="clear" w:pos="1134"/>
          <w:tab w:val="clear" w:pos="1701"/>
          <w:tab w:val="clear" w:pos="2268"/>
        </w:tabs>
        <w:snapToGrid w:val="0"/>
        <w:spacing w:before="40" w:after="40"/>
        <w:ind w:left="567"/>
        <w:contextualSpacing w:val="0"/>
        <w:jc w:val="left"/>
        <w:rPr>
          <w:sz w:val="18"/>
          <w:szCs w:val="18"/>
        </w:rPr>
      </w:pPr>
      <w:bookmarkStart w:id="34" w:name="_Hlk183617566"/>
      <w:r>
        <w:rPr>
          <w:i/>
          <w:iCs/>
          <w:sz w:val="18"/>
          <w:szCs w:val="18"/>
          <w:vertAlign w:val="superscript"/>
        </w:rPr>
        <w:t>a</w:t>
      </w:r>
      <w:r>
        <w:rPr>
          <w:i/>
          <w:iCs/>
          <w:sz w:val="18"/>
          <w:szCs w:val="18"/>
          <w:vertAlign w:val="superscript"/>
        </w:rPr>
        <w:tab/>
      </w:r>
      <w:bookmarkEnd w:id="34"/>
      <w:r>
        <w:rPr>
          <w:sz w:val="18"/>
          <w:szCs w:val="18"/>
        </w:rPr>
        <w:t>Première réunion de l’Organe subsidiaire chargé de l’article 8 j) et des autres dispositions de la Convention sur la diversité biologique relatives aux peuples autochtones et aux communautés locales ; vingt-septième et vingt-huitième réunions de l’Organe subsidiaire chargé de fournir des avis scientifiques, techniques et technologiques ; sixième réunion de l’Organe subsidiaire chargé de l’application ; 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 tenues de façon concomitante.</w:t>
      </w:r>
    </w:p>
    <w:p w14:paraId="179DA622" w14:textId="77777777" w:rsidR="00080196" w:rsidRPr="008E1212" w:rsidRDefault="00080196" w:rsidP="00350E4A">
      <w:pPr>
        <w:pStyle w:val="CBDTableTitle"/>
        <w:ind w:right="146"/>
      </w:pPr>
      <w:r>
        <w:rPr>
          <w:b w:val="0"/>
          <w:bCs/>
        </w:rPr>
        <w:t>Tableau 2</w:t>
      </w:r>
      <w:r>
        <w:rPr>
          <w:b w:val="0"/>
          <w:bCs/>
        </w:rPr>
        <w:br/>
      </w:r>
      <w:r>
        <w:t xml:space="preserve">Budget intégré des fonds d’affectation spéciale de base de la </w:t>
      </w:r>
      <w:bookmarkStart w:id="35" w:name="_Hlk183617687"/>
      <w:r>
        <w:t>Convention et de ses Protocoles</w:t>
      </w:r>
      <w:bookmarkEnd w:id="35"/>
      <w:r>
        <w:t>, pour l’exercice biennal 2025-2026 (par composante)</w:t>
      </w:r>
    </w:p>
    <w:p w14:paraId="15FB2DC3" w14:textId="77777777" w:rsidR="00080196" w:rsidRPr="008E1212" w:rsidRDefault="00080196" w:rsidP="00A52B30">
      <w:pPr>
        <w:pStyle w:val="CBDTableTitle"/>
        <w:rPr>
          <w:bCs/>
        </w:rPr>
      </w:pPr>
      <w:r>
        <w:rPr>
          <w:rFonts w:eastAsia="Times New Roman"/>
          <w:b w:val="0"/>
          <w:bCs/>
          <w:color w:val="000000" w:themeColor="text1"/>
          <w:kern w:val="20"/>
          <w:sz w:val="17"/>
          <w:szCs w:val="17"/>
        </w:rPr>
        <w:t>(En milliers de dollars des É.-U.)</w:t>
      </w:r>
    </w:p>
    <w:tbl>
      <w:tblPr>
        <w:tblW w:w="8133" w:type="dxa"/>
        <w:tblInd w:w="567" w:type="dxa"/>
        <w:tblLook w:val="04A0" w:firstRow="1" w:lastRow="0" w:firstColumn="1" w:lastColumn="0" w:noHBand="0" w:noVBand="1"/>
      </w:tblPr>
      <w:tblGrid>
        <w:gridCol w:w="4593"/>
        <w:gridCol w:w="1180"/>
        <w:gridCol w:w="1180"/>
        <w:gridCol w:w="1180"/>
      </w:tblGrid>
      <w:tr w:rsidR="00080196" w:rsidRPr="008E1212" w14:paraId="3A29D320" w14:textId="77777777" w:rsidTr="00A52B30">
        <w:trPr>
          <w:trHeight w:val="290"/>
        </w:trPr>
        <w:tc>
          <w:tcPr>
            <w:tcW w:w="4593" w:type="dxa"/>
            <w:tcBorders>
              <w:top w:val="nil"/>
              <w:left w:val="nil"/>
              <w:bottom w:val="nil"/>
              <w:right w:val="nil"/>
            </w:tcBorders>
            <w:shd w:val="clear" w:color="auto" w:fill="auto"/>
            <w:vAlign w:val="bottom"/>
          </w:tcPr>
          <w:p w14:paraId="60174949" w14:textId="77777777" w:rsidR="00080196" w:rsidRPr="008E1212" w:rsidRDefault="00080196" w:rsidP="004F5EAC">
            <w:pPr>
              <w:keepNext/>
              <w:keepLines/>
              <w:tabs>
                <w:tab w:val="clear" w:pos="567"/>
                <w:tab w:val="clear" w:pos="1134"/>
                <w:tab w:val="clear" w:pos="1701"/>
                <w:tab w:val="clear" w:pos="2268"/>
              </w:tabs>
              <w:jc w:val="left"/>
              <w:rPr>
                <w:rFonts w:eastAsia="Times New Roman"/>
                <w:i/>
                <w:iCs/>
                <w:color w:val="000000"/>
                <w:sz w:val="18"/>
                <w:szCs w:val="18"/>
                <w:lang w:eastAsia="zh-CN"/>
              </w:rPr>
            </w:pPr>
            <w:r>
              <w:rPr>
                <w:rFonts w:eastAsia="Times New Roman"/>
                <w:i/>
                <w:iCs/>
                <w:color w:val="000000"/>
                <w:sz w:val="18"/>
                <w:szCs w:val="18"/>
              </w:rPr>
              <w:t>Composante</w:t>
            </w:r>
          </w:p>
        </w:tc>
        <w:tc>
          <w:tcPr>
            <w:tcW w:w="1180" w:type="dxa"/>
            <w:tcBorders>
              <w:top w:val="nil"/>
              <w:left w:val="nil"/>
              <w:bottom w:val="nil"/>
              <w:right w:val="nil"/>
            </w:tcBorders>
            <w:shd w:val="clear" w:color="auto" w:fill="auto"/>
            <w:vAlign w:val="bottom"/>
          </w:tcPr>
          <w:p w14:paraId="78635F3D"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i/>
                <w:iCs/>
                <w:color w:val="000000"/>
                <w:sz w:val="18"/>
                <w:szCs w:val="18"/>
              </w:rPr>
              <w:t>2025</w:t>
            </w:r>
          </w:p>
        </w:tc>
        <w:tc>
          <w:tcPr>
            <w:tcW w:w="1180" w:type="dxa"/>
            <w:tcBorders>
              <w:top w:val="nil"/>
              <w:left w:val="nil"/>
              <w:bottom w:val="nil"/>
              <w:right w:val="nil"/>
            </w:tcBorders>
            <w:shd w:val="clear" w:color="auto" w:fill="auto"/>
            <w:vAlign w:val="bottom"/>
          </w:tcPr>
          <w:p w14:paraId="1749B2AE"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i/>
                <w:iCs/>
                <w:color w:val="000000"/>
                <w:sz w:val="18"/>
                <w:szCs w:val="18"/>
              </w:rPr>
              <w:t>2026</w:t>
            </w:r>
          </w:p>
        </w:tc>
        <w:tc>
          <w:tcPr>
            <w:tcW w:w="1180" w:type="dxa"/>
            <w:tcBorders>
              <w:top w:val="nil"/>
              <w:left w:val="nil"/>
              <w:bottom w:val="nil"/>
              <w:right w:val="nil"/>
            </w:tcBorders>
            <w:shd w:val="clear" w:color="auto" w:fill="auto"/>
            <w:vAlign w:val="bottom"/>
          </w:tcPr>
          <w:p w14:paraId="01587915" w14:textId="77777777" w:rsidR="00080196" w:rsidRPr="008E1212" w:rsidRDefault="00080196" w:rsidP="00A52B30">
            <w:pPr>
              <w:keepNext/>
              <w:keepLines/>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i/>
                <w:iCs/>
                <w:color w:val="000000"/>
                <w:sz w:val="18"/>
                <w:szCs w:val="18"/>
              </w:rPr>
              <w:t>2025</w:t>
            </w:r>
            <w:r>
              <w:rPr>
                <w:i/>
                <w:iCs/>
                <w:sz w:val="18"/>
                <w:szCs w:val="18"/>
              </w:rPr>
              <w:t>–</w:t>
            </w:r>
            <w:r>
              <w:rPr>
                <w:rFonts w:eastAsia="Times New Roman"/>
                <w:i/>
                <w:iCs/>
                <w:color w:val="000000"/>
                <w:sz w:val="18"/>
                <w:szCs w:val="18"/>
              </w:rPr>
              <w:t>2026</w:t>
            </w:r>
          </w:p>
        </w:tc>
      </w:tr>
      <w:tr w:rsidR="00080196" w:rsidRPr="008E1212" w14:paraId="346B73A6" w14:textId="77777777" w:rsidTr="00A52B30">
        <w:trPr>
          <w:trHeight w:val="290"/>
        </w:trPr>
        <w:tc>
          <w:tcPr>
            <w:tcW w:w="4593" w:type="dxa"/>
            <w:tcBorders>
              <w:top w:val="single" w:sz="4" w:space="0" w:color="auto"/>
              <w:left w:val="nil"/>
              <w:bottom w:val="nil"/>
              <w:right w:val="nil"/>
            </w:tcBorders>
            <w:shd w:val="clear" w:color="auto" w:fill="auto"/>
            <w:vAlign w:val="center"/>
            <w:hideMark/>
          </w:tcPr>
          <w:p w14:paraId="71954AD0"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A. Organes directeurs et subsidiaires</w:t>
            </w:r>
          </w:p>
        </w:tc>
        <w:tc>
          <w:tcPr>
            <w:tcW w:w="1180" w:type="dxa"/>
            <w:tcBorders>
              <w:top w:val="single" w:sz="4" w:space="0" w:color="auto"/>
              <w:left w:val="nil"/>
              <w:bottom w:val="nil"/>
              <w:right w:val="nil"/>
            </w:tcBorders>
            <w:shd w:val="clear" w:color="auto" w:fill="auto"/>
            <w:vAlign w:val="center"/>
            <w:hideMark/>
          </w:tcPr>
          <w:p w14:paraId="07641137"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2 611,2</w:t>
            </w:r>
          </w:p>
        </w:tc>
        <w:tc>
          <w:tcPr>
            <w:tcW w:w="1180" w:type="dxa"/>
            <w:tcBorders>
              <w:top w:val="single" w:sz="4" w:space="0" w:color="auto"/>
              <w:left w:val="nil"/>
              <w:bottom w:val="nil"/>
              <w:right w:val="nil"/>
            </w:tcBorders>
            <w:shd w:val="clear" w:color="auto" w:fill="auto"/>
            <w:vAlign w:val="center"/>
            <w:hideMark/>
          </w:tcPr>
          <w:p w14:paraId="24F52401"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3 082,7</w:t>
            </w:r>
          </w:p>
        </w:tc>
        <w:tc>
          <w:tcPr>
            <w:tcW w:w="1180" w:type="dxa"/>
            <w:tcBorders>
              <w:top w:val="single" w:sz="4" w:space="0" w:color="auto"/>
              <w:left w:val="nil"/>
              <w:bottom w:val="nil"/>
              <w:right w:val="nil"/>
            </w:tcBorders>
            <w:shd w:val="clear" w:color="auto" w:fill="auto"/>
            <w:vAlign w:val="center"/>
            <w:hideMark/>
          </w:tcPr>
          <w:p w14:paraId="6B72F69A"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5 693,9</w:t>
            </w:r>
          </w:p>
        </w:tc>
      </w:tr>
      <w:tr w:rsidR="00080196" w:rsidRPr="008E1212" w14:paraId="371A9BAF" w14:textId="77777777" w:rsidTr="00A52B30">
        <w:trPr>
          <w:trHeight w:val="290"/>
        </w:trPr>
        <w:tc>
          <w:tcPr>
            <w:tcW w:w="4593" w:type="dxa"/>
            <w:tcBorders>
              <w:top w:val="nil"/>
              <w:left w:val="nil"/>
              <w:bottom w:val="nil"/>
              <w:right w:val="nil"/>
            </w:tcBorders>
            <w:shd w:val="clear" w:color="auto" w:fill="auto"/>
            <w:vAlign w:val="center"/>
            <w:hideMark/>
          </w:tcPr>
          <w:p w14:paraId="19406AF8"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B. Direction et administration</w:t>
            </w:r>
          </w:p>
        </w:tc>
        <w:tc>
          <w:tcPr>
            <w:tcW w:w="1180" w:type="dxa"/>
            <w:tcBorders>
              <w:top w:val="nil"/>
              <w:left w:val="nil"/>
              <w:bottom w:val="nil"/>
              <w:right w:val="nil"/>
            </w:tcBorders>
            <w:shd w:val="clear" w:color="auto" w:fill="auto"/>
            <w:vAlign w:val="center"/>
            <w:hideMark/>
          </w:tcPr>
          <w:p w14:paraId="57546065"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2 946,8</w:t>
            </w:r>
          </w:p>
        </w:tc>
        <w:tc>
          <w:tcPr>
            <w:tcW w:w="1180" w:type="dxa"/>
            <w:tcBorders>
              <w:top w:val="nil"/>
              <w:left w:val="nil"/>
              <w:bottom w:val="nil"/>
              <w:right w:val="nil"/>
            </w:tcBorders>
            <w:shd w:val="clear" w:color="auto" w:fill="auto"/>
            <w:vAlign w:val="center"/>
            <w:hideMark/>
          </w:tcPr>
          <w:p w14:paraId="5B02D449"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3 098,4</w:t>
            </w:r>
          </w:p>
        </w:tc>
        <w:tc>
          <w:tcPr>
            <w:tcW w:w="1180" w:type="dxa"/>
            <w:tcBorders>
              <w:top w:val="nil"/>
              <w:left w:val="nil"/>
              <w:bottom w:val="nil"/>
              <w:right w:val="nil"/>
            </w:tcBorders>
            <w:shd w:val="clear" w:color="auto" w:fill="auto"/>
            <w:vAlign w:val="center"/>
            <w:hideMark/>
          </w:tcPr>
          <w:p w14:paraId="1696ED4F"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6 045,1</w:t>
            </w:r>
          </w:p>
        </w:tc>
      </w:tr>
      <w:tr w:rsidR="00080196" w:rsidRPr="008E1212" w14:paraId="7E7DEF04" w14:textId="77777777" w:rsidTr="00A52B30">
        <w:trPr>
          <w:trHeight w:val="290"/>
        </w:trPr>
        <w:tc>
          <w:tcPr>
            <w:tcW w:w="4593" w:type="dxa"/>
            <w:tcBorders>
              <w:top w:val="nil"/>
              <w:left w:val="nil"/>
              <w:bottom w:val="nil"/>
              <w:right w:val="nil"/>
            </w:tcBorders>
            <w:shd w:val="clear" w:color="auto" w:fill="auto"/>
            <w:vAlign w:val="center"/>
            <w:hideMark/>
          </w:tcPr>
          <w:p w14:paraId="12D353F5"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C. Programme de travail</w:t>
            </w:r>
          </w:p>
        </w:tc>
        <w:tc>
          <w:tcPr>
            <w:tcW w:w="1180" w:type="dxa"/>
            <w:tcBorders>
              <w:top w:val="nil"/>
              <w:left w:val="nil"/>
              <w:bottom w:val="nil"/>
              <w:right w:val="nil"/>
            </w:tcBorders>
            <w:shd w:val="clear" w:color="auto" w:fill="auto"/>
            <w:vAlign w:val="center"/>
            <w:hideMark/>
          </w:tcPr>
          <w:p w14:paraId="50488724"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10 013,3</w:t>
            </w:r>
          </w:p>
        </w:tc>
        <w:tc>
          <w:tcPr>
            <w:tcW w:w="1180" w:type="dxa"/>
            <w:tcBorders>
              <w:top w:val="nil"/>
              <w:left w:val="nil"/>
              <w:bottom w:val="nil"/>
              <w:right w:val="nil"/>
            </w:tcBorders>
            <w:shd w:val="clear" w:color="auto" w:fill="auto"/>
            <w:vAlign w:val="center"/>
            <w:hideMark/>
          </w:tcPr>
          <w:p w14:paraId="09753F35"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10 384,3</w:t>
            </w:r>
          </w:p>
        </w:tc>
        <w:tc>
          <w:tcPr>
            <w:tcW w:w="1180" w:type="dxa"/>
            <w:tcBorders>
              <w:top w:val="nil"/>
              <w:left w:val="nil"/>
              <w:bottom w:val="nil"/>
              <w:right w:val="nil"/>
            </w:tcBorders>
            <w:shd w:val="clear" w:color="auto" w:fill="auto"/>
            <w:vAlign w:val="center"/>
            <w:hideMark/>
          </w:tcPr>
          <w:p w14:paraId="72068089"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20 397,6</w:t>
            </w:r>
          </w:p>
        </w:tc>
      </w:tr>
      <w:tr w:rsidR="00080196" w:rsidRPr="008E1212" w14:paraId="0DAB29A0" w14:textId="77777777" w:rsidTr="00A52B30">
        <w:trPr>
          <w:trHeight w:val="300"/>
        </w:trPr>
        <w:tc>
          <w:tcPr>
            <w:tcW w:w="4593" w:type="dxa"/>
            <w:tcBorders>
              <w:top w:val="nil"/>
              <w:left w:val="nil"/>
              <w:bottom w:val="nil"/>
              <w:right w:val="nil"/>
            </w:tcBorders>
            <w:shd w:val="clear" w:color="auto" w:fill="auto"/>
            <w:vAlign w:val="center"/>
            <w:hideMark/>
          </w:tcPr>
          <w:p w14:paraId="40477858" w14:textId="77777777" w:rsidR="00080196" w:rsidRPr="008E1212" w:rsidRDefault="00080196" w:rsidP="007243AD">
            <w:pPr>
              <w:keepNext/>
              <w:keepLines/>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D. Soutien administratif</w:t>
            </w:r>
          </w:p>
        </w:tc>
        <w:tc>
          <w:tcPr>
            <w:tcW w:w="1180" w:type="dxa"/>
            <w:tcBorders>
              <w:top w:val="nil"/>
              <w:left w:val="nil"/>
              <w:bottom w:val="nil"/>
              <w:right w:val="nil"/>
            </w:tcBorders>
            <w:shd w:val="clear" w:color="auto" w:fill="auto"/>
            <w:vAlign w:val="center"/>
            <w:hideMark/>
          </w:tcPr>
          <w:p w14:paraId="10E0A69B"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3 590,2</w:t>
            </w:r>
          </w:p>
        </w:tc>
        <w:tc>
          <w:tcPr>
            <w:tcW w:w="1180" w:type="dxa"/>
            <w:tcBorders>
              <w:top w:val="nil"/>
              <w:left w:val="nil"/>
              <w:bottom w:val="nil"/>
              <w:right w:val="nil"/>
            </w:tcBorders>
            <w:shd w:val="clear" w:color="auto" w:fill="auto"/>
            <w:vAlign w:val="center"/>
            <w:hideMark/>
          </w:tcPr>
          <w:p w14:paraId="15644B99"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3 443,2</w:t>
            </w:r>
          </w:p>
        </w:tc>
        <w:tc>
          <w:tcPr>
            <w:tcW w:w="1180" w:type="dxa"/>
            <w:tcBorders>
              <w:top w:val="nil"/>
              <w:left w:val="nil"/>
              <w:bottom w:val="nil"/>
              <w:right w:val="nil"/>
            </w:tcBorders>
            <w:shd w:val="clear" w:color="auto" w:fill="auto"/>
            <w:vAlign w:val="center"/>
            <w:hideMark/>
          </w:tcPr>
          <w:p w14:paraId="43B4E467" w14:textId="77777777" w:rsidR="00080196" w:rsidRPr="008E1212" w:rsidRDefault="00080196" w:rsidP="00A52B30">
            <w:pPr>
              <w:keepNext/>
              <w:keepLines/>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7 033,4</w:t>
            </w:r>
          </w:p>
        </w:tc>
      </w:tr>
      <w:tr w:rsidR="00080196" w:rsidRPr="008E1212" w14:paraId="59947673"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A68894E" w14:textId="77777777" w:rsidR="00080196" w:rsidRPr="008E1212" w:rsidRDefault="00080196" w:rsidP="00A52B30">
            <w:pPr>
              <w:tabs>
                <w:tab w:val="clear" w:pos="567"/>
                <w:tab w:val="clear" w:pos="1134"/>
                <w:tab w:val="clear" w:pos="1701"/>
                <w:tab w:val="clear" w:pos="2268"/>
              </w:tabs>
              <w:ind w:left="317"/>
              <w:jc w:val="left"/>
              <w:rPr>
                <w:rFonts w:eastAsia="Times New Roman"/>
                <w:b/>
                <w:bCs/>
                <w:color w:val="000000"/>
                <w:sz w:val="18"/>
                <w:szCs w:val="18"/>
                <w:lang w:eastAsia="zh-CN"/>
              </w:rPr>
            </w:pPr>
            <w:r>
              <w:rPr>
                <w:rFonts w:eastAsia="Times New Roman"/>
                <w:b/>
                <w:bCs/>
                <w:color w:val="000000"/>
                <w:sz w:val="18"/>
                <w:szCs w:val="18"/>
              </w:rPr>
              <w:t>Total partiel</w:t>
            </w:r>
          </w:p>
        </w:tc>
        <w:tc>
          <w:tcPr>
            <w:tcW w:w="1180" w:type="dxa"/>
            <w:tcBorders>
              <w:top w:val="single" w:sz="8" w:space="0" w:color="auto"/>
              <w:left w:val="nil"/>
              <w:bottom w:val="single" w:sz="8" w:space="0" w:color="auto"/>
              <w:right w:val="nil"/>
            </w:tcBorders>
            <w:shd w:val="clear" w:color="auto" w:fill="auto"/>
            <w:vAlign w:val="center"/>
            <w:hideMark/>
          </w:tcPr>
          <w:p w14:paraId="17687FA8"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19 161,3</w:t>
            </w:r>
          </w:p>
        </w:tc>
        <w:tc>
          <w:tcPr>
            <w:tcW w:w="1180" w:type="dxa"/>
            <w:tcBorders>
              <w:top w:val="single" w:sz="8" w:space="0" w:color="auto"/>
              <w:left w:val="nil"/>
              <w:bottom w:val="single" w:sz="8" w:space="0" w:color="auto"/>
              <w:right w:val="nil"/>
            </w:tcBorders>
            <w:shd w:val="clear" w:color="auto" w:fill="auto"/>
            <w:vAlign w:val="center"/>
            <w:hideMark/>
          </w:tcPr>
          <w:p w14:paraId="1EF60F7F"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20 008,6</w:t>
            </w:r>
          </w:p>
        </w:tc>
        <w:tc>
          <w:tcPr>
            <w:tcW w:w="1180" w:type="dxa"/>
            <w:tcBorders>
              <w:top w:val="single" w:sz="8" w:space="0" w:color="auto"/>
              <w:left w:val="nil"/>
              <w:bottom w:val="single" w:sz="8" w:space="0" w:color="auto"/>
              <w:right w:val="nil"/>
            </w:tcBorders>
            <w:shd w:val="clear" w:color="auto" w:fill="auto"/>
            <w:vAlign w:val="center"/>
            <w:hideMark/>
          </w:tcPr>
          <w:p w14:paraId="60BD4F34"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39 170,0</w:t>
            </w:r>
          </w:p>
        </w:tc>
      </w:tr>
      <w:tr w:rsidR="00080196" w:rsidRPr="008E1212" w14:paraId="4BFFA8C4" w14:textId="77777777" w:rsidTr="00A52B30">
        <w:trPr>
          <w:trHeight w:val="290"/>
        </w:trPr>
        <w:tc>
          <w:tcPr>
            <w:tcW w:w="4593" w:type="dxa"/>
            <w:tcBorders>
              <w:top w:val="nil"/>
              <w:left w:val="nil"/>
              <w:bottom w:val="nil"/>
              <w:right w:val="nil"/>
            </w:tcBorders>
            <w:shd w:val="clear" w:color="auto" w:fill="auto"/>
            <w:vAlign w:val="center"/>
            <w:hideMark/>
          </w:tcPr>
          <w:p w14:paraId="2F90FD95"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Dépenses d'appui au programme</w:t>
            </w:r>
          </w:p>
        </w:tc>
        <w:tc>
          <w:tcPr>
            <w:tcW w:w="1180" w:type="dxa"/>
            <w:tcBorders>
              <w:top w:val="nil"/>
              <w:left w:val="nil"/>
              <w:bottom w:val="nil"/>
              <w:right w:val="nil"/>
            </w:tcBorders>
            <w:shd w:val="clear" w:color="auto" w:fill="auto"/>
            <w:vAlign w:val="center"/>
            <w:hideMark/>
          </w:tcPr>
          <w:p w14:paraId="685D14DE"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2 491,0</w:t>
            </w:r>
          </w:p>
        </w:tc>
        <w:tc>
          <w:tcPr>
            <w:tcW w:w="1180" w:type="dxa"/>
            <w:tcBorders>
              <w:top w:val="nil"/>
              <w:left w:val="nil"/>
              <w:bottom w:val="nil"/>
              <w:right w:val="nil"/>
            </w:tcBorders>
            <w:shd w:val="clear" w:color="auto" w:fill="auto"/>
            <w:vAlign w:val="center"/>
            <w:hideMark/>
          </w:tcPr>
          <w:p w14:paraId="55F67D63"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2 601,1</w:t>
            </w:r>
          </w:p>
        </w:tc>
        <w:tc>
          <w:tcPr>
            <w:tcW w:w="1180" w:type="dxa"/>
            <w:tcBorders>
              <w:top w:val="nil"/>
              <w:left w:val="nil"/>
              <w:bottom w:val="nil"/>
              <w:right w:val="nil"/>
            </w:tcBorders>
            <w:shd w:val="clear" w:color="auto" w:fill="auto"/>
            <w:vAlign w:val="center"/>
            <w:hideMark/>
          </w:tcPr>
          <w:p w14:paraId="6C3518A7"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5 092,1</w:t>
            </w:r>
          </w:p>
        </w:tc>
      </w:tr>
      <w:tr w:rsidR="00080196" w:rsidRPr="008E1212" w14:paraId="76066B0E" w14:textId="77777777" w:rsidTr="00A52B30">
        <w:trPr>
          <w:trHeight w:val="300"/>
        </w:trPr>
        <w:tc>
          <w:tcPr>
            <w:tcW w:w="4593" w:type="dxa"/>
            <w:tcBorders>
              <w:top w:val="nil"/>
              <w:left w:val="nil"/>
              <w:bottom w:val="nil"/>
              <w:right w:val="nil"/>
            </w:tcBorders>
            <w:shd w:val="clear" w:color="auto" w:fill="auto"/>
            <w:vAlign w:val="center"/>
            <w:hideMark/>
          </w:tcPr>
          <w:p w14:paraId="29FA48D6"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Réserve du fonds de roulement</w:t>
            </w:r>
          </w:p>
        </w:tc>
        <w:tc>
          <w:tcPr>
            <w:tcW w:w="1180" w:type="dxa"/>
            <w:tcBorders>
              <w:top w:val="nil"/>
              <w:left w:val="nil"/>
              <w:bottom w:val="nil"/>
              <w:right w:val="nil"/>
            </w:tcBorders>
            <w:shd w:val="clear" w:color="auto" w:fill="auto"/>
            <w:vAlign w:val="center"/>
            <w:hideMark/>
          </w:tcPr>
          <w:p w14:paraId="01C90739"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29,8</w:t>
            </w:r>
          </w:p>
        </w:tc>
        <w:tc>
          <w:tcPr>
            <w:tcW w:w="1180" w:type="dxa"/>
            <w:tcBorders>
              <w:top w:val="nil"/>
              <w:left w:val="nil"/>
              <w:bottom w:val="nil"/>
              <w:right w:val="nil"/>
            </w:tcBorders>
            <w:shd w:val="clear" w:color="auto" w:fill="auto"/>
            <w:vAlign w:val="center"/>
            <w:hideMark/>
          </w:tcPr>
          <w:p w14:paraId="1826C224"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143,6</w:t>
            </w:r>
          </w:p>
        </w:tc>
        <w:tc>
          <w:tcPr>
            <w:tcW w:w="1180" w:type="dxa"/>
            <w:tcBorders>
              <w:top w:val="nil"/>
              <w:left w:val="nil"/>
              <w:bottom w:val="nil"/>
              <w:right w:val="nil"/>
            </w:tcBorders>
            <w:shd w:val="clear" w:color="auto" w:fill="auto"/>
            <w:noWrap/>
            <w:vAlign w:val="center"/>
            <w:hideMark/>
          </w:tcPr>
          <w:p w14:paraId="21F2ADE8"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173,4</w:t>
            </w:r>
          </w:p>
        </w:tc>
      </w:tr>
      <w:tr w:rsidR="00080196" w:rsidRPr="008E1212" w14:paraId="2027A6DD"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6F45E6C1" w14:textId="77777777" w:rsidR="00080196" w:rsidRPr="008E1212" w:rsidRDefault="00080196" w:rsidP="00A52B30">
            <w:pPr>
              <w:tabs>
                <w:tab w:val="clear" w:pos="567"/>
                <w:tab w:val="clear" w:pos="1134"/>
                <w:tab w:val="clear" w:pos="1701"/>
                <w:tab w:val="clear" w:pos="2268"/>
              </w:tabs>
              <w:ind w:left="317"/>
              <w:jc w:val="left"/>
              <w:rPr>
                <w:rFonts w:eastAsia="Times New Roman"/>
                <w:b/>
                <w:bCs/>
                <w:color w:val="000000"/>
                <w:sz w:val="18"/>
                <w:szCs w:val="18"/>
                <w:lang w:eastAsia="zh-CN"/>
              </w:rPr>
            </w:pPr>
            <w:r>
              <w:rPr>
                <w:rFonts w:eastAsia="Times New Roman"/>
                <w:b/>
                <w:bCs/>
                <w:color w:val="000000"/>
                <w:sz w:val="18"/>
                <w:szCs w:val="18"/>
              </w:rPr>
              <w:t>Total des besoins</w:t>
            </w:r>
          </w:p>
        </w:tc>
        <w:tc>
          <w:tcPr>
            <w:tcW w:w="1180" w:type="dxa"/>
            <w:tcBorders>
              <w:top w:val="single" w:sz="8" w:space="0" w:color="auto"/>
              <w:left w:val="nil"/>
              <w:bottom w:val="single" w:sz="8" w:space="0" w:color="auto"/>
              <w:right w:val="nil"/>
            </w:tcBorders>
            <w:shd w:val="clear" w:color="auto" w:fill="auto"/>
            <w:vAlign w:val="center"/>
            <w:hideMark/>
          </w:tcPr>
          <w:p w14:paraId="67B25EE4"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21 682,1</w:t>
            </w:r>
          </w:p>
        </w:tc>
        <w:tc>
          <w:tcPr>
            <w:tcW w:w="1180" w:type="dxa"/>
            <w:tcBorders>
              <w:top w:val="single" w:sz="8" w:space="0" w:color="auto"/>
              <w:left w:val="nil"/>
              <w:bottom w:val="single" w:sz="8" w:space="0" w:color="auto"/>
              <w:right w:val="nil"/>
            </w:tcBorders>
            <w:shd w:val="clear" w:color="auto" w:fill="auto"/>
            <w:vAlign w:val="center"/>
            <w:hideMark/>
          </w:tcPr>
          <w:p w14:paraId="40EF3682"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22 753,4</w:t>
            </w:r>
          </w:p>
        </w:tc>
        <w:tc>
          <w:tcPr>
            <w:tcW w:w="1180" w:type="dxa"/>
            <w:tcBorders>
              <w:top w:val="single" w:sz="8" w:space="0" w:color="auto"/>
              <w:left w:val="nil"/>
              <w:bottom w:val="single" w:sz="8" w:space="0" w:color="auto"/>
              <w:right w:val="nil"/>
            </w:tcBorders>
            <w:shd w:val="clear" w:color="auto" w:fill="auto"/>
            <w:vAlign w:val="center"/>
            <w:hideMark/>
          </w:tcPr>
          <w:p w14:paraId="340ADF5C"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44 435,4</w:t>
            </w:r>
          </w:p>
        </w:tc>
      </w:tr>
      <w:tr w:rsidR="00080196" w:rsidRPr="008E1212" w14:paraId="07E62C4A"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2C3928FB"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Part du budget intégré consacrée au Protocole de Cartagena (15 %)</w:t>
            </w:r>
          </w:p>
        </w:tc>
        <w:tc>
          <w:tcPr>
            <w:tcW w:w="1180" w:type="dxa"/>
            <w:tcBorders>
              <w:top w:val="nil"/>
              <w:left w:val="nil"/>
              <w:bottom w:val="single" w:sz="8" w:space="0" w:color="auto"/>
              <w:right w:val="nil"/>
            </w:tcBorders>
            <w:shd w:val="clear" w:color="auto" w:fill="auto"/>
            <w:vAlign w:val="center"/>
          </w:tcPr>
          <w:p w14:paraId="27E5DD9B"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3 252,3</w:t>
            </w:r>
          </w:p>
        </w:tc>
        <w:tc>
          <w:tcPr>
            <w:tcW w:w="1180" w:type="dxa"/>
            <w:tcBorders>
              <w:top w:val="nil"/>
              <w:left w:val="nil"/>
              <w:bottom w:val="single" w:sz="8" w:space="0" w:color="auto"/>
              <w:right w:val="nil"/>
            </w:tcBorders>
            <w:shd w:val="clear" w:color="auto" w:fill="auto"/>
            <w:vAlign w:val="center"/>
          </w:tcPr>
          <w:p w14:paraId="38735488"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3 413,0</w:t>
            </w:r>
          </w:p>
        </w:tc>
        <w:tc>
          <w:tcPr>
            <w:tcW w:w="1180" w:type="dxa"/>
            <w:tcBorders>
              <w:top w:val="nil"/>
              <w:left w:val="nil"/>
              <w:bottom w:val="single" w:sz="8" w:space="0" w:color="auto"/>
              <w:right w:val="nil"/>
            </w:tcBorders>
            <w:shd w:val="clear" w:color="auto" w:fill="auto"/>
            <w:vAlign w:val="center"/>
          </w:tcPr>
          <w:p w14:paraId="3B7EBB59"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6 665,3</w:t>
            </w:r>
          </w:p>
        </w:tc>
      </w:tr>
      <w:tr w:rsidR="00080196" w:rsidRPr="008E1212" w14:paraId="061DBD3E" w14:textId="77777777" w:rsidTr="00A52B30">
        <w:trPr>
          <w:trHeight w:val="290"/>
        </w:trPr>
        <w:tc>
          <w:tcPr>
            <w:tcW w:w="4593" w:type="dxa"/>
            <w:tcBorders>
              <w:top w:val="nil"/>
              <w:left w:val="nil"/>
              <w:bottom w:val="nil"/>
              <w:right w:val="nil"/>
            </w:tcBorders>
            <w:shd w:val="clear" w:color="auto" w:fill="auto"/>
            <w:vAlign w:val="center"/>
            <w:hideMark/>
          </w:tcPr>
          <w:p w14:paraId="243DB607"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Contributions du pays hôte</w:t>
            </w:r>
          </w:p>
        </w:tc>
        <w:tc>
          <w:tcPr>
            <w:tcW w:w="1180" w:type="dxa"/>
            <w:tcBorders>
              <w:top w:val="nil"/>
              <w:left w:val="nil"/>
              <w:bottom w:val="nil"/>
              <w:right w:val="nil"/>
            </w:tcBorders>
            <w:shd w:val="clear" w:color="auto" w:fill="auto"/>
            <w:vAlign w:val="center"/>
          </w:tcPr>
          <w:p w14:paraId="6E7CE549"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(247,9)</w:t>
            </w:r>
          </w:p>
        </w:tc>
        <w:tc>
          <w:tcPr>
            <w:tcW w:w="1180" w:type="dxa"/>
            <w:tcBorders>
              <w:top w:val="nil"/>
              <w:left w:val="nil"/>
              <w:bottom w:val="nil"/>
              <w:right w:val="nil"/>
            </w:tcBorders>
            <w:shd w:val="clear" w:color="auto" w:fill="auto"/>
            <w:vAlign w:val="center"/>
          </w:tcPr>
          <w:p w14:paraId="48750AF2"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(250,3)</w:t>
            </w:r>
          </w:p>
        </w:tc>
        <w:tc>
          <w:tcPr>
            <w:tcW w:w="1180" w:type="dxa"/>
            <w:tcBorders>
              <w:top w:val="nil"/>
              <w:left w:val="nil"/>
              <w:bottom w:val="nil"/>
              <w:right w:val="nil"/>
            </w:tcBorders>
            <w:shd w:val="clear" w:color="auto" w:fill="auto"/>
            <w:vAlign w:val="center"/>
          </w:tcPr>
          <w:p w14:paraId="4D31AF45"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(498,2)</w:t>
            </w:r>
          </w:p>
        </w:tc>
      </w:tr>
      <w:tr w:rsidR="00080196" w:rsidRPr="008E1212" w14:paraId="46EE4FFC" w14:textId="77777777" w:rsidTr="00A52B30">
        <w:trPr>
          <w:trHeight w:val="300"/>
        </w:trPr>
        <w:tc>
          <w:tcPr>
            <w:tcW w:w="4593" w:type="dxa"/>
            <w:tcBorders>
              <w:top w:val="nil"/>
              <w:left w:val="nil"/>
              <w:bottom w:val="single" w:sz="8" w:space="0" w:color="auto"/>
              <w:right w:val="nil"/>
            </w:tcBorders>
            <w:shd w:val="clear" w:color="auto" w:fill="auto"/>
            <w:vAlign w:val="center"/>
            <w:hideMark/>
          </w:tcPr>
          <w:p w14:paraId="3DF19877" w14:textId="77777777" w:rsidR="00080196" w:rsidRPr="008E1212" w:rsidRDefault="00080196" w:rsidP="007243AD">
            <w:pPr>
              <w:tabs>
                <w:tab w:val="clear" w:pos="567"/>
                <w:tab w:val="clear" w:pos="1134"/>
                <w:tab w:val="clear" w:pos="1701"/>
                <w:tab w:val="clear" w:pos="2268"/>
              </w:tabs>
              <w:jc w:val="left"/>
              <w:rPr>
                <w:rFonts w:eastAsia="Times New Roman"/>
                <w:color w:val="000000"/>
                <w:sz w:val="18"/>
                <w:szCs w:val="18"/>
                <w:lang w:eastAsia="zh-CN"/>
              </w:rPr>
            </w:pPr>
            <w:r>
              <w:rPr>
                <w:rFonts w:eastAsia="Times New Roman"/>
                <w:color w:val="000000"/>
                <w:sz w:val="18"/>
                <w:szCs w:val="18"/>
              </w:rPr>
              <w:t>Réserve</w:t>
            </w:r>
          </w:p>
        </w:tc>
        <w:tc>
          <w:tcPr>
            <w:tcW w:w="1180" w:type="dxa"/>
            <w:tcBorders>
              <w:top w:val="nil"/>
              <w:left w:val="nil"/>
              <w:bottom w:val="single" w:sz="8" w:space="0" w:color="auto"/>
              <w:right w:val="nil"/>
            </w:tcBorders>
            <w:shd w:val="clear" w:color="auto" w:fill="auto"/>
            <w:vAlign w:val="center"/>
          </w:tcPr>
          <w:p w14:paraId="7872D5C2"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(71,3)</w:t>
            </w:r>
          </w:p>
        </w:tc>
        <w:tc>
          <w:tcPr>
            <w:tcW w:w="1180" w:type="dxa"/>
            <w:tcBorders>
              <w:top w:val="nil"/>
              <w:left w:val="nil"/>
              <w:bottom w:val="single" w:sz="8" w:space="0" w:color="auto"/>
              <w:right w:val="nil"/>
            </w:tcBorders>
            <w:shd w:val="clear" w:color="auto" w:fill="auto"/>
            <w:vAlign w:val="center"/>
          </w:tcPr>
          <w:p w14:paraId="687F6D15"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(29,0)</w:t>
            </w:r>
          </w:p>
        </w:tc>
        <w:tc>
          <w:tcPr>
            <w:tcW w:w="1180" w:type="dxa"/>
            <w:tcBorders>
              <w:top w:val="nil"/>
              <w:left w:val="nil"/>
              <w:bottom w:val="nil"/>
              <w:right w:val="nil"/>
            </w:tcBorders>
            <w:shd w:val="clear" w:color="auto" w:fill="auto"/>
            <w:vAlign w:val="center"/>
          </w:tcPr>
          <w:p w14:paraId="7B88B756" w14:textId="77777777" w:rsidR="00080196" w:rsidRPr="008E1212" w:rsidRDefault="00080196" w:rsidP="00A52B30">
            <w:pPr>
              <w:tabs>
                <w:tab w:val="clear" w:pos="567"/>
                <w:tab w:val="clear" w:pos="1134"/>
                <w:tab w:val="clear" w:pos="1701"/>
                <w:tab w:val="clear" w:pos="2268"/>
              </w:tabs>
              <w:jc w:val="right"/>
              <w:rPr>
                <w:rFonts w:eastAsia="Times New Roman"/>
                <w:color w:val="000000"/>
                <w:sz w:val="18"/>
                <w:szCs w:val="18"/>
                <w:lang w:eastAsia="zh-CN"/>
              </w:rPr>
            </w:pPr>
            <w:r>
              <w:rPr>
                <w:rFonts w:eastAsia="Times New Roman"/>
                <w:color w:val="000000"/>
                <w:sz w:val="18"/>
                <w:szCs w:val="18"/>
              </w:rPr>
              <w:t>(100,3)</w:t>
            </w:r>
          </w:p>
        </w:tc>
      </w:tr>
      <w:tr w:rsidR="00080196" w:rsidRPr="008E1212" w14:paraId="310A5A58"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3F7F4632" w14:textId="77777777" w:rsidR="00080196" w:rsidRPr="008E1212" w:rsidRDefault="00080196" w:rsidP="00A52B30">
            <w:pPr>
              <w:tabs>
                <w:tab w:val="clear" w:pos="567"/>
                <w:tab w:val="clear" w:pos="1134"/>
                <w:tab w:val="clear" w:pos="1701"/>
                <w:tab w:val="clear" w:pos="2268"/>
              </w:tabs>
              <w:ind w:left="317"/>
              <w:jc w:val="left"/>
              <w:rPr>
                <w:rFonts w:eastAsia="Times New Roman"/>
                <w:b/>
                <w:bCs/>
                <w:color w:val="000000"/>
                <w:sz w:val="18"/>
                <w:szCs w:val="18"/>
                <w:lang w:eastAsia="zh-CN"/>
              </w:rPr>
            </w:pPr>
            <w:r>
              <w:rPr>
                <w:rFonts w:eastAsia="Times New Roman"/>
                <w:b/>
                <w:bCs/>
                <w:color w:val="000000"/>
                <w:sz w:val="18"/>
                <w:szCs w:val="18"/>
              </w:rPr>
              <w:t>Total net (à partager entre les Parties)</w:t>
            </w:r>
          </w:p>
        </w:tc>
        <w:tc>
          <w:tcPr>
            <w:tcW w:w="1180" w:type="dxa"/>
            <w:tcBorders>
              <w:top w:val="nil"/>
              <w:left w:val="nil"/>
              <w:bottom w:val="single" w:sz="8" w:space="0" w:color="auto"/>
              <w:right w:val="nil"/>
            </w:tcBorders>
            <w:shd w:val="clear" w:color="auto" w:fill="auto"/>
            <w:vAlign w:val="center"/>
          </w:tcPr>
          <w:p w14:paraId="10B4C93A"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2 933,1</w:t>
            </w:r>
          </w:p>
        </w:tc>
        <w:tc>
          <w:tcPr>
            <w:tcW w:w="1180" w:type="dxa"/>
            <w:tcBorders>
              <w:top w:val="nil"/>
              <w:left w:val="nil"/>
              <w:bottom w:val="single" w:sz="8" w:space="0" w:color="auto"/>
              <w:right w:val="nil"/>
            </w:tcBorders>
            <w:shd w:val="clear" w:color="auto" w:fill="auto"/>
            <w:vAlign w:val="center"/>
          </w:tcPr>
          <w:p w14:paraId="0298807A"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3 133,7</w:t>
            </w:r>
          </w:p>
        </w:tc>
        <w:tc>
          <w:tcPr>
            <w:tcW w:w="1180" w:type="dxa"/>
            <w:tcBorders>
              <w:top w:val="single" w:sz="8" w:space="0" w:color="auto"/>
              <w:left w:val="nil"/>
              <w:bottom w:val="single" w:sz="8" w:space="0" w:color="auto"/>
              <w:right w:val="nil"/>
            </w:tcBorders>
            <w:shd w:val="clear" w:color="auto" w:fill="auto"/>
            <w:vAlign w:val="center"/>
          </w:tcPr>
          <w:p w14:paraId="2F8589F5" w14:textId="77777777" w:rsidR="00080196" w:rsidRPr="008E1212" w:rsidRDefault="00080196" w:rsidP="00A52B30">
            <w:pPr>
              <w:tabs>
                <w:tab w:val="clear" w:pos="567"/>
                <w:tab w:val="clear" w:pos="1134"/>
                <w:tab w:val="clear" w:pos="1701"/>
                <w:tab w:val="clear" w:pos="2268"/>
              </w:tabs>
              <w:jc w:val="right"/>
              <w:rPr>
                <w:rFonts w:eastAsia="Times New Roman"/>
                <w:b/>
                <w:bCs/>
                <w:color w:val="000000"/>
                <w:sz w:val="18"/>
                <w:szCs w:val="18"/>
                <w:lang w:eastAsia="zh-CN"/>
              </w:rPr>
            </w:pPr>
            <w:r>
              <w:rPr>
                <w:rFonts w:eastAsia="Times New Roman"/>
                <w:b/>
                <w:bCs/>
                <w:color w:val="000000"/>
                <w:sz w:val="18"/>
                <w:szCs w:val="18"/>
              </w:rPr>
              <w:t>6 066,8</w:t>
            </w:r>
          </w:p>
        </w:tc>
      </w:tr>
    </w:tbl>
    <w:p w14:paraId="7538A062" w14:textId="77777777" w:rsidR="00080196" w:rsidRPr="008E1212" w:rsidRDefault="00080196">
      <w:pPr>
        <w:tabs>
          <w:tab w:val="clear" w:pos="567"/>
          <w:tab w:val="clear" w:pos="1134"/>
          <w:tab w:val="clear" w:pos="1701"/>
          <w:tab w:val="clear" w:pos="2268"/>
        </w:tabs>
        <w:spacing w:after="160" w:line="259" w:lineRule="auto"/>
        <w:jc w:val="left"/>
      </w:pPr>
    </w:p>
    <w:p w14:paraId="186DB535" w14:textId="77777777" w:rsidR="00080196" w:rsidRPr="008E1212" w:rsidRDefault="00080196">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rPr>
      </w:pPr>
      <w:r w:rsidRPr="008E1212">
        <w:br w:type="page"/>
      </w:r>
    </w:p>
    <w:p w14:paraId="43CD716B" w14:textId="77777777" w:rsidR="00080196" w:rsidRPr="008E1212" w:rsidRDefault="00080196" w:rsidP="00A30394">
      <w:pPr>
        <w:pStyle w:val="CBDDesicionAnnex"/>
        <w:rPr>
          <w:rFonts w:hint="eastAsia"/>
        </w:rPr>
      </w:pPr>
      <w:r>
        <w:lastRenderedPageBreak/>
        <w:t xml:space="preserve">Annexe </w:t>
      </w:r>
    </w:p>
    <w:p w14:paraId="3B84F46E" w14:textId="77777777" w:rsidR="00080196" w:rsidRPr="008E1212" w:rsidRDefault="00080196" w:rsidP="00A52B30">
      <w:pPr>
        <w:pStyle w:val="CBDDesicionAnnex"/>
        <w:rPr>
          <w:rFonts w:hint="eastAsia"/>
        </w:rPr>
      </w:pPr>
      <w:r>
        <w:t>Contributions</w:t>
      </w:r>
      <w:bookmarkStart w:id="36" w:name="_Hlk183618109"/>
      <w:r>
        <w:t xml:space="preserve"> au Fonds général d’affectation spéciale destiné au budget-programme de base pour le Protocole de Cartagena, 2025-2026</w:t>
      </w:r>
      <w:bookmarkEnd w:id="36"/>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080196" w:rsidRPr="008E1212" w14:paraId="5A3B9AC0" w14:textId="77777777">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76A202A3" w14:textId="77777777" w:rsidR="00080196" w:rsidRPr="008E1212" w:rsidDel="002E11FA" w:rsidRDefault="00080196" w:rsidP="007243AD">
            <w:pPr>
              <w:jc w:val="left"/>
              <w:rPr>
                <w:rFonts w:eastAsia="Times New Roman"/>
                <w:i/>
                <w:iCs/>
                <w:color w:val="000000" w:themeColor="text1"/>
                <w:sz w:val="18"/>
                <w:szCs w:val="18"/>
                <w:lang w:eastAsia="en-CA"/>
              </w:rPr>
            </w:pPr>
            <w:r>
              <w:rPr>
                <w:rFonts w:eastAsia="Times New Roman"/>
                <w:i/>
                <w:iCs/>
                <w:color w:val="000000" w:themeColor="text1"/>
                <w:sz w:val="18"/>
                <w:szCs w:val="18"/>
              </w:rPr>
              <w:t>Partie</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404C2FE2" w14:textId="77777777" w:rsidR="00080196" w:rsidRPr="008E1212" w:rsidRDefault="00080196" w:rsidP="000A5253">
            <w:pPr>
              <w:pStyle w:val="CBDTableNormal"/>
              <w:spacing w:before="0" w:after="0"/>
              <w:jc w:val="center"/>
              <w:rPr>
                <w:i/>
                <w:iCs/>
                <w:color w:val="000000" w:themeColor="text1"/>
                <w:sz w:val="18"/>
                <w:szCs w:val="18"/>
                <w:lang w:eastAsia="en-CA"/>
              </w:rPr>
            </w:pPr>
            <w:r>
              <w:rPr>
                <w:i/>
                <w:iCs/>
                <w:color w:val="000000" w:themeColor="text1"/>
                <w:sz w:val="18"/>
                <w:szCs w:val="18"/>
              </w:rPr>
              <w:t>Barème des quotes-parts</w:t>
            </w:r>
          </w:p>
          <w:p w14:paraId="45D5D6EE" w14:textId="77777777" w:rsidR="00080196" w:rsidRPr="008E1212" w:rsidRDefault="00080196" w:rsidP="00A52B30">
            <w:pPr>
              <w:jc w:val="center"/>
              <w:rPr>
                <w:rFonts w:eastAsia="Times New Roman"/>
                <w:i/>
                <w:iCs/>
                <w:color w:val="000000" w:themeColor="text1"/>
                <w:sz w:val="18"/>
                <w:szCs w:val="18"/>
                <w:lang w:eastAsia="en-CA"/>
              </w:rPr>
            </w:pPr>
            <w:r>
              <w:rPr>
                <w:i/>
                <w:iCs/>
                <w:color w:val="000000" w:themeColor="text1"/>
                <w:sz w:val="18"/>
                <w:szCs w:val="18"/>
              </w:rPr>
              <w:t>(%)</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37A33C88" w14:textId="77777777" w:rsidR="00080196" w:rsidRPr="008E1212" w:rsidRDefault="00080196" w:rsidP="000A5253">
            <w:pPr>
              <w:pStyle w:val="CBDTableNormal"/>
              <w:spacing w:before="0" w:after="0"/>
              <w:jc w:val="center"/>
              <w:rPr>
                <w:i/>
                <w:iCs/>
                <w:color w:val="000000" w:themeColor="text1"/>
                <w:sz w:val="18"/>
                <w:szCs w:val="18"/>
                <w:lang w:eastAsia="en-CA"/>
              </w:rPr>
            </w:pPr>
            <w:r>
              <w:rPr>
                <w:i/>
                <w:iCs/>
                <w:color w:val="000000" w:themeColor="text1"/>
                <w:sz w:val="18"/>
                <w:szCs w:val="18"/>
              </w:rPr>
              <w:t>Contributions</w:t>
            </w:r>
          </w:p>
          <w:p w14:paraId="0C55FF9B" w14:textId="77777777" w:rsidR="00080196" w:rsidRPr="008E1212" w:rsidRDefault="00080196" w:rsidP="00A52B30">
            <w:pPr>
              <w:jc w:val="center"/>
              <w:rPr>
                <w:rFonts w:eastAsia="Times New Roman"/>
                <w:i/>
                <w:iCs/>
                <w:color w:val="000000" w:themeColor="text1"/>
                <w:sz w:val="18"/>
                <w:szCs w:val="18"/>
                <w:lang w:eastAsia="en-CA"/>
              </w:rPr>
            </w:pPr>
            <w:r>
              <w:rPr>
                <w:i/>
                <w:iCs/>
                <w:color w:val="000000" w:themeColor="text1"/>
                <w:sz w:val="18"/>
                <w:szCs w:val="18"/>
              </w:rPr>
              <w:t>(dollars É.-U.)</w:t>
            </w:r>
          </w:p>
        </w:tc>
      </w:tr>
      <w:tr w:rsidR="00080196" w:rsidRPr="008E1212" w14:paraId="3725EBAB" w14:textId="77777777">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3BAC8F7E" w14:textId="77777777" w:rsidR="00080196" w:rsidRPr="008E1212" w:rsidRDefault="00080196" w:rsidP="007243AD">
            <w:pPr>
              <w:jc w:val="left"/>
              <w:rPr>
                <w:rFonts w:eastAsia="Times New Roman"/>
                <w:i/>
                <w:iCs/>
                <w:color w:val="000000" w:themeColor="text1"/>
                <w:sz w:val="18"/>
                <w:szCs w:val="18"/>
                <w:lang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6609A325" w14:textId="77777777" w:rsidR="00080196" w:rsidRPr="008E1212" w:rsidRDefault="00080196" w:rsidP="007243AD">
            <w:pPr>
              <w:jc w:val="right"/>
              <w:rPr>
                <w:rFonts w:eastAsia="Times New Roman"/>
                <w:i/>
                <w:iCs/>
                <w:color w:val="000000" w:themeColor="text1"/>
                <w:sz w:val="18"/>
                <w:szCs w:val="18"/>
                <w:lang w:eastAsia="en-CA"/>
              </w:rPr>
            </w:pPr>
            <w:r>
              <w:rPr>
                <w:rFonts w:eastAsia="Times New Roman"/>
                <w:i/>
                <w:iCs/>
                <w:color w:val="000000" w:themeColor="text1"/>
                <w:sz w:val="18"/>
                <w:szCs w:val="18"/>
              </w:rPr>
              <w:t>2022</w:t>
            </w:r>
            <w:r>
              <w:rPr>
                <w:i/>
                <w:iCs/>
                <w:color w:val="000000" w:themeColor="text1"/>
                <w:sz w:val="18"/>
                <w:szCs w:val="18"/>
              </w:rPr>
              <w:t>–</w:t>
            </w:r>
            <w:r>
              <w:rPr>
                <w:rFonts w:eastAsia="Times New Roman"/>
                <w:i/>
                <w:iCs/>
                <w:color w:val="000000" w:themeColor="text1"/>
                <w:sz w:val="18"/>
                <w:szCs w:val="18"/>
              </w:rPr>
              <w:t>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1AC4C27F" w14:textId="77777777" w:rsidR="00080196" w:rsidRPr="008E1212" w:rsidRDefault="00080196" w:rsidP="007243AD">
            <w:pPr>
              <w:jc w:val="right"/>
              <w:rPr>
                <w:rFonts w:eastAsia="Times New Roman"/>
                <w:i/>
                <w:iCs/>
                <w:color w:val="000000" w:themeColor="text1"/>
                <w:sz w:val="18"/>
                <w:szCs w:val="18"/>
                <w:lang w:eastAsia="en-CA"/>
              </w:rPr>
            </w:pPr>
            <w:r>
              <w:rPr>
                <w:rFonts w:eastAsia="Times New Roman"/>
                <w:i/>
                <w:iCs/>
                <w:color w:val="000000" w:themeColor="text1"/>
                <w:sz w:val="18"/>
                <w:szCs w:val="18"/>
              </w:rPr>
              <w:t>Barème assorti d’un plafond de 22 % ; aucun des pays les moins avancés ne paie plus de 0,01 %</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096645E0" w14:textId="77777777" w:rsidR="00080196" w:rsidRPr="008E1212" w:rsidRDefault="00080196" w:rsidP="007243AD">
            <w:pPr>
              <w:jc w:val="right"/>
              <w:rPr>
                <w:rFonts w:eastAsia="Times New Roman"/>
                <w:i/>
                <w:iCs/>
                <w:color w:val="000000" w:themeColor="text1"/>
                <w:sz w:val="18"/>
                <w:szCs w:val="18"/>
                <w:lang w:eastAsia="en-CA"/>
              </w:rPr>
            </w:pPr>
            <w:r>
              <w:rPr>
                <w:rFonts w:eastAsia="Times New Roman"/>
                <w:i/>
                <w:iCs/>
                <w:color w:val="000000" w:themeColor="text1"/>
                <w:sz w:val="18"/>
                <w:szCs w:val="18"/>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33935DA5" w14:textId="77777777" w:rsidR="00080196" w:rsidRPr="008E1212" w:rsidRDefault="00080196" w:rsidP="007243AD">
            <w:pPr>
              <w:jc w:val="right"/>
              <w:rPr>
                <w:rFonts w:eastAsia="Times New Roman"/>
                <w:i/>
                <w:iCs/>
                <w:color w:val="000000" w:themeColor="text1"/>
                <w:sz w:val="18"/>
                <w:szCs w:val="18"/>
                <w:lang w:eastAsia="en-CA"/>
              </w:rPr>
            </w:pPr>
            <w:r>
              <w:rPr>
                <w:rFonts w:eastAsia="Times New Roman"/>
                <w:i/>
                <w:iCs/>
                <w:color w:val="000000" w:themeColor="text1"/>
                <w:sz w:val="18"/>
                <w:szCs w:val="18"/>
              </w:rPr>
              <w:t>2026</w:t>
            </w:r>
          </w:p>
        </w:tc>
        <w:tc>
          <w:tcPr>
            <w:tcW w:w="1260" w:type="dxa"/>
            <w:tcBorders>
              <w:left w:val="nil"/>
              <w:bottom w:val="single" w:sz="4" w:space="0" w:color="auto"/>
              <w:right w:val="single" w:sz="4" w:space="0" w:color="auto"/>
            </w:tcBorders>
            <w:shd w:val="clear" w:color="auto" w:fill="auto"/>
            <w:vAlign w:val="bottom"/>
            <w:hideMark/>
          </w:tcPr>
          <w:p w14:paraId="377C506B" w14:textId="77777777" w:rsidR="00080196" w:rsidRPr="008E1212" w:rsidRDefault="00080196" w:rsidP="007243AD">
            <w:pPr>
              <w:jc w:val="right"/>
              <w:rPr>
                <w:rFonts w:eastAsia="Times New Roman"/>
                <w:i/>
                <w:iCs/>
                <w:color w:val="000000" w:themeColor="text1"/>
                <w:sz w:val="18"/>
                <w:szCs w:val="18"/>
                <w:lang w:eastAsia="en-CA"/>
              </w:rPr>
            </w:pPr>
            <w:r>
              <w:rPr>
                <w:rFonts w:eastAsia="Times New Roman"/>
                <w:i/>
                <w:iCs/>
                <w:color w:val="000000" w:themeColor="text1"/>
                <w:sz w:val="18"/>
                <w:szCs w:val="18"/>
              </w:rPr>
              <w:t>2025–2026</w:t>
            </w:r>
          </w:p>
        </w:tc>
      </w:tr>
      <w:tr w:rsidR="00920F38" w:rsidRPr="008E1212" w14:paraId="184B64E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F163A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Afghanistan</w:t>
            </w:r>
          </w:p>
        </w:tc>
        <w:tc>
          <w:tcPr>
            <w:tcW w:w="1138" w:type="dxa"/>
            <w:tcBorders>
              <w:top w:val="nil"/>
              <w:left w:val="nil"/>
              <w:bottom w:val="single" w:sz="4" w:space="0" w:color="auto"/>
              <w:right w:val="single" w:sz="4" w:space="0" w:color="auto"/>
            </w:tcBorders>
            <w:shd w:val="clear" w:color="auto" w:fill="auto"/>
            <w:vAlign w:val="bottom"/>
            <w:hideMark/>
          </w:tcPr>
          <w:p w14:paraId="4187DAC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13E0BC1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2F9D8AB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49E0453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3BCBE63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514</w:t>
            </w:r>
          </w:p>
        </w:tc>
      </w:tr>
      <w:tr w:rsidR="00920F38" w:rsidRPr="008E1212" w14:paraId="50499E3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6BEAF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Afrique du Sud</w:t>
            </w:r>
          </w:p>
        </w:tc>
        <w:tc>
          <w:tcPr>
            <w:tcW w:w="1138" w:type="dxa"/>
            <w:tcBorders>
              <w:top w:val="nil"/>
              <w:left w:val="nil"/>
              <w:bottom w:val="single" w:sz="4" w:space="0" w:color="auto"/>
              <w:right w:val="single" w:sz="4" w:space="0" w:color="auto"/>
            </w:tcBorders>
            <w:shd w:val="clear" w:color="auto" w:fill="auto"/>
            <w:vAlign w:val="bottom"/>
            <w:hideMark/>
          </w:tcPr>
          <w:p w14:paraId="0A2193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4522391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4CF59F9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05F85B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23D8D3F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20 898</w:t>
            </w:r>
          </w:p>
        </w:tc>
      </w:tr>
      <w:tr w:rsidR="00920F38" w:rsidRPr="008E1212" w14:paraId="26F83D5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47E09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Albanie</w:t>
            </w:r>
          </w:p>
        </w:tc>
        <w:tc>
          <w:tcPr>
            <w:tcW w:w="1138" w:type="dxa"/>
            <w:tcBorders>
              <w:top w:val="nil"/>
              <w:left w:val="nil"/>
              <w:bottom w:val="single" w:sz="4" w:space="0" w:color="auto"/>
              <w:right w:val="single" w:sz="4" w:space="0" w:color="auto"/>
            </w:tcBorders>
            <w:shd w:val="clear" w:color="auto" w:fill="auto"/>
            <w:vAlign w:val="bottom"/>
            <w:hideMark/>
          </w:tcPr>
          <w:p w14:paraId="677F488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190D8CA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37D9ABF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34A6557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C2A1F1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685</w:t>
            </w:r>
          </w:p>
        </w:tc>
      </w:tr>
      <w:tr w:rsidR="00920F38" w:rsidRPr="008E1212" w14:paraId="71D1EBF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55965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Algérie</w:t>
            </w:r>
          </w:p>
        </w:tc>
        <w:tc>
          <w:tcPr>
            <w:tcW w:w="1138" w:type="dxa"/>
            <w:tcBorders>
              <w:top w:val="nil"/>
              <w:left w:val="nil"/>
              <w:bottom w:val="single" w:sz="4" w:space="0" w:color="auto"/>
              <w:right w:val="single" w:sz="4" w:space="0" w:color="auto"/>
            </w:tcBorders>
            <w:shd w:val="clear" w:color="auto" w:fill="auto"/>
            <w:vAlign w:val="bottom"/>
            <w:hideMark/>
          </w:tcPr>
          <w:p w14:paraId="1A760E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3E2698B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69BCCA4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0AA8783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7C194DF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9 336</w:t>
            </w:r>
          </w:p>
        </w:tc>
      </w:tr>
      <w:tr w:rsidR="00920F38" w:rsidRPr="008E1212" w14:paraId="2C79738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55D20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Allemagne</w:t>
            </w:r>
          </w:p>
        </w:tc>
        <w:tc>
          <w:tcPr>
            <w:tcW w:w="1138" w:type="dxa"/>
            <w:tcBorders>
              <w:top w:val="nil"/>
              <w:left w:val="nil"/>
              <w:bottom w:val="single" w:sz="4" w:space="0" w:color="auto"/>
              <w:right w:val="single" w:sz="4" w:space="0" w:color="auto"/>
            </w:tcBorders>
            <w:shd w:val="clear" w:color="auto" w:fill="auto"/>
            <w:vAlign w:val="bottom"/>
            <w:hideMark/>
          </w:tcPr>
          <w:p w14:paraId="0066F6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091294D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28E5640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033A8FC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78A9FDC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523 389</w:t>
            </w:r>
          </w:p>
        </w:tc>
      </w:tr>
      <w:tr w:rsidR="00920F38" w:rsidRPr="008E1212" w14:paraId="1E6542D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51EC1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Angola</w:t>
            </w:r>
          </w:p>
        </w:tc>
        <w:tc>
          <w:tcPr>
            <w:tcW w:w="1138" w:type="dxa"/>
            <w:tcBorders>
              <w:top w:val="nil"/>
              <w:left w:val="nil"/>
              <w:bottom w:val="single" w:sz="4" w:space="0" w:color="auto"/>
              <w:right w:val="single" w:sz="4" w:space="0" w:color="auto"/>
            </w:tcBorders>
            <w:shd w:val="clear" w:color="auto" w:fill="auto"/>
            <w:vAlign w:val="bottom"/>
            <w:hideMark/>
          </w:tcPr>
          <w:p w14:paraId="43DA22D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27763B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938C2C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19677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482F1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0A302C4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DC19C1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Antigua-et-Barbuda</w:t>
            </w:r>
          </w:p>
        </w:tc>
        <w:tc>
          <w:tcPr>
            <w:tcW w:w="1138" w:type="dxa"/>
            <w:tcBorders>
              <w:top w:val="nil"/>
              <w:left w:val="nil"/>
              <w:bottom w:val="single" w:sz="4" w:space="0" w:color="auto"/>
              <w:right w:val="single" w:sz="4" w:space="0" w:color="auto"/>
            </w:tcBorders>
            <w:shd w:val="clear" w:color="auto" w:fill="auto"/>
            <w:vAlign w:val="bottom"/>
            <w:hideMark/>
          </w:tcPr>
          <w:p w14:paraId="778D75A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8E8092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48B2C89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0DC6635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0EDE88B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7D61C66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1F581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Arabie saoudite</w:t>
            </w:r>
          </w:p>
        </w:tc>
        <w:tc>
          <w:tcPr>
            <w:tcW w:w="1138" w:type="dxa"/>
            <w:tcBorders>
              <w:top w:val="nil"/>
              <w:left w:val="nil"/>
              <w:bottom w:val="single" w:sz="4" w:space="0" w:color="auto"/>
              <w:right w:val="single" w:sz="4" w:space="0" w:color="auto"/>
            </w:tcBorders>
            <w:shd w:val="clear" w:color="auto" w:fill="auto"/>
            <w:vAlign w:val="bottom"/>
            <w:hideMark/>
          </w:tcPr>
          <w:p w14:paraId="4E82477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76FC583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49D090A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614AB89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0A97D20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101 406</w:t>
            </w:r>
          </w:p>
        </w:tc>
      </w:tr>
      <w:tr w:rsidR="00920F38" w:rsidRPr="008E1212" w14:paraId="794CBDC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04AE5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Arménie</w:t>
            </w:r>
          </w:p>
        </w:tc>
        <w:tc>
          <w:tcPr>
            <w:tcW w:w="1138" w:type="dxa"/>
            <w:tcBorders>
              <w:top w:val="nil"/>
              <w:left w:val="nil"/>
              <w:bottom w:val="single" w:sz="4" w:space="0" w:color="auto"/>
              <w:right w:val="single" w:sz="4" w:space="0" w:color="auto"/>
            </w:tcBorders>
            <w:shd w:val="clear" w:color="auto" w:fill="auto"/>
            <w:vAlign w:val="bottom"/>
            <w:hideMark/>
          </w:tcPr>
          <w:p w14:paraId="6DA1FCE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A70F37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A387D9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436B23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160CAB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600</w:t>
            </w:r>
          </w:p>
        </w:tc>
      </w:tr>
      <w:tr w:rsidR="00920F38" w:rsidRPr="008E1212" w14:paraId="5F1C486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019F84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Autriche</w:t>
            </w:r>
          </w:p>
        </w:tc>
        <w:tc>
          <w:tcPr>
            <w:tcW w:w="1138" w:type="dxa"/>
            <w:tcBorders>
              <w:top w:val="nil"/>
              <w:left w:val="nil"/>
              <w:bottom w:val="single" w:sz="4" w:space="0" w:color="auto"/>
              <w:right w:val="single" w:sz="4" w:space="0" w:color="auto"/>
            </w:tcBorders>
            <w:shd w:val="clear" w:color="auto" w:fill="auto"/>
            <w:vAlign w:val="bottom"/>
            <w:hideMark/>
          </w:tcPr>
          <w:p w14:paraId="4F559D0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2275A6A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168631D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353336F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08D143A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58 154</w:t>
            </w:r>
          </w:p>
        </w:tc>
      </w:tr>
      <w:tr w:rsidR="00920F38" w:rsidRPr="008E1212" w14:paraId="215EB3A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12C49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Azerbaïdjan</w:t>
            </w:r>
          </w:p>
        </w:tc>
        <w:tc>
          <w:tcPr>
            <w:tcW w:w="1138" w:type="dxa"/>
            <w:tcBorders>
              <w:top w:val="nil"/>
              <w:left w:val="nil"/>
              <w:bottom w:val="single" w:sz="4" w:space="0" w:color="auto"/>
              <w:right w:val="single" w:sz="4" w:space="0" w:color="auto"/>
            </w:tcBorders>
            <w:shd w:val="clear" w:color="auto" w:fill="auto"/>
            <w:vAlign w:val="bottom"/>
            <w:hideMark/>
          </w:tcPr>
          <w:p w14:paraId="7A0C32D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41072A1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4AE7637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29DEB5C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5FF050F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2 569</w:t>
            </w:r>
          </w:p>
        </w:tc>
      </w:tr>
      <w:tr w:rsidR="00920F38" w:rsidRPr="008E1212" w14:paraId="66B492D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1ECFA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Bahamas</w:t>
            </w:r>
          </w:p>
        </w:tc>
        <w:tc>
          <w:tcPr>
            <w:tcW w:w="1138" w:type="dxa"/>
            <w:tcBorders>
              <w:top w:val="nil"/>
              <w:left w:val="nil"/>
              <w:bottom w:val="single" w:sz="4" w:space="0" w:color="auto"/>
              <w:right w:val="single" w:sz="4" w:space="0" w:color="auto"/>
            </w:tcBorders>
            <w:shd w:val="clear" w:color="auto" w:fill="auto"/>
            <w:vAlign w:val="bottom"/>
            <w:hideMark/>
          </w:tcPr>
          <w:p w14:paraId="3E1221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5889C2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7FFB0A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729167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E50A41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1 627</w:t>
            </w:r>
          </w:p>
        </w:tc>
      </w:tr>
      <w:tr w:rsidR="00920F38" w:rsidRPr="008E1212" w14:paraId="65DB582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717B8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Bahreïn</w:t>
            </w:r>
          </w:p>
        </w:tc>
        <w:tc>
          <w:tcPr>
            <w:tcW w:w="1138" w:type="dxa"/>
            <w:tcBorders>
              <w:top w:val="nil"/>
              <w:left w:val="nil"/>
              <w:bottom w:val="single" w:sz="4" w:space="0" w:color="auto"/>
              <w:right w:val="single" w:sz="4" w:space="0" w:color="auto"/>
            </w:tcBorders>
            <w:shd w:val="clear" w:color="auto" w:fill="auto"/>
            <w:vAlign w:val="bottom"/>
            <w:hideMark/>
          </w:tcPr>
          <w:p w14:paraId="749C997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36B88FF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6178153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56D24C3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5CC3FD5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4 625</w:t>
            </w:r>
          </w:p>
        </w:tc>
      </w:tr>
      <w:tr w:rsidR="00920F38" w:rsidRPr="008E1212" w14:paraId="0D79368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D2F1E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Bangladesh</w:t>
            </w:r>
          </w:p>
        </w:tc>
        <w:tc>
          <w:tcPr>
            <w:tcW w:w="1138" w:type="dxa"/>
            <w:tcBorders>
              <w:top w:val="nil"/>
              <w:left w:val="nil"/>
              <w:bottom w:val="single" w:sz="4" w:space="0" w:color="auto"/>
              <w:right w:val="single" w:sz="4" w:space="0" w:color="auto"/>
            </w:tcBorders>
            <w:shd w:val="clear" w:color="auto" w:fill="auto"/>
            <w:vAlign w:val="bottom"/>
            <w:hideMark/>
          </w:tcPr>
          <w:p w14:paraId="7996AA7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41693F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13815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F8B3EE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BF9E95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77163FC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2E7C7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Barbade</w:t>
            </w:r>
          </w:p>
        </w:tc>
        <w:tc>
          <w:tcPr>
            <w:tcW w:w="1138" w:type="dxa"/>
            <w:tcBorders>
              <w:top w:val="nil"/>
              <w:left w:val="nil"/>
              <w:bottom w:val="single" w:sz="4" w:space="0" w:color="auto"/>
              <w:right w:val="single" w:sz="4" w:space="0" w:color="auto"/>
            </w:tcBorders>
            <w:shd w:val="clear" w:color="auto" w:fill="auto"/>
            <w:vAlign w:val="bottom"/>
            <w:hideMark/>
          </w:tcPr>
          <w:p w14:paraId="5868BDE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4549883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30FB0B7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29F355C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772F928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685</w:t>
            </w:r>
          </w:p>
        </w:tc>
      </w:tr>
      <w:tr w:rsidR="00920F38" w:rsidRPr="008E1212" w14:paraId="25CB1E7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9AA32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Bélarus</w:t>
            </w:r>
          </w:p>
        </w:tc>
        <w:tc>
          <w:tcPr>
            <w:tcW w:w="1138" w:type="dxa"/>
            <w:tcBorders>
              <w:top w:val="nil"/>
              <w:left w:val="nil"/>
              <w:bottom w:val="single" w:sz="4" w:space="0" w:color="auto"/>
              <w:right w:val="single" w:sz="4" w:space="0" w:color="auto"/>
            </w:tcBorders>
            <w:shd w:val="clear" w:color="auto" w:fill="auto"/>
            <w:vAlign w:val="bottom"/>
            <w:hideMark/>
          </w:tcPr>
          <w:p w14:paraId="667280A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51BEBDA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1D7E2C2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0C70730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50FA1A2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3 512</w:t>
            </w:r>
          </w:p>
        </w:tc>
      </w:tr>
      <w:tr w:rsidR="00920F38" w:rsidRPr="008E1212" w14:paraId="5954E18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5DA20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Belgique</w:t>
            </w:r>
          </w:p>
        </w:tc>
        <w:tc>
          <w:tcPr>
            <w:tcW w:w="1138" w:type="dxa"/>
            <w:tcBorders>
              <w:top w:val="nil"/>
              <w:left w:val="nil"/>
              <w:bottom w:val="single" w:sz="4" w:space="0" w:color="auto"/>
              <w:right w:val="single" w:sz="4" w:space="0" w:color="auto"/>
            </w:tcBorders>
            <w:shd w:val="clear" w:color="auto" w:fill="auto"/>
            <w:vAlign w:val="bottom"/>
            <w:hideMark/>
          </w:tcPr>
          <w:p w14:paraId="2F1F14E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5672D57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0E74ECE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36B0771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2AD570C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70 916</w:t>
            </w:r>
          </w:p>
        </w:tc>
      </w:tr>
      <w:tr w:rsidR="00920F38" w:rsidRPr="008E1212" w14:paraId="108EFF3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5BEFD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Belize</w:t>
            </w:r>
          </w:p>
        </w:tc>
        <w:tc>
          <w:tcPr>
            <w:tcW w:w="1138" w:type="dxa"/>
            <w:tcBorders>
              <w:top w:val="nil"/>
              <w:left w:val="nil"/>
              <w:bottom w:val="single" w:sz="4" w:space="0" w:color="auto"/>
              <w:right w:val="single" w:sz="4" w:space="0" w:color="auto"/>
            </w:tcBorders>
            <w:shd w:val="clear" w:color="auto" w:fill="auto"/>
            <w:vAlign w:val="bottom"/>
            <w:hideMark/>
          </w:tcPr>
          <w:p w14:paraId="6A0C42F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371413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ADEB14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2C436E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31E09A5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190DA41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E1862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Bénin</w:t>
            </w:r>
          </w:p>
        </w:tc>
        <w:tc>
          <w:tcPr>
            <w:tcW w:w="1138" w:type="dxa"/>
            <w:tcBorders>
              <w:top w:val="nil"/>
              <w:left w:val="nil"/>
              <w:bottom w:val="single" w:sz="4" w:space="0" w:color="auto"/>
              <w:right w:val="single" w:sz="4" w:space="0" w:color="auto"/>
            </w:tcBorders>
            <w:shd w:val="clear" w:color="auto" w:fill="auto"/>
            <w:vAlign w:val="bottom"/>
            <w:hideMark/>
          </w:tcPr>
          <w:p w14:paraId="5EE416E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6F4E7C9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310FB32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4258E5D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775460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428</w:t>
            </w:r>
          </w:p>
        </w:tc>
      </w:tr>
      <w:tr w:rsidR="00920F38" w:rsidRPr="008E1212" w14:paraId="2B553EB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5BC1E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Bhoutan</w:t>
            </w:r>
          </w:p>
        </w:tc>
        <w:tc>
          <w:tcPr>
            <w:tcW w:w="1138" w:type="dxa"/>
            <w:tcBorders>
              <w:top w:val="nil"/>
              <w:left w:val="nil"/>
              <w:bottom w:val="single" w:sz="4" w:space="0" w:color="auto"/>
              <w:right w:val="single" w:sz="4" w:space="0" w:color="auto"/>
            </w:tcBorders>
            <w:shd w:val="clear" w:color="auto" w:fill="auto"/>
            <w:vAlign w:val="bottom"/>
            <w:hideMark/>
          </w:tcPr>
          <w:p w14:paraId="4A2A3DF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198FD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55195C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5ECE89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CA399E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4B14A4C5"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52D044"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Bolivie (État plurinational de)</w:t>
            </w:r>
          </w:p>
        </w:tc>
        <w:tc>
          <w:tcPr>
            <w:tcW w:w="1138" w:type="dxa"/>
            <w:tcBorders>
              <w:top w:val="nil"/>
              <w:left w:val="nil"/>
              <w:bottom w:val="single" w:sz="4" w:space="0" w:color="auto"/>
              <w:right w:val="single" w:sz="4" w:space="0" w:color="auto"/>
            </w:tcBorders>
            <w:shd w:val="clear" w:color="auto" w:fill="auto"/>
            <w:vAlign w:val="bottom"/>
            <w:hideMark/>
          </w:tcPr>
          <w:p w14:paraId="040C6A8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B5F0B1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8386D7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7CC63A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7177C9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1 627</w:t>
            </w:r>
          </w:p>
        </w:tc>
      </w:tr>
      <w:tr w:rsidR="00920F38" w:rsidRPr="008E1212" w14:paraId="6285074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01FE9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Bosnie-Herzégovine</w:t>
            </w:r>
          </w:p>
        </w:tc>
        <w:tc>
          <w:tcPr>
            <w:tcW w:w="1138" w:type="dxa"/>
            <w:tcBorders>
              <w:top w:val="nil"/>
              <w:left w:val="nil"/>
              <w:bottom w:val="single" w:sz="4" w:space="0" w:color="auto"/>
              <w:right w:val="single" w:sz="4" w:space="0" w:color="auto"/>
            </w:tcBorders>
            <w:shd w:val="clear" w:color="auto" w:fill="auto"/>
            <w:vAlign w:val="bottom"/>
            <w:hideMark/>
          </w:tcPr>
          <w:p w14:paraId="518FFB2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1BA4135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0085CAB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27BEA27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576BED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1 028</w:t>
            </w:r>
          </w:p>
        </w:tc>
      </w:tr>
      <w:tr w:rsidR="00920F38" w:rsidRPr="008E1212" w14:paraId="17AB372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75619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Botswana</w:t>
            </w:r>
          </w:p>
        </w:tc>
        <w:tc>
          <w:tcPr>
            <w:tcW w:w="1138" w:type="dxa"/>
            <w:tcBorders>
              <w:top w:val="nil"/>
              <w:left w:val="nil"/>
              <w:bottom w:val="single" w:sz="4" w:space="0" w:color="auto"/>
              <w:right w:val="single" w:sz="4" w:space="0" w:color="auto"/>
            </w:tcBorders>
            <w:shd w:val="clear" w:color="auto" w:fill="auto"/>
            <w:vAlign w:val="bottom"/>
            <w:hideMark/>
          </w:tcPr>
          <w:p w14:paraId="462D070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4872EA4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7B92D7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4B6023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4250251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1 285</w:t>
            </w:r>
          </w:p>
        </w:tc>
      </w:tr>
      <w:tr w:rsidR="00920F38" w:rsidRPr="008E1212" w14:paraId="58DDB11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6F803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Brésil</w:t>
            </w:r>
          </w:p>
        </w:tc>
        <w:tc>
          <w:tcPr>
            <w:tcW w:w="1138" w:type="dxa"/>
            <w:tcBorders>
              <w:top w:val="nil"/>
              <w:left w:val="nil"/>
              <w:bottom w:val="single" w:sz="4" w:space="0" w:color="auto"/>
              <w:right w:val="single" w:sz="4" w:space="0" w:color="auto"/>
            </w:tcBorders>
            <w:shd w:val="clear" w:color="auto" w:fill="auto"/>
            <w:vAlign w:val="bottom"/>
            <w:hideMark/>
          </w:tcPr>
          <w:p w14:paraId="369604B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344082D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29E7D36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3DA544A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08484DC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172 408</w:t>
            </w:r>
          </w:p>
        </w:tc>
      </w:tr>
      <w:tr w:rsidR="00920F38" w:rsidRPr="008E1212" w14:paraId="40FC7BF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DF0C8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Bulgarie</w:t>
            </w:r>
          </w:p>
        </w:tc>
        <w:tc>
          <w:tcPr>
            <w:tcW w:w="1138" w:type="dxa"/>
            <w:tcBorders>
              <w:top w:val="nil"/>
              <w:left w:val="nil"/>
              <w:bottom w:val="single" w:sz="4" w:space="0" w:color="auto"/>
              <w:right w:val="single" w:sz="4" w:space="0" w:color="auto"/>
            </w:tcBorders>
            <w:shd w:val="clear" w:color="auto" w:fill="auto"/>
            <w:vAlign w:val="bottom"/>
            <w:hideMark/>
          </w:tcPr>
          <w:p w14:paraId="46F1779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38855A5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6EE83CF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5E7866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4C10F10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4 796</w:t>
            </w:r>
          </w:p>
        </w:tc>
      </w:tr>
      <w:tr w:rsidR="00920F38" w:rsidRPr="008E1212" w14:paraId="7B6201E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2C1FA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Burkina Faso</w:t>
            </w:r>
          </w:p>
        </w:tc>
        <w:tc>
          <w:tcPr>
            <w:tcW w:w="1138" w:type="dxa"/>
            <w:tcBorders>
              <w:top w:val="nil"/>
              <w:left w:val="nil"/>
              <w:bottom w:val="single" w:sz="4" w:space="0" w:color="auto"/>
              <w:right w:val="single" w:sz="4" w:space="0" w:color="auto"/>
            </w:tcBorders>
            <w:shd w:val="clear" w:color="auto" w:fill="auto"/>
            <w:vAlign w:val="bottom"/>
            <w:hideMark/>
          </w:tcPr>
          <w:p w14:paraId="04C60AC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C97487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2C483A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7FA956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3414E3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4D63A31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F09D3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Burundi</w:t>
            </w:r>
          </w:p>
        </w:tc>
        <w:tc>
          <w:tcPr>
            <w:tcW w:w="1138" w:type="dxa"/>
            <w:tcBorders>
              <w:top w:val="nil"/>
              <w:left w:val="nil"/>
              <w:bottom w:val="single" w:sz="4" w:space="0" w:color="auto"/>
              <w:right w:val="single" w:sz="4" w:space="0" w:color="auto"/>
            </w:tcBorders>
            <w:shd w:val="clear" w:color="auto" w:fill="auto"/>
            <w:vAlign w:val="bottom"/>
            <w:hideMark/>
          </w:tcPr>
          <w:p w14:paraId="1ECB454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72DA4F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D1E47F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DBC677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FDAF13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1EF1E74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739AD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Cabo Verde</w:t>
            </w:r>
          </w:p>
        </w:tc>
        <w:tc>
          <w:tcPr>
            <w:tcW w:w="1138" w:type="dxa"/>
            <w:tcBorders>
              <w:top w:val="nil"/>
              <w:left w:val="nil"/>
              <w:bottom w:val="single" w:sz="4" w:space="0" w:color="auto"/>
              <w:right w:val="single" w:sz="4" w:space="0" w:color="auto"/>
            </w:tcBorders>
            <w:shd w:val="clear" w:color="auto" w:fill="auto"/>
            <w:vAlign w:val="bottom"/>
            <w:hideMark/>
          </w:tcPr>
          <w:p w14:paraId="280817E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988CA3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FC16DC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A9E2D8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146A9E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1B9FD6C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42642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Cambodge</w:t>
            </w:r>
          </w:p>
        </w:tc>
        <w:tc>
          <w:tcPr>
            <w:tcW w:w="1138" w:type="dxa"/>
            <w:tcBorders>
              <w:top w:val="nil"/>
              <w:left w:val="nil"/>
              <w:bottom w:val="single" w:sz="4" w:space="0" w:color="auto"/>
              <w:right w:val="single" w:sz="4" w:space="0" w:color="auto"/>
            </w:tcBorders>
            <w:shd w:val="clear" w:color="auto" w:fill="auto"/>
            <w:vAlign w:val="bottom"/>
            <w:hideMark/>
          </w:tcPr>
          <w:p w14:paraId="2B08684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C957CA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DDB0A9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27326ED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4D21C9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600</w:t>
            </w:r>
          </w:p>
        </w:tc>
      </w:tr>
      <w:tr w:rsidR="00920F38" w:rsidRPr="008E1212" w14:paraId="7AC970A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00394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Cameroun</w:t>
            </w:r>
          </w:p>
        </w:tc>
        <w:tc>
          <w:tcPr>
            <w:tcW w:w="1138" w:type="dxa"/>
            <w:tcBorders>
              <w:top w:val="nil"/>
              <w:left w:val="nil"/>
              <w:bottom w:val="single" w:sz="4" w:space="0" w:color="auto"/>
              <w:right w:val="single" w:sz="4" w:space="0" w:color="auto"/>
            </w:tcBorders>
            <w:shd w:val="clear" w:color="auto" w:fill="auto"/>
            <w:vAlign w:val="bottom"/>
            <w:hideMark/>
          </w:tcPr>
          <w:p w14:paraId="49A3667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1C9DAF4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68591E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E03C9B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325ED2C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1 113</w:t>
            </w:r>
          </w:p>
        </w:tc>
      </w:tr>
      <w:tr w:rsidR="00920F38" w:rsidRPr="008E1212" w14:paraId="20E49F6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F3149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Chine</w:t>
            </w:r>
          </w:p>
        </w:tc>
        <w:tc>
          <w:tcPr>
            <w:tcW w:w="1138" w:type="dxa"/>
            <w:tcBorders>
              <w:top w:val="nil"/>
              <w:left w:val="nil"/>
              <w:bottom w:val="single" w:sz="4" w:space="0" w:color="auto"/>
              <w:right w:val="single" w:sz="4" w:space="0" w:color="auto"/>
            </w:tcBorders>
            <w:shd w:val="clear" w:color="auto" w:fill="auto"/>
            <w:vAlign w:val="bottom"/>
            <w:hideMark/>
          </w:tcPr>
          <w:p w14:paraId="346932E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42D1B5A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0232D8A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73AE6A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0540C57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1 306 461</w:t>
            </w:r>
          </w:p>
        </w:tc>
      </w:tr>
      <w:tr w:rsidR="00920F38" w:rsidRPr="008E1212" w14:paraId="63F5EA4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C31FB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Chypre</w:t>
            </w:r>
          </w:p>
        </w:tc>
        <w:tc>
          <w:tcPr>
            <w:tcW w:w="1138" w:type="dxa"/>
            <w:tcBorders>
              <w:top w:val="nil"/>
              <w:left w:val="nil"/>
              <w:bottom w:val="single" w:sz="4" w:space="0" w:color="auto"/>
              <w:right w:val="single" w:sz="4" w:space="0" w:color="auto"/>
            </w:tcBorders>
            <w:shd w:val="clear" w:color="auto" w:fill="auto"/>
            <w:vAlign w:val="bottom"/>
            <w:hideMark/>
          </w:tcPr>
          <w:p w14:paraId="41A449E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56B50DF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7AE4D89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3857588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09ECFEC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3 083</w:t>
            </w:r>
          </w:p>
        </w:tc>
      </w:tr>
      <w:tr w:rsidR="00920F38" w:rsidRPr="008E1212" w14:paraId="625409D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2ABB6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Colombie</w:t>
            </w:r>
          </w:p>
        </w:tc>
        <w:tc>
          <w:tcPr>
            <w:tcW w:w="1138" w:type="dxa"/>
            <w:tcBorders>
              <w:top w:val="nil"/>
              <w:left w:val="nil"/>
              <w:bottom w:val="single" w:sz="4" w:space="0" w:color="auto"/>
              <w:right w:val="single" w:sz="4" w:space="0" w:color="auto"/>
            </w:tcBorders>
            <w:shd w:val="clear" w:color="auto" w:fill="auto"/>
            <w:vAlign w:val="bottom"/>
            <w:hideMark/>
          </w:tcPr>
          <w:p w14:paraId="3E635A8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04956C5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7369803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3168DC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1EEF6DC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21 069</w:t>
            </w:r>
          </w:p>
        </w:tc>
      </w:tr>
      <w:tr w:rsidR="00920F38" w:rsidRPr="008E1212" w14:paraId="6B10687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09878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Comores</w:t>
            </w:r>
          </w:p>
        </w:tc>
        <w:tc>
          <w:tcPr>
            <w:tcW w:w="1138" w:type="dxa"/>
            <w:tcBorders>
              <w:top w:val="nil"/>
              <w:left w:val="nil"/>
              <w:bottom w:val="single" w:sz="4" w:space="0" w:color="auto"/>
              <w:right w:val="single" w:sz="4" w:space="0" w:color="auto"/>
            </w:tcBorders>
            <w:shd w:val="clear" w:color="auto" w:fill="auto"/>
            <w:vAlign w:val="bottom"/>
            <w:hideMark/>
          </w:tcPr>
          <w:p w14:paraId="01A1B99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458898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3A0CD1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AE8066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249FA3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6507592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858E2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Congo</w:t>
            </w:r>
          </w:p>
        </w:tc>
        <w:tc>
          <w:tcPr>
            <w:tcW w:w="1138" w:type="dxa"/>
            <w:tcBorders>
              <w:top w:val="nil"/>
              <w:left w:val="nil"/>
              <w:bottom w:val="single" w:sz="4" w:space="0" w:color="auto"/>
              <w:right w:val="single" w:sz="4" w:space="0" w:color="auto"/>
            </w:tcBorders>
            <w:shd w:val="clear" w:color="auto" w:fill="auto"/>
            <w:vAlign w:val="bottom"/>
            <w:hideMark/>
          </w:tcPr>
          <w:p w14:paraId="71AC54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B3476F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26C4E88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B19543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5BFAAC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428</w:t>
            </w:r>
          </w:p>
        </w:tc>
      </w:tr>
      <w:tr w:rsidR="00920F38" w:rsidRPr="008E1212" w14:paraId="586391B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F4043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Costa Rica</w:t>
            </w:r>
          </w:p>
        </w:tc>
        <w:tc>
          <w:tcPr>
            <w:tcW w:w="1138" w:type="dxa"/>
            <w:tcBorders>
              <w:top w:val="nil"/>
              <w:left w:val="nil"/>
              <w:bottom w:val="single" w:sz="4" w:space="0" w:color="auto"/>
              <w:right w:val="single" w:sz="4" w:space="0" w:color="auto"/>
            </w:tcBorders>
            <w:shd w:val="clear" w:color="auto" w:fill="auto"/>
            <w:vAlign w:val="bottom"/>
            <w:hideMark/>
          </w:tcPr>
          <w:p w14:paraId="5D534E2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5FEB397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5E09572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2760B4A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44003E5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5 910</w:t>
            </w:r>
          </w:p>
        </w:tc>
      </w:tr>
      <w:tr w:rsidR="00920F38" w:rsidRPr="008E1212" w14:paraId="79AEFAE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DA606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Côte d’Ivoire</w:t>
            </w:r>
          </w:p>
        </w:tc>
        <w:tc>
          <w:tcPr>
            <w:tcW w:w="1138" w:type="dxa"/>
            <w:tcBorders>
              <w:top w:val="nil"/>
              <w:left w:val="nil"/>
              <w:bottom w:val="single" w:sz="4" w:space="0" w:color="auto"/>
              <w:right w:val="single" w:sz="4" w:space="0" w:color="auto"/>
            </w:tcBorders>
            <w:shd w:val="clear" w:color="auto" w:fill="auto"/>
            <w:vAlign w:val="bottom"/>
            <w:hideMark/>
          </w:tcPr>
          <w:p w14:paraId="1AB1A62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2C40633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3D2AF3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33BFAFA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5BC3981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1 884</w:t>
            </w:r>
          </w:p>
        </w:tc>
      </w:tr>
      <w:tr w:rsidR="00920F38" w:rsidRPr="008E1212" w14:paraId="4CD6EF8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DB76F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Croatie</w:t>
            </w:r>
          </w:p>
        </w:tc>
        <w:tc>
          <w:tcPr>
            <w:tcW w:w="1138" w:type="dxa"/>
            <w:tcBorders>
              <w:top w:val="nil"/>
              <w:left w:val="nil"/>
              <w:bottom w:val="single" w:sz="4" w:space="0" w:color="auto"/>
              <w:right w:val="single" w:sz="4" w:space="0" w:color="auto"/>
            </w:tcBorders>
            <w:shd w:val="clear" w:color="auto" w:fill="auto"/>
            <w:vAlign w:val="bottom"/>
            <w:hideMark/>
          </w:tcPr>
          <w:p w14:paraId="2670751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4348E18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5DFFC5C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3853AB8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7CE7348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7 794</w:t>
            </w:r>
          </w:p>
        </w:tc>
      </w:tr>
      <w:tr w:rsidR="00920F38" w:rsidRPr="008E1212" w14:paraId="7E24159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AF781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Cuba</w:t>
            </w:r>
          </w:p>
        </w:tc>
        <w:tc>
          <w:tcPr>
            <w:tcW w:w="1138" w:type="dxa"/>
            <w:tcBorders>
              <w:top w:val="nil"/>
              <w:left w:val="nil"/>
              <w:bottom w:val="single" w:sz="4" w:space="0" w:color="auto"/>
              <w:right w:val="single" w:sz="4" w:space="0" w:color="auto"/>
            </w:tcBorders>
            <w:shd w:val="clear" w:color="auto" w:fill="auto"/>
            <w:vAlign w:val="bottom"/>
            <w:hideMark/>
          </w:tcPr>
          <w:p w14:paraId="229EDBB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4360529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614DA43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7AA22D7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3AB6493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8 136</w:t>
            </w:r>
          </w:p>
        </w:tc>
      </w:tr>
      <w:tr w:rsidR="00920F38" w:rsidRPr="008E1212" w14:paraId="6108A86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5DA57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Danemark</w:t>
            </w:r>
          </w:p>
        </w:tc>
        <w:tc>
          <w:tcPr>
            <w:tcW w:w="1138" w:type="dxa"/>
            <w:tcBorders>
              <w:top w:val="nil"/>
              <w:left w:val="nil"/>
              <w:bottom w:val="single" w:sz="4" w:space="0" w:color="auto"/>
              <w:right w:val="single" w:sz="4" w:space="0" w:color="auto"/>
            </w:tcBorders>
            <w:shd w:val="clear" w:color="auto" w:fill="auto"/>
            <w:vAlign w:val="bottom"/>
            <w:hideMark/>
          </w:tcPr>
          <w:p w14:paraId="28A27FA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7D08224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3C18CEB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1EC0491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51C080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47 363</w:t>
            </w:r>
          </w:p>
        </w:tc>
      </w:tr>
      <w:tr w:rsidR="00920F38" w:rsidRPr="008E1212" w14:paraId="0FEC5EE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30671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Djibouti</w:t>
            </w:r>
          </w:p>
        </w:tc>
        <w:tc>
          <w:tcPr>
            <w:tcW w:w="1138" w:type="dxa"/>
            <w:tcBorders>
              <w:top w:val="nil"/>
              <w:left w:val="nil"/>
              <w:bottom w:val="single" w:sz="4" w:space="0" w:color="auto"/>
              <w:right w:val="single" w:sz="4" w:space="0" w:color="auto"/>
            </w:tcBorders>
            <w:shd w:val="clear" w:color="auto" w:fill="auto"/>
            <w:vAlign w:val="bottom"/>
            <w:hideMark/>
          </w:tcPr>
          <w:p w14:paraId="6FF056C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23E775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176583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4242F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B40CC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09C3B72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01A552"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Dominique</w:t>
            </w:r>
          </w:p>
        </w:tc>
        <w:tc>
          <w:tcPr>
            <w:tcW w:w="1138" w:type="dxa"/>
            <w:tcBorders>
              <w:top w:val="nil"/>
              <w:left w:val="nil"/>
              <w:bottom w:val="single" w:sz="4" w:space="0" w:color="auto"/>
              <w:right w:val="single" w:sz="4" w:space="0" w:color="auto"/>
            </w:tcBorders>
            <w:shd w:val="clear" w:color="auto" w:fill="auto"/>
            <w:vAlign w:val="bottom"/>
            <w:hideMark/>
          </w:tcPr>
          <w:p w14:paraId="2C30401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2176B3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77964B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71A8A3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0362F5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5BBF52D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456787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Égypte</w:t>
            </w:r>
          </w:p>
        </w:tc>
        <w:tc>
          <w:tcPr>
            <w:tcW w:w="1138" w:type="dxa"/>
            <w:tcBorders>
              <w:top w:val="nil"/>
              <w:left w:val="nil"/>
              <w:bottom w:val="single" w:sz="4" w:space="0" w:color="auto"/>
              <w:right w:val="single" w:sz="4" w:space="0" w:color="auto"/>
            </w:tcBorders>
            <w:shd w:val="clear" w:color="auto" w:fill="auto"/>
            <w:vAlign w:val="bottom"/>
            <w:hideMark/>
          </w:tcPr>
          <w:p w14:paraId="7458152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7230E55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58DB28D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6ABA07F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7DD1268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11 905</w:t>
            </w:r>
          </w:p>
        </w:tc>
      </w:tr>
      <w:tr w:rsidR="00920F38" w:rsidRPr="008E1212" w14:paraId="2A18E1C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DB026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El Salvador</w:t>
            </w:r>
          </w:p>
        </w:tc>
        <w:tc>
          <w:tcPr>
            <w:tcW w:w="1138" w:type="dxa"/>
            <w:tcBorders>
              <w:top w:val="nil"/>
              <w:left w:val="nil"/>
              <w:bottom w:val="single" w:sz="4" w:space="0" w:color="auto"/>
              <w:right w:val="single" w:sz="4" w:space="0" w:color="auto"/>
            </w:tcBorders>
            <w:shd w:val="clear" w:color="auto" w:fill="auto"/>
            <w:vAlign w:val="bottom"/>
            <w:hideMark/>
          </w:tcPr>
          <w:p w14:paraId="4DF8685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4DC77E3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7940D43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7197D6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37ED6A6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1 113</w:t>
            </w:r>
          </w:p>
        </w:tc>
      </w:tr>
      <w:tr w:rsidR="00920F38" w:rsidRPr="008E1212" w14:paraId="3336FB2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99F3F2"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lastRenderedPageBreak/>
              <w:t>Émirats arabes unis</w:t>
            </w:r>
          </w:p>
        </w:tc>
        <w:tc>
          <w:tcPr>
            <w:tcW w:w="1138" w:type="dxa"/>
            <w:tcBorders>
              <w:top w:val="nil"/>
              <w:left w:val="nil"/>
              <w:bottom w:val="single" w:sz="4" w:space="0" w:color="auto"/>
              <w:right w:val="single" w:sz="4" w:space="0" w:color="auto"/>
            </w:tcBorders>
            <w:shd w:val="clear" w:color="auto" w:fill="auto"/>
            <w:vAlign w:val="bottom"/>
            <w:hideMark/>
          </w:tcPr>
          <w:p w14:paraId="0830594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41DE459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071FDC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6C4D0C5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62DF7FC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54 386</w:t>
            </w:r>
          </w:p>
        </w:tc>
      </w:tr>
      <w:tr w:rsidR="00920F38" w:rsidRPr="008E1212" w14:paraId="2C72494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4D973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Équateur</w:t>
            </w:r>
          </w:p>
        </w:tc>
        <w:tc>
          <w:tcPr>
            <w:tcW w:w="1138" w:type="dxa"/>
            <w:tcBorders>
              <w:top w:val="nil"/>
              <w:left w:val="nil"/>
              <w:bottom w:val="single" w:sz="4" w:space="0" w:color="auto"/>
              <w:right w:val="single" w:sz="4" w:space="0" w:color="auto"/>
            </w:tcBorders>
            <w:shd w:val="clear" w:color="auto" w:fill="auto"/>
            <w:vAlign w:val="bottom"/>
            <w:hideMark/>
          </w:tcPr>
          <w:p w14:paraId="3EAE7AC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46A943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668198E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14D424D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29974D0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6 595</w:t>
            </w:r>
          </w:p>
        </w:tc>
      </w:tr>
      <w:tr w:rsidR="00920F38" w:rsidRPr="008E1212" w14:paraId="09A5C17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72E75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Érythrée</w:t>
            </w:r>
          </w:p>
        </w:tc>
        <w:tc>
          <w:tcPr>
            <w:tcW w:w="1138" w:type="dxa"/>
            <w:tcBorders>
              <w:top w:val="nil"/>
              <w:left w:val="nil"/>
              <w:bottom w:val="single" w:sz="4" w:space="0" w:color="auto"/>
              <w:right w:val="single" w:sz="4" w:space="0" w:color="auto"/>
            </w:tcBorders>
            <w:shd w:val="clear" w:color="auto" w:fill="auto"/>
            <w:vAlign w:val="bottom"/>
            <w:hideMark/>
          </w:tcPr>
          <w:p w14:paraId="4E20C7D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A9EA25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2C8039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E3F3D2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B19036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3E27B8B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6FBF41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Espagne</w:t>
            </w:r>
          </w:p>
        </w:tc>
        <w:tc>
          <w:tcPr>
            <w:tcW w:w="1138" w:type="dxa"/>
            <w:tcBorders>
              <w:top w:val="nil"/>
              <w:left w:val="nil"/>
              <w:bottom w:val="single" w:sz="4" w:space="0" w:color="auto"/>
              <w:right w:val="single" w:sz="4" w:space="0" w:color="auto"/>
            </w:tcBorders>
            <w:shd w:val="clear" w:color="auto" w:fill="auto"/>
            <w:vAlign w:val="bottom"/>
            <w:hideMark/>
          </w:tcPr>
          <w:p w14:paraId="7ACF9B2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097FF2A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0C8B944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61C5464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6827139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182 771</w:t>
            </w:r>
          </w:p>
        </w:tc>
      </w:tr>
      <w:tr w:rsidR="00920F38" w:rsidRPr="008E1212" w14:paraId="5F685AB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E5053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Estonie</w:t>
            </w:r>
          </w:p>
        </w:tc>
        <w:tc>
          <w:tcPr>
            <w:tcW w:w="1138" w:type="dxa"/>
            <w:tcBorders>
              <w:top w:val="nil"/>
              <w:left w:val="nil"/>
              <w:bottom w:val="single" w:sz="4" w:space="0" w:color="auto"/>
              <w:right w:val="single" w:sz="4" w:space="0" w:color="auto"/>
            </w:tcBorders>
            <w:shd w:val="clear" w:color="auto" w:fill="auto"/>
            <w:vAlign w:val="bottom"/>
            <w:hideMark/>
          </w:tcPr>
          <w:p w14:paraId="3104E6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2412EF7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057A6A6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44518D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07A1A5F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3 768</w:t>
            </w:r>
          </w:p>
        </w:tc>
      </w:tr>
      <w:tr w:rsidR="00920F38" w:rsidRPr="008E1212" w14:paraId="639DE24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6D90A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Eswatini</w:t>
            </w:r>
          </w:p>
        </w:tc>
        <w:tc>
          <w:tcPr>
            <w:tcW w:w="1138" w:type="dxa"/>
            <w:tcBorders>
              <w:top w:val="nil"/>
              <w:left w:val="nil"/>
              <w:bottom w:val="single" w:sz="4" w:space="0" w:color="auto"/>
              <w:right w:val="single" w:sz="4" w:space="0" w:color="auto"/>
            </w:tcBorders>
            <w:shd w:val="clear" w:color="auto" w:fill="auto"/>
            <w:vAlign w:val="bottom"/>
            <w:hideMark/>
          </w:tcPr>
          <w:p w14:paraId="23530C8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414FAF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3ED116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8C25CC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36F65B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2C05D59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FE1AC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État de Palestine</w:t>
            </w:r>
          </w:p>
        </w:tc>
        <w:tc>
          <w:tcPr>
            <w:tcW w:w="1138" w:type="dxa"/>
            <w:tcBorders>
              <w:top w:val="nil"/>
              <w:left w:val="nil"/>
              <w:bottom w:val="single" w:sz="4" w:space="0" w:color="auto"/>
              <w:right w:val="single" w:sz="4" w:space="0" w:color="auto"/>
            </w:tcBorders>
            <w:shd w:val="clear" w:color="auto" w:fill="auto"/>
            <w:vAlign w:val="bottom"/>
            <w:hideMark/>
          </w:tcPr>
          <w:p w14:paraId="41570AF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434D173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7F80CF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0BB6B33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7B05E3E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942</w:t>
            </w:r>
          </w:p>
        </w:tc>
      </w:tr>
      <w:tr w:rsidR="00920F38" w:rsidRPr="008E1212" w14:paraId="5BEF782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E0ABB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Éthiopie</w:t>
            </w:r>
          </w:p>
        </w:tc>
        <w:tc>
          <w:tcPr>
            <w:tcW w:w="1138" w:type="dxa"/>
            <w:tcBorders>
              <w:top w:val="nil"/>
              <w:left w:val="nil"/>
              <w:bottom w:val="single" w:sz="4" w:space="0" w:color="auto"/>
              <w:right w:val="single" w:sz="4" w:space="0" w:color="auto"/>
            </w:tcBorders>
            <w:shd w:val="clear" w:color="auto" w:fill="auto"/>
            <w:vAlign w:val="bottom"/>
            <w:hideMark/>
          </w:tcPr>
          <w:p w14:paraId="2427A65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024B64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B7108B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A67852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06B357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7DE6D96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E0C96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Fidji</w:t>
            </w:r>
          </w:p>
        </w:tc>
        <w:tc>
          <w:tcPr>
            <w:tcW w:w="1138" w:type="dxa"/>
            <w:tcBorders>
              <w:top w:val="nil"/>
              <w:left w:val="nil"/>
              <w:bottom w:val="single" w:sz="4" w:space="0" w:color="auto"/>
              <w:right w:val="single" w:sz="4" w:space="0" w:color="auto"/>
            </w:tcBorders>
            <w:shd w:val="clear" w:color="auto" w:fill="auto"/>
            <w:vAlign w:val="bottom"/>
            <w:hideMark/>
          </w:tcPr>
          <w:p w14:paraId="269C5E5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57DB561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481A1B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C24E32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E2A756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55CEC48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2EBD8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Finlande</w:t>
            </w:r>
          </w:p>
        </w:tc>
        <w:tc>
          <w:tcPr>
            <w:tcW w:w="1138" w:type="dxa"/>
            <w:tcBorders>
              <w:top w:val="nil"/>
              <w:left w:val="nil"/>
              <w:bottom w:val="single" w:sz="4" w:space="0" w:color="auto"/>
              <w:right w:val="single" w:sz="4" w:space="0" w:color="auto"/>
            </w:tcBorders>
            <w:shd w:val="clear" w:color="auto" w:fill="auto"/>
            <w:vAlign w:val="bottom"/>
            <w:hideMark/>
          </w:tcPr>
          <w:p w14:paraId="4829A29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005007D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1949ED1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441A773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465C164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35 715</w:t>
            </w:r>
          </w:p>
        </w:tc>
      </w:tr>
      <w:tr w:rsidR="00920F38" w:rsidRPr="008E1212" w14:paraId="1B16470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55839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France</w:t>
            </w:r>
          </w:p>
        </w:tc>
        <w:tc>
          <w:tcPr>
            <w:tcW w:w="1138" w:type="dxa"/>
            <w:tcBorders>
              <w:top w:val="nil"/>
              <w:left w:val="nil"/>
              <w:bottom w:val="single" w:sz="4" w:space="0" w:color="auto"/>
              <w:right w:val="single" w:sz="4" w:space="0" w:color="auto"/>
            </w:tcBorders>
            <w:shd w:val="clear" w:color="auto" w:fill="auto"/>
            <w:vAlign w:val="bottom"/>
            <w:hideMark/>
          </w:tcPr>
          <w:p w14:paraId="03A64C4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1DC9864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5731320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15580C8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6DE591C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369 824</w:t>
            </w:r>
          </w:p>
        </w:tc>
      </w:tr>
      <w:tr w:rsidR="00920F38" w:rsidRPr="008E1212" w14:paraId="018A43F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AE9E6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Gabon</w:t>
            </w:r>
          </w:p>
        </w:tc>
        <w:tc>
          <w:tcPr>
            <w:tcW w:w="1138" w:type="dxa"/>
            <w:tcBorders>
              <w:top w:val="nil"/>
              <w:left w:val="nil"/>
              <w:bottom w:val="single" w:sz="4" w:space="0" w:color="auto"/>
              <w:right w:val="single" w:sz="4" w:space="0" w:color="auto"/>
            </w:tcBorders>
            <w:shd w:val="clear" w:color="auto" w:fill="auto"/>
            <w:vAlign w:val="bottom"/>
            <w:hideMark/>
          </w:tcPr>
          <w:p w14:paraId="05FF68E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3268221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5FF07A5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2793097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4EDFFA1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1 113</w:t>
            </w:r>
          </w:p>
        </w:tc>
      </w:tr>
      <w:tr w:rsidR="00920F38" w:rsidRPr="008E1212" w14:paraId="1A4D48B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5DF4A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Gambie</w:t>
            </w:r>
          </w:p>
        </w:tc>
        <w:tc>
          <w:tcPr>
            <w:tcW w:w="1138" w:type="dxa"/>
            <w:tcBorders>
              <w:top w:val="nil"/>
              <w:left w:val="nil"/>
              <w:bottom w:val="single" w:sz="4" w:space="0" w:color="auto"/>
              <w:right w:val="single" w:sz="4" w:space="0" w:color="auto"/>
            </w:tcBorders>
            <w:shd w:val="clear" w:color="auto" w:fill="auto"/>
            <w:vAlign w:val="bottom"/>
            <w:hideMark/>
          </w:tcPr>
          <w:p w14:paraId="1F7FA50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EEAD4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1DE51A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EED87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DF34F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0DF4BE9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EBF26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Géorgie</w:t>
            </w:r>
          </w:p>
        </w:tc>
        <w:tc>
          <w:tcPr>
            <w:tcW w:w="1138" w:type="dxa"/>
            <w:tcBorders>
              <w:top w:val="nil"/>
              <w:left w:val="nil"/>
              <w:bottom w:val="single" w:sz="4" w:space="0" w:color="auto"/>
              <w:right w:val="single" w:sz="4" w:space="0" w:color="auto"/>
            </w:tcBorders>
            <w:shd w:val="clear" w:color="auto" w:fill="auto"/>
            <w:vAlign w:val="bottom"/>
            <w:hideMark/>
          </w:tcPr>
          <w:p w14:paraId="73BFCD7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2039F27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6A18C8A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3D78D2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0F5012F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685</w:t>
            </w:r>
          </w:p>
        </w:tc>
      </w:tr>
      <w:tr w:rsidR="00920F38" w:rsidRPr="008E1212" w14:paraId="7F3E858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13F679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Ghana</w:t>
            </w:r>
          </w:p>
        </w:tc>
        <w:tc>
          <w:tcPr>
            <w:tcW w:w="1138" w:type="dxa"/>
            <w:tcBorders>
              <w:top w:val="nil"/>
              <w:left w:val="nil"/>
              <w:bottom w:val="single" w:sz="4" w:space="0" w:color="auto"/>
              <w:right w:val="single" w:sz="4" w:space="0" w:color="auto"/>
            </w:tcBorders>
            <w:shd w:val="clear" w:color="auto" w:fill="auto"/>
            <w:vAlign w:val="bottom"/>
            <w:hideMark/>
          </w:tcPr>
          <w:p w14:paraId="7874E39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374B0CD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553961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156E098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396F55E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2 056</w:t>
            </w:r>
          </w:p>
        </w:tc>
      </w:tr>
      <w:tr w:rsidR="00920F38" w:rsidRPr="008E1212" w14:paraId="044F680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95A8B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Grèce</w:t>
            </w:r>
          </w:p>
        </w:tc>
        <w:tc>
          <w:tcPr>
            <w:tcW w:w="1138" w:type="dxa"/>
            <w:tcBorders>
              <w:top w:val="nil"/>
              <w:left w:val="nil"/>
              <w:bottom w:val="single" w:sz="4" w:space="0" w:color="auto"/>
              <w:right w:val="single" w:sz="4" w:space="0" w:color="auto"/>
            </w:tcBorders>
            <w:shd w:val="clear" w:color="auto" w:fill="auto"/>
            <w:vAlign w:val="bottom"/>
            <w:hideMark/>
          </w:tcPr>
          <w:p w14:paraId="34766D7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3E533BA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1A24A7C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0B45278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770B37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27 835</w:t>
            </w:r>
          </w:p>
        </w:tc>
      </w:tr>
      <w:tr w:rsidR="00920F38" w:rsidRPr="008E1212" w14:paraId="192F5DA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558EA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Grenade</w:t>
            </w:r>
          </w:p>
        </w:tc>
        <w:tc>
          <w:tcPr>
            <w:tcW w:w="1138" w:type="dxa"/>
            <w:tcBorders>
              <w:top w:val="nil"/>
              <w:left w:val="nil"/>
              <w:bottom w:val="single" w:sz="4" w:space="0" w:color="auto"/>
              <w:right w:val="single" w:sz="4" w:space="0" w:color="auto"/>
            </w:tcBorders>
            <w:shd w:val="clear" w:color="auto" w:fill="auto"/>
            <w:vAlign w:val="bottom"/>
            <w:hideMark/>
          </w:tcPr>
          <w:p w14:paraId="6E4EA7E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A8B75D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333E8B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973456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63ACF4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1AA9582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283DE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Guatemala</w:t>
            </w:r>
          </w:p>
        </w:tc>
        <w:tc>
          <w:tcPr>
            <w:tcW w:w="1138" w:type="dxa"/>
            <w:tcBorders>
              <w:top w:val="nil"/>
              <w:left w:val="nil"/>
              <w:bottom w:val="single" w:sz="4" w:space="0" w:color="auto"/>
              <w:right w:val="single" w:sz="4" w:space="0" w:color="auto"/>
            </w:tcBorders>
            <w:shd w:val="clear" w:color="auto" w:fill="auto"/>
            <w:vAlign w:val="bottom"/>
            <w:hideMark/>
          </w:tcPr>
          <w:p w14:paraId="27DBEB9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3AEAA2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567A37F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29C1E9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0F390C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3 512</w:t>
            </w:r>
          </w:p>
        </w:tc>
      </w:tr>
      <w:tr w:rsidR="00920F38" w:rsidRPr="008E1212" w14:paraId="6DF3E9A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A7357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Guinée</w:t>
            </w:r>
          </w:p>
        </w:tc>
        <w:tc>
          <w:tcPr>
            <w:tcW w:w="1138" w:type="dxa"/>
            <w:tcBorders>
              <w:top w:val="nil"/>
              <w:left w:val="nil"/>
              <w:bottom w:val="single" w:sz="4" w:space="0" w:color="auto"/>
              <w:right w:val="single" w:sz="4" w:space="0" w:color="auto"/>
            </w:tcBorders>
            <w:shd w:val="clear" w:color="auto" w:fill="auto"/>
            <w:vAlign w:val="bottom"/>
            <w:hideMark/>
          </w:tcPr>
          <w:p w14:paraId="42BC098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2C54E8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662D23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8271F6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FEDB98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w:t>
            </w:r>
          </w:p>
        </w:tc>
      </w:tr>
      <w:tr w:rsidR="00920F38" w:rsidRPr="008E1212" w14:paraId="487D191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56A10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Guinée-Bissau</w:t>
            </w:r>
          </w:p>
        </w:tc>
        <w:tc>
          <w:tcPr>
            <w:tcW w:w="1138" w:type="dxa"/>
            <w:tcBorders>
              <w:top w:val="nil"/>
              <w:left w:val="nil"/>
              <w:bottom w:val="single" w:sz="4" w:space="0" w:color="auto"/>
              <w:right w:val="single" w:sz="4" w:space="0" w:color="auto"/>
            </w:tcBorders>
            <w:shd w:val="clear" w:color="auto" w:fill="auto"/>
            <w:vAlign w:val="bottom"/>
            <w:hideMark/>
          </w:tcPr>
          <w:p w14:paraId="336D485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27DED0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3FC00B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5B3282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518EE5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21E3C17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39314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Guyana</w:t>
            </w:r>
          </w:p>
        </w:tc>
        <w:tc>
          <w:tcPr>
            <w:tcW w:w="1138" w:type="dxa"/>
            <w:tcBorders>
              <w:top w:val="nil"/>
              <w:left w:val="nil"/>
              <w:bottom w:val="single" w:sz="4" w:space="0" w:color="auto"/>
              <w:right w:val="single" w:sz="4" w:space="0" w:color="auto"/>
            </w:tcBorders>
            <w:shd w:val="clear" w:color="auto" w:fill="auto"/>
            <w:vAlign w:val="bottom"/>
            <w:hideMark/>
          </w:tcPr>
          <w:p w14:paraId="672405B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BFB718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83E4BA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8E97E8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0A76BE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438E0BD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8169F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Honduras</w:t>
            </w:r>
          </w:p>
        </w:tc>
        <w:tc>
          <w:tcPr>
            <w:tcW w:w="1138" w:type="dxa"/>
            <w:tcBorders>
              <w:top w:val="nil"/>
              <w:left w:val="nil"/>
              <w:bottom w:val="single" w:sz="4" w:space="0" w:color="auto"/>
              <w:right w:val="single" w:sz="4" w:space="0" w:color="auto"/>
            </w:tcBorders>
            <w:shd w:val="clear" w:color="auto" w:fill="auto"/>
            <w:vAlign w:val="bottom"/>
            <w:hideMark/>
          </w:tcPr>
          <w:p w14:paraId="34CBE98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DC99E2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0AC42E8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2339E96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7FBAFD2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771</w:t>
            </w:r>
          </w:p>
        </w:tc>
      </w:tr>
      <w:tr w:rsidR="00920F38" w:rsidRPr="008E1212" w14:paraId="6774AA8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68448A"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Hongrie</w:t>
            </w:r>
          </w:p>
        </w:tc>
        <w:tc>
          <w:tcPr>
            <w:tcW w:w="1138" w:type="dxa"/>
            <w:tcBorders>
              <w:top w:val="nil"/>
              <w:left w:val="nil"/>
              <w:bottom w:val="single" w:sz="4" w:space="0" w:color="auto"/>
              <w:right w:val="single" w:sz="4" w:space="0" w:color="auto"/>
            </w:tcBorders>
            <w:shd w:val="clear" w:color="auto" w:fill="auto"/>
            <w:vAlign w:val="bottom"/>
            <w:hideMark/>
          </w:tcPr>
          <w:p w14:paraId="2A1A466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4D0B1F2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3EB6F72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0C357BA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7AD564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19 528</w:t>
            </w:r>
          </w:p>
        </w:tc>
      </w:tr>
      <w:tr w:rsidR="00920F38" w:rsidRPr="008E1212" w14:paraId="4539658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1BE891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Îles Marshall</w:t>
            </w:r>
          </w:p>
        </w:tc>
        <w:tc>
          <w:tcPr>
            <w:tcW w:w="1138" w:type="dxa"/>
            <w:tcBorders>
              <w:top w:val="nil"/>
              <w:left w:val="nil"/>
              <w:bottom w:val="single" w:sz="4" w:space="0" w:color="auto"/>
              <w:right w:val="single" w:sz="4" w:space="0" w:color="auto"/>
            </w:tcBorders>
            <w:shd w:val="clear" w:color="auto" w:fill="auto"/>
            <w:vAlign w:val="bottom"/>
            <w:hideMark/>
          </w:tcPr>
          <w:p w14:paraId="059EB40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46CC3D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BA0E28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61F868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2781E9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1156938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F90FD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Îles Salomon</w:t>
            </w:r>
          </w:p>
        </w:tc>
        <w:tc>
          <w:tcPr>
            <w:tcW w:w="1138" w:type="dxa"/>
            <w:tcBorders>
              <w:top w:val="nil"/>
              <w:left w:val="nil"/>
              <w:bottom w:val="single" w:sz="4" w:space="0" w:color="auto"/>
              <w:right w:val="single" w:sz="4" w:space="0" w:color="auto"/>
            </w:tcBorders>
            <w:shd w:val="clear" w:color="auto" w:fill="auto"/>
            <w:vAlign w:val="bottom"/>
            <w:hideMark/>
          </w:tcPr>
          <w:p w14:paraId="7EE1612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758076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720E1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36A236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9DD140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2250A88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65ADD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Inde</w:t>
            </w:r>
          </w:p>
        </w:tc>
        <w:tc>
          <w:tcPr>
            <w:tcW w:w="1138" w:type="dxa"/>
            <w:tcBorders>
              <w:top w:val="nil"/>
              <w:left w:val="nil"/>
              <w:bottom w:val="single" w:sz="4" w:space="0" w:color="auto"/>
              <w:right w:val="single" w:sz="4" w:space="0" w:color="auto"/>
            </w:tcBorders>
            <w:shd w:val="clear" w:color="auto" w:fill="auto"/>
            <w:vAlign w:val="bottom"/>
            <w:hideMark/>
          </w:tcPr>
          <w:p w14:paraId="74CA826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17FA2C0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7376A97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2A50B75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75964E8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89 416</w:t>
            </w:r>
          </w:p>
        </w:tc>
      </w:tr>
      <w:tr w:rsidR="00920F38" w:rsidRPr="008E1212" w14:paraId="2E298D4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5D2DB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Indonésie</w:t>
            </w:r>
          </w:p>
        </w:tc>
        <w:tc>
          <w:tcPr>
            <w:tcW w:w="1138" w:type="dxa"/>
            <w:tcBorders>
              <w:top w:val="nil"/>
              <w:left w:val="nil"/>
              <w:bottom w:val="single" w:sz="4" w:space="0" w:color="auto"/>
              <w:right w:val="single" w:sz="4" w:space="0" w:color="auto"/>
            </w:tcBorders>
            <w:shd w:val="clear" w:color="auto" w:fill="auto"/>
            <w:vAlign w:val="bottom"/>
            <w:hideMark/>
          </w:tcPr>
          <w:p w14:paraId="10AF789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36B1C15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5C5254C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5D8B6F5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493C6CD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47 020</w:t>
            </w:r>
          </w:p>
        </w:tc>
      </w:tr>
      <w:tr w:rsidR="00920F38" w:rsidRPr="008E1212" w14:paraId="7545269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1E2767"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Iran (République islamique d’)</w:t>
            </w:r>
          </w:p>
        </w:tc>
        <w:tc>
          <w:tcPr>
            <w:tcW w:w="1138" w:type="dxa"/>
            <w:tcBorders>
              <w:top w:val="nil"/>
              <w:left w:val="nil"/>
              <w:bottom w:val="single" w:sz="4" w:space="0" w:color="auto"/>
              <w:right w:val="single" w:sz="4" w:space="0" w:color="auto"/>
            </w:tcBorders>
            <w:shd w:val="clear" w:color="auto" w:fill="auto"/>
            <w:vAlign w:val="bottom"/>
            <w:hideMark/>
          </w:tcPr>
          <w:p w14:paraId="1EDA53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38D1118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4799DDE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74E3B94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5F4857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31 775</w:t>
            </w:r>
          </w:p>
        </w:tc>
      </w:tr>
      <w:tr w:rsidR="00920F38" w:rsidRPr="008E1212" w14:paraId="4D19E63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E69FD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Iraq</w:t>
            </w:r>
          </w:p>
        </w:tc>
        <w:tc>
          <w:tcPr>
            <w:tcW w:w="1138" w:type="dxa"/>
            <w:tcBorders>
              <w:top w:val="nil"/>
              <w:left w:val="nil"/>
              <w:bottom w:val="single" w:sz="4" w:space="0" w:color="auto"/>
              <w:right w:val="single" w:sz="4" w:space="0" w:color="auto"/>
            </w:tcBorders>
            <w:shd w:val="clear" w:color="auto" w:fill="auto"/>
            <w:vAlign w:val="bottom"/>
            <w:hideMark/>
          </w:tcPr>
          <w:p w14:paraId="428EB01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7705D94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366DC6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2C66BA9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7C11ACA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10 963</w:t>
            </w:r>
          </w:p>
        </w:tc>
      </w:tr>
      <w:tr w:rsidR="00920F38" w:rsidRPr="008E1212" w14:paraId="79312AE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A20B4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Irlande</w:t>
            </w:r>
          </w:p>
        </w:tc>
        <w:tc>
          <w:tcPr>
            <w:tcW w:w="1138" w:type="dxa"/>
            <w:tcBorders>
              <w:top w:val="nil"/>
              <w:left w:val="nil"/>
              <w:bottom w:val="single" w:sz="4" w:space="0" w:color="auto"/>
              <w:right w:val="single" w:sz="4" w:space="0" w:color="auto"/>
            </w:tcBorders>
            <w:shd w:val="clear" w:color="auto" w:fill="auto"/>
            <w:vAlign w:val="bottom"/>
            <w:hideMark/>
          </w:tcPr>
          <w:p w14:paraId="64974BD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1B45D8B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6197BB3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14F746C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6D628FB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37 599</w:t>
            </w:r>
          </w:p>
        </w:tc>
      </w:tr>
      <w:tr w:rsidR="00920F38" w:rsidRPr="008E1212" w14:paraId="6BA79D6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472F9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Italie</w:t>
            </w:r>
          </w:p>
        </w:tc>
        <w:tc>
          <w:tcPr>
            <w:tcW w:w="1138" w:type="dxa"/>
            <w:tcBorders>
              <w:top w:val="nil"/>
              <w:left w:val="nil"/>
              <w:bottom w:val="single" w:sz="4" w:space="0" w:color="auto"/>
              <w:right w:val="single" w:sz="4" w:space="0" w:color="auto"/>
            </w:tcBorders>
            <w:shd w:val="clear" w:color="auto" w:fill="auto"/>
            <w:vAlign w:val="bottom"/>
            <w:hideMark/>
          </w:tcPr>
          <w:p w14:paraId="3BF987B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6ED7C1C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6631003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00E369E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2F625D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273 129</w:t>
            </w:r>
          </w:p>
        </w:tc>
      </w:tr>
      <w:tr w:rsidR="00920F38" w:rsidRPr="008E1212" w14:paraId="7346E08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4F611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Jamaïque</w:t>
            </w:r>
          </w:p>
        </w:tc>
        <w:tc>
          <w:tcPr>
            <w:tcW w:w="1138" w:type="dxa"/>
            <w:tcBorders>
              <w:top w:val="nil"/>
              <w:left w:val="nil"/>
              <w:bottom w:val="single" w:sz="4" w:space="0" w:color="auto"/>
              <w:right w:val="single" w:sz="4" w:space="0" w:color="auto"/>
            </w:tcBorders>
            <w:shd w:val="clear" w:color="auto" w:fill="auto"/>
            <w:vAlign w:val="bottom"/>
            <w:hideMark/>
          </w:tcPr>
          <w:p w14:paraId="384C5C3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47B626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6C7C00B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C34FFE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484AA91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685</w:t>
            </w:r>
          </w:p>
        </w:tc>
      </w:tr>
      <w:tr w:rsidR="00920F38" w:rsidRPr="008E1212" w14:paraId="1E41AA3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11F915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Japon</w:t>
            </w:r>
          </w:p>
        </w:tc>
        <w:tc>
          <w:tcPr>
            <w:tcW w:w="1138" w:type="dxa"/>
            <w:tcBorders>
              <w:top w:val="nil"/>
              <w:left w:val="nil"/>
              <w:bottom w:val="single" w:sz="4" w:space="0" w:color="auto"/>
              <w:right w:val="single" w:sz="4" w:space="0" w:color="auto"/>
            </w:tcBorders>
            <w:shd w:val="clear" w:color="auto" w:fill="auto"/>
            <w:noWrap/>
            <w:vAlign w:val="bottom"/>
            <w:hideMark/>
          </w:tcPr>
          <w:p w14:paraId="3316FCB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13E8B61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619F7B7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3E518A1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592C944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688 003</w:t>
            </w:r>
          </w:p>
        </w:tc>
      </w:tr>
      <w:tr w:rsidR="00920F38" w:rsidRPr="008E1212" w14:paraId="0D0C461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2C80F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Jordanie</w:t>
            </w:r>
          </w:p>
        </w:tc>
        <w:tc>
          <w:tcPr>
            <w:tcW w:w="1138" w:type="dxa"/>
            <w:tcBorders>
              <w:top w:val="nil"/>
              <w:left w:val="nil"/>
              <w:bottom w:val="single" w:sz="4" w:space="0" w:color="auto"/>
              <w:right w:val="single" w:sz="4" w:space="0" w:color="auto"/>
            </w:tcBorders>
            <w:shd w:val="clear" w:color="auto" w:fill="auto"/>
            <w:vAlign w:val="bottom"/>
            <w:hideMark/>
          </w:tcPr>
          <w:p w14:paraId="3E5D1E6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15656ED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6F59811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57B9895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3D7E8D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1 884</w:t>
            </w:r>
          </w:p>
        </w:tc>
      </w:tr>
      <w:tr w:rsidR="00920F38" w:rsidRPr="008E1212" w14:paraId="437B3BA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E9ACD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Kazakhstan</w:t>
            </w:r>
          </w:p>
        </w:tc>
        <w:tc>
          <w:tcPr>
            <w:tcW w:w="1138" w:type="dxa"/>
            <w:tcBorders>
              <w:top w:val="nil"/>
              <w:left w:val="nil"/>
              <w:bottom w:val="single" w:sz="4" w:space="0" w:color="auto"/>
              <w:right w:val="single" w:sz="4" w:space="0" w:color="auto"/>
            </w:tcBorders>
            <w:shd w:val="clear" w:color="auto" w:fill="auto"/>
            <w:vAlign w:val="bottom"/>
            <w:hideMark/>
          </w:tcPr>
          <w:p w14:paraId="619938D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4E27079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4A5B2A7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2679AFD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255B87F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11 391</w:t>
            </w:r>
          </w:p>
        </w:tc>
      </w:tr>
      <w:tr w:rsidR="00920F38" w:rsidRPr="008E1212" w14:paraId="118C4CD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9ABA53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Kenya</w:t>
            </w:r>
          </w:p>
        </w:tc>
        <w:tc>
          <w:tcPr>
            <w:tcW w:w="1138" w:type="dxa"/>
            <w:tcBorders>
              <w:top w:val="nil"/>
              <w:left w:val="nil"/>
              <w:bottom w:val="single" w:sz="4" w:space="0" w:color="auto"/>
              <w:right w:val="single" w:sz="4" w:space="0" w:color="auto"/>
            </w:tcBorders>
            <w:shd w:val="clear" w:color="auto" w:fill="auto"/>
            <w:vAlign w:val="bottom"/>
            <w:hideMark/>
          </w:tcPr>
          <w:p w14:paraId="78ED45D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419DC27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5C3A3C4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4126481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74A8FA0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2 569</w:t>
            </w:r>
          </w:p>
        </w:tc>
      </w:tr>
      <w:tr w:rsidR="00920F38" w:rsidRPr="008E1212" w14:paraId="59833AC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6D72D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Kirghizistan</w:t>
            </w:r>
          </w:p>
        </w:tc>
        <w:tc>
          <w:tcPr>
            <w:tcW w:w="1138" w:type="dxa"/>
            <w:tcBorders>
              <w:top w:val="nil"/>
              <w:left w:val="nil"/>
              <w:bottom w:val="single" w:sz="4" w:space="0" w:color="auto"/>
              <w:right w:val="single" w:sz="4" w:space="0" w:color="auto"/>
            </w:tcBorders>
            <w:shd w:val="clear" w:color="auto" w:fill="auto"/>
            <w:vAlign w:val="bottom"/>
            <w:hideMark/>
          </w:tcPr>
          <w:p w14:paraId="57DC1AB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1F9D2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80F063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36D94F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DF98C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5FF2842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734A2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Kiribati</w:t>
            </w:r>
          </w:p>
        </w:tc>
        <w:tc>
          <w:tcPr>
            <w:tcW w:w="1138" w:type="dxa"/>
            <w:tcBorders>
              <w:top w:val="nil"/>
              <w:left w:val="nil"/>
              <w:bottom w:val="single" w:sz="4" w:space="0" w:color="auto"/>
              <w:right w:val="single" w:sz="4" w:space="0" w:color="auto"/>
            </w:tcBorders>
            <w:shd w:val="clear" w:color="auto" w:fill="auto"/>
            <w:vAlign w:val="bottom"/>
            <w:hideMark/>
          </w:tcPr>
          <w:p w14:paraId="53F15E5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DBC053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1210D3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C05932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CEC4A7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64160C0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C40DA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Koweït</w:t>
            </w:r>
          </w:p>
        </w:tc>
        <w:tc>
          <w:tcPr>
            <w:tcW w:w="1138" w:type="dxa"/>
            <w:tcBorders>
              <w:top w:val="nil"/>
              <w:left w:val="nil"/>
              <w:bottom w:val="single" w:sz="4" w:space="0" w:color="auto"/>
              <w:right w:val="single" w:sz="4" w:space="0" w:color="auto"/>
            </w:tcBorders>
            <w:shd w:val="clear" w:color="auto" w:fill="auto"/>
            <w:vAlign w:val="bottom"/>
            <w:hideMark/>
          </w:tcPr>
          <w:p w14:paraId="7D4D935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241972C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7F55FD5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20E598E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2328822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20 041</w:t>
            </w:r>
          </w:p>
        </w:tc>
      </w:tr>
      <w:tr w:rsidR="00920F38" w:rsidRPr="008E1212" w14:paraId="59B695B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D7432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Lesotho</w:t>
            </w:r>
          </w:p>
        </w:tc>
        <w:tc>
          <w:tcPr>
            <w:tcW w:w="1138" w:type="dxa"/>
            <w:tcBorders>
              <w:top w:val="nil"/>
              <w:left w:val="nil"/>
              <w:bottom w:val="single" w:sz="4" w:space="0" w:color="auto"/>
              <w:right w:val="single" w:sz="4" w:space="0" w:color="auto"/>
            </w:tcBorders>
            <w:shd w:val="clear" w:color="auto" w:fill="auto"/>
            <w:vAlign w:val="bottom"/>
            <w:hideMark/>
          </w:tcPr>
          <w:p w14:paraId="2938F3C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8EC2E3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7B604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CE683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25F366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57AF978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9B2D5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Lettonie</w:t>
            </w:r>
          </w:p>
        </w:tc>
        <w:tc>
          <w:tcPr>
            <w:tcW w:w="1138" w:type="dxa"/>
            <w:tcBorders>
              <w:top w:val="nil"/>
              <w:left w:val="nil"/>
              <w:bottom w:val="single" w:sz="4" w:space="0" w:color="auto"/>
              <w:right w:val="single" w:sz="4" w:space="0" w:color="auto"/>
            </w:tcBorders>
            <w:shd w:val="clear" w:color="auto" w:fill="auto"/>
            <w:vAlign w:val="bottom"/>
            <w:hideMark/>
          </w:tcPr>
          <w:p w14:paraId="7827D0A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2A7C734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035F581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7BC42AE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2FAE95A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4 282</w:t>
            </w:r>
          </w:p>
        </w:tc>
      </w:tr>
      <w:tr w:rsidR="00920F38" w:rsidRPr="008E1212" w14:paraId="564249E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5620C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Liban</w:t>
            </w:r>
          </w:p>
        </w:tc>
        <w:tc>
          <w:tcPr>
            <w:tcW w:w="1138" w:type="dxa"/>
            <w:tcBorders>
              <w:top w:val="nil"/>
              <w:left w:val="nil"/>
              <w:bottom w:val="single" w:sz="4" w:space="0" w:color="auto"/>
              <w:right w:val="single" w:sz="4" w:space="0" w:color="auto"/>
            </w:tcBorders>
            <w:shd w:val="clear" w:color="auto" w:fill="auto"/>
            <w:vAlign w:val="bottom"/>
            <w:hideMark/>
          </w:tcPr>
          <w:p w14:paraId="3133D4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2C6DD46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0C7B441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6FEF44A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4929738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3 083</w:t>
            </w:r>
          </w:p>
        </w:tc>
      </w:tr>
      <w:tr w:rsidR="00920F38" w:rsidRPr="008E1212" w14:paraId="0F868C7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1900E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Liberia</w:t>
            </w:r>
          </w:p>
        </w:tc>
        <w:tc>
          <w:tcPr>
            <w:tcW w:w="1138" w:type="dxa"/>
            <w:tcBorders>
              <w:top w:val="nil"/>
              <w:left w:val="nil"/>
              <w:bottom w:val="single" w:sz="4" w:space="0" w:color="auto"/>
              <w:right w:val="single" w:sz="4" w:space="0" w:color="auto"/>
            </w:tcBorders>
            <w:shd w:val="clear" w:color="auto" w:fill="auto"/>
            <w:vAlign w:val="bottom"/>
            <w:hideMark/>
          </w:tcPr>
          <w:p w14:paraId="024542D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62100A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B23C1E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5D23E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DC37C5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6E6F387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C8AB0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Libye</w:t>
            </w:r>
          </w:p>
        </w:tc>
        <w:tc>
          <w:tcPr>
            <w:tcW w:w="1138" w:type="dxa"/>
            <w:tcBorders>
              <w:top w:val="nil"/>
              <w:left w:val="nil"/>
              <w:bottom w:val="single" w:sz="4" w:space="0" w:color="auto"/>
              <w:right w:val="single" w:sz="4" w:space="0" w:color="auto"/>
            </w:tcBorders>
            <w:shd w:val="clear" w:color="auto" w:fill="auto"/>
            <w:vAlign w:val="bottom"/>
            <w:hideMark/>
          </w:tcPr>
          <w:p w14:paraId="2855B23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7AA2A1D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4C26FE2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0EF2258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7A962DF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1 542</w:t>
            </w:r>
          </w:p>
        </w:tc>
      </w:tr>
      <w:tr w:rsidR="00920F38" w:rsidRPr="008E1212" w14:paraId="1315798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D653A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Lituanie</w:t>
            </w:r>
          </w:p>
        </w:tc>
        <w:tc>
          <w:tcPr>
            <w:tcW w:w="1138" w:type="dxa"/>
            <w:tcBorders>
              <w:top w:val="nil"/>
              <w:left w:val="nil"/>
              <w:bottom w:val="single" w:sz="4" w:space="0" w:color="auto"/>
              <w:right w:val="single" w:sz="4" w:space="0" w:color="auto"/>
            </w:tcBorders>
            <w:shd w:val="clear" w:color="auto" w:fill="auto"/>
            <w:vAlign w:val="bottom"/>
            <w:hideMark/>
          </w:tcPr>
          <w:p w14:paraId="2853CB1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31A4002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7BA6081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2B906D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5ECDAA9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6 595</w:t>
            </w:r>
          </w:p>
        </w:tc>
      </w:tr>
      <w:tr w:rsidR="00920F38" w:rsidRPr="008E1212" w14:paraId="53FB755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9E33B3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Luxembourg</w:t>
            </w:r>
          </w:p>
        </w:tc>
        <w:tc>
          <w:tcPr>
            <w:tcW w:w="1138" w:type="dxa"/>
            <w:tcBorders>
              <w:top w:val="nil"/>
              <w:left w:val="nil"/>
              <w:bottom w:val="single" w:sz="4" w:space="0" w:color="auto"/>
              <w:right w:val="single" w:sz="4" w:space="0" w:color="auto"/>
            </w:tcBorders>
            <w:shd w:val="clear" w:color="auto" w:fill="auto"/>
            <w:vAlign w:val="bottom"/>
            <w:hideMark/>
          </w:tcPr>
          <w:p w14:paraId="5D64197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64315AD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5477EDC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17EA0A8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08A243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5 824</w:t>
            </w:r>
          </w:p>
        </w:tc>
      </w:tr>
      <w:tr w:rsidR="00920F38" w:rsidRPr="008E1212" w14:paraId="47F43DE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D0C10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Macédoine du Nord</w:t>
            </w:r>
          </w:p>
        </w:tc>
        <w:tc>
          <w:tcPr>
            <w:tcW w:w="1138" w:type="dxa"/>
            <w:tcBorders>
              <w:top w:val="nil"/>
              <w:left w:val="nil"/>
              <w:bottom w:val="single" w:sz="4" w:space="0" w:color="auto"/>
              <w:right w:val="single" w:sz="4" w:space="0" w:color="auto"/>
            </w:tcBorders>
            <w:shd w:val="clear" w:color="auto" w:fill="auto"/>
            <w:vAlign w:val="bottom"/>
            <w:hideMark/>
          </w:tcPr>
          <w:p w14:paraId="1389F52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E8E70E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98ED77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7ECBFE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0089F7C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600</w:t>
            </w:r>
          </w:p>
        </w:tc>
      </w:tr>
      <w:tr w:rsidR="00920F38" w:rsidRPr="008E1212" w14:paraId="57E3DF6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F6A26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Madagascar</w:t>
            </w:r>
          </w:p>
        </w:tc>
        <w:tc>
          <w:tcPr>
            <w:tcW w:w="1138" w:type="dxa"/>
            <w:tcBorders>
              <w:top w:val="nil"/>
              <w:left w:val="nil"/>
              <w:bottom w:val="single" w:sz="4" w:space="0" w:color="auto"/>
              <w:right w:val="single" w:sz="4" w:space="0" w:color="auto"/>
            </w:tcBorders>
            <w:shd w:val="clear" w:color="auto" w:fill="auto"/>
            <w:vAlign w:val="bottom"/>
            <w:hideMark/>
          </w:tcPr>
          <w:p w14:paraId="33C026A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D98809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E8A984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7600608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7836C7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36CF9C9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FF312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Malaisie</w:t>
            </w:r>
          </w:p>
        </w:tc>
        <w:tc>
          <w:tcPr>
            <w:tcW w:w="1138" w:type="dxa"/>
            <w:tcBorders>
              <w:top w:val="nil"/>
              <w:left w:val="nil"/>
              <w:bottom w:val="single" w:sz="4" w:space="0" w:color="auto"/>
              <w:right w:val="single" w:sz="4" w:space="0" w:color="auto"/>
            </w:tcBorders>
            <w:shd w:val="clear" w:color="auto" w:fill="auto"/>
            <w:vAlign w:val="bottom"/>
            <w:hideMark/>
          </w:tcPr>
          <w:p w14:paraId="680DE68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7852CEA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1BCF645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7E493EE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5B00552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29 805</w:t>
            </w:r>
          </w:p>
        </w:tc>
      </w:tr>
      <w:tr w:rsidR="00920F38" w:rsidRPr="008E1212" w14:paraId="3071BA9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B774D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lastRenderedPageBreak/>
              <w:t>Malawi</w:t>
            </w:r>
          </w:p>
        </w:tc>
        <w:tc>
          <w:tcPr>
            <w:tcW w:w="1138" w:type="dxa"/>
            <w:tcBorders>
              <w:top w:val="nil"/>
              <w:left w:val="nil"/>
              <w:bottom w:val="single" w:sz="4" w:space="0" w:color="auto"/>
              <w:right w:val="single" w:sz="4" w:space="0" w:color="auto"/>
            </w:tcBorders>
            <w:shd w:val="clear" w:color="auto" w:fill="auto"/>
            <w:vAlign w:val="bottom"/>
            <w:hideMark/>
          </w:tcPr>
          <w:p w14:paraId="7A0A65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7BE2C49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459CD09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BF9F9F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FF6F71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643544F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111F0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Maldives</w:t>
            </w:r>
          </w:p>
        </w:tc>
        <w:tc>
          <w:tcPr>
            <w:tcW w:w="1138" w:type="dxa"/>
            <w:tcBorders>
              <w:top w:val="nil"/>
              <w:left w:val="nil"/>
              <w:bottom w:val="single" w:sz="4" w:space="0" w:color="auto"/>
              <w:right w:val="single" w:sz="4" w:space="0" w:color="auto"/>
            </w:tcBorders>
            <w:shd w:val="clear" w:color="auto" w:fill="auto"/>
            <w:vAlign w:val="bottom"/>
            <w:hideMark/>
          </w:tcPr>
          <w:p w14:paraId="29DF60E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99440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775816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1F23BF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4F41E2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294B241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A47CB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Mali</w:t>
            </w:r>
          </w:p>
        </w:tc>
        <w:tc>
          <w:tcPr>
            <w:tcW w:w="1138" w:type="dxa"/>
            <w:tcBorders>
              <w:top w:val="nil"/>
              <w:left w:val="nil"/>
              <w:bottom w:val="single" w:sz="4" w:space="0" w:color="auto"/>
              <w:right w:val="single" w:sz="4" w:space="0" w:color="auto"/>
            </w:tcBorders>
            <w:shd w:val="clear" w:color="auto" w:fill="auto"/>
            <w:vAlign w:val="bottom"/>
            <w:hideMark/>
          </w:tcPr>
          <w:p w14:paraId="435089E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3C69F6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5DE3FB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A3FD8C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E6D11A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428</w:t>
            </w:r>
          </w:p>
        </w:tc>
      </w:tr>
      <w:tr w:rsidR="00920F38" w:rsidRPr="008E1212" w14:paraId="3DFE0921"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B33EF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Malte</w:t>
            </w:r>
          </w:p>
        </w:tc>
        <w:tc>
          <w:tcPr>
            <w:tcW w:w="1138" w:type="dxa"/>
            <w:tcBorders>
              <w:top w:val="nil"/>
              <w:left w:val="nil"/>
              <w:bottom w:val="single" w:sz="4" w:space="0" w:color="auto"/>
              <w:right w:val="single" w:sz="4" w:space="0" w:color="auto"/>
            </w:tcBorders>
            <w:shd w:val="clear" w:color="auto" w:fill="auto"/>
            <w:vAlign w:val="bottom"/>
            <w:hideMark/>
          </w:tcPr>
          <w:p w14:paraId="7183A30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62125C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7566DDF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65E791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7157525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1 627</w:t>
            </w:r>
          </w:p>
        </w:tc>
      </w:tr>
      <w:tr w:rsidR="00920F38" w:rsidRPr="008E1212" w14:paraId="23F3282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B0FBD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Maroc</w:t>
            </w:r>
          </w:p>
        </w:tc>
        <w:tc>
          <w:tcPr>
            <w:tcW w:w="1138" w:type="dxa"/>
            <w:tcBorders>
              <w:top w:val="nil"/>
              <w:left w:val="nil"/>
              <w:bottom w:val="single" w:sz="4" w:space="0" w:color="auto"/>
              <w:right w:val="single" w:sz="4" w:space="0" w:color="auto"/>
            </w:tcBorders>
            <w:shd w:val="clear" w:color="auto" w:fill="auto"/>
            <w:vAlign w:val="bottom"/>
            <w:hideMark/>
          </w:tcPr>
          <w:p w14:paraId="01BA8AE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6C6F75F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0B0C76F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783CDF8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525863A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4 711</w:t>
            </w:r>
          </w:p>
        </w:tc>
      </w:tr>
      <w:tr w:rsidR="00920F38" w:rsidRPr="008E1212" w14:paraId="0429591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259168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Maurice</w:t>
            </w:r>
          </w:p>
        </w:tc>
        <w:tc>
          <w:tcPr>
            <w:tcW w:w="1138" w:type="dxa"/>
            <w:tcBorders>
              <w:top w:val="nil"/>
              <w:left w:val="nil"/>
              <w:bottom w:val="single" w:sz="4" w:space="0" w:color="auto"/>
              <w:right w:val="single" w:sz="4" w:space="0" w:color="auto"/>
            </w:tcBorders>
            <w:shd w:val="clear" w:color="auto" w:fill="auto"/>
            <w:vAlign w:val="bottom"/>
            <w:hideMark/>
          </w:tcPr>
          <w:p w14:paraId="6EC1D3C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1CE6E6A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612BF26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DFE5F4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29A4A8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1 627</w:t>
            </w:r>
          </w:p>
        </w:tc>
      </w:tr>
      <w:tr w:rsidR="00920F38" w:rsidRPr="008E1212" w14:paraId="489C9BE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4B5E22"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Mauritanie</w:t>
            </w:r>
          </w:p>
        </w:tc>
        <w:tc>
          <w:tcPr>
            <w:tcW w:w="1138" w:type="dxa"/>
            <w:tcBorders>
              <w:top w:val="nil"/>
              <w:left w:val="nil"/>
              <w:bottom w:val="single" w:sz="4" w:space="0" w:color="auto"/>
              <w:right w:val="single" w:sz="4" w:space="0" w:color="auto"/>
            </w:tcBorders>
            <w:shd w:val="clear" w:color="auto" w:fill="auto"/>
            <w:vAlign w:val="bottom"/>
            <w:hideMark/>
          </w:tcPr>
          <w:p w14:paraId="0367209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659D2F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F000C1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FDD13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F38FF0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627608C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15467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Mexique</w:t>
            </w:r>
          </w:p>
        </w:tc>
        <w:tc>
          <w:tcPr>
            <w:tcW w:w="1138" w:type="dxa"/>
            <w:tcBorders>
              <w:top w:val="nil"/>
              <w:left w:val="nil"/>
              <w:bottom w:val="single" w:sz="4" w:space="0" w:color="auto"/>
              <w:right w:val="single" w:sz="4" w:space="0" w:color="auto"/>
            </w:tcBorders>
            <w:shd w:val="clear" w:color="auto" w:fill="auto"/>
            <w:vAlign w:val="bottom"/>
            <w:hideMark/>
          </w:tcPr>
          <w:p w14:paraId="3A3DAF8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6B84B06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5C6F524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35B3595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3C77FEC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104 575</w:t>
            </w:r>
          </w:p>
        </w:tc>
      </w:tr>
      <w:tr w:rsidR="00920F38" w:rsidRPr="008E1212" w14:paraId="5119F0D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53AECF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Mongolie</w:t>
            </w:r>
          </w:p>
        </w:tc>
        <w:tc>
          <w:tcPr>
            <w:tcW w:w="1138" w:type="dxa"/>
            <w:tcBorders>
              <w:top w:val="nil"/>
              <w:left w:val="nil"/>
              <w:bottom w:val="single" w:sz="4" w:space="0" w:color="auto"/>
              <w:right w:val="single" w:sz="4" w:space="0" w:color="auto"/>
            </w:tcBorders>
            <w:shd w:val="clear" w:color="auto" w:fill="auto"/>
            <w:vAlign w:val="bottom"/>
            <w:hideMark/>
          </w:tcPr>
          <w:p w14:paraId="20A1AE8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5B2237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E08BB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01D044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43ADC1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17C4001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3A22F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Monténégro</w:t>
            </w:r>
          </w:p>
        </w:tc>
        <w:tc>
          <w:tcPr>
            <w:tcW w:w="1138" w:type="dxa"/>
            <w:tcBorders>
              <w:top w:val="nil"/>
              <w:left w:val="nil"/>
              <w:bottom w:val="single" w:sz="4" w:space="0" w:color="auto"/>
              <w:right w:val="single" w:sz="4" w:space="0" w:color="auto"/>
            </w:tcBorders>
            <w:shd w:val="clear" w:color="auto" w:fill="auto"/>
            <w:vAlign w:val="bottom"/>
            <w:hideMark/>
          </w:tcPr>
          <w:p w14:paraId="305BCE3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4D03239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C7A461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49E04E4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D26E24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27223A9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543FF3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Mozambique</w:t>
            </w:r>
          </w:p>
        </w:tc>
        <w:tc>
          <w:tcPr>
            <w:tcW w:w="1138" w:type="dxa"/>
            <w:tcBorders>
              <w:top w:val="nil"/>
              <w:left w:val="nil"/>
              <w:bottom w:val="single" w:sz="4" w:space="0" w:color="auto"/>
              <w:right w:val="single" w:sz="4" w:space="0" w:color="auto"/>
            </w:tcBorders>
            <w:shd w:val="clear" w:color="auto" w:fill="auto"/>
            <w:vAlign w:val="bottom"/>
            <w:hideMark/>
          </w:tcPr>
          <w:p w14:paraId="2CA3D0A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23887C6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61A085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FBEA18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F48CE6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343</w:t>
            </w:r>
          </w:p>
        </w:tc>
      </w:tr>
      <w:tr w:rsidR="00920F38" w:rsidRPr="008E1212" w14:paraId="3C6BF30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72E036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Myanmar</w:t>
            </w:r>
          </w:p>
        </w:tc>
        <w:tc>
          <w:tcPr>
            <w:tcW w:w="1138" w:type="dxa"/>
            <w:tcBorders>
              <w:top w:val="nil"/>
              <w:left w:val="nil"/>
              <w:bottom w:val="single" w:sz="4" w:space="0" w:color="auto"/>
              <w:right w:val="single" w:sz="4" w:space="0" w:color="auto"/>
            </w:tcBorders>
            <w:shd w:val="clear" w:color="auto" w:fill="auto"/>
            <w:vAlign w:val="bottom"/>
            <w:hideMark/>
          </w:tcPr>
          <w:p w14:paraId="6B46474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228A6F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C9917A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82E6D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83AA22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7E75610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57689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Namibie</w:t>
            </w:r>
          </w:p>
        </w:tc>
        <w:tc>
          <w:tcPr>
            <w:tcW w:w="1138" w:type="dxa"/>
            <w:tcBorders>
              <w:top w:val="nil"/>
              <w:left w:val="nil"/>
              <w:bottom w:val="single" w:sz="4" w:space="0" w:color="auto"/>
              <w:right w:val="single" w:sz="4" w:space="0" w:color="auto"/>
            </w:tcBorders>
            <w:shd w:val="clear" w:color="auto" w:fill="auto"/>
            <w:vAlign w:val="bottom"/>
            <w:hideMark/>
          </w:tcPr>
          <w:p w14:paraId="7853B41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3E314E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049B2EC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05E471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BD9D2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771</w:t>
            </w:r>
          </w:p>
        </w:tc>
      </w:tr>
      <w:tr w:rsidR="00920F38" w:rsidRPr="008E1212" w14:paraId="178231E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189D1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Nauru</w:t>
            </w:r>
          </w:p>
        </w:tc>
        <w:tc>
          <w:tcPr>
            <w:tcW w:w="1138" w:type="dxa"/>
            <w:tcBorders>
              <w:top w:val="nil"/>
              <w:left w:val="nil"/>
              <w:bottom w:val="single" w:sz="4" w:space="0" w:color="auto"/>
              <w:right w:val="single" w:sz="4" w:space="0" w:color="auto"/>
            </w:tcBorders>
            <w:shd w:val="clear" w:color="auto" w:fill="auto"/>
            <w:vAlign w:val="bottom"/>
            <w:hideMark/>
          </w:tcPr>
          <w:p w14:paraId="634E665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1B84D3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6768F9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D6E990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6F2465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24C2B5C0"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C2509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Nicaragua</w:t>
            </w:r>
          </w:p>
        </w:tc>
        <w:tc>
          <w:tcPr>
            <w:tcW w:w="1138" w:type="dxa"/>
            <w:tcBorders>
              <w:top w:val="nil"/>
              <w:left w:val="nil"/>
              <w:bottom w:val="single" w:sz="4" w:space="0" w:color="auto"/>
              <w:right w:val="single" w:sz="4" w:space="0" w:color="auto"/>
            </w:tcBorders>
            <w:shd w:val="clear" w:color="auto" w:fill="auto"/>
            <w:vAlign w:val="bottom"/>
            <w:hideMark/>
          </w:tcPr>
          <w:p w14:paraId="519BE9C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6565826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0248082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06D812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3FFBB5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428</w:t>
            </w:r>
          </w:p>
        </w:tc>
      </w:tr>
      <w:tr w:rsidR="00920F38" w:rsidRPr="008E1212" w14:paraId="2B68E93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C3429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Niger</w:t>
            </w:r>
          </w:p>
        </w:tc>
        <w:tc>
          <w:tcPr>
            <w:tcW w:w="1138" w:type="dxa"/>
            <w:tcBorders>
              <w:top w:val="nil"/>
              <w:left w:val="nil"/>
              <w:bottom w:val="single" w:sz="4" w:space="0" w:color="auto"/>
              <w:right w:val="single" w:sz="4" w:space="0" w:color="auto"/>
            </w:tcBorders>
            <w:shd w:val="clear" w:color="auto" w:fill="auto"/>
            <w:vAlign w:val="bottom"/>
            <w:hideMark/>
          </w:tcPr>
          <w:p w14:paraId="49DF864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1F2E6A2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52ABC57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22C2676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704BA3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w:t>
            </w:r>
          </w:p>
        </w:tc>
      </w:tr>
      <w:tr w:rsidR="00920F38" w:rsidRPr="008E1212" w14:paraId="555C35F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C7818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Nigeria</w:t>
            </w:r>
          </w:p>
        </w:tc>
        <w:tc>
          <w:tcPr>
            <w:tcW w:w="1138" w:type="dxa"/>
            <w:tcBorders>
              <w:top w:val="nil"/>
              <w:left w:val="nil"/>
              <w:bottom w:val="single" w:sz="4" w:space="0" w:color="auto"/>
              <w:right w:val="single" w:sz="4" w:space="0" w:color="auto"/>
            </w:tcBorders>
            <w:shd w:val="clear" w:color="auto" w:fill="auto"/>
            <w:vAlign w:val="bottom"/>
            <w:hideMark/>
          </w:tcPr>
          <w:p w14:paraId="6AC1DC4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2A2BA85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67E50B2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58EAE92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46FF90A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15 588</w:t>
            </w:r>
          </w:p>
        </w:tc>
      </w:tr>
      <w:tr w:rsidR="00920F38" w:rsidRPr="008E1212" w14:paraId="32CA773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8E6D5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Nioué</w:t>
            </w:r>
          </w:p>
        </w:tc>
        <w:tc>
          <w:tcPr>
            <w:tcW w:w="1138" w:type="dxa"/>
            <w:tcBorders>
              <w:top w:val="nil"/>
              <w:left w:val="nil"/>
              <w:bottom w:val="single" w:sz="4" w:space="0" w:color="auto"/>
              <w:right w:val="single" w:sz="4" w:space="0" w:color="auto"/>
            </w:tcBorders>
            <w:shd w:val="clear" w:color="auto" w:fill="auto"/>
            <w:vAlign w:val="bottom"/>
            <w:hideMark/>
          </w:tcPr>
          <w:p w14:paraId="6C066A9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D33181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C2FF4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6D35E3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5D2607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20CD584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4C3A3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Norvège</w:t>
            </w:r>
          </w:p>
        </w:tc>
        <w:tc>
          <w:tcPr>
            <w:tcW w:w="1138" w:type="dxa"/>
            <w:tcBorders>
              <w:top w:val="nil"/>
              <w:left w:val="nil"/>
              <w:bottom w:val="single" w:sz="4" w:space="0" w:color="auto"/>
              <w:right w:val="single" w:sz="4" w:space="0" w:color="auto"/>
            </w:tcBorders>
            <w:shd w:val="clear" w:color="auto" w:fill="auto"/>
            <w:vAlign w:val="bottom"/>
            <w:hideMark/>
          </w:tcPr>
          <w:p w14:paraId="33633E6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015CF1A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65AE273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6522791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768D2B9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58 154</w:t>
            </w:r>
          </w:p>
        </w:tc>
      </w:tr>
      <w:tr w:rsidR="00920F38" w:rsidRPr="008E1212" w14:paraId="6B28D3D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C1814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Nouvelle-Zélande</w:t>
            </w:r>
          </w:p>
        </w:tc>
        <w:tc>
          <w:tcPr>
            <w:tcW w:w="1138" w:type="dxa"/>
            <w:tcBorders>
              <w:top w:val="nil"/>
              <w:left w:val="nil"/>
              <w:bottom w:val="single" w:sz="4" w:space="0" w:color="auto"/>
              <w:right w:val="single" w:sz="4" w:space="0" w:color="auto"/>
            </w:tcBorders>
            <w:shd w:val="clear" w:color="auto" w:fill="auto"/>
            <w:vAlign w:val="bottom"/>
            <w:hideMark/>
          </w:tcPr>
          <w:p w14:paraId="1A894B9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2025048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472B378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5FFED42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4E1DE00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26 465</w:t>
            </w:r>
          </w:p>
        </w:tc>
      </w:tr>
      <w:tr w:rsidR="00920F38" w:rsidRPr="008E1212" w14:paraId="195E061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53FB1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Oman</w:t>
            </w:r>
          </w:p>
        </w:tc>
        <w:tc>
          <w:tcPr>
            <w:tcW w:w="1138" w:type="dxa"/>
            <w:tcBorders>
              <w:top w:val="nil"/>
              <w:left w:val="nil"/>
              <w:bottom w:val="single" w:sz="4" w:space="0" w:color="auto"/>
              <w:right w:val="single" w:sz="4" w:space="0" w:color="auto"/>
            </w:tcBorders>
            <w:shd w:val="clear" w:color="auto" w:fill="auto"/>
            <w:vAlign w:val="bottom"/>
            <w:hideMark/>
          </w:tcPr>
          <w:p w14:paraId="68D51B8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528E6A1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3C885F2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56B7257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4B265A2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9 507</w:t>
            </w:r>
          </w:p>
        </w:tc>
      </w:tr>
      <w:tr w:rsidR="00920F38" w:rsidRPr="008E1212" w14:paraId="48E8103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1BFAA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Ouganda</w:t>
            </w:r>
          </w:p>
        </w:tc>
        <w:tc>
          <w:tcPr>
            <w:tcW w:w="1138" w:type="dxa"/>
            <w:tcBorders>
              <w:top w:val="nil"/>
              <w:left w:val="nil"/>
              <w:bottom w:val="single" w:sz="4" w:space="0" w:color="auto"/>
              <w:right w:val="single" w:sz="4" w:space="0" w:color="auto"/>
            </w:tcBorders>
            <w:shd w:val="clear" w:color="auto" w:fill="auto"/>
            <w:vAlign w:val="bottom"/>
            <w:hideMark/>
          </w:tcPr>
          <w:p w14:paraId="176C3D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E91663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B0B757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1A6517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490FA8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5049236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C3F66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Ouzbékistan</w:t>
            </w:r>
          </w:p>
        </w:tc>
        <w:tc>
          <w:tcPr>
            <w:tcW w:w="1138" w:type="dxa"/>
            <w:tcBorders>
              <w:top w:val="nil"/>
              <w:left w:val="nil"/>
              <w:bottom w:val="single" w:sz="4" w:space="0" w:color="auto"/>
              <w:right w:val="single" w:sz="4" w:space="0" w:color="auto"/>
            </w:tcBorders>
            <w:shd w:val="clear" w:color="auto" w:fill="auto"/>
            <w:vAlign w:val="bottom"/>
            <w:hideMark/>
          </w:tcPr>
          <w:p w14:paraId="3DD001F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6FE83DF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3B9D1E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15B6F0A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263B697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2 312</w:t>
            </w:r>
          </w:p>
        </w:tc>
      </w:tr>
      <w:tr w:rsidR="00920F38" w:rsidRPr="008E1212" w14:paraId="410D583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DF792A"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Pakistan</w:t>
            </w:r>
          </w:p>
        </w:tc>
        <w:tc>
          <w:tcPr>
            <w:tcW w:w="1138" w:type="dxa"/>
            <w:tcBorders>
              <w:top w:val="nil"/>
              <w:left w:val="nil"/>
              <w:bottom w:val="single" w:sz="4" w:space="0" w:color="auto"/>
              <w:right w:val="single" w:sz="4" w:space="0" w:color="auto"/>
            </w:tcBorders>
            <w:shd w:val="clear" w:color="auto" w:fill="auto"/>
            <w:vAlign w:val="bottom"/>
            <w:hideMark/>
          </w:tcPr>
          <w:p w14:paraId="3837FED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5737B1D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0EADEF4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41C23C4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538F71C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9 764</w:t>
            </w:r>
          </w:p>
        </w:tc>
      </w:tr>
      <w:tr w:rsidR="00920F38" w:rsidRPr="008E1212" w14:paraId="1B1BE6F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FDAC7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Palaos</w:t>
            </w:r>
          </w:p>
        </w:tc>
        <w:tc>
          <w:tcPr>
            <w:tcW w:w="1138" w:type="dxa"/>
            <w:tcBorders>
              <w:top w:val="nil"/>
              <w:left w:val="nil"/>
              <w:bottom w:val="single" w:sz="4" w:space="0" w:color="auto"/>
              <w:right w:val="single" w:sz="4" w:space="0" w:color="auto"/>
            </w:tcBorders>
            <w:shd w:val="clear" w:color="auto" w:fill="auto"/>
            <w:vAlign w:val="bottom"/>
            <w:hideMark/>
          </w:tcPr>
          <w:p w14:paraId="19CE287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4F287B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74E2DD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D412BD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83C447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6BCFFE4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77979A"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Panama</w:t>
            </w:r>
          </w:p>
        </w:tc>
        <w:tc>
          <w:tcPr>
            <w:tcW w:w="1138" w:type="dxa"/>
            <w:tcBorders>
              <w:top w:val="nil"/>
              <w:left w:val="nil"/>
              <w:bottom w:val="single" w:sz="4" w:space="0" w:color="auto"/>
              <w:right w:val="single" w:sz="4" w:space="0" w:color="auto"/>
            </w:tcBorders>
            <w:shd w:val="clear" w:color="auto" w:fill="auto"/>
            <w:vAlign w:val="bottom"/>
            <w:hideMark/>
          </w:tcPr>
          <w:p w14:paraId="3EFF9F9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6F999FD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739517D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39BFE01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110444C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7 708</w:t>
            </w:r>
          </w:p>
        </w:tc>
      </w:tr>
      <w:tr w:rsidR="00920F38" w:rsidRPr="008E1212" w14:paraId="60900B9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5BD90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Papouasie - Nouvelle-Guinée</w:t>
            </w:r>
          </w:p>
        </w:tc>
        <w:tc>
          <w:tcPr>
            <w:tcW w:w="1138" w:type="dxa"/>
            <w:tcBorders>
              <w:top w:val="nil"/>
              <w:left w:val="nil"/>
              <w:bottom w:val="single" w:sz="4" w:space="0" w:color="auto"/>
              <w:right w:val="single" w:sz="4" w:space="0" w:color="auto"/>
            </w:tcBorders>
            <w:shd w:val="clear" w:color="auto" w:fill="auto"/>
            <w:vAlign w:val="bottom"/>
            <w:hideMark/>
          </w:tcPr>
          <w:p w14:paraId="4FA150D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AA6E8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7025D64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769AF44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319948F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856</w:t>
            </w:r>
          </w:p>
        </w:tc>
      </w:tr>
      <w:tr w:rsidR="00920F38" w:rsidRPr="008E1212" w14:paraId="7B8EB2C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11A332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Paraguay</w:t>
            </w:r>
          </w:p>
        </w:tc>
        <w:tc>
          <w:tcPr>
            <w:tcW w:w="1138" w:type="dxa"/>
            <w:tcBorders>
              <w:top w:val="nil"/>
              <w:left w:val="nil"/>
              <w:bottom w:val="single" w:sz="4" w:space="0" w:color="auto"/>
              <w:right w:val="single" w:sz="4" w:space="0" w:color="auto"/>
            </w:tcBorders>
            <w:shd w:val="clear" w:color="auto" w:fill="auto"/>
            <w:vAlign w:val="bottom"/>
            <w:hideMark/>
          </w:tcPr>
          <w:p w14:paraId="3528D34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7A3D430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1B4111E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2A59755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44F8101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2 227</w:t>
            </w:r>
          </w:p>
        </w:tc>
      </w:tr>
      <w:tr w:rsidR="00920F38" w:rsidRPr="008E1212" w14:paraId="4B5FA305"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6E37E4"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Pays-Bas (Royaume des)</w:t>
            </w:r>
          </w:p>
        </w:tc>
        <w:tc>
          <w:tcPr>
            <w:tcW w:w="1138" w:type="dxa"/>
            <w:tcBorders>
              <w:top w:val="nil"/>
              <w:left w:val="nil"/>
              <w:bottom w:val="single" w:sz="4" w:space="0" w:color="auto"/>
              <w:right w:val="single" w:sz="4" w:space="0" w:color="auto"/>
            </w:tcBorders>
            <w:shd w:val="clear" w:color="auto" w:fill="auto"/>
            <w:vAlign w:val="bottom"/>
            <w:hideMark/>
          </w:tcPr>
          <w:p w14:paraId="1B63025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405E902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06CC6D3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6B86193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12831F9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117 936</w:t>
            </w:r>
          </w:p>
        </w:tc>
      </w:tr>
      <w:tr w:rsidR="00920F38" w:rsidRPr="008E1212" w14:paraId="0D88326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FDD56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Pérou</w:t>
            </w:r>
          </w:p>
        </w:tc>
        <w:tc>
          <w:tcPr>
            <w:tcW w:w="1138" w:type="dxa"/>
            <w:tcBorders>
              <w:top w:val="nil"/>
              <w:left w:val="nil"/>
              <w:bottom w:val="single" w:sz="4" w:space="0" w:color="auto"/>
              <w:right w:val="single" w:sz="4" w:space="0" w:color="auto"/>
            </w:tcBorders>
            <w:shd w:val="clear" w:color="auto" w:fill="auto"/>
            <w:vAlign w:val="bottom"/>
            <w:hideMark/>
          </w:tcPr>
          <w:p w14:paraId="5AEFA68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36D577E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36654BA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6714401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0EEBF7A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13 960</w:t>
            </w:r>
          </w:p>
        </w:tc>
      </w:tr>
      <w:tr w:rsidR="00920F38" w:rsidRPr="008E1212" w14:paraId="523959F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01B15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Philippines</w:t>
            </w:r>
          </w:p>
        </w:tc>
        <w:tc>
          <w:tcPr>
            <w:tcW w:w="1138" w:type="dxa"/>
            <w:tcBorders>
              <w:top w:val="nil"/>
              <w:left w:val="nil"/>
              <w:bottom w:val="single" w:sz="4" w:space="0" w:color="auto"/>
              <w:right w:val="single" w:sz="4" w:space="0" w:color="auto"/>
            </w:tcBorders>
            <w:shd w:val="clear" w:color="auto" w:fill="auto"/>
            <w:vAlign w:val="bottom"/>
            <w:hideMark/>
          </w:tcPr>
          <w:p w14:paraId="04FD4B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044048A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31303F2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22F2B69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5454BF3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18 157</w:t>
            </w:r>
          </w:p>
        </w:tc>
      </w:tr>
      <w:tr w:rsidR="00920F38" w:rsidRPr="008E1212" w14:paraId="47E5974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3CDAD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Pologne</w:t>
            </w:r>
          </w:p>
        </w:tc>
        <w:tc>
          <w:tcPr>
            <w:tcW w:w="1138" w:type="dxa"/>
            <w:tcBorders>
              <w:top w:val="nil"/>
              <w:left w:val="nil"/>
              <w:bottom w:val="single" w:sz="4" w:space="0" w:color="auto"/>
              <w:right w:val="single" w:sz="4" w:space="0" w:color="auto"/>
            </w:tcBorders>
            <w:shd w:val="clear" w:color="auto" w:fill="auto"/>
            <w:vAlign w:val="bottom"/>
            <w:hideMark/>
          </w:tcPr>
          <w:p w14:paraId="22A3D42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020EAD9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08274AE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66709A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08EB59E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71 687</w:t>
            </w:r>
          </w:p>
        </w:tc>
      </w:tr>
      <w:tr w:rsidR="00920F38" w:rsidRPr="008E1212" w14:paraId="5867AA7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E9C29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Portugal</w:t>
            </w:r>
          </w:p>
        </w:tc>
        <w:tc>
          <w:tcPr>
            <w:tcW w:w="1138" w:type="dxa"/>
            <w:tcBorders>
              <w:top w:val="nil"/>
              <w:left w:val="nil"/>
              <w:bottom w:val="single" w:sz="4" w:space="0" w:color="auto"/>
              <w:right w:val="single" w:sz="4" w:space="0" w:color="auto"/>
            </w:tcBorders>
            <w:shd w:val="clear" w:color="auto" w:fill="auto"/>
            <w:vAlign w:val="bottom"/>
            <w:hideMark/>
          </w:tcPr>
          <w:p w14:paraId="1BDA99A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2C459F7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0603857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50246CB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206B88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30 233</w:t>
            </w:r>
          </w:p>
        </w:tc>
      </w:tr>
      <w:tr w:rsidR="00920F38" w:rsidRPr="008E1212" w14:paraId="5AF736C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0391F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Qatar</w:t>
            </w:r>
          </w:p>
        </w:tc>
        <w:tc>
          <w:tcPr>
            <w:tcW w:w="1138" w:type="dxa"/>
            <w:tcBorders>
              <w:top w:val="nil"/>
              <w:left w:val="nil"/>
              <w:bottom w:val="single" w:sz="4" w:space="0" w:color="auto"/>
              <w:right w:val="single" w:sz="4" w:space="0" w:color="auto"/>
            </w:tcBorders>
            <w:shd w:val="clear" w:color="auto" w:fill="auto"/>
            <w:vAlign w:val="bottom"/>
            <w:hideMark/>
          </w:tcPr>
          <w:p w14:paraId="5003787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3030340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444809F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1AB32F6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672D969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23 039</w:t>
            </w:r>
          </w:p>
        </w:tc>
      </w:tr>
      <w:tr w:rsidR="00920F38" w:rsidRPr="008E1212" w14:paraId="73B47B4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8FE8B2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République arabe syrienne</w:t>
            </w:r>
          </w:p>
        </w:tc>
        <w:tc>
          <w:tcPr>
            <w:tcW w:w="1138" w:type="dxa"/>
            <w:tcBorders>
              <w:top w:val="nil"/>
              <w:left w:val="nil"/>
              <w:bottom w:val="single" w:sz="4" w:space="0" w:color="auto"/>
              <w:right w:val="single" w:sz="4" w:space="0" w:color="auto"/>
            </w:tcBorders>
            <w:shd w:val="clear" w:color="auto" w:fill="auto"/>
            <w:vAlign w:val="bottom"/>
            <w:hideMark/>
          </w:tcPr>
          <w:p w14:paraId="382C21F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1020DF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581E62E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20C5933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56AE31A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771</w:t>
            </w:r>
          </w:p>
        </w:tc>
      </w:tr>
      <w:tr w:rsidR="00920F38" w:rsidRPr="008E1212" w14:paraId="668B110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E982C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République centrafricaine</w:t>
            </w:r>
          </w:p>
        </w:tc>
        <w:tc>
          <w:tcPr>
            <w:tcW w:w="1138" w:type="dxa"/>
            <w:tcBorders>
              <w:top w:val="nil"/>
              <w:left w:val="nil"/>
              <w:bottom w:val="single" w:sz="4" w:space="0" w:color="auto"/>
              <w:right w:val="single" w:sz="4" w:space="0" w:color="auto"/>
            </w:tcBorders>
            <w:shd w:val="clear" w:color="auto" w:fill="auto"/>
            <w:vAlign w:val="bottom"/>
            <w:hideMark/>
          </w:tcPr>
          <w:p w14:paraId="324A99B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2F77C0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B5D4EF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5AB257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1C9D20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5E32747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1A676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République de Corée</w:t>
            </w:r>
          </w:p>
        </w:tc>
        <w:tc>
          <w:tcPr>
            <w:tcW w:w="1138" w:type="dxa"/>
            <w:tcBorders>
              <w:top w:val="nil"/>
              <w:left w:val="nil"/>
              <w:bottom w:val="single" w:sz="4" w:space="0" w:color="auto"/>
              <w:right w:val="single" w:sz="4" w:space="0" w:color="auto"/>
            </w:tcBorders>
            <w:shd w:val="clear" w:color="auto" w:fill="auto"/>
            <w:vAlign w:val="bottom"/>
            <w:hideMark/>
          </w:tcPr>
          <w:p w14:paraId="0FFDDD6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192332A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765AF30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1A2A7F6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6B66B4C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220 456</w:t>
            </w:r>
          </w:p>
        </w:tc>
      </w:tr>
      <w:tr w:rsidR="00920F38" w:rsidRPr="008E1212" w14:paraId="1B2CF68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AAAD0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République de Moldova</w:t>
            </w:r>
          </w:p>
        </w:tc>
        <w:tc>
          <w:tcPr>
            <w:tcW w:w="1138" w:type="dxa"/>
            <w:tcBorders>
              <w:top w:val="nil"/>
              <w:left w:val="nil"/>
              <w:bottom w:val="single" w:sz="4" w:space="0" w:color="auto"/>
              <w:right w:val="single" w:sz="4" w:space="0" w:color="auto"/>
            </w:tcBorders>
            <w:shd w:val="clear" w:color="auto" w:fill="auto"/>
            <w:vAlign w:val="bottom"/>
            <w:hideMark/>
          </w:tcPr>
          <w:p w14:paraId="3EBBEC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4A7C6F8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22D043F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2ACB7EF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BD1D03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428</w:t>
            </w:r>
          </w:p>
        </w:tc>
      </w:tr>
      <w:tr w:rsidR="00920F38" w:rsidRPr="008E1212" w14:paraId="3A0C6BE0"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FAE6F3"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République démocratique du Congo</w:t>
            </w:r>
          </w:p>
        </w:tc>
        <w:tc>
          <w:tcPr>
            <w:tcW w:w="1138" w:type="dxa"/>
            <w:tcBorders>
              <w:top w:val="nil"/>
              <w:left w:val="nil"/>
              <w:bottom w:val="single" w:sz="4" w:space="0" w:color="auto"/>
              <w:right w:val="single" w:sz="4" w:space="0" w:color="auto"/>
            </w:tcBorders>
            <w:shd w:val="clear" w:color="auto" w:fill="auto"/>
            <w:vAlign w:val="bottom"/>
            <w:hideMark/>
          </w:tcPr>
          <w:p w14:paraId="027AB17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37F652F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FD9541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F7C44C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D6796A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40A03737"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934220"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République démocratique populaire lao</w:t>
            </w:r>
          </w:p>
        </w:tc>
        <w:tc>
          <w:tcPr>
            <w:tcW w:w="1138" w:type="dxa"/>
            <w:tcBorders>
              <w:top w:val="nil"/>
              <w:left w:val="nil"/>
              <w:bottom w:val="single" w:sz="4" w:space="0" w:color="auto"/>
              <w:right w:val="single" w:sz="4" w:space="0" w:color="auto"/>
            </w:tcBorders>
            <w:shd w:val="clear" w:color="auto" w:fill="auto"/>
            <w:vAlign w:val="bottom"/>
            <w:hideMark/>
          </w:tcPr>
          <w:p w14:paraId="715C7F9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498C0D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32BD0D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2F80A9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0BC3DE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600</w:t>
            </w:r>
          </w:p>
        </w:tc>
      </w:tr>
      <w:tr w:rsidR="00920F38" w:rsidRPr="008E1212" w14:paraId="1F9898E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73007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République dominicaine</w:t>
            </w:r>
          </w:p>
        </w:tc>
        <w:tc>
          <w:tcPr>
            <w:tcW w:w="1138" w:type="dxa"/>
            <w:tcBorders>
              <w:top w:val="nil"/>
              <w:left w:val="nil"/>
              <w:bottom w:val="single" w:sz="4" w:space="0" w:color="auto"/>
              <w:right w:val="single" w:sz="4" w:space="0" w:color="auto"/>
            </w:tcBorders>
            <w:shd w:val="clear" w:color="auto" w:fill="auto"/>
            <w:vAlign w:val="bottom"/>
            <w:hideMark/>
          </w:tcPr>
          <w:p w14:paraId="1FE593A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455E068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432DE8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532B0CB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3594915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5 738</w:t>
            </w:r>
          </w:p>
        </w:tc>
      </w:tr>
      <w:tr w:rsidR="00920F38" w:rsidRPr="008E1212" w14:paraId="1485432A"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2F0879"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République populaire démocratique de Corée</w:t>
            </w:r>
          </w:p>
        </w:tc>
        <w:tc>
          <w:tcPr>
            <w:tcW w:w="1138" w:type="dxa"/>
            <w:tcBorders>
              <w:top w:val="nil"/>
              <w:left w:val="nil"/>
              <w:bottom w:val="single" w:sz="4" w:space="0" w:color="auto"/>
              <w:right w:val="single" w:sz="4" w:space="0" w:color="auto"/>
            </w:tcBorders>
            <w:shd w:val="clear" w:color="auto" w:fill="auto"/>
            <w:vAlign w:val="bottom"/>
            <w:hideMark/>
          </w:tcPr>
          <w:p w14:paraId="7364DE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FA684B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323F2A8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3C4FCEE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CC1DE9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428</w:t>
            </w:r>
          </w:p>
        </w:tc>
      </w:tr>
      <w:tr w:rsidR="00920F38" w:rsidRPr="008E1212" w14:paraId="4766CC6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6E62D8"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lastRenderedPageBreak/>
              <w:t>République tchèque</w:t>
            </w:r>
          </w:p>
        </w:tc>
        <w:tc>
          <w:tcPr>
            <w:tcW w:w="1138" w:type="dxa"/>
            <w:tcBorders>
              <w:top w:val="nil"/>
              <w:left w:val="nil"/>
              <w:bottom w:val="single" w:sz="4" w:space="0" w:color="auto"/>
              <w:right w:val="single" w:sz="4" w:space="0" w:color="auto"/>
            </w:tcBorders>
            <w:shd w:val="clear" w:color="auto" w:fill="auto"/>
            <w:vAlign w:val="bottom"/>
            <w:hideMark/>
          </w:tcPr>
          <w:p w14:paraId="40D2E85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76280C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796E9BC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235A2AD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552A00A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29 120</w:t>
            </w:r>
          </w:p>
        </w:tc>
      </w:tr>
      <w:tr w:rsidR="00920F38" w:rsidRPr="008E1212" w14:paraId="5E19906F"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BC2977"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République-Unie de Tanzanie</w:t>
            </w:r>
          </w:p>
        </w:tc>
        <w:tc>
          <w:tcPr>
            <w:tcW w:w="1138" w:type="dxa"/>
            <w:tcBorders>
              <w:top w:val="nil"/>
              <w:left w:val="nil"/>
              <w:bottom w:val="single" w:sz="4" w:space="0" w:color="auto"/>
              <w:right w:val="single" w:sz="4" w:space="0" w:color="auto"/>
            </w:tcBorders>
            <w:shd w:val="clear" w:color="auto" w:fill="auto"/>
            <w:vAlign w:val="bottom"/>
            <w:hideMark/>
          </w:tcPr>
          <w:p w14:paraId="468F8DD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C41B2F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F7AC41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3C12F2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5399BC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125F62B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C6D13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Roumanie</w:t>
            </w:r>
          </w:p>
        </w:tc>
        <w:tc>
          <w:tcPr>
            <w:tcW w:w="1138" w:type="dxa"/>
            <w:tcBorders>
              <w:top w:val="nil"/>
              <w:left w:val="nil"/>
              <w:bottom w:val="single" w:sz="4" w:space="0" w:color="auto"/>
              <w:right w:val="single" w:sz="4" w:space="0" w:color="auto"/>
            </w:tcBorders>
            <w:shd w:val="clear" w:color="auto" w:fill="auto"/>
            <w:vAlign w:val="bottom"/>
            <w:hideMark/>
          </w:tcPr>
          <w:p w14:paraId="0753D0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3569928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2E27060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2A1E40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65A5529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26 722</w:t>
            </w:r>
          </w:p>
        </w:tc>
      </w:tr>
      <w:tr w:rsidR="00920F38" w:rsidRPr="008E1212" w14:paraId="64669E65" w14:textId="77777777">
        <w:trPr>
          <w:trHeight w:val="68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5A24B2"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Royaume-Uni de Grande-Bretagne et d’Irlande du Nord</w:t>
            </w:r>
          </w:p>
        </w:tc>
        <w:tc>
          <w:tcPr>
            <w:tcW w:w="1138" w:type="dxa"/>
            <w:tcBorders>
              <w:top w:val="nil"/>
              <w:left w:val="nil"/>
              <w:bottom w:val="single" w:sz="4" w:space="0" w:color="auto"/>
              <w:right w:val="single" w:sz="4" w:space="0" w:color="auto"/>
            </w:tcBorders>
            <w:shd w:val="clear" w:color="auto" w:fill="auto"/>
            <w:vAlign w:val="bottom"/>
            <w:hideMark/>
          </w:tcPr>
          <w:p w14:paraId="4D3EBF4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7B3D792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005EF13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5558AF9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4655CB5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374 706</w:t>
            </w:r>
          </w:p>
        </w:tc>
      </w:tr>
      <w:tr w:rsidR="00920F38" w:rsidRPr="008E1212" w14:paraId="682E34E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D78812"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Rwanda</w:t>
            </w:r>
          </w:p>
        </w:tc>
        <w:tc>
          <w:tcPr>
            <w:tcW w:w="1138" w:type="dxa"/>
            <w:tcBorders>
              <w:top w:val="nil"/>
              <w:left w:val="nil"/>
              <w:bottom w:val="single" w:sz="4" w:space="0" w:color="auto"/>
              <w:right w:val="single" w:sz="4" w:space="0" w:color="auto"/>
            </w:tcBorders>
            <w:shd w:val="clear" w:color="auto" w:fill="auto"/>
            <w:vAlign w:val="bottom"/>
            <w:hideMark/>
          </w:tcPr>
          <w:p w14:paraId="1A8BEC4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4F48CE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34CD5DD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595F39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4AEFD0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w:t>
            </w:r>
          </w:p>
        </w:tc>
      </w:tr>
      <w:tr w:rsidR="00920F38" w:rsidRPr="008E1212" w14:paraId="37AC953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B0A50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Sainte-Lucie</w:t>
            </w:r>
          </w:p>
        </w:tc>
        <w:tc>
          <w:tcPr>
            <w:tcW w:w="1138" w:type="dxa"/>
            <w:tcBorders>
              <w:top w:val="nil"/>
              <w:left w:val="nil"/>
              <w:bottom w:val="single" w:sz="4" w:space="0" w:color="auto"/>
              <w:right w:val="single" w:sz="4" w:space="0" w:color="auto"/>
            </w:tcBorders>
            <w:shd w:val="clear" w:color="auto" w:fill="auto"/>
            <w:vAlign w:val="bottom"/>
            <w:hideMark/>
          </w:tcPr>
          <w:p w14:paraId="46B834A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3C95B4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7EBEFC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FF10C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D8AFA2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3BA0449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E47AE0"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Saint-Kitts-et-Nevis</w:t>
            </w:r>
          </w:p>
        </w:tc>
        <w:tc>
          <w:tcPr>
            <w:tcW w:w="1138" w:type="dxa"/>
            <w:tcBorders>
              <w:top w:val="nil"/>
              <w:left w:val="nil"/>
              <w:bottom w:val="single" w:sz="4" w:space="0" w:color="auto"/>
              <w:right w:val="single" w:sz="4" w:space="0" w:color="auto"/>
            </w:tcBorders>
            <w:shd w:val="clear" w:color="auto" w:fill="auto"/>
            <w:vAlign w:val="bottom"/>
            <w:hideMark/>
          </w:tcPr>
          <w:p w14:paraId="424AC9C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A2CA30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D76159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625F1A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18B38FC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28C82BD8"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738F7A"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Saint-Vincent-et-les Grenadines</w:t>
            </w:r>
          </w:p>
        </w:tc>
        <w:tc>
          <w:tcPr>
            <w:tcW w:w="1138" w:type="dxa"/>
            <w:tcBorders>
              <w:top w:val="nil"/>
              <w:left w:val="nil"/>
              <w:bottom w:val="single" w:sz="4" w:space="0" w:color="auto"/>
              <w:right w:val="single" w:sz="4" w:space="0" w:color="auto"/>
            </w:tcBorders>
            <w:shd w:val="clear" w:color="auto" w:fill="auto"/>
            <w:vAlign w:val="bottom"/>
            <w:hideMark/>
          </w:tcPr>
          <w:p w14:paraId="0253E72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7D7A6F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72D763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61C67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ACAFFE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3F923FDD"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246B8AA"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Samoa</w:t>
            </w:r>
          </w:p>
        </w:tc>
        <w:tc>
          <w:tcPr>
            <w:tcW w:w="1138" w:type="dxa"/>
            <w:tcBorders>
              <w:top w:val="nil"/>
              <w:left w:val="nil"/>
              <w:bottom w:val="single" w:sz="4" w:space="0" w:color="auto"/>
              <w:right w:val="single" w:sz="4" w:space="0" w:color="auto"/>
            </w:tcBorders>
            <w:shd w:val="clear" w:color="auto" w:fill="auto"/>
            <w:vAlign w:val="bottom"/>
            <w:hideMark/>
          </w:tcPr>
          <w:p w14:paraId="0E2718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CDABFA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EF6053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F32C9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A60686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37551BF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8A8D235"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Sénégal</w:t>
            </w:r>
          </w:p>
        </w:tc>
        <w:tc>
          <w:tcPr>
            <w:tcW w:w="1138" w:type="dxa"/>
            <w:tcBorders>
              <w:top w:val="nil"/>
              <w:left w:val="nil"/>
              <w:bottom w:val="single" w:sz="4" w:space="0" w:color="auto"/>
              <w:right w:val="single" w:sz="4" w:space="0" w:color="auto"/>
            </w:tcBorders>
            <w:shd w:val="clear" w:color="auto" w:fill="auto"/>
            <w:vAlign w:val="bottom"/>
            <w:hideMark/>
          </w:tcPr>
          <w:p w14:paraId="2F951BB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654000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F913B1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194F6E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2AD137C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600</w:t>
            </w:r>
          </w:p>
        </w:tc>
      </w:tr>
      <w:tr w:rsidR="00920F38" w:rsidRPr="008E1212" w14:paraId="5C21533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1FA52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Serbie</w:t>
            </w:r>
          </w:p>
        </w:tc>
        <w:tc>
          <w:tcPr>
            <w:tcW w:w="1138" w:type="dxa"/>
            <w:tcBorders>
              <w:top w:val="nil"/>
              <w:left w:val="nil"/>
              <w:bottom w:val="single" w:sz="4" w:space="0" w:color="auto"/>
              <w:right w:val="single" w:sz="4" w:space="0" w:color="auto"/>
            </w:tcBorders>
            <w:shd w:val="clear" w:color="auto" w:fill="auto"/>
            <w:vAlign w:val="bottom"/>
            <w:hideMark/>
          </w:tcPr>
          <w:p w14:paraId="7410C19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41E046B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54062B4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0BB8321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346685A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2 741</w:t>
            </w:r>
          </w:p>
        </w:tc>
      </w:tr>
      <w:tr w:rsidR="00920F38" w:rsidRPr="008E1212" w14:paraId="1658343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581799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Seychelles</w:t>
            </w:r>
          </w:p>
        </w:tc>
        <w:tc>
          <w:tcPr>
            <w:tcW w:w="1138" w:type="dxa"/>
            <w:tcBorders>
              <w:top w:val="nil"/>
              <w:left w:val="nil"/>
              <w:bottom w:val="single" w:sz="4" w:space="0" w:color="auto"/>
              <w:right w:val="single" w:sz="4" w:space="0" w:color="auto"/>
            </w:tcBorders>
            <w:shd w:val="clear" w:color="auto" w:fill="auto"/>
            <w:vAlign w:val="bottom"/>
            <w:hideMark/>
          </w:tcPr>
          <w:p w14:paraId="532324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636398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949F00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489D2F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66E73A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73D096A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D8450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Sierra Leone</w:t>
            </w:r>
          </w:p>
        </w:tc>
        <w:tc>
          <w:tcPr>
            <w:tcW w:w="1138" w:type="dxa"/>
            <w:tcBorders>
              <w:top w:val="nil"/>
              <w:left w:val="nil"/>
              <w:bottom w:val="single" w:sz="4" w:space="0" w:color="auto"/>
              <w:right w:val="single" w:sz="4" w:space="0" w:color="auto"/>
            </w:tcBorders>
            <w:shd w:val="clear" w:color="auto" w:fill="auto"/>
            <w:vAlign w:val="bottom"/>
            <w:hideMark/>
          </w:tcPr>
          <w:p w14:paraId="13DCDA9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ABB6DF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3754CC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61052A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B3FA60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60C5173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309582"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Slovaquie</w:t>
            </w:r>
          </w:p>
        </w:tc>
        <w:tc>
          <w:tcPr>
            <w:tcW w:w="1138" w:type="dxa"/>
            <w:tcBorders>
              <w:top w:val="nil"/>
              <w:left w:val="nil"/>
              <w:bottom w:val="single" w:sz="4" w:space="0" w:color="auto"/>
              <w:right w:val="single" w:sz="4" w:space="0" w:color="auto"/>
            </w:tcBorders>
            <w:shd w:val="clear" w:color="auto" w:fill="auto"/>
            <w:vAlign w:val="bottom"/>
            <w:hideMark/>
          </w:tcPr>
          <w:p w14:paraId="76E4540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3079369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352F02D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678D95E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3DBB980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13 275</w:t>
            </w:r>
          </w:p>
        </w:tc>
      </w:tr>
      <w:tr w:rsidR="00920F38" w:rsidRPr="008E1212" w14:paraId="70C12F1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1899C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Slovénie</w:t>
            </w:r>
          </w:p>
        </w:tc>
        <w:tc>
          <w:tcPr>
            <w:tcW w:w="1138" w:type="dxa"/>
            <w:tcBorders>
              <w:top w:val="nil"/>
              <w:left w:val="nil"/>
              <w:bottom w:val="single" w:sz="4" w:space="0" w:color="auto"/>
              <w:right w:val="single" w:sz="4" w:space="0" w:color="auto"/>
            </w:tcBorders>
            <w:shd w:val="clear" w:color="auto" w:fill="auto"/>
            <w:vAlign w:val="bottom"/>
            <w:hideMark/>
          </w:tcPr>
          <w:p w14:paraId="3ED070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5D80D4E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327473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387202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08C460C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6 766</w:t>
            </w:r>
          </w:p>
        </w:tc>
      </w:tr>
      <w:tr w:rsidR="00920F38" w:rsidRPr="008E1212" w14:paraId="339AD81B"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E37A6A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Somalie</w:t>
            </w:r>
          </w:p>
        </w:tc>
        <w:tc>
          <w:tcPr>
            <w:tcW w:w="1138" w:type="dxa"/>
            <w:tcBorders>
              <w:top w:val="nil"/>
              <w:left w:val="nil"/>
              <w:bottom w:val="single" w:sz="4" w:space="0" w:color="auto"/>
              <w:right w:val="single" w:sz="4" w:space="0" w:color="auto"/>
            </w:tcBorders>
            <w:shd w:val="clear" w:color="auto" w:fill="auto"/>
            <w:vAlign w:val="bottom"/>
            <w:hideMark/>
          </w:tcPr>
          <w:p w14:paraId="7800F15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7386C6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AA4845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474CE6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01FEB8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20726A1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6163A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Soudan</w:t>
            </w:r>
          </w:p>
        </w:tc>
        <w:tc>
          <w:tcPr>
            <w:tcW w:w="1138" w:type="dxa"/>
            <w:tcBorders>
              <w:top w:val="nil"/>
              <w:left w:val="nil"/>
              <w:bottom w:val="single" w:sz="4" w:space="0" w:color="auto"/>
              <w:right w:val="single" w:sz="4" w:space="0" w:color="auto"/>
            </w:tcBorders>
            <w:shd w:val="clear" w:color="auto" w:fill="auto"/>
            <w:vAlign w:val="bottom"/>
            <w:hideMark/>
          </w:tcPr>
          <w:p w14:paraId="713870A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1D45B97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6E8D0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C85BA9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154E21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2B0B1D8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05CD71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Sri Lanka</w:t>
            </w:r>
          </w:p>
        </w:tc>
        <w:tc>
          <w:tcPr>
            <w:tcW w:w="1138" w:type="dxa"/>
            <w:tcBorders>
              <w:top w:val="nil"/>
              <w:left w:val="nil"/>
              <w:bottom w:val="single" w:sz="4" w:space="0" w:color="auto"/>
              <w:right w:val="single" w:sz="4" w:space="0" w:color="auto"/>
            </w:tcBorders>
            <w:shd w:val="clear" w:color="auto" w:fill="auto"/>
            <w:vAlign w:val="bottom"/>
            <w:hideMark/>
          </w:tcPr>
          <w:p w14:paraId="64B5367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16F6952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0CC39A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4712E06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3A38AB2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3 854</w:t>
            </w:r>
          </w:p>
        </w:tc>
      </w:tr>
      <w:tr w:rsidR="00920F38" w:rsidRPr="008E1212" w14:paraId="68D79B3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77E75B"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Suède</w:t>
            </w:r>
          </w:p>
        </w:tc>
        <w:tc>
          <w:tcPr>
            <w:tcW w:w="1138" w:type="dxa"/>
            <w:tcBorders>
              <w:top w:val="nil"/>
              <w:left w:val="nil"/>
              <w:bottom w:val="single" w:sz="4" w:space="0" w:color="auto"/>
              <w:right w:val="single" w:sz="4" w:space="0" w:color="auto"/>
            </w:tcBorders>
            <w:shd w:val="clear" w:color="auto" w:fill="auto"/>
            <w:vAlign w:val="bottom"/>
            <w:hideMark/>
          </w:tcPr>
          <w:p w14:paraId="66F373C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24AEBFA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5EFBB31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7911C35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397F6F2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74 599</w:t>
            </w:r>
          </w:p>
        </w:tc>
      </w:tr>
      <w:tr w:rsidR="00920F38" w:rsidRPr="008E1212" w14:paraId="6DBE6D2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26A2602"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Suisse</w:t>
            </w:r>
          </w:p>
        </w:tc>
        <w:tc>
          <w:tcPr>
            <w:tcW w:w="1138" w:type="dxa"/>
            <w:tcBorders>
              <w:top w:val="nil"/>
              <w:left w:val="nil"/>
              <w:bottom w:val="single" w:sz="4" w:space="0" w:color="auto"/>
              <w:right w:val="single" w:sz="4" w:space="0" w:color="auto"/>
            </w:tcBorders>
            <w:shd w:val="clear" w:color="auto" w:fill="auto"/>
            <w:vAlign w:val="bottom"/>
            <w:hideMark/>
          </w:tcPr>
          <w:p w14:paraId="2D40E7D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2E0A865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64D04E4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265907F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40934B5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97 124</w:t>
            </w:r>
          </w:p>
        </w:tc>
      </w:tr>
      <w:tr w:rsidR="00920F38" w:rsidRPr="008E1212" w14:paraId="1E9CE613"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6E202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Suriname</w:t>
            </w:r>
          </w:p>
        </w:tc>
        <w:tc>
          <w:tcPr>
            <w:tcW w:w="1138" w:type="dxa"/>
            <w:tcBorders>
              <w:top w:val="nil"/>
              <w:left w:val="nil"/>
              <w:bottom w:val="single" w:sz="4" w:space="0" w:color="auto"/>
              <w:right w:val="single" w:sz="4" w:space="0" w:color="auto"/>
            </w:tcBorders>
            <w:shd w:val="clear" w:color="auto" w:fill="auto"/>
            <w:vAlign w:val="bottom"/>
            <w:hideMark/>
          </w:tcPr>
          <w:p w14:paraId="44D4277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19FA31D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2E57788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6CB8727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B0C36B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w:t>
            </w:r>
          </w:p>
        </w:tc>
      </w:tr>
      <w:tr w:rsidR="00920F38" w:rsidRPr="008E1212" w14:paraId="629F69F9"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3332A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Tadjikistan</w:t>
            </w:r>
          </w:p>
        </w:tc>
        <w:tc>
          <w:tcPr>
            <w:tcW w:w="1138" w:type="dxa"/>
            <w:tcBorders>
              <w:top w:val="nil"/>
              <w:left w:val="nil"/>
              <w:bottom w:val="single" w:sz="4" w:space="0" w:color="auto"/>
              <w:right w:val="single" w:sz="4" w:space="0" w:color="auto"/>
            </w:tcBorders>
            <w:shd w:val="clear" w:color="auto" w:fill="auto"/>
            <w:vAlign w:val="bottom"/>
            <w:hideMark/>
          </w:tcPr>
          <w:p w14:paraId="3B2B230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0EAE49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4E51093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5DA727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86555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w:t>
            </w:r>
          </w:p>
        </w:tc>
      </w:tr>
      <w:tr w:rsidR="00920F38" w:rsidRPr="008E1212" w14:paraId="55E1CAF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B16AD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Tchad</w:t>
            </w:r>
          </w:p>
        </w:tc>
        <w:tc>
          <w:tcPr>
            <w:tcW w:w="1138" w:type="dxa"/>
            <w:tcBorders>
              <w:top w:val="nil"/>
              <w:left w:val="nil"/>
              <w:bottom w:val="single" w:sz="4" w:space="0" w:color="auto"/>
              <w:right w:val="single" w:sz="4" w:space="0" w:color="auto"/>
            </w:tcBorders>
            <w:shd w:val="clear" w:color="auto" w:fill="auto"/>
            <w:vAlign w:val="bottom"/>
            <w:hideMark/>
          </w:tcPr>
          <w:p w14:paraId="695DB8B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4B83234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00EE72B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6B3378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4665BF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257</w:t>
            </w:r>
          </w:p>
        </w:tc>
      </w:tr>
      <w:tr w:rsidR="00920F38" w:rsidRPr="008E1212" w14:paraId="57E4E79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34828E"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Thaïlande</w:t>
            </w:r>
          </w:p>
        </w:tc>
        <w:tc>
          <w:tcPr>
            <w:tcW w:w="1138" w:type="dxa"/>
            <w:tcBorders>
              <w:top w:val="nil"/>
              <w:left w:val="nil"/>
              <w:bottom w:val="single" w:sz="4" w:space="0" w:color="auto"/>
              <w:right w:val="single" w:sz="4" w:space="0" w:color="auto"/>
            </w:tcBorders>
            <w:shd w:val="clear" w:color="auto" w:fill="auto"/>
            <w:vAlign w:val="bottom"/>
            <w:hideMark/>
          </w:tcPr>
          <w:p w14:paraId="4381621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559D0AC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04B29EB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53800EC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72C3AD8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31 518</w:t>
            </w:r>
          </w:p>
        </w:tc>
      </w:tr>
      <w:tr w:rsidR="00920F38" w:rsidRPr="008E1212" w14:paraId="3210718F"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9553B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Togo</w:t>
            </w:r>
          </w:p>
        </w:tc>
        <w:tc>
          <w:tcPr>
            <w:tcW w:w="1138" w:type="dxa"/>
            <w:tcBorders>
              <w:top w:val="nil"/>
              <w:left w:val="nil"/>
              <w:bottom w:val="single" w:sz="4" w:space="0" w:color="auto"/>
              <w:right w:val="single" w:sz="4" w:space="0" w:color="auto"/>
            </w:tcBorders>
            <w:shd w:val="clear" w:color="auto" w:fill="auto"/>
            <w:vAlign w:val="bottom"/>
            <w:hideMark/>
          </w:tcPr>
          <w:p w14:paraId="12B94E6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6A0089D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31B6176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1AD0A7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88</w:t>
            </w:r>
          </w:p>
        </w:tc>
        <w:tc>
          <w:tcPr>
            <w:tcW w:w="1260" w:type="dxa"/>
            <w:tcBorders>
              <w:top w:val="nil"/>
              <w:left w:val="nil"/>
              <w:bottom w:val="single" w:sz="4" w:space="0" w:color="auto"/>
              <w:right w:val="single" w:sz="4" w:space="0" w:color="auto"/>
            </w:tcBorders>
            <w:shd w:val="clear" w:color="auto" w:fill="auto"/>
            <w:noWrap/>
            <w:vAlign w:val="bottom"/>
            <w:hideMark/>
          </w:tcPr>
          <w:p w14:paraId="5677193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171</w:t>
            </w:r>
          </w:p>
        </w:tc>
      </w:tr>
      <w:tr w:rsidR="00920F38" w:rsidRPr="008E1212" w14:paraId="7265315C"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E15577"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Tonga</w:t>
            </w:r>
          </w:p>
        </w:tc>
        <w:tc>
          <w:tcPr>
            <w:tcW w:w="1138" w:type="dxa"/>
            <w:tcBorders>
              <w:top w:val="nil"/>
              <w:left w:val="nil"/>
              <w:bottom w:val="single" w:sz="4" w:space="0" w:color="auto"/>
              <w:right w:val="single" w:sz="4" w:space="0" w:color="auto"/>
            </w:tcBorders>
            <w:shd w:val="clear" w:color="auto" w:fill="auto"/>
            <w:vAlign w:val="bottom"/>
            <w:hideMark/>
          </w:tcPr>
          <w:p w14:paraId="4E9879E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A88FA7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3FE856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64F5FE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E20262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86</w:t>
            </w:r>
          </w:p>
        </w:tc>
      </w:tr>
      <w:tr w:rsidR="00920F38" w:rsidRPr="008E1212" w14:paraId="1F7667E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238C4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Trinité-et-Tobago</w:t>
            </w:r>
          </w:p>
        </w:tc>
        <w:tc>
          <w:tcPr>
            <w:tcW w:w="1138" w:type="dxa"/>
            <w:tcBorders>
              <w:top w:val="nil"/>
              <w:left w:val="nil"/>
              <w:bottom w:val="single" w:sz="4" w:space="0" w:color="auto"/>
              <w:right w:val="single" w:sz="4" w:space="0" w:color="auto"/>
            </w:tcBorders>
            <w:shd w:val="clear" w:color="auto" w:fill="auto"/>
            <w:vAlign w:val="bottom"/>
            <w:hideMark/>
          </w:tcPr>
          <w:p w14:paraId="01C99BB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2E67BB7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5C8F5AA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0294F59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279F25B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3 169</w:t>
            </w:r>
          </w:p>
        </w:tc>
      </w:tr>
      <w:tr w:rsidR="00920F38" w:rsidRPr="008E1212" w14:paraId="2C86424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C7CB68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Tunisie</w:t>
            </w:r>
          </w:p>
        </w:tc>
        <w:tc>
          <w:tcPr>
            <w:tcW w:w="1138" w:type="dxa"/>
            <w:tcBorders>
              <w:top w:val="nil"/>
              <w:left w:val="nil"/>
              <w:bottom w:val="single" w:sz="4" w:space="0" w:color="auto"/>
              <w:right w:val="single" w:sz="4" w:space="0" w:color="auto"/>
            </w:tcBorders>
            <w:shd w:val="clear" w:color="auto" w:fill="auto"/>
            <w:vAlign w:val="bottom"/>
            <w:hideMark/>
          </w:tcPr>
          <w:p w14:paraId="77740A7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9C1C5B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59CA61D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418013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67F491B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1 627</w:t>
            </w:r>
          </w:p>
        </w:tc>
      </w:tr>
      <w:tr w:rsidR="00920F38" w:rsidRPr="008E1212" w14:paraId="176747D8"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A8F40F"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Turkménistan</w:t>
            </w:r>
          </w:p>
        </w:tc>
        <w:tc>
          <w:tcPr>
            <w:tcW w:w="1138" w:type="dxa"/>
            <w:tcBorders>
              <w:top w:val="nil"/>
              <w:left w:val="nil"/>
              <w:bottom w:val="single" w:sz="4" w:space="0" w:color="auto"/>
              <w:right w:val="single" w:sz="4" w:space="0" w:color="auto"/>
            </w:tcBorders>
            <w:shd w:val="clear" w:color="auto" w:fill="auto"/>
            <w:vAlign w:val="bottom"/>
            <w:hideMark/>
          </w:tcPr>
          <w:p w14:paraId="2DA7B69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1615BD1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5B02FDB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1CCBDC0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53C3BE45"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2 912</w:t>
            </w:r>
          </w:p>
        </w:tc>
      </w:tr>
      <w:tr w:rsidR="00920F38" w:rsidRPr="008E1212" w14:paraId="625D9A35"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3BD6B9"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Turquie</w:t>
            </w:r>
          </w:p>
        </w:tc>
        <w:tc>
          <w:tcPr>
            <w:tcW w:w="1138" w:type="dxa"/>
            <w:tcBorders>
              <w:top w:val="nil"/>
              <w:left w:val="nil"/>
              <w:bottom w:val="single" w:sz="4" w:space="0" w:color="auto"/>
              <w:right w:val="single" w:sz="4" w:space="0" w:color="auto"/>
            </w:tcBorders>
            <w:shd w:val="clear" w:color="auto" w:fill="auto"/>
            <w:vAlign w:val="bottom"/>
            <w:hideMark/>
          </w:tcPr>
          <w:p w14:paraId="42A96C5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78AD5C0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2DB07B5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6679A4A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63AF97C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72 372</w:t>
            </w:r>
          </w:p>
        </w:tc>
      </w:tr>
      <w:tr w:rsidR="00920F38" w:rsidRPr="008E1212" w14:paraId="7AC6E257"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F1CDF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Ukraine</w:t>
            </w:r>
          </w:p>
        </w:tc>
        <w:tc>
          <w:tcPr>
            <w:tcW w:w="1138" w:type="dxa"/>
            <w:tcBorders>
              <w:top w:val="nil"/>
              <w:left w:val="nil"/>
              <w:bottom w:val="single" w:sz="4" w:space="0" w:color="auto"/>
              <w:right w:val="single" w:sz="4" w:space="0" w:color="auto"/>
            </w:tcBorders>
            <w:shd w:val="clear" w:color="auto" w:fill="auto"/>
            <w:vAlign w:val="bottom"/>
            <w:hideMark/>
          </w:tcPr>
          <w:p w14:paraId="4676D64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5807CE1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3E7B2A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1621A15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2336722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4 796</w:t>
            </w:r>
          </w:p>
        </w:tc>
      </w:tr>
      <w:tr w:rsidR="00920F38" w:rsidRPr="008E1212" w14:paraId="495059E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E61413"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Union européenne</w:t>
            </w:r>
          </w:p>
        </w:tc>
        <w:tc>
          <w:tcPr>
            <w:tcW w:w="1138" w:type="dxa"/>
            <w:tcBorders>
              <w:top w:val="nil"/>
              <w:left w:val="nil"/>
              <w:bottom w:val="single" w:sz="4" w:space="0" w:color="auto"/>
              <w:right w:val="single" w:sz="4" w:space="0" w:color="auto"/>
            </w:tcBorders>
            <w:shd w:val="clear" w:color="auto" w:fill="auto"/>
            <w:vAlign w:val="bottom"/>
            <w:hideMark/>
          </w:tcPr>
          <w:p w14:paraId="279CE91B" w14:textId="084DA6C4" w:rsidR="00920F38" w:rsidRPr="008E1212" w:rsidRDefault="00B830DF" w:rsidP="007243AD">
            <w:pPr>
              <w:jc w:val="right"/>
              <w:rPr>
                <w:rFonts w:eastAsia="Times New Roman"/>
                <w:color w:val="000000" w:themeColor="text1"/>
                <w:sz w:val="18"/>
                <w:szCs w:val="18"/>
                <w:lang w:eastAsia="en-CA"/>
              </w:rPr>
            </w:pPr>
            <w:r>
              <w:rPr>
                <w:rFonts w:eastAsia="Times New Roman"/>
                <w:color w:val="000000" w:themeColor="text1"/>
                <w:sz w:val="18"/>
                <w:szCs w:val="18"/>
                <w:lang w:eastAsia="en-CA"/>
              </w:rPr>
              <w:t xml:space="preserve">- </w:t>
            </w:r>
          </w:p>
        </w:tc>
        <w:tc>
          <w:tcPr>
            <w:tcW w:w="2552" w:type="dxa"/>
            <w:tcBorders>
              <w:top w:val="nil"/>
              <w:left w:val="nil"/>
              <w:bottom w:val="single" w:sz="4" w:space="0" w:color="auto"/>
              <w:right w:val="single" w:sz="4" w:space="0" w:color="auto"/>
            </w:tcBorders>
            <w:shd w:val="clear" w:color="auto" w:fill="auto"/>
            <w:noWrap/>
            <w:vAlign w:val="bottom"/>
            <w:hideMark/>
          </w:tcPr>
          <w:p w14:paraId="49A7803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39EF45F4"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2B5B7869"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6F2714A8"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151 670</w:t>
            </w:r>
          </w:p>
        </w:tc>
      </w:tr>
      <w:tr w:rsidR="00920F38" w:rsidRPr="008E1212" w14:paraId="3DBC3872"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96E4B1"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Uruguay</w:t>
            </w:r>
          </w:p>
        </w:tc>
        <w:tc>
          <w:tcPr>
            <w:tcW w:w="1138" w:type="dxa"/>
            <w:tcBorders>
              <w:top w:val="nil"/>
              <w:left w:val="nil"/>
              <w:bottom w:val="single" w:sz="4" w:space="0" w:color="auto"/>
              <w:right w:val="single" w:sz="4" w:space="0" w:color="auto"/>
            </w:tcBorders>
            <w:shd w:val="clear" w:color="auto" w:fill="auto"/>
            <w:vAlign w:val="bottom"/>
            <w:hideMark/>
          </w:tcPr>
          <w:p w14:paraId="79D01CF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3FF4E2B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30AA410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0E8C718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3CEBD0F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7 880</w:t>
            </w:r>
          </w:p>
        </w:tc>
      </w:tr>
      <w:tr w:rsidR="00920F38" w:rsidRPr="008E1212" w14:paraId="58CB4DE7" w14:textId="77777777">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8CE4766" w14:textId="77777777" w:rsidR="00920F38" w:rsidRPr="008E1212" w:rsidRDefault="00920F38"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Pr>
                <w:rFonts w:eastAsia="Times New Roman"/>
                <w:color w:val="000000" w:themeColor="text1"/>
                <w:sz w:val="18"/>
                <w:szCs w:val="18"/>
              </w:rPr>
              <w:t>Venezuela (République bolivarienne du)</w:t>
            </w:r>
          </w:p>
        </w:tc>
        <w:tc>
          <w:tcPr>
            <w:tcW w:w="1138" w:type="dxa"/>
            <w:tcBorders>
              <w:top w:val="nil"/>
              <w:left w:val="nil"/>
              <w:bottom w:val="single" w:sz="4" w:space="0" w:color="auto"/>
              <w:right w:val="single" w:sz="4" w:space="0" w:color="auto"/>
            </w:tcBorders>
            <w:shd w:val="clear" w:color="auto" w:fill="auto"/>
            <w:vAlign w:val="bottom"/>
            <w:hideMark/>
          </w:tcPr>
          <w:p w14:paraId="1C961A0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45714FB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270B084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6D495080"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30A22DF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14 988</w:t>
            </w:r>
          </w:p>
        </w:tc>
      </w:tr>
      <w:tr w:rsidR="00920F38" w:rsidRPr="008E1212" w14:paraId="48A3E6B6"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A786E96"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Viet Nam</w:t>
            </w:r>
          </w:p>
        </w:tc>
        <w:tc>
          <w:tcPr>
            <w:tcW w:w="1138" w:type="dxa"/>
            <w:tcBorders>
              <w:top w:val="nil"/>
              <w:left w:val="nil"/>
              <w:bottom w:val="single" w:sz="4" w:space="0" w:color="auto"/>
              <w:right w:val="single" w:sz="4" w:space="0" w:color="auto"/>
            </w:tcBorders>
            <w:shd w:val="clear" w:color="auto" w:fill="auto"/>
            <w:vAlign w:val="bottom"/>
            <w:hideMark/>
          </w:tcPr>
          <w:p w14:paraId="493737E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6668505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4ADFE98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0B0E056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33F13C52"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7 965</w:t>
            </w:r>
          </w:p>
        </w:tc>
      </w:tr>
      <w:tr w:rsidR="00920F38" w:rsidRPr="008E1212" w14:paraId="1B8C22C4"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D6B48D"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Yémen</w:t>
            </w:r>
          </w:p>
        </w:tc>
        <w:tc>
          <w:tcPr>
            <w:tcW w:w="1138" w:type="dxa"/>
            <w:tcBorders>
              <w:top w:val="nil"/>
              <w:left w:val="nil"/>
              <w:bottom w:val="single" w:sz="4" w:space="0" w:color="auto"/>
              <w:right w:val="single" w:sz="4" w:space="0" w:color="auto"/>
            </w:tcBorders>
            <w:shd w:val="clear" w:color="auto" w:fill="auto"/>
            <w:vAlign w:val="bottom"/>
            <w:hideMark/>
          </w:tcPr>
          <w:p w14:paraId="11D9564C"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9D0699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B709B3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9FFEF31"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A87EC9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3E07EA8A"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1E7EBC"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Zambie</w:t>
            </w:r>
          </w:p>
        </w:tc>
        <w:tc>
          <w:tcPr>
            <w:tcW w:w="1138" w:type="dxa"/>
            <w:tcBorders>
              <w:top w:val="nil"/>
              <w:left w:val="nil"/>
              <w:bottom w:val="single" w:sz="4" w:space="0" w:color="auto"/>
              <w:right w:val="single" w:sz="4" w:space="0" w:color="auto"/>
            </w:tcBorders>
            <w:shd w:val="clear" w:color="auto" w:fill="auto"/>
            <w:vAlign w:val="bottom"/>
            <w:hideMark/>
          </w:tcPr>
          <w:p w14:paraId="2EF0E1B7"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6A100723"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3EECBD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B0FCAAD"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7DF568B"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607</w:t>
            </w:r>
          </w:p>
        </w:tc>
      </w:tr>
      <w:tr w:rsidR="00920F38" w:rsidRPr="008E1212" w14:paraId="4A0CE44E" w14:textId="77777777">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BD7404" w14:textId="77777777" w:rsidR="00920F38" w:rsidRPr="008E1212" w:rsidRDefault="00920F38" w:rsidP="007243AD">
            <w:pPr>
              <w:jc w:val="left"/>
              <w:rPr>
                <w:rFonts w:eastAsia="Times New Roman"/>
                <w:color w:val="000000" w:themeColor="text1"/>
                <w:sz w:val="18"/>
                <w:szCs w:val="18"/>
                <w:lang w:eastAsia="en-CA"/>
              </w:rPr>
            </w:pPr>
            <w:r>
              <w:rPr>
                <w:rFonts w:eastAsia="Times New Roman"/>
                <w:color w:val="000000" w:themeColor="text1"/>
                <w:sz w:val="18"/>
                <w:szCs w:val="18"/>
              </w:rPr>
              <w:t>Zimbabwe</w:t>
            </w:r>
          </w:p>
        </w:tc>
        <w:tc>
          <w:tcPr>
            <w:tcW w:w="1138" w:type="dxa"/>
            <w:tcBorders>
              <w:top w:val="nil"/>
              <w:left w:val="nil"/>
              <w:bottom w:val="single" w:sz="4" w:space="0" w:color="auto"/>
              <w:right w:val="single" w:sz="4" w:space="0" w:color="auto"/>
            </w:tcBorders>
            <w:shd w:val="clear" w:color="auto" w:fill="auto"/>
            <w:vAlign w:val="bottom"/>
            <w:hideMark/>
          </w:tcPr>
          <w:p w14:paraId="0F18AD06"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40B2846A"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B8EAA0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B1EA2DE"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15AF8EF" w14:textId="77777777" w:rsidR="00920F38" w:rsidRPr="008E1212" w:rsidRDefault="00920F38" w:rsidP="007243AD">
            <w:pPr>
              <w:jc w:val="right"/>
              <w:rPr>
                <w:rFonts w:eastAsia="Times New Roman"/>
                <w:color w:val="000000" w:themeColor="text1"/>
                <w:sz w:val="18"/>
                <w:szCs w:val="18"/>
                <w:lang w:eastAsia="en-CA"/>
              </w:rPr>
            </w:pPr>
            <w:r>
              <w:rPr>
                <w:rFonts w:eastAsia="Times New Roman"/>
                <w:color w:val="000000" w:themeColor="text1"/>
                <w:sz w:val="18"/>
                <w:szCs w:val="18"/>
              </w:rPr>
              <w:t>600</w:t>
            </w:r>
          </w:p>
        </w:tc>
      </w:tr>
      <w:tr w:rsidR="00080196" w:rsidRPr="008E1212" w14:paraId="6F0098B1" w14:textId="77777777">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4181F490" w14:textId="77777777" w:rsidR="00080196" w:rsidRPr="008E1212" w:rsidRDefault="00080196" w:rsidP="00A52B30">
            <w:pPr>
              <w:tabs>
                <w:tab w:val="clear" w:pos="567"/>
                <w:tab w:val="left" w:pos="345"/>
              </w:tabs>
              <w:jc w:val="left"/>
              <w:rPr>
                <w:rFonts w:eastAsia="Times New Roman"/>
                <w:b/>
                <w:bCs/>
                <w:color w:val="000000" w:themeColor="text1"/>
                <w:sz w:val="18"/>
                <w:szCs w:val="18"/>
                <w:lang w:eastAsia="en-CA"/>
              </w:rPr>
            </w:pPr>
            <w:r>
              <w:rPr>
                <w:rFonts w:eastAsia="Times New Roman"/>
                <w:b/>
                <w:bCs/>
                <w:color w:val="000000" w:themeColor="text1"/>
                <w:sz w:val="18"/>
                <w:szCs w:val="18"/>
              </w:rPr>
              <w:tab/>
              <w:t>Total</w:t>
            </w:r>
          </w:p>
        </w:tc>
        <w:tc>
          <w:tcPr>
            <w:tcW w:w="1138" w:type="dxa"/>
            <w:tcBorders>
              <w:top w:val="nil"/>
              <w:left w:val="nil"/>
              <w:bottom w:val="single" w:sz="4" w:space="0" w:color="auto"/>
              <w:right w:val="single" w:sz="4" w:space="0" w:color="auto"/>
            </w:tcBorders>
            <w:shd w:val="clear" w:color="auto" w:fill="auto"/>
            <w:noWrap/>
            <w:vAlign w:val="bottom"/>
            <w:hideMark/>
          </w:tcPr>
          <w:p w14:paraId="31900E7B" w14:textId="77777777" w:rsidR="00080196" w:rsidRPr="008E1212" w:rsidRDefault="00080196" w:rsidP="007243AD">
            <w:pPr>
              <w:jc w:val="right"/>
              <w:rPr>
                <w:rFonts w:eastAsia="Times New Roman"/>
                <w:b/>
                <w:bCs/>
                <w:color w:val="000000" w:themeColor="text1"/>
                <w:sz w:val="18"/>
                <w:szCs w:val="18"/>
                <w:lang w:eastAsia="en-CA"/>
              </w:rPr>
            </w:pPr>
            <w:r>
              <w:rPr>
                <w:rFonts w:eastAsia="Times New Roman"/>
                <w:b/>
                <w:bCs/>
                <w:color w:val="000000" w:themeColor="text1"/>
                <w:sz w:val="18"/>
                <w:szCs w:val="18"/>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7E885A2C" w14:textId="77777777" w:rsidR="00080196" w:rsidRPr="008E1212" w:rsidRDefault="00080196" w:rsidP="007243AD">
            <w:pPr>
              <w:jc w:val="right"/>
              <w:rPr>
                <w:rFonts w:eastAsia="Times New Roman"/>
                <w:b/>
                <w:bCs/>
                <w:color w:val="000000" w:themeColor="text1"/>
                <w:sz w:val="18"/>
                <w:szCs w:val="18"/>
                <w:lang w:eastAsia="en-CA"/>
              </w:rPr>
            </w:pPr>
            <w:r>
              <w:rPr>
                <w:rFonts w:eastAsia="Times New Roman"/>
                <w:b/>
                <w:bCs/>
                <w:color w:val="000000" w:themeColor="text1"/>
                <w:sz w:val="18"/>
                <w:szCs w:val="18"/>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4FF853DA" w14:textId="77777777" w:rsidR="00080196" w:rsidRPr="008E1212" w:rsidRDefault="00080196" w:rsidP="007243AD">
            <w:pPr>
              <w:jc w:val="right"/>
              <w:rPr>
                <w:rFonts w:eastAsia="Times New Roman"/>
                <w:b/>
                <w:bCs/>
                <w:color w:val="000000" w:themeColor="text1"/>
                <w:sz w:val="18"/>
                <w:szCs w:val="18"/>
                <w:lang w:eastAsia="en-CA"/>
              </w:rPr>
            </w:pPr>
            <w:r>
              <w:rPr>
                <w:rFonts w:eastAsia="Times New Roman"/>
                <w:b/>
                <w:bCs/>
                <w:color w:val="000000" w:themeColor="text1"/>
                <w:sz w:val="18"/>
                <w:szCs w:val="18"/>
              </w:rPr>
              <w:t>2 933 053</w:t>
            </w:r>
          </w:p>
        </w:tc>
        <w:tc>
          <w:tcPr>
            <w:tcW w:w="1213" w:type="dxa"/>
            <w:tcBorders>
              <w:top w:val="nil"/>
              <w:left w:val="nil"/>
              <w:bottom w:val="single" w:sz="4" w:space="0" w:color="auto"/>
              <w:right w:val="single" w:sz="4" w:space="0" w:color="auto"/>
            </w:tcBorders>
            <w:shd w:val="clear" w:color="auto" w:fill="auto"/>
            <w:noWrap/>
            <w:vAlign w:val="bottom"/>
            <w:hideMark/>
          </w:tcPr>
          <w:p w14:paraId="04B5B46E" w14:textId="77777777" w:rsidR="00080196" w:rsidRPr="008E1212" w:rsidRDefault="00080196" w:rsidP="007243AD">
            <w:pPr>
              <w:jc w:val="right"/>
              <w:rPr>
                <w:rFonts w:eastAsia="Times New Roman"/>
                <w:b/>
                <w:bCs/>
                <w:color w:val="000000" w:themeColor="text1"/>
                <w:sz w:val="18"/>
                <w:szCs w:val="18"/>
                <w:lang w:eastAsia="en-CA"/>
              </w:rPr>
            </w:pPr>
            <w:r>
              <w:rPr>
                <w:rFonts w:eastAsia="Times New Roman"/>
                <w:b/>
                <w:bCs/>
                <w:color w:val="000000" w:themeColor="text1"/>
                <w:sz w:val="18"/>
                <w:szCs w:val="18"/>
              </w:rPr>
              <w:t>3 133 740</w:t>
            </w:r>
          </w:p>
        </w:tc>
        <w:tc>
          <w:tcPr>
            <w:tcW w:w="1260" w:type="dxa"/>
            <w:tcBorders>
              <w:top w:val="nil"/>
              <w:left w:val="nil"/>
              <w:bottom w:val="single" w:sz="4" w:space="0" w:color="auto"/>
              <w:right w:val="single" w:sz="4" w:space="0" w:color="auto"/>
            </w:tcBorders>
            <w:shd w:val="clear" w:color="auto" w:fill="auto"/>
            <w:noWrap/>
            <w:vAlign w:val="bottom"/>
            <w:hideMark/>
          </w:tcPr>
          <w:p w14:paraId="49D79875" w14:textId="77777777" w:rsidR="00080196" w:rsidRPr="008E1212" w:rsidRDefault="00080196" w:rsidP="007243AD">
            <w:pPr>
              <w:jc w:val="right"/>
              <w:rPr>
                <w:rFonts w:eastAsia="Times New Roman"/>
                <w:b/>
                <w:bCs/>
                <w:color w:val="000000" w:themeColor="text1"/>
                <w:sz w:val="18"/>
                <w:szCs w:val="18"/>
                <w:lang w:eastAsia="en-CA"/>
              </w:rPr>
            </w:pPr>
            <w:r>
              <w:rPr>
                <w:rFonts w:eastAsia="Times New Roman"/>
                <w:b/>
                <w:bCs/>
                <w:color w:val="000000" w:themeColor="text1"/>
                <w:sz w:val="18"/>
                <w:szCs w:val="18"/>
              </w:rPr>
              <w:t>6 066 793</w:t>
            </w:r>
          </w:p>
        </w:tc>
      </w:tr>
    </w:tbl>
    <w:p w14:paraId="04EEB67D" w14:textId="77777777" w:rsidR="00080196" w:rsidRPr="008E1212" w:rsidRDefault="00080196" w:rsidP="00885473">
      <w:pPr>
        <w:pStyle w:val="Para1"/>
        <w:tabs>
          <w:tab w:val="clear" w:pos="567"/>
        </w:tabs>
        <w:ind w:left="0"/>
      </w:pPr>
    </w:p>
    <w:p w14:paraId="54DB9A5F" w14:textId="77777777" w:rsidR="00080196" w:rsidRPr="008E1212" w:rsidRDefault="00080196">
      <w:pPr>
        <w:tabs>
          <w:tab w:val="clear" w:pos="567"/>
          <w:tab w:val="clear" w:pos="1134"/>
          <w:tab w:val="clear" w:pos="1701"/>
          <w:tab w:val="clear" w:pos="2268"/>
        </w:tabs>
        <w:spacing w:after="160" w:line="278" w:lineRule="auto"/>
        <w:jc w:val="left"/>
      </w:pPr>
      <w:r w:rsidRPr="008E1212">
        <w:br w:type="page"/>
      </w:r>
    </w:p>
    <w:p w14:paraId="07BE1ADD" w14:textId="0A35FD3B" w:rsidR="00080196" w:rsidRPr="008E1212" w:rsidRDefault="00D42499" w:rsidP="00D42499">
      <w:pPr>
        <w:pStyle w:val="CBDH2"/>
        <w:jc w:val="left"/>
        <w:rPr>
          <w:lang w:eastAsia="ko-KR"/>
        </w:rPr>
      </w:pPr>
      <w:r>
        <w:lastRenderedPageBreak/>
        <w:tab/>
      </w:r>
      <w:bookmarkStart w:id="37" w:name="_Toc194399422"/>
      <w:bookmarkStart w:id="38" w:name="_Toc194919561"/>
      <w:r>
        <w:t>CP-11/12.</w:t>
      </w:r>
      <w:r>
        <w:tab/>
        <w:t>Coûts de l’organisation d’une reprise de session en présentiel de la onzième réunion de la Conférence des Parties à la Convention sur la diversité biologique siégeant en tant que réunion des Parties au Protocole de Cartagena sur la prévention des risques biotechnologiques</w:t>
      </w:r>
      <w:bookmarkEnd w:id="37"/>
      <w:bookmarkEnd w:id="38"/>
      <w:r>
        <w:t xml:space="preserve"> </w:t>
      </w:r>
    </w:p>
    <w:p w14:paraId="2319366D" w14:textId="77777777" w:rsidR="00080196" w:rsidRPr="008E1212" w:rsidRDefault="00080196" w:rsidP="00B15422">
      <w:pPr>
        <w:pStyle w:val="CBDDesicionText"/>
      </w:pPr>
      <w:r>
        <w:rPr>
          <w:i/>
          <w:iCs/>
        </w:rPr>
        <w:t>La Conférence des Parties siégeant en tant que réunion des Parties au Protocole de Cartagena,</w:t>
      </w:r>
    </w:p>
    <w:p w14:paraId="1949B889" w14:textId="77777777" w:rsidR="00080196" w:rsidRPr="008E1212" w:rsidRDefault="00080196" w:rsidP="00B15422">
      <w:pPr>
        <w:pStyle w:val="CBDDesicionText"/>
      </w:pPr>
      <w:r>
        <w:rPr>
          <w:i/>
          <w:iCs/>
        </w:rPr>
        <w:t xml:space="preserve">Rappelant </w:t>
      </w:r>
      <w:r>
        <w:t xml:space="preserve">sa décision </w:t>
      </w:r>
      <w:hyperlink r:id="rId42" w:history="1">
        <w:r>
          <w:rPr>
            <w:rStyle w:val="Hyperlink"/>
          </w:rPr>
          <w:t>CP-11/4</w:t>
        </w:r>
      </w:hyperlink>
      <w:r>
        <w:t xml:space="preserve"> du 1</w:t>
      </w:r>
      <w:r>
        <w:rPr>
          <w:vertAlign w:val="superscript"/>
        </w:rPr>
        <w:t>er</w:t>
      </w:r>
      <w:r>
        <w:t> novembre 2024, dans laquelle elle avait indiqué qu’en cas de circonstances extraordinaires rendant peu pratique la tenue de réunions en présentiel, des décisions urgentes, telles que celles relatives aux questions budgétaires, pourraient être prises dans le cadre d’une procédure d’approbation tacite,</w:t>
      </w:r>
    </w:p>
    <w:p w14:paraId="3C391771" w14:textId="77777777" w:rsidR="00080196" w:rsidRPr="008E1212" w:rsidRDefault="00080196" w:rsidP="00B15422">
      <w:pPr>
        <w:pStyle w:val="CBDDesicionText"/>
      </w:pPr>
      <w:r>
        <w:rPr>
          <w:i/>
          <w:iCs/>
        </w:rPr>
        <w:t>Rappelant également</w:t>
      </w:r>
      <w:r>
        <w:t xml:space="preserve"> que la séance plénière de clôture de sa onzième réunion, tenue à Cali (Colombie), avait été suspendue le 2 novembre 2024 sans que ne soit achevé l’examen d’un certain nombre de points de l’ordre du jour,</w:t>
      </w:r>
    </w:p>
    <w:p w14:paraId="75452250" w14:textId="77777777" w:rsidR="00080196" w:rsidRPr="008E1212" w:rsidRDefault="00080196" w:rsidP="00B15422">
      <w:pPr>
        <w:pStyle w:val="CBDDesicionText"/>
      </w:pPr>
      <w:r>
        <w:rPr>
          <w:i/>
          <w:iCs/>
        </w:rPr>
        <w:t>Reconnaissant</w:t>
      </w:r>
      <w:r>
        <w:t xml:space="preserve"> la nécessité d’organiser la reprise de sa onzième réunion en présentiel au cours du premier trimestre 2025 en vue d’achever l’examen des points de l’ordre du jour encore en suspens et de clôturer la réunion,</w:t>
      </w:r>
    </w:p>
    <w:p w14:paraId="78425636" w14:textId="77777777" w:rsidR="00080196" w:rsidRPr="008E1212" w:rsidRDefault="00080196" w:rsidP="00B15422">
      <w:pPr>
        <w:pStyle w:val="CBDDesicionText"/>
      </w:pPr>
      <w:r>
        <w:rPr>
          <w:i/>
          <w:iCs/>
        </w:rPr>
        <w:t>Reconnaissant également</w:t>
      </w:r>
      <w:r>
        <w:t xml:space="preserve"> que cette reprise de session en présentiel entraînera des dépenses liées à l’hébergement de la réunion, aux frais de voyage et aux indemnités de subsistance du personnel du secrétariat et des représentants des Parties remplissant les conditions requises,</w:t>
      </w:r>
    </w:p>
    <w:p w14:paraId="23F25F43" w14:textId="77777777" w:rsidR="00080196" w:rsidRPr="008E1212" w:rsidRDefault="00080196" w:rsidP="00B15422">
      <w:pPr>
        <w:pStyle w:val="CBDDesicionText"/>
      </w:pPr>
      <w:r>
        <w:rPr>
          <w:i/>
          <w:iCs/>
        </w:rPr>
        <w:t>Réaffirmant</w:t>
      </w:r>
      <w:r>
        <w:t xml:space="preserve"> l’importance d’une participation pleine et effective des représentants des Parties qui sont des pays en développement, en particulier les pays les moins avancés et les petits États insulaires en développement, ainsi que des Parties dont l’économie est en transition, aux réunions de la Conférence des Parties siégeant en tant que réunion des Parties au Protocole de Cartagena sur la prévention des risques biotechnologiques</w:t>
      </w:r>
      <w:r>
        <w:rPr>
          <w:rStyle w:val="FootnoteReference"/>
        </w:rPr>
        <w:footnoteReference w:id="57"/>
      </w:r>
      <w:r>
        <w:t>,</w:t>
      </w:r>
    </w:p>
    <w:p w14:paraId="243D5ABE" w14:textId="77777777" w:rsidR="00080196" w:rsidRPr="008E1212" w:rsidRDefault="00080196" w:rsidP="00B15422">
      <w:pPr>
        <w:pStyle w:val="CBDDesicionText"/>
        <w:rPr>
          <w:rFonts w:asciiTheme="majorBidi" w:hAnsiTheme="majorBidi" w:cstheme="majorBidi"/>
        </w:rPr>
      </w:pPr>
      <w:r>
        <w:rPr>
          <w:i/>
          <w:iCs/>
        </w:rPr>
        <w:t>Notant</w:t>
      </w:r>
      <w:r>
        <w:t xml:space="preserve"> que la reprise de sa onzième réunion se tiendra à Rome du 25 au 27 février 2025,</w:t>
      </w:r>
    </w:p>
    <w:p w14:paraId="60CEF6D9" w14:textId="77777777" w:rsidR="00080196" w:rsidRPr="008E1212" w:rsidRDefault="00080196" w:rsidP="00B15422">
      <w:pPr>
        <w:pStyle w:val="CBDDesicionText"/>
        <w:rPr>
          <w:rFonts w:asciiTheme="majorBidi" w:hAnsiTheme="majorBidi" w:cstheme="majorBidi"/>
        </w:rPr>
      </w:pPr>
      <w:r>
        <w:rPr>
          <w:rFonts w:asciiTheme="majorBidi" w:hAnsiTheme="majorBidi" w:cstheme="majorBidi"/>
        </w:rPr>
        <w:t>1.</w:t>
      </w:r>
      <w:r>
        <w:rPr>
          <w:rFonts w:asciiTheme="majorBidi" w:hAnsiTheme="majorBidi" w:cstheme="majorBidi"/>
        </w:rPr>
        <w:tab/>
      </w:r>
      <w:r>
        <w:t>Autorise la Secrétaire exécutive à prélever un montant ne dépassant pas 60 000 dollars des États-Unis sur le solde inutilisé du Fonds général d’affectation spéciale pour le budget-programme de base du Protocole de Cartagena sur la prévention des risques biotechnologiques, représentant 15 pour cent d’un montant total de 400 000 dollars nécessaire à l’organisation de la reprise des sessions en présentiel de la seizième réunion de la Conférence des Parties à la Convention sur la diversité biologique</w:t>
      </w:r>
      <w:r>
        <w:rPr>
          <w:rStyle w:val="FootnoteReference"/>
          <w:color w:val="000000"/>
        </w:rPr>
        <w:footnoteReference w:id="58"/>
      </w:r>
      <w:r>
        <w:t>, de la onzième réunion de la Conférence des Parties siégeant en tant que réunion des Parties au Protocole de Cartagena et de la cinquième réunion de la Conférence des Parties siégeant en tant que réunion des Parties au Protocole de Nagoya sur l’accès aux ressources génétiques et le partage juste et équitable des avantages découlant de leur utilisation</w:t>
      </w:r>
      <w:r>
        <w:rPr>
          <w:rStyle w:val="FootnoteReference"/>
        </w:rPr>
        <w:footnoteReference w:id="59"/>
      </w:r>
      <w:r>
        <w:t> ;</w:t>
      </w:r>
    </w:p>
    <w:p w14:paraId="7EE0DC23" w14:textId="73997BBA" w:rsidR="00080196" w:rsidRPr="008E1212" w:rsidRDefault="00080196" w:rsidP="00B15422">
      <w:pPr>
        <w:pStyle w:val="CBDDesicionText"/>
        <w:rPr>
          <w:rFonts w:eastAsia="Malgun Gothic"/>
          <w:iCs/>
          <w:kern w:val="20"/>
          <w:lang w:eastAsia="x-none"/>
        </w:rPr>
      </w:pPr>
      <w:r>
        <w:rPr>
          <w:rFonts w:asciiTheme="majorBidi" w:hAnsiTheme="majorBidi" w:cstheme="majorBidi"/>
        </w:rPr>
        <w:t>2.</w:t>
      </w:r>
      <w:r>
        <w:rPr>
          <w:rFonts w:asciiTheme="majorBidi" w:hAnsiTheme="majorBidi" w:cstheme="majorBidi"/>
        </w:rPr>
        <w:tab/>
        <w:t>Décide d’appliquer, mutatis mutandis, les paragraphes 2 et 3 de la décision </w:t>
      </w:r>
      <w:hyperlink r:id="rId43" w:history="1">
        <w:r>
          <w:rPr>
            <w:rStyle w:val="Hyperlink"/>
            <w:rFonts w:asciiTheme="majorBidi" w:hAnsiTheme="majorBidi" w:cstheme="majorBidi"/>
          </w:rPr>
          <w:t>16/29</w:t>
        </w:r>
      </w:hyperlink>
      <w:r>
        <w:rPr>
          <w:rFonts w:asciiTheme="majorBidi" w:hAnsiTheme="majorBidi" w:cstheme="majorBidi"/>
        </w:rPr>
        <w:t xml:space="preserve"> du 6 décembre 2024 de la Conférence des Parties à la Convention.</w:t>
      </w:r>
    </w:p>
    <w:p w14:paraId="136A2DD8" w14:textId="77777777" w:rsidR="00080196" w:rsidRPr="008E1212" w:rsidRDefault="00080196" w:rsidP="00B161EB">
      <w:pPr>
        <w:pStyle w:val="Para1"/>
        <w:tabs>
          <w:tab w:val="clear" w:pos="567"/>
        </w:tabs>
        <w:ind w:left="0"/>
        <w:jc w:val="center"/>
      </w:pPr>
    </w:p>
    <w:p w14:paraId="6B6D6626" w14:textId="77777777" w:rsidR="00080196" w:rsidRPr="008E1212" w:rsidRDefault="00080196" w:rsidP="00826B18">
      <w:pPr>
        <w:pStyle w:val="CBDNormal"/>
      </w:pPr>
    </w:p>
    <w:p w14:paraId="091BFB70" w14:textId="77777777" w:rsidR="0065384A" w:rsidRPr="008E1212" w:rsidRDefault="0065384A">
      <w:pPr>
        <w:tabs>
          <w:tab w:val="clear" w:pos="567"/>
          <w:tab w:val="clear" w:pos="1134"/>
          <w:tab w:val="clear" w:pos="1701"/>
          <w:tab w:val="clear" w:pos="2268"/>
        </w:tabs>
        <w:spacing w:after="160" w:line="259" w:lineRule="auto"/>
        <w:jc w:val="left"/>
      </w:pPr>
    </w:p>
    <w:p w14:paraId="467266DA" w14:textId="531288EE" w:rsidR="005A2AA0" w:rsidRPr="008E1212" w:rsidRDefault="005A2AA0">
      <w:pPr>
        <w:tabs>
          <w:tab w:val="clear" w:pos="567"/>
          <w:tab w:val="clear" w:pos="1134"/>
          <w:tab w:val="clear" w:pos="1701"/>
          <w:tab w:val="clear" w:pos="2268"/>
        </w:tabs>
        <w:spacing w:after="160" w:line="259" w:lineRule="auto"/>
        <w:jc w:val="left"/>
        <w:rPr>
          <w:b/>
          <w:sz w:val="28"/>
        </w:rPr>
      </w:pPr>
      <w:r w:rsidRPr="008E1212">
        <w:br w:type="page"/>
      </w:r>
    </w:p>
    <w:p w14:paraId="7EFC6668" w14:textId="393653BC" w:rsidR="0065384A" w:rsidRPr="008E1212" w:rsidRDefault="0065384A" w:rsidP="002B38F5">
      <w:pPr>
        <w:pStyle w:val="CBDH1"/>
      </w:pPr>
      <w:bookmarkStart w:id="39" w:name="_Toc194399423"/>
      <w:bookmarkStart w:id="40" w:name="_Toc194919562"/>
      <w:r>
        <w:lastRenderedPageBreak/>
        <w:t>II.</w:t>
      </w:r>
      <w:r>
        <w:tab/>
        <w:t>Compte rendu de la réunion</w:t>
      </w:r>
      <w:bookmarkEnd w:id="39"/>
      <w:bookmarkEnd w:id="40"/>
    </w:p>
    <w:p w14:paraId="7973825E" w14:textId="592462D4" w:rsidR="002B38F5" w:rsidRPr="008E1212" w:rsidRDefault="002B38F5" w:rsidP="002D533B">
      <w:pPr>
        <w:pStyle w:val="CBDAgendaItem"/>
      </w:pPr>
      <w:bookmarkStart w:id="41" w:name="_Toc194399319"/>
      <w:bookmarkStart w:id="42" w:name="_Toc194919563"/>
      <w:r>
        <w:t>Contexte</w:t>
      </w:r>
      <w:bookmarkEnd w:id="41"/>
      <w:bookmarkEnd w:id="42"/>
    </w:p>
    <w:p w14:paraId="749A92A0" w14:textId="2DC72FF0" w:rsidR="005E4A59" w:rsidRPr="008E1212" w:rsidRDefault="006B49C8" w:rsidP="00A02EDB">
      <w:pPr>
        <w:pStyle w:val="CBDNormalNumber"/>
      </w:pPr>
      <w:r>
        <w:t>La onzième réunion de la Conférence des Parties siégeant en tant que réunion des Parties au Protocole de Cartagena sur la prévention des risques biotechnologiques s’est tenue parallèlement à la seizième réunion de la Conférence des Parties à la Convention sur la diversité biologique et à la cinquième réunion de la Conférence des Parties siégeant en tant que réunion des Parties au Protocole de Nagoya sur l’accès aux ressources génétiques et le partage juste et équitable des avantages découlant de leur utilisation. La onzième réunion a débuté à Cali, en Colombie, le 21 octobre 2024 et a dû être suspendue le 2 novembre 2024 au matin, en l'absence du quorum requis, avant que tous les points aient pu être examinés en séance plénière. En conséquence, une première réunion de reprise s'est tenue en ligne, dans le cadre d'une procédure d'approbation tacite, du 3 au 6 décembre 2024 pour examiner les décisions relatives au budget (voir le point 6 ci-dessous), et une deuxième réunion de reprise s'est tenue en présentiel à Rome du 25 au 27 février 2025 pour examiner tous les points restants (voir les points 1 à 3 et 15 à 17 ci-dessous).</w:t>
      </w:r>
    </w:p>
    <w:p w14:paraId="083CCF6F" w14:textId="22900F28" w:rsidR="00557370" w:rsidRPr="008E1212" w:rsidRDefault="005E4A59" w:rsidP="00A02EDB">
      <w:pPr>
        <w:pStyle w:val="CBDNormalNumber"/>
      </w:pPr>
      <w:r>
        <w:t>La onzième réunion a été précédée d’une cérémonie d’ouverture le 20 octobre, comprenant une présentation culturelle et des déclarations du Président colombien, Gustavo Petro Urrego, du Secrétaire général des Nations Unies, António Guterres, du Ministre de l’écologie et de l’environnement de la Chine et Président de la quinzième réunion de la Conférence des Parties à la Convention, Runqiu Huang, de la Ministre colombienne de l’environnement et du développement durable, Maria Susana Muhamad González, de la Gouverneure du département de Valle del Cauca, Dilian Francisca Toro Torres, et du Maire de Cali, Álvaro Alejandro Eder Garcés.</w:t>
      </w:r>
    </w:p>
    <w:p w14:paraId="07146951" w14:textId="67585A35" w:rsidR="002B38F5" w:rsidRPr="008E1212" w:rsidRDefault="002B38F5" w:rsidP="002D533B">
      <w:pPr>
        <w:pStyle w:val="CBDAgendaItem"/>
      </w:pPr>
      <w:bookmarkStart w:id="43" w:name="_Toc194399320"/>
      <w:bookmarkStart w:id="44" w:name="_Toc194919564"/>
      <w:r>
        <w:t>Participation</w:t>
      </w:r>
      <w:bookmarkEnd w:id="43"/>
      <w:bookmarkEnd w:id="44"/>
    </w:p>
    <w:p w14:paraId="0FA73EFD" w14:textId="55BEA478" w:rsidR="002B38F5" w:rsidRPr="008E1212" w:rsidRDefault="00F371CD" w:rsidP="00A02EDB">
      <w:pPr>
        <w:pStyle w:val="CBDNormalNumber"/>
      </w:pPr>
      <w:r>
        <w:t>Ont participé à la réunion 158 Parties et 18 États non-Parties</w:t>
      </w:r>
      <w:r>
        <w:rPr>
          <w:rStyle w:val="FootnoteReference"/>
        </w:rPr>
        <w:footnoteReference w:id="60"/>
      </w:r>
      <w:r>
        <w:t>.</w:t>
      </w:r>
    </w:p>
    <w:p w14:paraId="754BCDA1" w14:textId="4DB5059A" w:rsidR="00557370" w:rsidRPr="008E1212" w:rsidRDefault="004E26AC" w:rsidP="006F791E">
      <w:pPr>
        <w:pStyle w:val="CBDAgendaItem"/>
      </w:pPr>
      <w:bookmarkStart w:id="45" w:name="_Toc194919565"/>
      <w:r>
        <w:t xml:space="preserve">Point 1 </w:t>
      </w:r>
      <w:r>
        <w:br/>
        <w:t>Ouverture de la réunion</w:t>
      </w:r>
      <w:bookmarkEnd w:id="45"/>
    </w:p>
    <w:p w14:paraId="31074DE0" w14:textId="345BA697" w:rsidR="005E4A59" w:rsidRPr="008E1212" w:rsidRDefault="00392FF8" w:rsidP="006B49C8">
      <w:pPr>
        <w:pStyle w:val="CBDNormalNumber"/>
        <w:spacing w:before="0"/>
      </w:pPr>
      <w:r>
        <w:t>La première séance plénière s’est tenue conjointement avec celles de la Conférence des Parties à la Convention et de la Conférence des Parties siégeant en tant que réunion des Parties au Protocole de Nagoya, le 21 octobre </w:t>
      </w:r>
      <w:r>
        <w:rPr>
          <w:rFonts w:asciiTheme="majorBidi" w:hAnsiTheme="majorBidi" w:cstheme="majorBidi"/>
        </w:rPr>
        <w:t>2024.</w:t>
      </w:r>
    </w:p>
    <w:p w14:paraId="781C9BC9" w14:textId="0BA2283C" w:rsidR="00557370" w:rsidRPr="008E1212" w:rsidRDefault="005E4A59" w:rsidP="0043420D">
      <w:pPr>
        <w:pStyle w:val="CBDNormalNumber"/>
      </w:pPr>
      <w:r>
        <w:t>Le président de la quinzième réunion de la Conférence des Parties à la Convention a déclaré les réunions ouvertes à 9 h 30 et a prononcé son allocution d’ouverture.</w:t>
      </w:r>
    </w:p>
    <w:p w14:paraId="6BB16820" w14:textId="72C4EF18" w:rsidR="000C4370" w:rsidRPr="008E1212" w:rsidRDefault="00CC060D" w:rsidP="00A02EDB">
      <w:pPr>
        <w:pStyle w:val="CBDNormalNumber"/>
      </w:pPr>
      <w:r>
        <w:t xml:space="preserve">La Secrétaire exécutive de la </w:t>
      </w:r>
      <w:r>
        <w:rPr>
          <w:rFonts w:asciiTheme="majorBidi" w:hAnsiTheme="majorBidi" w:cstheme="majorBidi"/>
        </w:rPr>
        <w:t>Convention, Astrid Schomaker, et la future Présidente de la seizième réunion de la Conférence des Parties à la Convention, la Ministre colombienne de l'environnement et du développement durable ont également prononcé des discours d'ouverture</w:t>
      </w:r>
      <w:r>
        <w:rPr>
          <w:rStyle w:val="FootnoteReference"/>
          <w:rFonts w:asciiTheme="majorBidi" w:hAnsiTheme="majorBidi" w:cstheme="majorBidi"/>
        </w:rPr>
        <w:footnoteReference w:id="61"/>
      </w:r>
      <w:r>
        <w:rPr>
          <w:rFonts w:asciiTheme="majorBidi" w:hAnsiTheme="majorBidi" w:cstheme="majorBidi"/>
        </w:rPr>
        <w:t>.</w:t>
      </w:r>
    </w:p>
    <w:p w14:paraId="6BAF2CC3" w14:textId="53CC2C87" w:rsidR="00AB5B92" w:rsidRPr="008E1212" w:rsidRDefault="008C53E1" w:rsidP="00AB5B92">
      <w:pPr>
        <w:pStyle w:val="CBDNormalNoNumber"/>
        <w:keepNext/>
        <w:rPr>
          <w:i/>
          <w:iCs/>
          <w:snapToGrid w:val="0"/>
        </w:rPr>
      </w:pPr>
      <w:bookmarkStart w:id="46" w:name="_Hlk191390186"/>
      <w:bookmarkStart w:id="47" w:name="_Hlk191390535"/>
      <w:r>
        <w:rPr>
          <w:i/>
          <w:iCs/>
          <w:snapToGrid w:val="0"/>
        </w:rPr>
        <w:t>Reprise de la réunion</w:t>
      </w:r>
    </w:p>
    <w:bookmarkEnd w:id="46"/>
    <w:p w14:paraId="50377CA9" w14:textId="53A947F1" w:rsidR="00AB5B92" w:rsidRPr="008E1212" w:rsidRDefault="00AB5B92" w:rsidP="00AB5B92">
      <w:pPr>
        <w:pStyle w:val="CBDNormalNumber"/>
      </w:pPr>
      <w:r>
        <w:t>La présidente de la onzième réunion de la Conférence des Parties siégeant en tant que réunion des Parties au Protocole, la Ministre de l’environnement et du développement durable de la Colombie</w:t>
      </w:r>
      <w:r>
        <w:rPr>
          <w:rStyle w:val="FootnoteReference"/>
        </w:rPr>
        <w:footnoteReference w:id="62"/>
      </w:r>
      <w:r>
        <w:t>, a ouvert la deuxième reprise de la réunion à 10 h 10, le 25 février 2025, lors de la septième séance plénière</w:t>
      </w:r>
      <w:r>
        <w:rPr>
          <w:rStyle w:val="FootnoteReference"/>
        </w:rPr>
        <w:footnoteReference w:id="63"/>
      </w:r>
      <w:r>
        <w:t xml:space="preserve">. </w:t>
      </w:r>
    </w:p>
    <w:p w14:paraId="7BB640DF" w14:textId="72DE51D9" w:rsidR="00AB5B92" w:rsidRPr="008E1212" w:rsidRDefault="00AB5B92" w:rsidP="00AB5B92">
      <w:pPr>
        <w:pStyle w:val="CBDNormalNumber"/>
      </w:pPr>
      <w:r>
        <w:lastRenderedPageBreak/>
        <w:t>L’allocution liminaire a été prononcée par la présidente, Secrétaire exécutive de la Convention et directrice exécutive du Programme des Nations Unies pour l’environnement, Elizabeth Mrema, au nom du Secrétaire général</w:t>
      </w:r>
      <w:r>
        <w:rPr>
          <w:rStyle w:val="FootnoteReference"/>
          <w:rFonts w:asciiTheme="majorBidi" w:hAnsiTheme="majorBidi" w:cstheme="majorBidi"/>
        </w:rPr>
        <w:footnoteReference w:id="64"/>
      </w:r>
      <w:r>
        <w:t>.</w:t>
      </w:r>
    </w:p>
    <w:p w14:paraId="71865ABA" w14:textId="42ABF554" w:rsidR="00557370" w:rsidRPr="008E1212" w:rsidRDefault="00CD3E49" w:rsidP="00314360">
      <w:pPr>
        <w:pStyle w:val="CBDAgendaItem"/>
      </w:pPr>
      <w:bookmarkStart w:id="48" w:name="_Toc194919566"/>
      <w:bookmarkEnd w:id="47"/>
      <w:r>
        <w:t xml:space="preserve">Point 2 </w:t>
      </w:r>
      <w:r>
        <w:br/>
        <w:t>Questions d'organisation</w:t>
      </w:r>
      <w:bookmarkEnd w:id="48"/>
    </w:p>
    <w:p w14:paraId="43B0C154" w14:textId="139D300B" w:rsidR="00DE75A6" w:rsidRPr="008E1212" w:rsidRDefault="00005AFF" w:rsidP="00A26CD4">
      <w:pPr>
        <w:pStyle w:val="CBDNormalNumber"/>
      </w:pPr>
      <w:r>
        <w:t>La Conférence des Parties siégeant en tant que réunion des Parties au Protocole a examiné le point 2 de l’ordre du jour à sa première séance plénière. Elle était saisie de l'ordre du jour provisoire</w:t>
      </w:r>
      <w:r>
        <w:rPr>
          <w:rStyle w:val="FootnoteReference"/>
        </w:rPr>
        <w:footnoteReference w:id="65"/>
      </w:r>
      <w:r>
        <w:t>, de l'ordre du jour provisoire annoté</w:t>
      </w:r>
      <w:r>
        <w:rPr>
          <w:rStyle w:val="FootnoteReference"/>
        </w:rPr>
        <w:footnoteReference w:id="66"/>
      </w:r>
      <w:r>
        <w:t xml:space="preserve"> et d'une proposition d'organisation des travaux</w:t>
      </w:r>
      <w:r>
        <w:rPr>
          <w:rStyle w:val="FootnoteReference"/>
        </w:rPr>
        <w:footnoteReference w:id="67"/>
      </w:r>
      <w:r>
        <w:t>. Un document d’information sur les procédures d’élection aux postes de vice-présidents de la Conférence des Parties à la Convention et de présidents des organes subsidiaires intergouvernementaux a également été publié dans le cadre de l’examen du point 2</w:t>
      </w:r>
      <w:r>
        <w:rPr>
          <w:rStyle w:val="FootnoteReference"/>
        </w:rPr>
        <w:footnoteReference w:id="68"/>
      </w:r>
      <w:r>
        <w:t>.</w:t>
      </w:r>
    </w:p>
    <w:p w14:paraId="53E07441" w14:textId="77777777" w:rsidR="005D01EB" w:rsidRPr="008E1212" w:rsidRDefault="005D01EB" w:rsidP="005D01EB">
      <w:pPr>
        <w:pStyle w:val="Heading2"/>
        <w:numPr>
          <w:ilvl w:val="0"/>
          <w:numId w:val="0"/>
        </w:numPr>
        <w:suppressLineNumbers/>
        <w:suppressAutoHyphens/>
        <w:ind w:left="567"/>
        <w:rPr>
          <w:rFonts w:asciiTheme="majorBidi" w:hAnsiTheme="majorBidi"/>
          <w:b w:val="0"/>
          <w:bCs/>
          <w:i/>
          <w:iCs/>
          <w:snapToGrid w:val="0"/>
          <w:kern w:val="22"/>
          <w:sz w:val="22"/>
          <w:szCs w:val="22"/>
        </w:rPr>
      </w:pPr>
      <w:r>
        <w:rPr>
          <w:rFonts w:asciiTheme="majorBidi" w:hAnsiTheme="majorBidi"/>
          <w:b w:val="0"/>
          <w:bCs/>
          <w:i/>
          <w:iCs/>
          <w:snapToGrid w:val="0"/>
          <w:kern w:val="22"/>
          <w:sz w:val="22"/>
          <w:szCs w:val="22"/>
        </w:rPr>
        <w:t>Élection du président</w:t>
      </w:r>
    </w:p>
    <w:p w14:paraId="08DAFB1E" w14:textId="2A15DCC6" w:rsidR="005D01EB" w:rsidRPr="008E1212" w:rsidRDefault="005E4A59" w:rsidP="00A26CD4">
      <w:pPr>
        <w:pStyle w:val="CBDNormalNumber"/>
      </w:pPr>
      <w:r>
        <w:t xml:space="preserve">Conformément au paragraphe 3 de l’article 29 du Protocole de Cartagena, le Bureau de la Conférence des Parties remplit également les fonctions de Bureau de la Conférence des Parties siégeant en tant que réunion des Parties au Protocole. En conséquence, la Ministre de l’environnement et du développement durable de Colombie, qui avait été élue présidente de la seizième réunion de la Conférence des Parties à la Convention, a également exercé les fonctions de présidente de la onzième réunion de la </w:t>
      </w:r>
      <w:bookmarkStart w:id="49" w:name="_Hlk530379052"/>
      <w:r>
        <w:t>Conférence des Parties siégeant en tant que réunion des Parties au Protocole de Cartagena</w:t>
      </w:r>
      <w:bookmarkEnd w:id="49"/>
      <w:r>
        <w:t>.</w:t>
      </w:r>
    </w:p>
    <w:p w14:paraId="6BE5493B" w14:textId="4CE0ECA4" w:rsidR="00392FF8" w:rsidRPr="008E1212" w:rsidRDefault="00392FF8" w:rsidP="001038CE">
      <w:pPr>
        <w:pStyle w:val="Para1"/>
        <w:keepNext/>
        <w:tabs>
          <w:tab w:val="clear" w:pos="624"/>
        </w:tabs>
        <w:ind w:left="561"/>
        <w:rPr>
          <w:i/>
          <w:iCs/>
          <w:kern w:val="22"/>
        </w:rPr>
      </w:pPr>
      <w:r>
        <w:rPr>
          <w:i/>
          <w:iCs/>
          <w:kern w:val="22"/>
        </w:rPr>
        <w:t>Élection des membres remplaçants du Bureau</w:t>
      </w:r>
    </w:p>
    <w:p w14:paraId="691467A0" w14:textId="65017A46" w:rsidR="00557370" w:rsidRPr="008E1212" w:rsidRDefault="00D40086" w:rsidP="00B62CC6">
      <w:pPr>
        <w:pStyle w:val="CBDNormalNumber"/>
      </w:pPr>
      <w:bookmarkStart w:id="50" w:name="_Hlk182205766"/>
      <w:r>
        <w:t xml:space="preserve">Conformément à l'article 21 du règlement intérieur des réunions de la Conférence des Parties à la Convention, qui s'applique avec les modifications qui s’imposent en vertu du Protocole, dix membres du Bureau ont été élus par la Conférence des Parties à la Convention à sa quinzième réunion, pour un mandat se terminant à la clôture de la seizième réunion. </w:t>
      </w:r>
      <w:bookmarkEnd w:id="50"/>
      <w:r>
        <w:rPr>
          <w:snapToGrid w:val="0"/>
          <w:kern w:val="22"/>
        </w:rPr>
        <w:t>Ensuite, un membre du Bureau a été remplacé par la Partie concernée.</w:t>
      </w:r>
      <w:r>
        <w:t xml:space="preserve"> Tous les pays représentés étant Parties au Protocole de Cartagena, le Bureau de la onzième réunion de la Conférence des Parties siégeant en tant que réunion des Parties au Protocole était composé, outre la Présidente, des membres suivants :</w:t>
      </w:r>
    </w:p>
    <w:p w14:paraId="150ED2B5" w14:textId="77777777" w:rsidR="006077F3" w:rsidRPr="008E1212" w:rsidRDefault="006077F3" w:rsidP="006077F3">
      <w:pPr>
        <w:pStyle w:val="CBDNormalNumber"/>
        <w:numPr>
          <w:ilvl w:val="0"/>
          <w:numId w:val="0"/>
        </w:numPr>
        <w:tabs>
          <w:tab w:val="clear" w:pos="567"/>
        </w:tabs>
        <w:ind w:left="1134"/>
      </w:pPr>
      <w:r>
        <w:t xml:space="preserve">Khangeziwe Mabuza (Eswatini) </w:t>
      </w:r>
    </w:p>
    <w:p w14:paraId="74B63162" w14:textId="77777777" w:rsidR="006077F3" w:rsidRPr="008E1212" w:rsidRDefault="006077F3" w:rsidP="006077F3">
      <w:pPr>
        <w:pStyle w:val="CBDNormalNumber"/>
        <w:numPr>
          <w:ilvl w:val="0"/>
          <w:numId w:val="0"/>
        </w:numPr>
        <w:tabs>
          <w:tab w:val="clear" w:pos="567"/>
        </w:tabs>
        <w:ind w:left="1134"/>
      </w:pPr>
      <w:r>
        <w:t>Abderahmane Zino Izourar (Algérie)</w:t>
      </w:r>
    </w:p>
    <w:p w14:paraId="0C916F52" w14:textId="77777777" w:rsidR="006077F3" w:rsidRPr="00787A27" w:rsidRDefault="006077F3" w:rsidP="006077F3">
      <w:pPr>
        <w:pStyle w:val="CBDNormalNumber"/>
        <w:numPr>
          <w:ilvl w:val="0"/>
          <w:numId w:val="0"/>
        </w:numPr>
        <w:tabs>
          <w:tab w:val="clear" w:pos="567"/>
        </w:tabs>
        <w:ind w:left="1134"/>
        <w:rPr>
          <w:lang w:val="en-CA"/>
        </w:rPr>
      </w:pPr>
      <w:r w:rsidRPr="00787A27">
        <w:rPr>
          <w:lang w:val="en-CA"/>
        </w:rPr>
        <w:t>Krishneel Nand (Fidji)</w:t>
      </w:r>
    </w:p>
    <w:p w14:paraId="426853DD" w14:textId="77777777" w:rsidR="006077F3" w:rsidRPr="00787A27" w:rsidRDefault="006077F3" w:rsidP="006077F3">
      <w:pPr>
        <w:pStyle w:val="CBDNormalNumber"/>
        <w:numPr>
          <w:ilvl w:val="0"/>
          <w:numId w:val="0"/>
        </w:numPr>
        <w:tabs>
          <w:tab w:val="clear" w:pos="567"/>
        </w:tabs>
        <w:ind w:left="1134"/>
        <w:rPr>
          <w:lang w:val="en-CA"/>
        </w:rPr>
      </w:pPr>
      <w:r w:rsidRPr="00787A27">
        <w:rPr>
          <w:lang w:val="en-CA"/>
        </w:rPr>
        <w:t>Somaly Chan (Cambodge)</w:t>
      </w:r>
    </w:p>
    <w:p w14:paraId="37660C2B" w14:textId="77777777" w:rsidR="006077F3" w:rsidRPr="008E1212" w:rsidRDefault="006077F3" w:rsidP="006077F3">
      <w:pPr>
        <w:pStyle w:val="CBDNormalNumber"/>
        <w:numPr>
          <w:ilvl w:val="0"/>
          <w:numId w:val="0"/>
        </w:numPr>
        <w:tabs>
          <w:tab w:val="clear" w:pos="567"/>
        </w:tabs>
        <w:ind w:left="1134"/>
      </w:pPr>
      <w:r>
        <w:t>Teona Karchava (Géorgie)</w:t>
      </w:r>
    </w:p>
    <w:p w14:paraId="60EDA104" w14:textId="77777777" w:rsidR="006077F3" w:rsidRPr="008E1212" w:rsidRDefault="006077F3" w:rsidP="006077F3">
      <w:pPr>
        <w:pStyle w:val="CBDNormalNumber"/>
        <w:numPr>
          <w:ilvl w:val="0"/>
          <w:numId w:val="0"/>
        </w:numPr>
        <w:tabs>
          <w:tab w:val="clear" w:pos="567"/>
        </w:tabs>
        <w:ind w:left="1134"/>
      </w:pPr>
      <w:r>
        <w:t>Angela Lozan (République de Moldova)</w:t>
      </w:r>
    </w:p>
    <w:p w14:paraId="1746F6AA" w14:textId="77777777" w:rsidR="006077F3" w:rsidRPr="00F16080" w:rsidRDefault="006077F3" w:rsidP="006077F3">
      <w:pPr>
        <w:pStyle w:val="CBDNormalNumber"/>
        <w:numPr>
          <w:ilvl w:val="0"/>
          <w:numId w:val="0"/>
        </w:numPr>
        <w:tabs>
          <w:tab w:val="clear" w:pos="567"/>
        </w:tabs>
        <w:ind w:left="1134"/>
        <w:rPr>
          <w:lang w:val="es-ES"/>
        </w:rPr>
      </w:pPr>
      <w:r>
        <w:t>Gillian Guthrie (Jamaïque)</w:t>
      </w:r>
    </w:p>
    <w:p w14:paraId="187193EE" w14:textId="77777777" w:rsidR="006077F3" w:rsidRPr="00F16080" w:rsidRDefault="006077F3" w:rsidP="006077F3">
      <w:pPr>
        <w:pStyle w:val="CBDNormalNumber"/>
        <w:numPr>
          <w:ilvl w:val="0"/>
          <w:numId w:val="0"/>
        </w:numPr>
        <w:tabs>
          <w:tab w:val="clear" w:pos="567"/>
        </w:tabs>
        <w:ind w:left="1134"/>
        <w:rPr>
          <w:lang w:val="es-ES"/>
        </w:rPr>
      </w:pPr>
      <w:r>
        <w:t>Maria Teresa Becerra Ramírez (Colombie)</w:t>
      </w:r>
    </w:p>
    <w:p w14:paraId="5844BF77" w14:textId="77777777" w:rsidR="006077F3" w:rsidRPr="00F16080" w:rsidRDefault="006077F3" w:rsidP="006077F3">
      <w:pPr>
        <w:pStyle w:val="CBDNormalNumber"/>
        <w:numPr>
          <w:ilvl w:val="0"/>
          <w:numId w:val="0"/>
        </w:numPr>
        <w:tabs>
          <w:tab w:val="clear" w:pos="567"/>
        </w:tabs>
        <w:ind w:left="1134"/>
      </w:pPr>
      <w:r>
        <w:t>Eric Schauls (Luxembourg)</w:t>
      </w:r>
    </w:p>
    <w:p w14:paraId="4FAD5E09" w14:textId="6072264C" w:rsidR="006077F3" w:rsidRPr="00F16080" w:rsidRDefault="006077F3" w:rsidP="006077F3">
      <w:pPr>
        <w:pStyle w:val="CBDNormalNumber"/>
        <w:numPr>
          <w:ilvl w:val="0"/>
          <w:numId w:val="0"/>
        </w:numPr>
        <w:tabs>
          <w:tab w:val="clear" w:pos="567"/>
        </w:tabs>
        <w:ind w:left="1134"/>
      </w:pPr>
      <w:r>
        <w:t>Norbert Bärlocher (Suisse)</w:t>
      </w:r>
    </w:p>
    <w:p w14:paraId="06BEA6E8" w14:textId="09AE81E9" w:rsidR="004A6F38" w:rsidRPr="008E1212" w:rsidRDefault="00171C84" w:rsidP="00532C83">
      <w:pPr>
        <w:pStyle w:val="CBDNormalNumber"/>
      </w:pPr>
      <w:r>
        <w:t>La Conférence des Parties siégeant en tant que réunion des Parties au Protocole a décidé que M</w:t>
      </w:r>
      <w:r>
        <w:rPr>
          <w:vertAlign w:val="superscript"/>
        </w:rPr>
        <w:t>me</w:t>
      </w:r>
      <w:r>
        <w:t xml:space="preserve"> Chan serait la rapporteuse de la réunion, comme proposé par le Bureau.</w:t>
      </w:r>
    </w:p>
    <w:p w14:paraId="41A816B2" w14:textId="06BA73EE" w:rsidR="00A0088F" w:rsidRPr="008E1212" w:rsidRDefault="00266D7B" w:rsidP="00A0088F">
      <w:pPr>
        <w:pStyle w:val="CBDNormalNumber"/>
        <w:tabs>
          <w:tab w:val="clear" w:pos="567"/>
          <w:tab w:val="clear" w:pos="1701"/>
          <w:tab w:val="clear" w:pos="2268"/>
        </w:tabs>
      </w:pPr>
      <w:bookmarkStart w:id="51" w:name="_Hlk182203834"/>
      <w:r>
        <w:lastRenderedPageBreak/>
        <w:t xml:space="preserve">À sa troisième séance plénière, le 30 octobre, conformément à l'article 21 de son règlement intérieur, la Conférence des Parties à la Convention a élu les représentants ci-après pour siéger en tant que membres du Bureau pour un mandat prenant effet à la clôture de sa seizième réunion, et, par conséquent, en tant que membres du Bureau de la Conférence des Parties siégeant en tant que réunion des Parties au Protocole à la clôture de sa onzième réunion : </w:t>
      </w:r>
    </w:p>
    <w:p w14:paraId="687B82ED" w14:textId="77777777" w:rsidR="00A0088F" w:rsidRPr="008E1212" w:rsidRDefault="00A0088F" w:rsidP="00A0088F">
      <w:pPr>
        <w:pStyle w:val="CBDNormalNumber"/>
        <w:numPr>
          <w:ilvl w:val="0"/>
          <w:numId w:val="0"/>
        </w:numPr>
        <w:tabs>
          <w:tab w:val="clear" w:pos="567"/>
        </w:tabs>
        <w:ind w:left="1134"/>
      </w:pPr>
      <w:r>
        <w:t xml:space="preserve">Joséphine Thérèse Babette Beyala Epse Eloundou (Cameroun) </w:t>
      </w:r>
    </w:p>
    <w:p w14:paraId="655ABD40" w14:textId="77777777" w:rsidR="00A0088F" w:rsidRPr="00F16080" w:rsidRDefault="00A0088F" w:rsidP="00A0088F">
      <w:pPr>
        <w:pStyle w:val="CBDNormalNumber"/>
        <w:numPr>
          <w:ilvl w:val="0"/>
          <w:numId w:val="0"/>
        </w:numPr>
        <w:tabs>
          <w:tab w:val="clear" w:pos="567"/>
        </w:tabs>
        <w:ind w:left="1134"/>
        <w:rPr>
          <w:lang w:val="es-ES"/>
        </w:rPr>
      </w:pPr>
      <w:r>
        <w:t>Jonas Komi Anthé (Togo)</w:t>
      </w:r>
    </w:p>
    <w:p w14:paraId="651B2374" w14:textId="77777777" w:rsidR="00A0088F" w:rsidRPr="00F16080" w:rsidRDefault="00A0088F" w:rsidP="00A0088F">
      <w:pPr>
        <w:pStyle w:val="CBDNormalNumber"/>
        <w:numPr>
          <w:ilvl w:val="0"/>
          <w:numId w:val="0"/>
        </w:numPr>
        <w:tabs>
          <w:tab w:val="clear" w:pos="567"/>
        </w:tabs>
        <w:ind w:left="1134"/>
        <w:rPr>
          <w:lang w:val="es-ES"/>
        </w:rPr>
      </w:pPr>
      <w:r>
        <w:t>Bilal Qteshat (Jordanie)</w:t>
      </w:r>
    </w:p>
    <w:p w14:paraId="5D2C05DC" w14:textId="77777777" w:rsidR="00A0088F" w:rsidRPr="00787A27" w:rsidRDefault="00A0088F" w:rsidP="00A0088F">
      <w:pPr>
        <w:pStyle w:val="CBDNormalNumber"/>
        <w:numPr>
          <w:ilvl w:val="0"/>
          <w:numId w:val="0"/>
        </w:numPr>
        <w:tabs>
          <w:tab w:val="clear" w:pos="567"/>
        </w:tabs>
        <w:ind w:left="1134"/>
        <w:rPr>
          <w:lang w:val="en-CA"/>
        </w:rPr>
      </w:pPr>
      <w:r w:rsidRPr="00787A27">
        <w:rPr>
          <w:lang w:val="en-CA"/>
        </w:rPr>
        <w:t>Illam Atho Mohamed (Maldives)</w:t>
      </w:r>
    </w:p>
    <w:p w14:paraId="7CE9B843" w14:textId="77777777" w:rsidR="00A0088F" w:rsidRPr="00787A27" w:rsidRDefault="00A0088F" w:rsidP="00A0088F">
      <w:pPr>
        <w:pStyle w:val="CBDNormalNumber"/>
        <w:numPr>
          <w:ilvl w:val="0"/>
          <w:numId w:val="0"/>
        </w:numPr>
        <w:tabs>
          <w:tab w:val="clear" w:pos="567"/>
        </w:tabs>
        <w:ind w:left="1134"/>
        <w:rPr>
          <w:lang w:val="en-CA"/>
        </w:rPr>
      </w:pPr>
      <w:r w:rsidRPr="00787A27">
        <w:rPr>
          <w:lang w:val="en-CA"/>
        </w:rPr>
        <w:t>Adla Kahrić (Bosnie-Herzégovine)</w:t>
      </w:r>
    </w:p>
    <w:p w14:paraId="2D4EDF66" w14:textId="77777777" w:rsidR="00A0088F" w:rsidRPr="00F16080" w:rsidRDefault="00A0088F" w:rsidP="00A0088F">
      <w:pPr>
        <w:pStyle w:val="CBDNormalNumber"/>
        <w:numPr>
          <w:ilvl w:val="0"/>
          <w:numId w:val="0"/>
        </w:numPr>
        <w:tabs>
          <w:tab w:val="clear" w:pos="567"/>
        </w:tabs>
        <w:ind w:left="1134"/>
        <w:rPr>
          <w:lang w:val="es-ES"/>
        </w:rPr>
      </w:pPr>
      <w:r>
        <w:t>Jakhongir Talipov (Ouzbékistan)</w:t>
      </w:r>
    </w:p>
    <w:p w14:paraId="45DD05AD" w14:textId="77777777" w:rsidR="00A0088F" w:rsidRPr="00F16080" w:rsidRDefault="00A0088F" w:rsidP="00A0088F">
      <w:pPr>
        <w:pStyle w:val="CBDNormalNumber"/>
        <w:numPr>
          <w:ilvl w:val="0"/>
          <w:numId w:val="0"/>
        </w:numPr>
        <w:tabs>
          <w:tab w:val="clear" w:pos="567"/>
        </w:tabs>
        <w:ind w:left="1134"/>
        <w:rPr>
          <w:lang w:val="es-ES"/>
        </w:rPr>
      </w:pPr>
      <w:r>
        <w:t>Corina Sarli (Argentine)</w:t>
      </w:r>
    </w:p>
    <w:p w14:paraId="4B2F8B79" w14:textId="77777777" w:rsidR="00A0088F" w:rsidRPr="00EE6D3C" w:rsidRDefault="00A0088F" w:rsidP="00A0088F">
      <w:pPr>
        <w:pStyle w:val="CBDNormalNumber"/>
        <w:numPr>
          <w:ilvl w:val="0"/>
          <w:numId w:val="0"/>
        </w:numPr>
        <w:tabs>
          <w:tab w:val="clear" w:pos="567"/>
        </w:tabs>
        <w:ind w:left="1134"/>
      </w:pPr>
      <w:r>
        <w:t>Gillian Guthrie (Jamaïque)</w:t>
      </w:r>
    </w:p>
    <w:p w14:paraId="7A0681B0" w14:textId="77777777" w:rsidR="00A0088F" w:rsidRPr="00EE6D3C" w:rsidRDefault="00A0088F" w:rsidP="00A0088F">
      <w:pPr>
        <w:pStyle w:val="CBDNormalNumber"/>
        <w:numPr>
          <w:ilvl w:val="0"/>
          <w:numId w:val="0"/>
        </w:numPr>
        <w:tabs>
          <w:tab w:val="clear" w:pos="567"/>
        </w:tabs>
        <w:ind w:left="1134"/>
      </w:pPr>
      <w:r>
        <w:t>Gaute Hanssen (Norvège)</w:t>
      </w:r>
    </w:p>
    <w:p w14:paraId="2E9F19BB" w14:textId="10FC3CB2" w:rsidR="00A0088F" w:rsidRPr="008E1212" w:rsidRDefault="00A0088F" w:rsidP="00A0088F">
      <w:pPr>
        <w:pStyle w:val="CBDNormalNumber"/>
        <w:numPr>
          <w:ilvl w:val="0"/>
          <w:numId w:val="0"/>
        </w:numPr>
        <w:tabs>
          <w:tab w:val="clear" w:pos="567"/>
        </w:tabs>
        <w:ind w:left="1134"/>
      </w:pPr>
      <w:r>
        <w:t>Eric Schauls (Luxembourg)</w:t>
      </w:r>
    </w:p>
    <w:bookmarkEnd w:id="51"/>
    <w:p w14:paraId="6FA90CC0" w14:textId="6E262C84" w:rsidR="003703DE" w:rsidRPr="008E1212" w:rsidRDefault="00BC5E15" w:rsidP="00A0088F">
      <w:pPr>
        <w:pStyle w:val="CBDNormalNumber"/>
      </w:pPr>
      <w:r>
        <w:t xml:space="preserve">À sa quatrième séance plénière, le 31 octobre, conformément au paragraphe 3 de l’article 29 du Protocole, la Conférence des Parties siégeant en tant que réunion des Parties au Protocole a élu Gerardo Evia (Uruguay) pour siéger en tant que membre du Bureau du Protocole de Cartagena, remplaçant ainsi Corina Sarli (Argentine), l’Argentine n’étant pas Partie au Protocole. </w:t>
      </w:r>
    </w:p>
    <w:p w14:paraId="4ED86135" w14:textId="366C90F9" w:rsidR="00557370" w:rsidRPr="008E1212" w:rsidRDefault="00557370" w:rsidP="004A6F38">
      <w:pPr>
        <w:pStyle w:val="Heading2"/>
        <w:numPr>
          <w:ilvl w:val="0"/>
          <w:numId w:val="0"/>
        </w:numPr>
        <w:suppressLineNumbers/>
        <w:suppressAutoHyphens/>
        <w:ind w:left="567"/>
        <w:rPr>
          <w:rFonts w:asciiTheme="majorBidi" w:hAnsiTheme="majorBidi"/>
          <w:b w:val="0"/>
          <w:bCs/>
          <w:i/>
          <w:iCs/>
          <w:snapToGrid w:val="0"/>
          <w:kern w:val="22"/>
          <w:sz w:val="22"/>
          <w:szCs w:val="22"/>
        </w:rPr>
      </w:pPr>
      <w:r>
        <w:rPr>
          <w:rFonts w:asciiTheme="majorBidi" w:hAnsiTheme="majorBidi"/>
          <w:b w:val="0"/>
          <w:bCs/>
          <w:i/>
          <w:iCs/>
          <w:snapToGrid w:val="0"/>
          <w:kern w:val="22"/>
          <w:sz w:val="22"/>
          <w:szCs w:val="22"/>
        </w:rPr>
        <w:t>Adoption de l’ordre du jour</w:t>
      </w:r>
    </w:p>
    <w:p w14:paraId="1BC878A3" w14:textId="5172D0AB" w:rsidR="00D970D6" w:rsidRPr="008E1212" w:rsidRDefault="00B056FB" w:rsidP="00D970D6">
      <w:pPr>
        <w:pStyle w:val="CBDNormalNumber"/>
      </w:pPr>
      <w:r>
        <w:t>À sa première séance plénière, la Conférence des Parties siégeant en tant que réunion des Parties au Protocole a adopté l’ordre du jour suivant sur la base de l’ordre du jour provisoire établi par le secrétariat en consultation avec le Bureau :</w:t>
      </w:r>
    </w:p>
    <w:p w14:paraId="54642500" w14:textId="1C66E3F8" w:rsidR="00F038D6" w:rsidRPr="008E1212" w:rsidRDefault="00A26CD4" w:rsidP="00A26CD4">
      <w:pPr>
        <w:pStyle w:val="CBDNormalNoNumber"/>
      </w:pPr>
      <w:r>
        <w:tab/>
        <w:t>1.</w:t>
      </w:r>
      <w:r>
        <w:tab/>
        <w:t>Ouverture de la réunion.</w:t>
      </w:r>
    </w:p>
    <w:p w14:paraId="20EC48BE" w14:textId="7E856E13" w:rsidR="00F038D6" w:rsidRPr="008E1212" w:rsidRDefault="00A26CD4" w:rsidP="00A26CD4">
      <w:pPr>
        <w:pStyle w:val="CBDNormalNoNumber"/>
      </w:pPr>
      <w:r>
        <w:tab/>
        <w:t>2.</w:t>
      </w:r>
      <w:r>
        <w:tab/>
        <w:t>Questions d'organisation.</w:t>
      </w:r>
    </w:p>
    <w:p w14:paraId="23AF6F67" w14:textId="27DF7F6C" w:rsidR="00F038D6" w:rsidRPr="008E1212" w:rsidRDefault="00A26CD4" w:rsidP="00A26CD4">
      <w:pPr>
        <w:pStyle w:val="CBDNormalNoNumber"/>
        <w:ind w:left="1701" w:hanging="1134"/>
      </w:pPr>
      <w:r>
        <w:tab/>
        <w:t>3.</w:t>
      </w:r>
      <w:r>
        <w:tab/>
        <w:t>Rapport sur les pouvoirs des représentants à la onzième réunion de la Conférence des Parties siégeant en tant que réunion des Parties au Protocole de Cartagena.</w:t>
      </w:r>
    </w:p>
    <w:p w14:paraId="1C5175BF" w14:textId="31F99B87" w:rsidR="00F038D6" w:rsidRPr="008E1212" w:rsidRDefault="00A26CD4" w:rsidP="00A26CD4">
      <w:pPr>
        <w:pStyle w:val="CBDNormalNoNumber"/>
        <w:ind w:left="1701" w:hanging="1134"/>
      </w:pPr>
      <w:r>
        <w:tab/>
        <w:t>4.</w:t>
      </w:r>
      <w:r>
        <w:tab/>
        <w:t>Rapports des organes subsidiaires.</w:t>
      </w:r>
    </w:p>
    <w:p w14:paraId="7C1EE41E" w14:textId="09E8C17E" w:rsidR="00F038D6" w:rsidRPr="008E1212" w:rsidRDefault="00A26CD4" w:rsidP="00A26CD4">
      <w:pPr>
        <w:pStyle w:val="CBDNormalNoNumber"/>
        <w:ind w:left="1701" w:hanging="1134"/>
      </w:pPr>
      <w:r>
        <w:tab/>
        <w:t>5.</w:t>
      </w:r>
      <w:r>
        <w:tab/>
        <w:t>Rapport du Comité chargé du respect des obligations.</w:t>
      </w:r>
    </w:p>
    <w:p w14:paraId="48225AE5" w14:textId="6DF186EC" w:rsidR="00F038D6" w:rsidRPr="008E1212" w:rsidRDefault="00A26CD4" w:rsidP="00A26CD4">
      <w:pPr>
        <w:pStyle w:val="CBDNormalNoNumber"/>
        <w:ind w:left="1701" w:hanging="1134"/>
      </w:pPr>
      <w:r>
        <w:tab/>
        <w:t>6.</w:t>
      </w:r>
      <w:r>
        <w:tab/>
        <w:t>Administration du Protocole et budget des fonds d'affectation spéciale.</w:t>
      </w:r>
    </w:p>
    <w:p w14:paraId="6905D0BD" w14:textId="47226F65" w:rsidR="00F038D6" w:rsidRPr="008E1212" w:rsidRDefault="00A26CD4" w:rsidP="00A26CD4">
      <w:pPr>
        <w:pStyle w:val="CBDNormalNoNumber"/>
        <w:ind w:left="1701" w:hanging="1134"/>
      </w:pPr>
      <w:r>
        <w:tab/>
        <w:t>7.</w:t>
      </w:r>
      <w:r>
        <w:tab/>
        <w:t xml:space="preserve">Questions relatives au mécanisme de financement et aux ressources financières. </w:t>
      </w:r>
    </w:p>
    <w:p w14:paraId="1F25E2CA" w14:textId="1AF9DE18" w:rsidR="00F038D6" w:rsidRPr="008E1212" w:rsidRDefault="00A26CD4" w:rsidP="00A26CD4">
      <w:pPr>
        <w:pStyle w:val="CBDNormalNoNumber"/>
        <w:ind w:left="1701" w:hanging="1134"/>
      </w:pPr>
      <w:r>
        <w:tab/>
        <w:t>8.</w:t>
      </w:r>
      <w:r>
        <w:tab/>
        <w:t>Fonctionnement et activités du Centre d’échange pour la prévention des risques biotechnologiques.</w:t>
      </w:r>
    </w:p>
    <w:p w14:paraId="0B7A2A17" w14:textId="2C42CA63" w:rsidR="00F038D6" w:rsidRPr="008E1212" w:rsidRDefault="00A26CD4" w:rsidP="00A26CD4">
      <w:pPr>
        <w:pStyle w:val="CBDNormalNoNumber"/>
        <w:ind w:left="1701" w:hanging="1134"/>
      </w:pPr>
      <w:r>
        <w:tab/>
        <w:t>9.</w:t>
      </w:r>
      <w:r>
        <w:tab/>
        <w:t>Coopération avec des organisations internationales, des organismes créés en vertu d’autres conventions, et des initiatives.</w:t>
      </w:r>
    </w:p>
    <w:p w14:paraId="68AD6B80" w14:textId="5A9BA170" w:rsidR="00F038D6" w:rsidRPr="008E1212" w:rsidRDefault="00A26CD4" w:rsidP="00A26CD4">
      <w:pPr>
        <w:pStyle w:val="CBDNormalNoNumber"/>
        <w:ind w:left="1701" w:hanging="1134"/>
      </w:pPr>
      <w:r>
        <w:tab/>
        <w:t>10.</w:t>
      </w:r>
      <w:r>
        <w:tab/>
        <w:t>Examen de l’efficacité des processus relevant de la Convention et de ses Protocoles.</w:t>
      </w:r>
    </w:p>
    <w:p w14:paraId="600201B6" w14:textId="73C8E5BC" w:rsidR="00F038D6" w:rsidRPr="008E1212" w:rsidRDefault="00A26CD4" w:rsidP="00A26CD4">
      <w:pPr>
        <w:pStyle w:val="CBDNormalNoNumber"/>
        <w:ind w:left="1701" w:hanging="1134"/>
      </w:pPr>
      <w:r>
        <w:tab/>
        <w:t>11.</w:t>
      </w:r>
      <w:r>
        <w:tab/>
        <w:t>Évaluation des risques et gestion des risques.</w:t>
      </w:r>
    </w:p>
    <w:p w14:paraId="480898C1" w14:textId="7CE274F4" w:rsidR="00F038D6" w:rsidRPr="008E1212" w:rsidRDefault="00A26CD4" w:rsidP="00A26CD4">
      <w:pPr>
        <w:pStyle w:val="CBDNormalNoNumber"/>
        <w:ind w:left="1701" w:hanging="1134"/>
      </w:pPr>
      <w:r>
        <w:tab/>
        <w:t>12.</w:t>
      </w:r>
      <w:r>
        <w:tab/>
        <w:t>Détection et identification des organismes vivants modifiés.</w:t>
      </w:r>
    </w:p>
    <w:p w14:paraId="0CD904B3" w14:textId="48E4F536" w:rsidR="00F038D6" w:rsidRPr="008E1212" w:rsidRDefault="00A26CD4" w:rsidP="00A26CD4">
      <w:pPr>
        <w:pStyle w:val="CBDNormalNoNumber"/>
        <w:ind w:left="1701" w:hanging="1134"/>
      </w:pPr>
      <w:r>
        <w:tab/>
        <w:t>13.</w:t>
      </w:r>
      <w:r>
        <w:tab/>
        <w:t>Considérations socio-économiques.</w:t>
      </w:r>
    </w:p>
    <w:p w14:paraId="7C95FFAB" w14:textId="4B7D9F5B" w:rsidR="00F038D6" w:rsidRPr="008E1212" w:rsidRDefault="00A26CD4" w:rsidP="00A26CD4">
      <w:pPr>
        <w:pStyle w:val="CBDNormalNoNumber"/>
        <w:ind w:left="1701" w:hanging="1134"/>
      </w:pPr>
      <w:r>
        <w:tab/>
        <w:t>14.</w:t>
      </w:r>
      <w:r>
        <w:tab/>
        <w:t>Protocole additionnel de Nagoya-Kuala Lumpur sur la responsabilité et la réparation.</w:t>
      </w:r>
    </w:p>
    <w:p w14:paraId="217E4F9D" w14:textId="65D814CD" w:rsidR="00F038D6" w:rsidRPr="008E1212" w:rsidRDefault="00A26CD4" w:rsidP="00A26CD4">
      <w:pPr>
        <w:pStyle w:val="CBDNormalNoNumber"/>
        <w:ind w:left="1701" w:hanging="1134"/>
      </w:pPr>
      <w:r>
        <w:lastRenderedPageBreak/>
        <w:tab/>
        <w:t>15.</w:t>
      </w:r>
      <w:r>
        <w:tab/>
        <w:t>Questions diverses.</w:t>
      </w:r>
    </w:p>
    <w:p w14:paraId="05C103B2" w14:textId="430B47F4" w:rsidR="00F038D6" w:rsidRPr="008E1212" w:rsidRDefault="00A26CD4" w:rsidP="00A26CD4">
      <w:pPr>
        <w:pStyle w:val="CBDNormalNoNumber"/>
        <w:ind w:left="1701" w:hanging="1134"/>
      </w:pPr>
      <w:r>
        <w:tab/>
        <w:t>16.</w:t>
      </w:r>
      <w:r>
        <w:tab/>
        <w:t>Adoption du rapport.</w:t>
      </w:r>
    </w:p>
    <w:p w14:paraId="69D700C8" w14:textId="51CADA84" w:rsidR="00DC44CE" w:rsidRPr="008E1212" w:rsidRDefault="00A26CD4" w:rsidP="00A26CD4">
      <w:pPr>
        <w:pStyle w:val="CBDNormalNoNumber"/>
        <w:ind w:left="1701" w:hanging="1134"/>
      </w:pPr>
      <w:r>
        <w:tab/>
        <w:t>17.</w:t>
      </w:r>
      <w:r>
        <w:tab/>
        <w:t>Clôture de la réunion.</w:t>
      </w:r>
    </w:p>
    <w:p w14:paraId="1CDAA953" w14:textId="77777777" w:rsidR="00A01C93" w:rsidRPr="008E1212" w:rsidRDefault="00A01C93" w:rsidP="007F7E8B">
      <w:pPr>
        <w:pStyle w:val="Para1"/>
        <w:ind w:left="562"/>
        <w:rPr>
          <w:i/>
          <w:iCs/>
        </w:rPr>
      </w:pPr>
      <w:r>
        <w:rPr>
          <w:i/>
          <w:iCs/>
        </w:rPr>
        <w:t>Organisation des travaux</w:t>
      </w:r>
    </w:p>
    <w:p w14:paraId="3055E681" w14:textId="0127C087" w:rsidR="00EB1A67" w:rsidRPr="008E1212" w:rsidRDefault="00A01C93" w:rsidP="0093532A">
      <w:pPr>
        <w:pStyle w:val="CBDNormalNumber"/>
        <w:rPr>
          <w:rFonts w:eastAsia="Batang"/>
          <w:lang w:eastAsia="ja-JP"/>
        </w:rPr>
      </w:pPr>
      <w:r>
        <w:t xml:space="preserve">À sa première séance plénière, la Conférence des Parties siégeant en tant que réunion des Parties au Protocole a décidé d’organiser ses travaux comme indiqué à l’annexe III de la proposition d’organisation des travaux. </w:t>
      </w:r>
      <w:r>
        <w:rPr>
          <w:rFonts w:asciiTheme="majorBidi" w:hAnsiTheme="majorBidi" w:cstheme="majorBidi"/>
          <w:color w:val="000000" w:themeColor="text1"/>
        </w:rPr>
        <w:t xml:space="preserve">Elle a donc décidé de créer deux groupes de travail :  </w:t>
      </w:r>
      <w:r>
        <w:t>le Groupe de travail I, présidé par Charlotta Sörqvist (Suède), et le Groupe de travail II, présidé par Hesiquio Benítez Díaz (Mexique).</w:t>
      </w:r>
    </w:p>
    <w:p w14:paraId="46E47034" w14:textId="77777777" w:rsidR="008270BA" w:rsidRPr="008E1212" w:rsidRDefault="008270BA" w:rsidP="008270BA">
      <w:pPr>
        <w:pStyle w:val="CBDNormalNoNumber"/>
        <w:keepNext/>
        <w:rPr>
          <w:i/>
          <w:iCs/>
          <w:snapToGrid w:val="0"/>
        </w:rPr>
      </w:pPr>
      <w:r>
        <w:rPr>
          <w:i/>
          <w:iCs/>
          <w:snapToGrid w:val="0"/>
        </w:rPr>
        <w:t>Travaux des groupes de travail de session</w:t>
      </w:r>
    </w:p>
    <w:p w14:paraId="47A29059" w14:textId="630FDCBF" w:rsidR="00BB00D8" w:rsidRPr="008E1212" w:rsidRDefault="00BB00D8" w:rsidP="00474A1A">
      <w:pPr>
        <w:pStyle w:val="CBDNormalNumber"/>
      </w:pPr>
      <w:r>
        <w:t>Le Groupe de travail I a siégé six fois entre le 21 octobre et le 1</w:t>
      </w:r>
      <w:r>
        <w:rPr>
          <w:vertAlign w:val="superscript"/>
        </w:rPr>
        <w:t>er</w:t>
      </w:r>
      <w:r>
        <w:t> novembre 2024 et a adopté son rapport</w:t>
      </w:r>
      <w:r>
        <w:rPr>
          <w:rStyle w:val="FootnoteReference"/>
        </w:rPr>
        <w:footnoteReference w:id="69"/>
      </w:r>
      <w:r>
        <w:t xml:space="preserve"> le 1</w:t>
      </w:r>
      <w:r>
        <w:rPr>
          <w:vertAlign w:val="superscript"/>
        </w:rPr>
        <w:t>er</w:t>
      </w:r>
      <w:r>
        <w:t> novembre 2024.</w:t>
      </w:r>
    </w:p>
    <w:p w14:paraId="42887B9A" w14:textId="77777777" w:rsidR="00BB00D8" w:rsidRPr="008E1212" w:rsidRDefault="00BB00D8" w:rsidP="00474A1A">
      <w:pPr>
        <w:pStyle w:val="CBDNormalNumber"/>
      </w:pPr>
      <w:r>
        <w:t>Le Groupe de travail II a siégé douze fois entre le 21 octobre et le 1</w:t>
      </w:r>
      <w:r>
        <w:rPr>
          <w:vertAlign w:val="superscript"/>
        </w:rPr>
        <w:t>er</w:t>
      </w:r>
      <w:r>
        <w:t> novembre 2024 et a adopté son rapport</w:t>
      </w:r>
      <w:r>
        <w:rPr>
          <w:rStyle w:val="FootnoteReference"/>
        </w:rPr>
        <w:footnoteReference w:id="70"/>
      </w:r>
      <w:r>
        <w:t xml:space="preserve"> le 1</w:t>
      </w:r>
      <w:r>
        <w:rPr>
          <w:vertAlign w:val="superscript"/>
        </w:rPr>
        <w:t>er</w:t>
      </w:r>
      <w:r>
        <w:t> novembre 2024.</w:t>
      </w:r>
    </w:p>
    <w:p w14:paraId="729AF928" w14:textId="77777777" w:rsidR="004D225E" w:rsidRPr="008E1212" w:rsidRDefault="004D225E" w:rsidP="004D225E">
      <w:pPr>
        <w:pStyle w:val="CBDNormalNumber"/>
        <w:keepNext/>
        <w:numPr>
          <w:ilvl w:val="0"/>
          <w:numId w:val="0"/>
        </w:numPr>
        <w:ind w:left="567"/>
        <w:rPr>
          <w:rFonts w:eastAsia="Batang"/>
          <w:i/>
          <w:iCs/>
          <w:lang w:eastAsia="ja-JP"/>
        </w:rPr>
      </w:pPr>
      <w:r>
        <w:rPr>
          <w:rFonts w:eastAsia="Batang"/>
          <w:i/>
          <w:iCs/>
        </w:rPr>
        <w:t>Première séance de bilan</w:t>
      </w:r>
    </w:p>
    <w:p w14:paraId="37347DAB" w14:textId="5CA948DB" w:rsidR="004D225E" w:rsidRPr="008E1212" w:rsidRDefault="004D225E" w:rsidP="006B49C8">
      <w:pPr>
        <w:pStyle w:val="CBDNormalNumber"/>
        <w:spacing w:before="0"/>
        <w:rPr>
          <w:rFonts w:eastAsia="Batang"/>
          <w:lang w:eastAsia="ja-JP"/>
        </w:rPr>
      </w:pPr>
      <w:r>
        <w:t>La deuxième séance plénière de la Conférence des Parties siégeant en tant que réunion des Parties au Protocole, le 25 octobre, a servi en partie de séance de bilan, tenue conjointement avec la Conférence des Parties à la Convention et la Conférence des Parties siégeant en tant que réunion des Parties au Protocole de Nagoya. Au cours de cette séance de bilan, les présidents du Groupe de travail I, du Groupe de travail II et du groupe de contact sur les questions budgétaires ont présenté des rapports sur les progrès réalisés à ce jour.</w:t>
      </w:r>
      <w:r>
        <w:rPr>
          <w:rFonts w:eastAsia="Batang"/>
        </w:rPr>
        <w:t xml:space="preserve"> </w:t>
      </w:r>
    </w:p>
    <w:p w14:paraId="344931D3" w14:textId="461216C2" w:rsidR="00E668E6" w:rsidRPr="008E1212" w:rsidRDefault="00E668E6" w:rsidP="00351C22">
      <w:pPr>
        <w:pStyle w:val="CBDNormalNumber"/>
      </w:pPr>
      <w:r>
        <w:t>Des déclarations ont été faites par les représentants des Parties suivantes : Fidji (au nom des petits États insulaires en développement du Pacifique Parties au Protocole représentés à la réunion) et République démocratique populaire lao</w:t>
      </w:r>
      <w:r>
        <w:rPr>
          <w:rFonts w:ascii="Segoe UI" w:hAnsi="Segoe UI" w:cs="Segoe UI"/>
          <w:sz w:val="18"/>
          <w:szCs w:val="18"/>
        </w:rPr>
        <w:t xml:space="preserve"> </w:t>
      </w:r>
      <w:r>
        <w:t xml:space="preserve">(au nom des États membres de l'Association des nations de l'Asie du Sud-Est représentés à la réunion). </w:t>
      </w:r>
    </w:p>
    <w:p w14:paraId="77092951" w14:textId="39C6D89A" w:rsidR="00E668E6" w:rsidRPr="008E1212" w:rsidRDefault="00E668E6" w:rsidP="00E668E6">
      <w:pPr>
        <w:pStyle w:val="CBDNormalNumber"/>
      </w:pPr>
      <w:r>
        <w:t>Une déclaration a également été faite par un représentant de la non Partie suivante : Fédération de Russie [également au nom de l’Afrique du Sud, du Brésil, de la Chine, de l’Égypte, des Émirats arabes unis, de l’Éthiopie, de l’Inde et de l’Iran (République islamique d')].</w:t>
      </w:r>
    </w:p>
    <w:p w14:paraId="77E53050" w14:textId="28E0EFA7" w:rsidR="004D225E" w:rsidRPr="008E1212" w:rsidRDefault="004D225E" w:rsidP="004D225E">
      <w:pPr>
        <w:pStyle w:val="CBDNormalNumber"/>
        <w:keepNext/>
        <w:numPr>
          <w:ilvl w:val="0"/>
          <w:numId w:val="0"/>
        </w:numPr>
        <w:ind w:left="567"/>
        <w:rPr>
          <w:rFonts w:eastAsia="Batang"/>
          <w:i/>
          <w:iCs/>
          <w:lang w:eastAsia="ja-JP"/>
        </w:rPr>
      </w:pPr>
      <w:r>
        <w:rPr>
          <w:rFonts w:eastAsia="Batang"/>
          <w:i/>
          <w:iCs/>
        </w:rPr>
        <w:t>Deuxième séance de bilan</w:t>
      </w:r>
    </w:p>
    <w:p w14:paraId="46ED0AAF" w14:textId="6D11BE07" w:rsidR="006905B0" w:rsidRPr="008E1212" w:rsidRDefault="006905B0" w:rsidP="006905B0">
      <w:pPr>
        <w:pStyle w:val="CBDNormalNumber"/>
        <w:rPr>
          <w:rFonts w:eastAsia="Batang"/>
          <w:lang w:eastAsia="ja-JP"/>
        </w:rPr>
      </w:pPr>
      <w:r>
        <w:t>La troisième séance plénière de la Conférence des Parties siégeant en tant que réunion des Parties au Protocole de Cartagena a servi en partie de deuxième séance de bilan, tenue conjointement avec la Conférence des Parties à la Convention et la Conférence des Parties siégeant en tant que réunion des Parties au Protocole de Nagoya. Au cours de cette séance de bilan, les représentants ont entendu un rapport de la Présidente sur les résultats du débat de haut niveau, ainsi que des rapports sur les progrès réalisés à cette date, présentés par les présidents du Groupe de travail I, du Groupe de travail II et du groupe de contact sur les questions budgétaires.</w:t>
      </w:r>
      <w:r>
        <w:rPr>
          <w:rFonts w:eastAsia="Batang"/>
        </w:rPr>
        <w:t xml:space="preserve"> </w:t>
      </w:r>
    </w:p>
    <w:p w14:paraId="0EBFC06E" w14:textId="2059E873" w:rsidR="006905B0" w:rsidRPr="008E1212" w:rsidRDefault="006905B0" w:rsidP="006905B0">
      <w:pPr>
        <w:pStyle w:val="CBDNormalNumber"/>
        <w:rPr>
          <w:rFonts w:eastAsia="Batang"/>
          <w:lang w:eastAsia="ja-JP"/>
        </w:rPr>
      </w:pPr>
      <w:r>
        <w:t>Une déclaration a été faite par un représentant de l’État plurinational de Bolivie [au nom d’Antigua-et-Barbuda, du Brésil, de Cuba, de l’Équateur, des Fidji, du Guatemala, d’Haïti, des Îles Cook, des Îles Marshall, des îles Salomon, de l’Inde, de l’Indonésie, de Kiribati, de Malaisie, de la Micronésie (États fédérés de), de Nauru, des Palaos, des Philippines, de la République dominicaine, des Tonga, de Vanuatu, du Venezuela (République bolivarienne du) et des États africains]</w:t>
      </w:r>
      <w:r>
        <w:rPr>
          <w:rStyle w:val="FootnoteReference"/>
        </w:rPr>
        <w:footnoteReference w:id="71"/>
      </w:r>
      <w:r>
        <w:t>.</w:t>
      </w:r>
    </w:p>
    <w:p w14:paraId="21719BE0" w14:textId="3B464149" w:rsidR="008270BA" w:rsidRPr="008E1212" w:rsidRDefault="00592CD5" w:rsidP="008270BA">
      <w:pPr>
        <w:pStyle w:val="CBDNormalNoNumber"/>
        <w:keepNext/>
        <w:rPr>
          <w:i/>
          <w:iCs/>
          <w:snapToGrid w:val="0"/>
        </w:rPr>
      </w:pPr>
      <w:r>
        <w:rPr>
          <w:i/>
          <w:iCs/>
          <w:snapToGrid w:val="0"/>
        </w:rPr>
        <w:lastRenderedPageBreak/>
        <w:t>Première reprise de la réunion</w:t>
      </w:r>
    </w:p>
    <w:p w14:paraId="62EF94D6" w14:textId="6BA4A85A" w:rsidR="006B234D" w:rsidRPr="008E1212" w:rsidRDefault="00C86BCF" w:rsidP="006B234D">
      <w:pPr>
        <w:pStyle w:val="CBDNormalNumber"/>
        <w:rPr>
          <w:snapToGrid w:val="0"/>
        </w:rPr>
      </w:pPr>
      <w:r>
        <w:rPr>
          <w:snapToGrid w:val="0"/>
        </w:rPr>
        <w:t>Avant la première reprise de la réunion, le Secrétariat a publié une communication liminaire de la Présidente</w:t>
      </w:r>
      <w:r>
        <w:rPr>
          <w:rStyle w:val="FootnoteReference"/>
          <w:snapToGrid w:val="0"/>
        </w:rPr>
        <w:footnoteReference w:id="72"/>
      </w:r>
      <w:r>
        <w:rPr>
          <w:snapToGrid w:val="0"/>
        </w:rPr>
        <w:t xml:space="preserve"> et une note de scénario</w:t>
      </w:r>
      <w:r>
        <w:rPr>
          <w:rStyle w:val="FootnoteReference"/>
          <w:snapToGrid w:val="0"/>
        </w:rPr>
        <w:footnoteReference w:id="73"/>
      </w:r>
      <w:r>
        <w:rPr>
          <w:snapToGrid w:val="0"/>
        </w:rPr>
        <w:t xml:space="preserve"> en vue de l'adoption, selon la procédure d'approbation tacite, de deux projets décision relatifs au budget</w:t>
      </w:r>
      <w:r>
        <w:rPr>
          <w:rStyle w:val="FootnoteReference"/>
          <w:snapToGrid w:val="0"/>
        </w:rPr>
        <w:footnoteReference w:id="74"/>
      </w:r>
      <w:r>
        <w:rPr>
          <w:snapToGrid w:val="0"/>
        </w:rPr>
        <w:t>. Le résultat des procédures d'approbation tacite est décrit au point 6 ci-dessous</w:t>
      </w:r>
      <w:r>
        <w:t>.</w:t>
      </w:r>
    </w:p>
    <w:p w14:paraId="11F7BFF4" w14:textId="3D28BD55" w:rsidR="000F7F8A" w:rsidRPr="008E1212" w:rsidRDefault="00E04367" w:rsidP="000F7F8A">
      <w:pPr>
        <w:pStyle w:val="CBDNormalNumber"/>
        <w:numPr>
          <w:ilvl w:val="0"/>
          <w:numId w:val="0"/>
        </w:numPr>
        <w:ind w:left="567"/>
        <w:rPr>
          <w:i/>
          <w:iCs/>
          <w:snapToGrid w:val="0"/>
        </w:rPr>
      </w:pPr>
      <w:r>
        <w:rPr>
          <w:i/>
          <w:iCs/>
          <w:snapToGrid w:val="0"/>
        </w:rPr>
        <w:t xml:space="preserve">Deuxième reprise de la réunion </w:t>
      </w:r>
    </w:p>
    <w:p w14:paraId="62466DC0" w14:textId="6E9054DC" w:rsidR="00035500" w:rsidRPr="008E1212" w:rsidRDefault="002A740C" w:rsidP="00035500">
      <w:pPr>
        <w:pStyle w:val="CBDNormalNumber"/>
      </w:pPr>
      <w:r>
        <w:t>À sa septième séance plénière, la Conférence des Parties siégeant en tant que réunion des Parties au Protocole était saisie</w:t>
      </w:r>
      <w:bookmarkStart w:id="52" w:name="_Hlk190684020"/>
      <w:r>
        <w:t xml:space="preserve"> d'un ordre du jour provisoire annoté pour tous les points en suspens</w:t>
      </w:r>
      <w:r>
        <w:rPr>
          <w:rStyle w:val="FootnoteReference"/>
        </w:rPr>
        <w:footnoteReference w:id="75"/>
      </w:r>
      <w:r>
        <w:t>, d'une proposition d'organisation des travaux et d'une note de scénario</w:t>
      </w:r>
      <w:bookmarkEnd w:id="52"/>
      <w:r>
        <w:t>,</w:t>
      </w:r>
      <w:r>
        <w:rPr>
          <w:rStyle w:val="FootnoteReference"/>
        </w:rPr>
        <w:footnoteReference w:id="76"/>
      </w:r>
      <w:r>
        <w:t xml:space="preserve"> ayant chacune été élaborée par le Secrétariat en consultation avec le Bureau</w:t>
      </w:r>
      <w:r>
        <w:rPr>
          <w:rFonts w:asciiTheme="majorBidi" w:hAnsiTheme="majorBidi" w:cstheme="majorBidi"/>
          <w:color w:val="000000" w:themeColor="text1"/>
        </w:rPr>
        <w:t>.</w:t>
      </w:r>
    </w:p>
    <w:p w14:paraId="42ED5224" w14:textId="2CCD1F32" w:rsidR="00035500" w:rsidRPr="008E1212" w:rsidRDefault="00035500" w:rsidP="00035500">
      <w:pPr>
        <w:pStyle w:val="CBDNormalNumber"/>
      </w:pPr>
      <w:r>
        <w:rPr>
          <w:rFonts w:asciiTheme="majorBidi" w:hAnsiTheme="majorBidi" w:cstheme="majorBidi"/>
          <w:color w:val="000000" w:themeColor="text1"/>
        </w:rPr>
        <w:t>La Conférence des Parties siégeant en tant que réunion des Parties au Protocole a approuvé la proposition de note de scénario, figurant à la section II du document CBD/CP/MOP/11/1/Add.5, et la proposition d'organisation des travaux, figurant à l'annexe du même document.</w:t>
      </w:r>
    </w:p>
    <w:p w14:paraId="5477E4F4" w14:textId="16D0DC19" w:rsidR="00557370" w:rsidRPr="008E1212" w:rsidRDefault="00512CE8" w:rsidP="006F791E">
      <w:pPr>
        <w:pStyle w:val="CBDAgendaItem"/>
      </w:pPr>
      <w:bookmarkStart w:id="55" w:name="_Toc194919567"/>
      <w:r>
        <w:t xml:space="preserve">Point 3 </w:t>
      </w:r>
      <w:r>
        <w:br/>
        <w:t>Rapport sur les pouvoirs des représentants à la onzième réunion de la Conférence des Parties siégeant en tant que réunion des Parties au Protocole de Cartagena</w:t>
      </w:r>
      <w:bookmarkEnd w:id="55"/>
    </w:p>
    <w:p w14:paraId="0489909E" w14:textId="30BC8ADC" w:rsidR="002530CE" w:rsidRPr="008E1212" w:rsidRDefault="00A53A16" w:rsidP="002530CE">
      <w:pPr>
        <w:pStyle w:val="CBDNormalNumber"/>
      </w:pPr>
      <w:bookmarkStart w:id="56" w:name="_Hlk180682308"/>
      <w:r>
        <w:t>À sa première séance plénière, la Conférence des Parties siégeant en tant que réunion des Parties au Protocole a noté que, conformément au règlement intérieur applicable aux réunions des Parties, le Bureau avait examiné la liste des observateurs admis à la réunion</w:t>
      </w:r>
      <w:r>
        <w:rPr>
          <w:rStyle w:val="FootnoteReference"/>
        </w:rPr>
        <w:footnoteReference w:id="77"/>
      </w:r>
      <w:r>
        <w:t xml:space="preserve"> et qu’il examinerait les pouvoirs des représentants et en rendrait compte à une session ultérieure. La Conférence a également noté que le Bureau avait désigné M</w:t>
      </w:r>
      <w:r>
        <w:rPr>
          <w:vertAlign w:val="superscript"/>
        </w:rPr>
        <w:t>me</w:t>
      </w:r>
      <w:r>
        <w:t xml:space="preserve"> Mabuza comme représentante pour l’examen des pouvoirs.</w:t>
      </w:r>
    </w:p>
    <w:p w14:paraId="5F16710E" w14:textId="3ABCC203" w:rsidR="00B106AD" w:rsidRPr="008E1212" w:rsidRDefault="000A285D" w:rsidP="00B106AD">
      <w:pPr>
        <w:pStyle w:val="CBDNormalNumber"/>
        <w:rPr>
          <w:lang w:eastAsia="en-CA"/>
        </w:rPr>
      </w:pPr>
      <w:r>
        <w:t>À la deuxième séance plénière, M</w:t>
      </w:r>
      <w:r>
        <w:rPr>
          <w:vertAlign w:val="superscript"/>
        </w:rPr>
        <w:t>me</w:t>
      </w:r>
      <w:r>
        <w:t xml:space="preserve"> Mabuza a rapporté que 151 Parties au Protocole étaient inscrites comme participant à la réunion. Les représentants de 108 Parties inscrites avaient soumis des pouvoirs en conformité complète avec l’article 18 du règlement intérieur, tandis que les représentants d’une Partie inscrite avaient soumis des pouvoirs qui n’étaient pas entièrement conformes. Les représentants de 42 Parties inscrites n’avaient pas encore soumis leurs pouvoirs.</w:t>
      </w:r>
    </w:p>
    <w:p w14:paraId="739434E3" w14:textId="26AF31E7" w:rsidR="006905B0" w:rsidRPr="008E1212" w:rsidRDefault="006905B0" w:rsidP="006905B0">
      <w:pPr>
        <w:pStyle w:val="CBDNormalNumber"/>
        <w:rPr>
          <w:lang w:eastAsia="en-CA"/>
        </w:rPr>
      </w:pPr>
      <w:bookmarkStart w:id="57" w:name="_Hlk181295818"/>
      <w:r>
        <w:t>À la troisième séance plénière, M</w:t>
      </w:r>
      <w:r>
        <w:rPr>
          <w:vertAlign w:val="superscript"/>
        </w:rPr>
        <w:t>me</w:t>
      </w:r>
      <w:r>
        <w:t xml:space="preserve"> Mabuza a rapporté que 155 Parties au Protocole étaient inscrites comme participant à la réunion. Les représentants de 115 Parties inscrites avaient soumis des pouvoirs en conformité complète avec l’article 18 du règlement intérieur, tandis que les représentants d’une Partie inscrite avaient soumis des pouvoirs qui n’étaient pas entièrement conformes. Les représentants de 39 Parties inscrites n’avaient pas encore soumis leurs pouvoirs.</w:t>
      </w:r>
    </w:p>
    <w:p w14:paraId="712A8F35" w14:textId="766BCAD2" w:rsidR="00DD77E2" w:rsidRPr="008E1212" w:rsidRDefault="00DD77E2" w:rsidP="00DD77E2">
      <w:pPr>
        <w:pStyle w:val="CBDNormalNumber"/>
        <w:rPr>
          <w:lang w:eastAsia="en-CA"/>
        </w:rPr>
      </w:pPr>
      <w:bookmarkStart w:id="58" w:name="_Hlk181299492"/>
      <w:bookmarkEnd w:id="57"/>
      <w:r>
        <w:t xml:space="preserve">À la quatrième séance plénière, la Présidente a informé les délégués que le rapport sur les pouvoirs avait été publié en tant que document d’information </w:t>
      </w:r>
      <w:r>
        <w:rPr>
          <w:rFonts w:eastAsia="MS Mincho"/>
        </w:rPr>
        <w:t>CBD/CP/MOP/11/INF/6.</w:t>
      </w:r>
      <w:r>
        <w:t xml:space="preserve"> De plus, les représentants du Tadjikistan avaient soumis des pouvoirs entièrement conformes, portant le nombre de Parties qui avaient soumis des pouvoirs en conformité complète avec l’article 18 du règlement intérieur à 116 pour la onzième réunion de la Conférence des Parties siégeant en tant que réunion des Parties au Protocole. </w:t>
      </w:r>
    </w:p>
    <w:p w14:paraId="08C4D9E5" w14:textId="53835595" w:rsidR="00DD77E2" w:rsidRPr="008E1212" w:rsidRDefault="00DD77E2" w:rsidP="00DD77E2">
      <w:pPr>
        <w:pStyle w:val="CBDNormalNumber"/>
        <w:rPr>
          <w:lang w:eastAsia="en-CA"/>
        </w:rPr>
      </w:pPr>
      <w:r>
        <w:t>La Conférence des Parties siégeant en tant que réunion des Parties au Protocole a pris note du rapport sur les pouvoirs et l’a approuvé</w:t>
      </w:r>
      <w:r>
        <w:rPr>
          <w:rStyle w:val="FootnoteReference"/>
          <w:rFonts w:eastAsia="MS Mincho"/>
        </w:rPr>
        <w:footnoteReference w:id="78"/>
      </w:r>
      <w:r>
        <w:t>.</w:t>
      </w:r>
    </w:p>
    <w:bookmarkEnd w:id="56"/>
    <w:bookmarkEnd w:id="58"/>
    <w:p w14:paraId="1E0B23C6" w14:textId="6F7C5A87" w:rsidR="00BC4CAC" w:rsidRPr="008E1212" w:rsidRDefault="00574CA3" w:rsidP="00BC4CAC">
      <w:pPr>
        <w:pStyle w:val="CBDNormalNoNumber"/>
        <w:keepNext/>
        <w:rPr>
          <w:i/>
          <w:iCs/>
          <w:snapToGrid w:val="0"/>
        </w:rPr>
      </w:pPr>
      <w:r>
        <w:rPr>
          <w:i/>
          <w:iCs/>
          <w:snapToGrid w:val="0"/>
        </w:rPr>
        <w:lastRenderedPageBreak/>
        <w:t>Deuxième reprise de la réunion</w:t>
      </w:r>
    </w:p>
    <w:p w14:paraId="0ED3E6ED" w14:textId="3E7B40F3" w:rsidR="00C42A11" w:rsidRPr="008E1212" w:rsidRDefault="00C42A11" w:rsidP="00C42A11">
      <w:pPr>
        <w:pStyle w:val="CBDNormalNumber"/>
        <w:rPr>
          <w:rFonts w:eastAsia="MS Mincho"/>
          <w:lang w:eastAsia="en-CA"/>
        </w:rPr>
      </w:pPr>
      <w:bookmarkStart w:id="59" w:name="_Hlk191466253"/>
      <w:r>
        <w:t xml:space="preserve">À la 8e séance plénière, le 26 février 2025, </w:t>
      </w:r>
      <w:r>
        <w:rPr>
          <w:rFonts w:eastAsia="MS Mincho"/>
        </w:rPr>
        <w:t>M</w:t>
      </w:r>
      <w:r>
        <w:rPr>
          <w:rFonts w:eastAsia="MS Mincho"/>
          <w:vertAlign w:val="superscript"/>
        </w:rPr>
        <w:t>me</w:t>
      </w:r>
      <w:r>
        <w:rPr>
          <w:rFonts w:eastAsia="MS Mincho"/>
        </w:rPr>
        <w:t xml:space="preserve"> Mabuza</w:t>
      </w:r>
      <w:r>
        <w:t xml:space="preserve"> a informé la Conférence des Parties siégeant en tant que réunion des Parties au Protocole que 136 Parties ont été inscrites comme participant à la deuxième reprise de réunion.</w:t>
      </w:r>
      <w:r>
        <w:rPr>
          <w:rFonts w:eastAsia="MS Mincho"/>
        </w:rPr>
        <w:t xml:space="preserve"> Les représentants de 117 Parties inscrites avaient soumis des pouvoirs en conformité complète avec l'article 18 du règlement intérieur, tandis que les représentants de 19 Parties inscrites n'avaient pas encore soumis de pouvoirs. </w:t>
      </w:r>
      <w:bookmarkStart w:id="60" w:name="_Hlk191468134"/>
      <w:r>
        <w:rPr>
          <w:rFonts w:eastAsia="MS Mincho"/>
        </w:rPr>
        <w:t>Le rapport sur la vérification des pouvoirs pour la deuxième reprise de réunion a été publié en tant que documents d'information</w:t>
      </w:r>
      <w:r w:rsidR="00C80D2E">
        <w:rPr>
          <w:rFonts w:eastAsia="MS Mincho"/>
        </w:rPr>
        <w:t xml:space="preserve"> </w:t>
      </w:r>
      <w:hyperlink r:id="rId44" w:history="1">
        <w:r>
          <w:rPr>
            <w:rStyle w:val="Hyperlink"/>
            <w:rFonts w:eastAsia="MS Mincho"/>
          </w:rPr>
          <w:t>CBD/CP/MOP/11/INF/7</w:t>
        </w:r>
      </w:hyperlink>
      <w:r>
        <w:rPr>
          <w:rFonts w:eastAsia="MS Mincho"/>
        </w:rPr>
        <w:t>.</w:t>
      </w:r>
      <w:bookmarkEnd w:id="60"/>
    </w:p>
    <w:bookmarkEnd w:id="59"/>
    <w:p w14:paraId="37B42417" w14:textId="45F024E9" w:rsidR="00733E21" w:rsidRPr="008E1212" w:rsidRDefault="00733E21" w:rsidP="00733E21">
      <w:pPr>
        <w:pStyle w:val="CBDNormalNumber"/>
        <w:rPr>
          <w:rFonts w:eastAsia="MS Mincho"/>
          <w:lang w:eastAsia="en-CA"/>
        </w:rPr>
      </w:pPr>
      <w:r>
        <w:rPr>
          <w:rFonts w:eastAsia="MS Mincho"/>
        </w:rPr>
        <w:t xml:space="preserve">La Conférence des Parties siégeant </w:t>
      </w:r>
      <w:r>
        <w:t>en tant que réunion des Parties au Protocole a pris note du rapport sur la vérification des pouvoirs, et l'a approuvé</w:t>
      </w:r>
      <w:r>
        <w:rPr>
          <w:rStyle w:val="FootnoteReference"/>
          <w:rFonts w:eastAsia="MS Mincho"/>
        </w:rPr>
        <w:footnoteReference w:id="79"/>
      </w:r>
      <w:r>
        <w:rPr>
          <w:rFonts w:eastAsia="MS Mincho"/>
        </w:rPr>
        <w:t>.</w:t>
      </w:r>
    </w:p>
    <w:p w14:paraId="2388D68E" w14:textId="65986560" w:rsidR="00557370" w:rsidRPr="008E1212" w:rsidRDefault="001E1D93" w:rsidP="006F791E">
      <w:pPr>
        <w:pStyle w:val="CBDAgendaItem"/>
      </w:pPr>
      <w:bookmarkStart w:id="61" w:name="_Toc194919568"/>
      <w:r>
        <w:t xml:space="preserve">Point 4 </w:t>
      </w:r>
      <w:r>
        <w:br/>
        <w:t>Rapports des organes subsidiaires</w:t>
      </w:r>
      <w:bookmarkEnd w:id="61"/>
    </w:p>
    <w:p w14:paraId="1A105227" w14:textId="5F226813" w:rsidR="00557370" w:rsidRPr="008E1212" w:rsidRDefault="005A116F" w:rsidP="004B5D31">
      <w:pPr>
        <w:pStyle w:val="CBDNormalNumber"/>
      </w:pPr>
      <w:r>
        <w:t>La Conférence des Parties siégeant en tant que réunion des Parties au Protocole a examiné le point 4 de l’ordre du jour à sa première séance plénière.</w:t>
      </w:r>
      <w:r>
        <w:rPr>
          <w:kern w:val="22"/>
        </w:rPr>
        <w:t xml:space="preserve"> Elle était saisie des rapports suivants sur les travaux intersessions entrepris par divers organes depuis sa dixième réunion : </w:t>
      </w:r>
      <w:r>
        <w:t>le rapport de l’Organe subsidiaire chargé de fournir des avis scientifiques, techniques et technologiques sur sa vingt-sixième réunion</w:t>
      </w:r>
      <w:r>
        <w:rPr>
          <w:rStyle w:val="FootnoteReference"/>
          <w:rFonts w:asciiTheme="majorBidi" w:hAnsiTheme="majorBidi" w:cstheme="majorBidi"/>
        </w:rPr>
        <w:footnoteReference w:id="80"/>
      </w:r>
      <w:r>
        <w:t xml:space="preserve"> et les rapports de l’Organe subsidiaire chargé de l’application sur ses quatrième et cinquième réunions</w:t>
      </w:r>
      <w:r>
        <w:rPr>
          <w:rStyle w:val="FootnoteReference"/>
          <w:snapToGrid w:val="0"/>
          <w:kern w:val="22"/>
        </w:rPr>
        <w:footnoteReference w:id="81"/>
      </w:r>
      <w:r>
        <w:t>.</w:t>
      </w:r>
      <w:r>
        <w:rPr>
          <w:snapToGrid w:val="0"/>
          <w:kern w:val="22"/>
        </w:rPr>
        <w:t xml:space="preserve"> </w:t>
      </w:r>
    </w:p>
    <w:p w14:paraId="67E3178F" w14:textId="471165B0" w:rsidR="00AF0F14" w:rsidRPr="008E1212" w:rsidRDefault="00AF0F14" w:rsidP="00AF0F14">
      <w:pPr>
        <w:pStyle w:val="CBDNormalNumber"/>
      </w:pPr>
      <w:bookmarkStart w:id="62" w:name="_Hlk180682783"/>
      <w:r>
        <w:t>La Conférence des Parties siégeant en tant que réunion des Parties au Protocole a entendu les rapports oraux de la présidente de l’Organe subsidiaire chargé de fournir des avis scientifiques, techniques et technologiques et du président de l’Organe subsidiaire chargé de l’application.</w:t>
      </w:r>
    </w:p>
    <w:p w14:paraId="0E0BC230" w14:textId="60C0F4A5" w:rsidR="00AF0F14" w:rsidRPr="008E1212" w:rsidRDefault="00AF0F14" w:rsidP="00AF0F14">
      <w:pPr>
        <w:pStyle w:val="CBDNormalNumber"/>
      </w:pPr>
      <w:r>
        <w:t>Des déclarations ont été faites par les représentants des Parties suivantes : République démocratique du Congo et Égypte (en sa qualité de rapporteur de la cinquième réunion de l’Organe subsidiaire chargé de l’application).</w:t>
      </w:r>
    </w:p>
    <w:p w14:paraId="47744B39" w14:textId="55CD6895" w:rsidR="00AF0F14" w:rsidRPr="008E1212" w:rsidRDefault="00AF0F14" w:rsidP="00AF0F14">
      <w:pPr>
        <w:pStyle w:val="CBDNormalNumber"/>
      </w:pPr>
      <w:r>
        <w:t>La Conférence des Parties siégeant en tant que réunion des Parties au Protocole a pris note des informations fournies et a décidé d’examiner les recommandations des organes subsidiaires au sein des groupes de travail, au titre des points pertinents de l’ordre du jour.</w:t>
      </w:r>
      <w:bookmarkEnd w:id="62"/>
    </w:p>
    <w:p w14:paraId="63DF7D97" w14:textId="2275F9DB" w:rsidR="00557370" w:rsidRPr="008E1212" w:rsidRDefault="001E1D93" w:rsidP="006F791E">
      <w:pPr>
        <w:pStyle w:val="CBDAgendaItem"/>
      </w:pPr>
      <w:bookmarkStart w:id="63" w:name="_Toc194919569"/>
      <w:r>
        <w:t xml:space="preserve">Point 5 </w:t>
      </w:r>
      <w:r>
        <w:br/>
        <w:t>Rapport du Comité chargé du respect des obligations</w:t>
      </w:r>
      <w:bookmarkEnd w:id="63"/>
    </w:p>
    <w:p w14:paraId="586099C9" w14:textId="010240C1" w:rsidR="008674DE" w:rsidRPr="008E1212" w:rsidRDefault="00B10462" w:rsidP="00976893">
      <w:pPr>
        <w:pStyle w:val="CBDNormalNumber"/>
        <w:rPr>
          <w:rFonts w:asciiTheme="majorBidi" w:eastAsia="MS Mincho" w:hAnsiTheme="majorBidi" w:cstheme="majorBidi"/>
          <w:color w:val="000000"/>
          <w:kern w:val="22"/>
        </w:rPr>
      </w:pPr>
      <w:r>
        <w:t>La Conférence des Parties siégeant en tant que réunion des Parties au Protocole a examiné le point 5 de l’ordre du jour à sa première séance plénière. Elle était saisie d'un projet de décision</w:t>
      </w:r>
      <w:r>
        <w:rPr>
          <w:rStyle w:val="FootnoteReference"/>
        </w:rPr>
        <w:footnoteReference w:id="82"/>
      </w:r>
      <w:r>
        <w:t xml:space="preserve"> et du rapport </w:t>
      </w:r>
      <w:r>
        <w:rPr>
          <w:rFonts w:asciiTheme="majorBidi" w:eastAsia="MS Mincho" w:hAnsiTheme="majorBidi" w:cstheme="majorBidi"/>
          <w:color w:val="000000"/>
          <w:kern w:val="22"/>
        </w:rPr>
        <w:t xml:space="preserve">du </w:t>
      </w:r>
      <w:r>
        <w:t xml:space="preserve">Comité chargé du respect des obligations </w:t>
      </w:r>
      <w:r>
        <w:rPr>
          <w:rFonts w:asciiTheme="majorBidi" w:eastAsia="MS Mincho" w:hAnsiTheme="majorBidi" w:cstheme="majorBidi"/>
          <w:color w:val="000000"/>
          <w:kern w:val="22"/>
        </w:rPr>
        <w:t>sur les travaux de ses dix-huitième et dix-neuvième réunions</w:t>
      </w:r>
      <w:r>
        <w:rPr>
          <w:rStyle w:val="FootnoteReference"/>
          <w:rFonts w:asciiTheme="majorBidi" w:eastAsia="MS Mincho" w:hAnsiTheme="majorBidi" w:cstheme="majorBidi"/>
          <w:color w:val="000000"/>
          <w:kern w:val="22"/>
        </w:rPr>
        <w:footnoteReference w:id="83"/>
      </w:r>
      <w:r>
        <w:rPr>
          <w:rFonts w:asciiTheme="majorBidi" w:eastAsia="MS Mincho" w:hAnsiTheme="majorBidi" w:cstheme="majorBidi"/>
          <w:color w:val="000000"/>
          <w:kern w:val="22"/>
        </w:rPr>
        <w:t xml:space="preserve">. </w:t>
      </w:r>
      <w:r>
        <w:t>Un document d'information sur les activités entreprises par le Comité concernant l'obligation de soumettre des rapports nationaux menant à la recommandation de mise en garde des Parties individuelles a également été publié en relation avec le point 5</w:t>
      </w:r>
      <w:r>
        <w:rPr>
          <w:rStyle w:val="FootnoteReference"/>
        </w:rPr>
        <w:footnoteReference w:id="84"/>
      </w:r>
      <w:r>
        <w:rPr>
          <w:rFonts w:asciiTheme="majorBidi" w:hAnsiTheme="majorBidi" w:cstheme="majorBidi"/>
        </w:rPr>
        <w:t>.</w:t>
      </w:r>
    </w:p>
    <w:p w14:paraId="1FC7A252" w14:textId="4E7AE129" w:rsidR="002A0866" w:rsidRPr="008E1212" w:rsidRDefault="002A0866" w:rsidP="00976893">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Le Président du Comité chargé du respect des obligations, </w:t>
      </w:r>
      <w:r>
        <w:t xml:space="preserve">Rigobert Ntep (Cameroun), </w:t>
      </w:r>
      <w:r>
        <w:rPr>
          <w:rFonts w:asciiTheme="majorBidi" w:eastAsia="MS Mincho" w:hAnsiTheme="majorBidi" w:cstheme="majorBidi"/>
          <w:color w:val="000000"/>
          <w:kern w:val="22"/>
        </w:rPr>
        <w:t>a présenté le rapport du Comité.</w:t>
      </w:r>
    </w:p>
    <w:p w14:paraId="0DCC1B1E" w14:textId="18EE18B3" w:rsidR="002A0866" w:rsidRPr="008E1212" w:rsidRDefault="002A0866" w:rsidP="00976893">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lastRenderedPageBreak/>
        <w:t>Des déclarations ont été faites par les représentants des Parties suivantes : Brésil, Colombie, Égypte, Norvège, Nouvelle-Zélande et Union européenne et ses États membres.</w:t>
      </w:r>
    </w:p>
    <w:p w14:paraId="1A5A5A76" w14:textId="77777777" w:rsidR="00F24143" w:rsidRPr="008E1212" w:rsidRDefault="00F24143" w:rsidP="00F24143">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Conformément à l’organisation des travaux, les questions de fond découlant du rapport ont été renvoyées au Groupe de travail II pour examen.</w:t>
      </w:r>
    </w:p>
    <w:p w14:paraId="174D171E" w14:textId="566BDD2A" w:rsidR="00F24143" w:rsidRPr="008E1212" w:rsidRDefault="002B1FC9" w:rsidP="00F24143">
      <w:pPr>
        <w:pStyle w:val="CBDNormalNumber"/>
        <w:rPr>
          <w:rFonts w:asciiTheme="majorBidi" w:eastAsia="MS Mincho" w:hAnsiTheme="majorBidi" w:cstheme="majorBidi"/>
          <w:color w:val="000000"/>
          <w:kern w:val="22"/>
        </w:rPr>
      </w:pPr>
      <w:r>
        <w:t xml:space="preserve">La Conférence des Parties siégeant en tant que réunion des Parties au Protocole a décidé de prolonger de deux années supplémentaires le mandat des cinq membres du Comité chargé du respect des obligations énumérés au tableau A de l'annexe à la notification </w:t>
      </w:r>
      <w:hyperlink r:id="rId45" w:history="1">
        <w:r>
          <w:rPr>
            <w:rStyle w:val="Hyperlink"/>
          </w:rPr>
          <w:t>N° 2024-092</w:t>
        </w:r>
      </w:hyperlink>
      <w:r>
        <w:t xml:space="preserve"> du 12 septembre 2024 publiée par le Secrétariat en relation avec la nomination et l'élection des membres du Comité. Elle a également décidé d'organiser des élections lors d'une séance ultérieure pour les dix membres dont le mandat prendrait fin le 31 décembre 2024, comme indiqué dans le tableau B de l'annexe à la notification</w:t>
      </w:r>
      <w:r>
        <w:rPr>
          <w:rFonts w:asciiTheme="majorBidi" w:eastAsia="MS Mincho" w:hAnsiTheme="majorBidi" w:cstheme="majorBidi"/>
          <w:color w:val="000000"/>
          <w:kern w:val="22"/>
        </w:rPr>
        <w:t>.</w:t>
      </w:r>
    </w:p>
    <w:p w14:paraId="6BFD9364" w14:textId="195E3DD3" w:rsidR="00A90D3F" w:rsidRPr="008E1212" w:rsidRDefault="00A90D3F" w:rsidP="00F24143">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À sa quatrième séance plénière, la Conférence des Parties siégeant en tant que réunion des Parties au Protocole a élu les membres ci-après du Comité chargé du respect des obligations pour un mandat de quatre ans </w:t>
      </w:r>
      <w:r>
        <w:t>prenant effet au 1</w:t>
      </w:r>
      <w:r>
        <w:rPr>
          <w:vertAlign w:val="superscript"/>
        </w:rPr>
        <w:t>er</w:t>
      </w:r>
      <w:r>
        <w:t xml:space="preserve"> janvier 2025 </w:t>
      </w:r>
      <w:r>
        <w:rPr>
          <w:rFonts w:asciiTheme="majorBidi" w:eastAsia="MS Mincho" w:hAnsiTheme="majorBidi" w:cstheme="majorBidi"/>
          <w:color w:val="000000"/>
          <w:kern w:val="22"/>
        </w:rPr>
        <w:t>:</w:t>
      </w:r>
    </w:p>
    <w:p w14:paraId="225AE3FF" w14:textId="77777777" w:rsidR="006D050E" w:rsidRPr="00787A27" w:rsidRDefault="006D050E" w:rsidP="00CD6B94">
      <w:pPr>
        <w:tabs>
          <w:tab w:val="clear" w:pos="567"/>
          <w:tab w:val="clear" w:pos="1134"/>
          <w:tab w:val="clear" w:pos="1701"/>
          <w:tab w:val="clear" w:pos="2268"/>
        </w:tabs>
        <w:spacing w:after="120"/>
        <w:ind w:left="1166"/>
        <w:rPr>
          <w:lang w:val="en-CA"/>
        </w:rPr>
      </w:pPr>
      <w:r w:rsidRPr="00787A27">
        <w:rPr>
          <w:lang w:val="en-CA"/>
        </w:rPr>
        <w:t>Rigobert Ntep (Cameroun)</w:t>
      </w:r>
    </w:p>
    <w:p w14:paraId="13E960F7" w14:textId="77777777" w:rsidR="006D050E" w:rsidRPr="00787A27" w:rsidRDefault="006D050E" w:rsidP="00CD6B94">
      <w:pPr>
        <w:tabs>
          <w:tab w:val="clear" w:pos="567"/>
          <w:tab w:val="clear" w:pos="1134"/>
          <w:tab w:val="clear" w:pos="1701"/>
          <w:tab w:val="clear" w:pos="2268"/>
        </w:tabs>
        <w:spacing w:after="120"/>
        <w:ind w:left="1166"/>
        <w:rPr>
          <w:lang w:val="en-CA"/>
        </w:rPr>
      </w:pPr>
      <w:r w:rsidRPr="00787A27">
        <w:rPr>
          <w:lang w:val="en-CA"/>
        </w:rPr>
        <w:t>Dorington O. Ogoyi (Kenya)</w:t>
      </w:r>
    </w:p>
    <w:p w14:paraId="3C262B95" w14:textId="6AF3BCDB" w:rsidR="00A90D3F" w:rsidRPr="00787A27" w:rsidRDefault="00A90D3F" w:rsidP="003703DE">
      <w:pPr>
        <w:tabs>
          <w:tab w:val="clear" w:pos="567"/>
          <w:tab w:val="clear" w:pos="1134"/>
          <w:tab w:val="clear" w:pos="1701"/>
          <w:tab w:val="clear" w:pos="2268"/>
        </w:tabs>
        <w:spacing w:after="120"/>
        <w:ind w:left="1166"/>
        <w:rPr>
          <w:lang w:val="en-CA"/>
        </w:rPr>
      </w:pPr>
      <w:r w:rsidRPr="00787A27">
        <w:rPr>
          <w:lang w:val="en-CA"/>
        </w:rPr>
        <w:t>Yousef Saleh al-Hafedh (Arabie saoudite)</w:t>
      </w:r>
    </w:p>
    <w:p w14:paraId="1F62C3D4" w14:textId="60710248" w:rsidR="00A90D3F" w:rsidRPr="00F16080" w:rsidRDefault="00A90D3F" w:rsidP="003703DE">
      <w:pPr>
        <w:tabs>
          <w:tab w:val="clear" w:pos="567"/>
          <w:tab w:val="clear" w:pos="1134"/>
          <w:tab w:val="clear" w:pos="1701"/>
          <w:tab w:val="clear" w:pos="2268"/>
        </w:tabs>
        <w:spacing w:after="120"/>
        <w:ind w:left="1166"/>
        <w:rPr>
          <w:lang w:val="es-ES"/>
        </w:rPr>
      </w:pPr>
      <w:r>
        <w:t>Yan Liu (Chine)</w:t>
      </w:r>
    </w:p>
    <w:p w14:paraId="54163FC6" w14:textId="77777777" w:rsidR="00AB3F3C" w:rsidRPr="00F16080" w:rsidRDefault="00AB3F3C" w:rsidP="00AB3F3C">
      <w:pPr>
        <w:tabs>
          <w:tab w:val="clear" w:pos="567"/>
          <w:tab w:val="clear" w:pos="1134"/>
          <w:tab w:val="clear" w:pos="1701"/>
          <w:tab w:val="clear" w:pos="2268"/>
        </w:tabs>
        <w:spacing w:after="120"/>
        <w:ind w:left="1166"/>
        <w:rPr>
          <w:lang w:val="es-ES"/>
        </w:rPr>
      </w:pPr>
      <w:r>
        <w:t>Hana Jiráková (République tchèque)</w:t>
      </w:r>
    </w:p>
    <w:p w14:paraId="749961DF" w14:textId="77777777" w:rsidR="00AB3F3C" w:rsidRPr="00F16080" w:rsidRDefault="00AB3F3C" w:rsidP="00AB3F3C">
      <w:pPr>
        <w:tabs>
          <w:tab w:val="clear" w:pos="567"/>
          <w:tab w:val="clear" w:pos="1134"/>
          <w:tab w:val="clear" w:pos="1701"/>
          <w:tab w:val="clear" w:pos="2268"/>
        </w:tabs>
        <w:spacing w:after="120"/>
        <w:ind w:left="1166"/>
        <w:rPr>
          <w:lang w:val="es-ES"/>
        </w:rPr>
      </w:pPr>
      <w:r>
        <w:t>Klodiana Marika (Albanie)</w:t>
      </w:r>
    </w:p>
    <w:p w14:paraId="422DF403" w14:textId="5976DE6B" w:rsidR="00A90D3F" w:rsidRPr="00F16080" w:rsidRDefault="00A90D3F" w:rsidP="003703DE">
      <w:pPr>
        <w:tabs>
          <w:tab w:val="clear" w:pos="567"/>
          <w:tab w:val="clear" w:pos="1134"/>
          <w:tab w:val="clear" w:pos="1701"/>
          <w:tab w:val="clear" w:pos="2268"/>
        </w:tabs>
        <w:spacing w:after="120"/>
        <w:ind w:left="1166"/>
        <w:rPr>
          <w:lang w:val="es-ES"/>
        </w:rPr>
      </w:pPr>
      <w:r>
        <w:t>Alejandra Ferenczi (Uruguay)</w:t>
      </w:r>
    </w:p>
    <w:p w14:paraId="77F6F99E" w14:textId="47941ACC" w:rsidR="00A90D3F" w:rsidRPr="008E1212" w:rsidRDefault="00A90D3F" w:rsidP="003703DE">
      <w:pPr>
        <w:tabs>
          <w:tab w:val="clear" w:pos="567"/>
          <w:tab w:val="clear" w:pos="1134"/>
          <w:tab w:val="clear" w:pos="1701"/>
          <w:tab w:val="clear" w:pos="2268"/>
        </w:tabs>
        <w:spacing w:after="120"/>
        <w:ind w:left="1166"/>
      </w:pPr>
      <w:r>
        <w:t>Daniel Lewis (Grenade)</w:t>
      </w:r>
    </w:p>
    <w:p w14:paraId="58D31D21" w14:textId="561533F0" w:rsidR="00A90D3F" w:rsidRPr="008E1212" w:rsidRDefault="00A90D3F" w:rsidP="003703DE">
      <w:pPr>
        <w:tabs>
          <w:tab w:val="clear" w:pos="567"/>
          <w:tab w:val="clear" w:pos="1134"/>
          <w:tab w:val="clear" w:pos="1701"/>
          <w:tab w:val="clear" w:pos="2268"/>
        </w:tabs>
        <w:spacing w:after="120"/>
        <w:ind w:left="1166"/>
      </w:pPr>
      <w:r>
        <w:t>Andreas Heissenberger (Autriche)</w:t>
      </w:r>
    </w:p>
    <w:p w14:paraId="36116935" w14:textId="2E3DF02A" w:rsidR="00A90D3F" w:rsidRPr="008E1212" w:rsidRDefault="00A90D3F" w:rsidP="003703DE">
      <w:pPr>
        <w:tabs>
          <w:tab w:val="clear" w:pos="567"/>
          <w:tab w:val="clear" w:pos="1134"/>
          <w:tab w:val="clear" w:pos="1701"/>
          <w:tab w:val="clear" w:pos="2268"/>
        </w:tabs>
        <w:spacing w:after="120"/>
        <w:ind w:left="1166"/>
      </w:pPr>
      <w:r>
        <w:t>Casper Linnestad (Norvège)</w:t>
      </w:r>
    </w:p>
    <w:p w14:paraId="6E7FDB8E" w14:textId="368A57A5" w:rsidR="00416C76" w:rsidRPr="008E1212" w:rsidRDefault="00416C76" w:rsidP="00416C76">
      <w:pPr>
        <w:pStyle w:val="CBDNormalNumber"/>
        <w:spacing w:before="0"/>
      </w:pPr>
      <w:r>
        <w:t xml:space="preserve">À sa deuxième session, le 22 octobre, le Groupe de travail II a examiné le point 5 de l'ordre du jour. </w:t>
      </w:r>
    </w:p>
    <w:p w14:paraId="3A16C541" w14:textId="6AD290F0" w:rsidR="00416C76" w:rsidRPr="008E1212" w:rsidRDefault="00416C76" w:rsidP="00416C76">
      <w:pPr>
        <w:pStyle w:val="CBDNormalNumber"/>
        <w:spacing w:before="0"/>
      </w:pPr>
      <w:r>
        <w:t xml:space="preserve">Le Président du Comité chargé du respect des obligations a rendu compte des travaux du Comité à ses dix-huitième et dix-neuvième réunions. </w:t>
      </w:r>
    </w:p>
    <w:p w14:paraId="169A3365" w14:textId="5C78F43D" w:rsidR="00416C76" w:rsidRPr="008E1212" w:rsidRDefault="00416C76" w:rsidP="00416C76">
      <w:pPr>
        <w:pStyle w:val="CBDNormalNumber"/>
        <w:spacing w:before="0"/>
      </w:pPr>
      <w:r>
        <w:t>Des déclarations ont été faites par les représentants des Parties suivantes : Brésil, Égypte, Équateur, Gabon, Inde, Japon, Maroc, Norvège, Nouvelle-Zélande, Panama, Paraguay, Pérou, République de Moldova, Royaume-Uni de Grande-Bretagne et d'Irlande du Nord, Union européenne et ses États membres et Uruguay.</w:t>
      </w:r>
    </w:p>
    <w:p w14:paraId="34B268EF" w14:textId="7FA38D94" w:rsidR="00416C76" w:rsidRPr="008E1212" w:rsidRDefault="00416C76" w:rsidP="00416C76">
      <w:pPr>
        <w:pStyle w:val="CBDNormalNumber"/>
        <w:spacing w:before="0"/>
      </w:pPr>
      <w:r>
        <w:t>Le président a créé un groupe des amis de la présidence, sous la direction de M. Linnestad, pour régler les questions en suspens. Le Groupe de travail II a décidé que le président préparerait un projet de décision révisé aux fins d'examen par le Groupe, en tenant compte des résultats des discussions du groupe des amis de la présidence.</w:t>
      </w:r>
    </w:p>
    <w:p w14:paraId="3B7057FD" w14:textId="57EAF81F" w:rsidR="00416C76" w:rsidRPr="008E1212" w:rsidRDefault="00416C76" w:rsidP="00416C76">
      <w:pPr>
        <w:pStyle w:val="CBDNormalNumber"/>
        <w:spacing w:before="0"/>
        <w:rPr>
          <w:u w:color="000000"/>
        </w:rPr>
      </w:pPr>
      <w:r>
        <w:rPr>
          <w:u w:color="000000"/>
        </w:rPr>
        <w:t>À sa septième séance, le 28 octobre, le Groupe de travail II a examiné un projet de décision révisé soumis par le président suite aux discussions menées par le groupe des amis de la présidence, et a décidé de le soumettre pour examen en</w:t>
      </w:r>
      <w:r>
        <w:rPr>
          <w:rFonts w:eastAsia="Calibri"/>
          <w:u w:color="000000"/>
        </w:rPr>
        <w:t xml:space="preserve"> séance plénière sous la cote CBD/CP/MOP/11/L.7</w:t>
      </w:r>
      <w:r>
        <w:rPr>
          <w:u w:color="000000"/>
        </w:rPr>
        <w:t xml:space="preserve">. </w:t>
      </w:r>
    </w:p>
    <w:p w14:paraId="468E91F7" w14:textId="7BF40130" w:rsidR="00F8641C" w:rsidRPr="008E1212" w:rsidRDefault="00F8641C" w:rsidP="00F8641C">
      <w:pPr>
        <w:pStyle w:val="CBDNormalNumber"/>
        <w:rPr>
          <w:snapToGrid w:val="0"/>
          <w:lang w:eastAsia="en-CA"/>
        </w:rPr>
      </w:pPr>
      <w:r>
        <w:t>À sa troisième séance plénière, la Conférence des Parties siégeant en tant que réunion des Parties au Protocole a examiné le projet de décision CBD/CP/MOP/11/L.7, présenté par le président du Groupe de travail II.</w:t>
      </w:r>
    </w:p>
    <w:p w14:paraId="291BE0FC" w14:textId="2044CA85" w:rsidR="00642A26" w:rsidRPr="008E1212" w:rsidRDefault="006D57E9" w:rsidP="00416C76">
      <w:pPr>
        <w:pStyle w:val="CBDNormalNumber"/>
        <w:spacing w:before="0"/>
        <w:rPr>
          <w:u w:color="000000"/>
        </w:rPr>
      </w:pPr>
      <w:r>
        <w:lastRenderedPageBreak/>
        <w:t xml:space="preserve">La Conférence des Parties siégeant en tant que réunion des Parties au Protocole a adopté </w:t>
      </w:r>
      <w:r w:rsidR="00B55EF8">
        <w:br/>
      </w:r>
      <w:r>
        <w:t xml:space="preserve">le projet de décision, tel que modifié oralement dans la version espagnole, en tant que </w:t>
      </w:r>
      <w:r w:rsidR="00B55EF8">
        <w:br/>
      </w:r>
      <w:r>
        <w:t xml:space="preserve">décision </w:t>
      </w:r>
      <w:hyperlink r:id="rId46" w:history="1">
        <w:r>
          <w:rPr>
            <w:rStyle w:val="Hyperlink"/>
          </w:rPr>
          <w:t>CP-11/1</w:t>
        </w:r>
      </w:hyperlink>
      <w:r>
        <w:t>.</w:t>
      </w:r>
    </w:p>
    <w:p w14:paraId="318473BB" w14:textId="22FF0234" w:rsidR="00557370" w:rsidRPr="008E1212" w:rsidRDefault="001E1D93" w:rsidP="006F791E">
      <w:pPr>
        <w:pStyle w:val="CBDAgendaItem"/>
        <w:rPr>
          <w:rFonts w:ascii="Times New Roman Bold" w:hAnsi="Times New Roman Bold" w:hint="eastAsia"/>
        </w:rPr>
      </w:pPr>
      <w:bookmarkStart w:id="64" w:name="_Toc194919570"/>
      <w:r>
        <w:rPr>
          <w:rFonts w:ascii="Times New Roman Bold" w:hAnsi="Times New Roman Bold"/>
        </w:rPr>
        <w:t xml:space="preserve">Point 6 </w:t>
      </w:r>
      <w:r>
        <w:rPr>
          <w:rFonts w:ascii="Times New Roman Bold" w:hAnsi="Times New Roman Bold"/>
        </w:rPr>
        <w:br/>
      </w:r>
      <w:r>
        <w:t>Administration du Protocole et budget des fonds d'affectation spéciale</w:t>
      </w:r>
      <w:bookmarkEnd w:id="64"/>
      <w:r>
        <w:rPr>
          <w:rFonts w:ascii="Times New Roman Bold" w:hAnsi="Times New Roman Bold"/>
        </w:rPr>
        <w:t xml:space="preserve"> </w:t>
      </w:r>
    </w:p>
    <w:p w14:paraId="172B9265" w14:textId="68F9CCA4" w:rsidR="00D03E7D" w:rsidRPr="008E1212" w:rsidRDefault="00B10462" w:rsidP="006F0978">
      <w:pPr>
        <w:pStyle w:val="CBDNormalNumber"/>
        <w:rPr>
          <w:rFonts w:asciiTheme="majorBidi" w:eastAsia="MS Mincho" w:hAnsiTheme="majorBidi" w:cstheme="majorBidi"/>
          <w:color w:val="000000"/>
          <w:kern w:val="22"/>
        </w:rPr>
      </w:pPr>
      <w:r>
        <w:t>La Conférence des Parties siégeant en tant que réunion des Parties au Protocole a examiné le point 6 de l’ordre du jour à sa première séance plénière. Elle était saisie d'un projet de décision</w:t>
      </w:r>
      <w:r>
        <w:rPr>
          <w:rStyle w:val="FootnoteReference"/>
          <w:snapToGrid w:val="0"/>
        </w:rPr>
        <w:footnoteReference w:id="85"/>
      </w:r>
      <w:r>
        <w:rPr>
          <w:snapToGrid w:val="0"/>
        </w:rPr>
        <w:t xml:space="preserve"> et de </w:t>
      </w:r>
      <w:r>
        <w:rPr>
          <w:rFonts w:asciiTheme="majorBidi" w:eastAsia="MS Mincho" w:hAnsiTheme="majorBidi" w:cstheme="majorBidi"/>
          <w:color w:val="000000"/>
          <w:kern w:val="22"/>
        </w:rPr>
        <w:t>notes du s</w:t>
      </w:r>
      <w:r>
        <w:rPr>
          <w:snapToGrid w:val="0"/>
        </w:rPr>
        <w:t>ecrétariat sur l'administration de la Convention et de ses Protocoles</w:t>
      </w:r>
      <w:r>
        <w:t xml:space="preserve"> </w:t>
      </w:r>
      <w:r>
        <w:rPr>
          <w:snapToGrid w:val="0"/>
        </w:rPr>
        <w:t>pour l'exercice biennal 2023–2024,</w:t>
      </w:r>
      <w:r>
        <w:rPr>
          <w:rStyle w:val="FootnoteReference"/>
          <w:snapToGrid w:val="0"/>
        </w:rPr>
        <w:footnoteReference w:id="86"/>
      </w:r>
      <w:r>
        <w:rPr>
          <w:snapToGrid w:val="0"/>
        </w:rPr>
        <w:t xml:space="preserve"> du projet de budget pour les programmes de travail de la Convention et de ses Protocoles pour l'exercice biennal 2025</w:t>
      </w:r>
      <w:r>
        <w:t>-</w:t>
      </w:r>
      <w:r>
        <w:rPr>
          <w:snapToGrid w:val="0"/>
        </w:rPr>
        <w:t>2026</w:t>
      </w:r>
      <w:r>
        <w:rPr>
          <w:rStyle w:val="FootnoteReference"/>
          <w:snapToGrid w:val="0"/>
        </w:rPr>
        <w:footnoteReference w:id="87"/>
      </w:r>
      <w:r>
        <w:rPr>
          <w:snapToGrid w:val="0"/>
        </w:rPr>
        <w:t>,</w:t>
      </w:r>
      <w:r>
        <w:rPr>
          <w:rFonts w:asciiTheme="majorBidi" w:eastAsia="MS Mincho" w:hAnsiTheme="majorBidi" w:cstheme="majorBidi"/>
          <w:color w:val="000000"/>
          <w:kern w:val="22"/>
        </w:rPr>
        <w:t xml:space="preserve"> des exigences relatives au fonds d'affectation spéciale pour les contributions volontaires supplémentaires à l'appui d'activités approuvées</w:t>
      </w:r>
      <w:r>
        <w:rPr>
          <w:rStyle w:val="FootnoteReference"/>
          <w:rFonts w:asciiTheme="majorBidi" w:eastAsia="MS Mincho" w:hAnsiTheme="majorBidi" w:cstheme="majorBidi"/>
          <w:color w:val="000000"/>
          <w:kern w:val="22"/>
        </w:rPr>
        <w:footnoteReference w:id="88"/>
      </w:r>
      <w:r>
        <w:rPr>
          <w:rFonts w:asciiTheme="majorBidi" w:eastAsia="MS Mincho" w:hAnsiTheme="majorBidi" w:cstheme="majorBidi"/>
          <w:color w:val="000000"/>
          <w:kern w:val="22"/>
        </w:rPr>
        <w:t xml:space="preserve"> et de l'examen fonctionnel du secrétariat.</w:t>
      </w:r>
      <w:r>
        <w:rPr>
          <w:rStyle w:val="FootnoteReference"/>
          <w:rFonts w:asciiTheme="majorBidi" w:eastAsia="MS Mincho" w:hAnsiTheme="majorBidi" w:cstheme="majorBidi"/>
          <w:color w:val="000000"/>
          <w:kern w:val="22"/>
        </w:rPr>
        <w:footnoteReference w:id="89"/>
      </w:r>
    </w:p>
    <w:p w14:paraId="4F07DBF4" w14:textId="2D5D3705" w:rsidR="00A53A16" w:rsidRPr="008E1212" w:rsidRDefault="00A53A16" w:rsidP="00A53A16">
      <w:pPr>
        <w:pStyle w:val="CBDNormalNumber"/>
        <w:rPr>
          <w:rFonts w:asciiTheme="majorBidi" w:eastAsia="MS Mincho" w:hAnsiTheme="majorBidi" w:cstheme="majorBidi"/>
          <w:color w:val="000000"/>
          <w:kern w:val="22"/>
        </w:rPr>
      </w:pPr>
      <w:bookmarkStart w:id="65" w:name="_Hlk180685264"/>
      <w:r>
        <w:rPr>
          <w:rFonts w:asciiTheme="majorBidi" w:eastAsia="MS Mincho" w:hAnsiTheme="majorBidi" w:cstheme="majorBidi"/>
          <w:color w:val="000000"/>
          <w:kern w:val="22"/>
        </w:rPr>
        <w:t>La Secrétaire exécutive a rendu compte des activités du secrétariat et a présenté le projet de budget des programmes de travail de la Convention et de ses Protocoles pour l’exercice biennal 2025 2026.</w:t>
      </w:r>
    </w:p>
    <w:p w14:paraId="7B8DF17F" w14:textId="3F7445DB" w:rsidR="00A53A16" w:rsidRPr="008E1212" w:rsidRDefault="00A53A16" w:rsidP="00A53A16">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La </w:t>
      </w:r>
      <w:bookmarkStart w:id="66" w:name="_Hlk180685168"/>
      <w:r>
        <w:rPr>
          <w:rFonts w:asciiTheme="majorBidi" w:eastAsia="MS Mincho" w:hAnsiTheme="majorBidi" w:cstheme="majorBidi"/>
          <w:color w:val="000000"/>
          <w:kern w:val="22"/>
        </w:rPr>
        <w:t>Conférence des Parties à la Convention siégeant en tant que réunion des Parties aux Protocoles</w:t>
      </w:r>
      <w:bookmarkEnd w:id="66"/>
      <w:r>
        <w:rPr>
          <w:rFonts w:asciiTheme="majorBidi" w:eastAsia="MS Mincho" w:hAnsiTheme="majorBidi" w:cstheme="majorBidi"/>
          <w:color w:val="000000"/>
          <w:kern w:val="22"/>
        </w:rPr>
        <w:t xml:space="preserve">, a créé un groupe de contact sur le budget, présidé par Charles Gbedemah (Ghana), chargé d’examiner en détail le projet de budget pour l’exercice biennal 2025 2026. </w:t>
      </w:r>
    </w:p>
    <w:p w14:paraId="4DACA9E1" w14:textId="32F347E7" w:rsidR="002D202F" w:rsidRPr="008E1212" w:rsidRDefault="002D202F" w:rsidP="002D202F">
      <w:pPr>
        <w:pStyle w:val="CBDNormalNumber"/>
      </w:pPr>
      <w:bookmarkStart w:id="67" w:name="_Hlk182076840"/>
      <w:r>
        <w:t>À sa cinquième séance plénière, le 1</w:t>
      </w:r>
      <w:r>
        <w:rPr>
          <w:vertAlign w:val="superscript"/>
        </w:rPr>
        <w:t>er</w:t>
      </w:r>
      <w:r>
        <w:t> novembre, la Conférence des Parties à la Convention, siégeant en tant que réunion des Parties aux Protocoles, a écouté un rapport du président du groupe de contact sur les questions budgétaires, également en sa qualité de facilitateur du groupe des amis de la présidence.</w:t>
      </w:r>
    </w:p>
    <w:p w14:paraId="37E0222A" w14:textId="55091B2B" w:rsidR="0080647C" w:rsidRPr="008E1212" w:rsidRDefault="0080647C" w:rsidP="0080647C">
      <w:pPr>
        <w:pStyle w:val="CBDNormalNumber"/>
      </w:pPr>
      <w:r>
        <w:t>Toutefois, en raison de la perte du quorum, les discussions ont dû être suspendues avant d'être achevées (voir le point 17 ci-dessous).</w:t>
      </w:r>
    </w:p>
    <w:bookmarkEnd w:id="67"/>
    <w:p w14:paraId="08764053" w14:textId="6CE8E760" w:rsidR="00AB02D2" w:rsidRPr="008E1212" w:rsidRDefault="008B6928" w:rsidP="00A53A16">
      <w:pPr>
        <w:pStyle w:val="CBDNormalNumber"/>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Du 3 au 6 décembre 2024, la Conférence des Parties siégeant en tant que réunion des Parties au Protocole a tenu sa sixième séance plénière, par le biais d'une reprise de réunion en ligne, pour examiner l'adoption selon une procédure d'approbation tacite des projets de décision </w:t>
      </w:r>
      <w:hyperlink r:id="rId47" w:history="1">
        <w:r>
          <w:rPr>
            <w:rStyle w:val="Hyperlink"/>
            <w:rFonts w:asciiTheme="majorBidi" w:eastAsia="MS Mincho" w:hAnsiTheme="majorBidi" w:cstheme="majorBidi"/>
            <w:kern w:val="22"/>
          </w:rPr>
          <w:t>CBD/CP/MOP/11/L.12/Rev.1</w:t>
        </w:r>
      </w:hyperlink>
      <w:r>
        <w:rPr>
          <w:rFonts w:asciiTheme="majorBidi" w:eastAsia="MS Mincho" w:hAnsiTheme="majorBidi" w:cstheme="majorBidi"/>
          <w:color w:val="000000"/>
          <w:kern w:val="22"/>
        </w:rPr>
        <w:t xml:space="preserve"> et </w:t>
      </w:r>
      <w:hyperlink r:id="rId48" w:history="1">
        <w:r>
          <w:rPr>
            <w:rStyle w:val="Hyperlink"/>
            <w:rFonts w:asciiTheme="majorBidi" w:eastAsia="MS Mincho" w:hAnsiTheme="majorBidi" w:cstheme="majorBidi"/>
            <w:kern w:val="22"/>
          </w:rPr>
          <w:t>CBD/CP/MOP/11/L.13</w:t>
        </w:r>
      </w:hyperlink>
      <w:r>
        <w:rPr>
          <w:rFonts w:asciiTheme="majorBidi" w:eastAsia="MS Mincho" w:hAnsiTheme="majorBidi" w:cstheme="majorBidi"/>
          <w:color w:val="000000"/>
          <w:kern w:val="22"/>
        </w:rPr>
        <w:t>, présentés par la Présidente.</w:t>
      </w:r>
    </w:p>
    <w:p w14:paraId="02EEBDDA" w14:textId="220F745E" w:rsidR="009776DD" w:rsidRPr="008E1212" w:rsidRDefault="009776DD" w:rsidP="00A53A16">
      <w:pPr>
        <w:pStyle w:val="CBDNormalNumber"/>
        <w:rPr>
          <w:rFonts w:asciiTheme="majorBidi" w:eastAsia="MS Mincho" w:hAnsiTheme="majorBidi" w:cstheme="majorBidi"/>
          <w:color w:val="000000"/>
          <w:kern w:val="22"/>
        </w:rPr>
      </w:pPr>
      <w:r>
        <w:t xml:space="preserve">La procédure d'approbation tacite s'étant achevée le 6 décembre sans que les Parties ne soulèvent d'objections pendant la période prévue pour rompre le silence, la Présidente a publié une communication de clôture informant les Parties que les deux projets de décision étaient considérés comme adoptés, en tant que décisions </w:t>
      </w:r>
      <w:hyperlink r:id="rId49" w:history="1">
        <w:r>
          <w:rPr>
            <w:rStyle w:val="Hyperlink"/>
          </w:rPr>
          <w:t>CP-11/11</w:t>
        </w:r>
      </w:hyperlink>
      <w:r>
        <w:t xml:space="preserve"> et </w:t>
      </w:r>
      <w:hyperlink r:id="rId50" w:history="1">
        <w:r>
          <w:rPr>
            <w:rStyle w:val="Hyperlink"/>
          </w:rPr>
          <w:t>CP-11/12</w:t>
        </w:r>
      </w:hyperlink>
      <w:r>
        <w:t>, respectivement.</w:t>
      </w:r>
    </w:p>
    <w:p w14:paraId="4F406B75" w14:textId="5F01F3B0" w:rsidR="0051003B" w:rsidRPr="008E1212" w:rsidRDefault="0051003B" w:rsidP="0051003B">
      <w:pPr>
        <w:pStyle w:val="CBDAgendaItem"/>
      </w:pPr>
      <w:bookmarkStart w:id="68" w:name="_Toc194919571"/>
      <w:bookmarkStart w:id="69" w:name="_Hlk180940375"/>
      <w:bookmarkEnd w:id="65"/>
      <w:r>
        <w:t xml:space="preserve">Point 7 </w:t>
      </w:r>
      <w:r>
        <w:br/>
        <w:t>Questions relatives au mécanisme de financement et aux ressources financières</w:t>
      </w:r>
      <w:bookmarkEnd w:id="68"/>
    </w:p>
    <w:p w14:paraId="25A6D7D6" w14:textId="6161F07A" w:rsidR="000363D0" w:rsidRPr="008E1212" w:rsidRDefault="000363D0" w:rsidP="000363D0">
      <w:pPr>
        <w:pStyle w:val="CBDNormalNumber"/>
        <w:spacing w:before="0"/>
      </w:pPr>
      <w:r>
        <w:t>À sa deuxième séance, le 22 octobre, le Groupe de travail I a examiné le point 7 de l'ordre du jour. Il était saisi d'un projet de décision</w:t>
      </w:r>
      <w:r>
        <w:rPr>
          <w:rStyle w:val="FootnoteReference"/>
        </w:rPr>
        <w:footnoteReference w:id="90"/>
      </w:r>
      <w:r>
        <w:t xml:space="preserve"> et d'une note du Secrétariat sur le mécanisme de financement et les ressources financières</w:t>
      </w:r>
      <w:r>
        <w:rPr>
          <w:rStyle w:val="FootnoteReference"/>
        </w:rPr>
        <w:footnoteReference w:id="91"/>
      </w:r>
      <w:r>
        <w:t>.</w:t>
      </w:r>
    </w:p>
    <w:p w14:paraId="0CB2E4B8" w14:textId="77777777" w:rsidR="000363D0" w:rsidRPr="008E1212" w:rsidRDefault="000363D0" w:rsidP="000363D0">
      <w:pPr>
        <w:pStyle w:val="CBDNormalNumber"/>
        <w:spacing w:before="0"/>
      </w:pPr>
      <w:r>
        <w:t xml:space="preserve">Des déclarations ont été faites par les représentants des Parties suivantes : Afrique du Sud, Brésil, Burkina Faso, Burundi, Côte d’Ivoire, Gabon, Guatemala, Japon, Malawi, Norvège, </w:t>
      </w:r>
      <w:r>
        <w:lastRenderedPageBreak/>
        <w:t>République démocratique du Congo, République démocratique populaire lao, Suisse, Union européenne et ses États membres, et Zimbabwe (au nom des États d'Afrique).</w:t>
      </w:r>
    </w:p>
    <w:p w14:paraId="45FD0E42" w14:textId="7B362B3F" w:rsidR="000363D0" w:rsidRPr="008E1212" w:rsidRDefault="000363D0" w:rsidP="000363D0">
      <w:pPr>
        <w:pStyle w:val="CBDNormalNumber"/>
        <w:spacing w:before="0"/>
      </w:pPr>
      <w:r>
        <w:t>Le Groupe de travail I a décidé que la présidente préparerait un projet de décision révisé aux fins d'examen.</w:t>
      </w:r>
    </w:p>
    <w:p w14:paraId="1818C249" w14:textId="05536F89" w:rsidR="000363D0" w:rsidRPr="008E1212" w:rsidRDefault="000363D0" w:rsidP="000363D0">
      <w:pPr>
        <w:pStyle w:val="CBDNormalNumber"/>
        <w:spacing w:before="0"/>
      </w:pPr>
      <w:r>
        <w:t xml:space="preserve">À sa troisième séance, le 25 octobre, le Groupe de travail I a examiné un projet de décision révisé présenté par la présidente. </w:t>
      </w:r>
    </w:p>
    <w:p w14:paraId="08E228DD" w14:textId="77777777" w:rsidR="000363D0" w:rsidRPr="008E1212" w:rsidRDefault="000363D0" w:rsidP="000363D0">
      <w:pPr>
        <w:pStyle w:val="CBDNormalNumber"/>
        <w:spacing w:before="0"/>
      </w:pPr>
      <w:r>
        <w:t>Des déclarations ont été faites par les représentants des Parties suivantes : Afrique du Sud, Brésil, Burkina Faso, Chine, Japon, Malawi, Norvège, République unie de Tanzanie, Royaume-Uni, Suriname, Suisse, Union européenne et ses États membres et Zimbabwe.</w:t>
      </w:r>
    </w:p>
    <w:p w14:paraId="67465E8E" w14:textId="7D517934" w:rsidR="000363D0" w:rsidRPr="008E1212" w:rsidRDefault="000363D0" w:rsidP="000363D0">
      <w:pPr>
        <w:pStyle w:val="CBDNormalNumber"/>
        <w:spacing w:before="0"/>
      </w:pPr>
      <w:r>
        <w:t>Le Groupe de travail I a approuvé le projet de décision révisé, à l'exception de l'alinéa 1 d), et a décidé qu'un petit groupe, constitué de représentants des Parties intéressées et sous la direction de Niklaus Wagner (Suisse), tenterait de régler les questions en suspens dans ce paragraphe, en particulier en ce qui concerne les fonds cantonnés.</w:t>
      </w:r>
    </w:p>
    <w:p w14:paraId="11A6573D" w14:textId="285D54E4" w:rsidR="000363D0" w:rsidRPr="008E1212" w:rsidRDefault="000363D0" w:rsidP="000363D0">
      <w:pPr>
        <w:pStyle w:val="CBDNormalNumber"/>
        <w:spacing w:before="0"/>
      </w:pPr>
      <w:r>
        <w:t>À sa cinquième séance, le 31 octobre, le Groupe de travail I a examiné un projet de décision révisé supplémentaire suite aux discussions du petit groupe.</w:t>
      </w:r>
    </w:p>
    <w:p w14:paraId="356D76FC" w14:textId="77777777" w:rsidR="000363D0" w:rsidRPr="008E1212" w:rsidRDefault="000363D0" w:rsidP="000363D0">
      <w:pPr>
        <w:pStyle w:val="CBDNormalNumber"/>
        <w:spacing w:before="0"/>
      </w:pPr>
      <w:r>
        <w:t>Des déclarations ont été faites par les représentants des Parties suivantes : Afrique du Sud, Brésil, Burkina Faso, Norvège, République démocratique du Congo, Suisse, Royaume-Uni et Zimbabwe (au nom des États d'Afrique).</w:t>
      </w:r>
    </w:p>
    <w:p w14:paraId="437A6163" w14:textId="1F8E8333" w:rsidR="000363D0" w:rsidRPr="008E1212" w:rsidRDefault="000363D0" w:rsidP="000363D0">
      <w:pPr>
        <w:pStyle w:val="CBDNormalNumber"/>
        <w:spacing w:before="0"/>
      </w:pPr>
      <w:r>
        <w:t>Le Groupe de travail I a approuvé le projet de décision révisé supplémentaire, tel que modifié oralement, et a décidé de le soumettre pour examen en séance plénière sous la cote CBD/CP/MOP/11/L.8.</w:t>
      </w:r>
    </w:p>
    <w:p w14:paraId="1A2B1E83" w14:textId="66C784CE" w:rsidR="00660948" w:rsidRPr="008E1212" w:rsidRDefault="0051003B" w:rsidP="0051003B">
      <w:pPr>
        <w:pStyle w:val="CBDNormalNumber"/>
        <w:rPr>
          <w:snapToGrid w:val="0"/>
          <w:lang w:eastAsia="en-CA"/>
        </w:rPr>
      </w:pPr>
      <w:r>
        <w:t>À sa cinquième séance plénière, la Conférence des Parties siégeant en tant que réunion des Parties au Protocole a examiné le projet de décision CBD/CP/MOP/11/L.8, présenté par la présidente du Groupe de travail I.</w:t>
      </w:r>
    </w:p>
    <w:p w14:paraId="6C4391EF" w14:textId="77777777" w:rsidR="00660948" w:rsidRPr="008E1212" w:rsidRDefault="00660948" w:rsidP="0051003B">
      <w:pPr>
        <w:pStyle w:val="CBDNormalNumber"/>
        <w:rPr>
          <w:snapToGrid w:val="0"/>
          <w:lang w:eastAsia="en-CA"/>
        </w:rPr>
      </w:pPr>
      <w:r>
        <w:t>Le représentant du secrétariat a présenté des modifications orales au projet de décision.</w:t>
      </w:r>
    </w:p>
    <w:p w14:paraId="16707110" w14:textId="27FD9A3D" w:rsidR="0051003B" w:rsidRPr="008E1212" w:rsidRDefault="00660948" w:rsidP="0051003B">
      <w:pPr>
        <w:pStyle w:val="CBDNormalNumber"/>
        <w:rPr>
          <w:snapToGrid w:val="0"/>
          <w:lang w:eastAsia="en-CA"/>
        </w:rPr>
      </w:pPr>
      <w:r>
        <w:t>La Conférence des Parties siégeant en tant que réunion des Parties au Protocole a adopté le projet de décision, tel que modifié oralement, en tant que décision</w:t>
      </w:r>
      <w:r w:rsidR="006327F2">
        <w:t xml:space="preserve"> </w:t>
      </w:r>
      <w:hyperlink r:id="rId51" w:history="1">
        <w:r>
          <w:rPr>
            <w:rStyle w:val="Hyperlink"/>
          </w:rPr>
          <w:t>CP-11/2</w:t>
        </w:r>
      </w:hyperlink>
      <w:r>
        <w:t>.</w:t>
      </w:r>
    </w:p>
    <w:p w14:paraId="67DCE21B" w14:textId="77777777" w:rsidR="0088588B" w:rsidRPr="008E1212" w:rsidRDefault="0088588B" w:rsidP="0088588B">
      <w:pPr>
        <w:pStyle w:val="CBDAgendaItem"/>
      </w:pPr>
      <w:bookmarkStart w:id="70" w:name="_Toc194919572"/>
      <w:r>
        <w:t xml:space="preserve">Point 8 </w:t>
      </w:r>
      <w:r>
        <w:br/>
        <w:t>Fonctionnement et activités du Centre d’échange pour la prévention des risques biotechnologiques</w:t>
      </w:r>
      <w:bookmarkEnd w:id="70"/>
    </w:p>
    <w:p w14:paraId="4BC8C510" w14:textId="6ABEFB24" w:rsidR="00F36999" w:rsidRPr="008E1212" w:rsidRDefault="00F36999" w:rsidP="00F36999">
      <w:pPr>
        <w:pStyle w:val="CBDNormalNumber"/>
        <w:spacing w:before="0"/>
      </w:pPr>
      <w:r>
        <w:t>À sa deuxième séance, le Groupe de travail II a examiné le point 8 de l'ordre du jour. Il était saisi d'un projet de décision</w:t>
      </w:r>
      <w:r>
        <w:rPr>
          <w:rStyle w:val="FootnoteReference"/>
        </w:rPr>
        <w:footnoteReference w:id="92"/>
      </w:r>
      <w:r>
        <w:t xml:space="preserve"> et d'une note du secrétariat sur le fonctionnement et les activités du Centre d’échange pour la prévention des risques biotechnologiques</w:t>
      </w:r>
      <w:r>
        <w:rPr>
          <w:rStyle w:val="FootnoteReference"/>
        </w:rPr>
        <w:footnoteReference w:id="93"/>
      </w:r>
      <w:r>
        <w:t>.</w:t>
      </w:r>
    </w:p>
    <w:p w14:paraId="703CD4C5" w14:textId="77777777" w:rsidR="00F36999" w:rsidRPr="008E1212" w:rsidRDefault="00F36999" w:rsidP="00F36999">
      <w:pPr>
        <w:pStyle w:val="CBDNormalNumber"/>
        <w:spacing w:before="0"/>
      </w:pPr>
      <w:r>
        <w:t>Des déclarations ont été faites par les représentants des Parties suivantes : Afrique du Sud, Brésil, Burkina Faso, Côte d’Ivoire, Gabon, Guatemala, Inde, Malaisie, République de Moldova, République dominicaine, Tunisie, Union européenne et ses États membres et Uruguay.</w:t>
      </w:r>
    </w:p>
    <w:p w14:paraId="68BB813A" w14:textId="3BB585AC" w:rsidR="00F36999" w:rsidRPr="008E1212" w:rsidRDefault="00F36999" w:rsidP="00F36999">
      <w:pPr>
        <w:pStyle w:val="CBDNormalNumber"/>
        <w:spacing w:before="0"/>
      </w:pPr>
      <w:r>
        <w:t xml:space="preserve">Le Groupe de travail II a décidé que le président préparerait un projet de décision révisé aux fins d'examen, en tenant compte des points de vue exprimés. </w:t>
      </w:r>
    </w:p>
    <w:p w14:paraId="7C596B0E" w14:textId="7E672DCB" w:rsidR="00F36999" w:rsidRPr="008E1212" w:rsidRDefault="00F36999" w:rsidP="00F36999">
      <w:pPr>
        <w:pStyle w:val="CBDNormalNumber"/>
        <w:spacing w:before="0"/>
        <w:rPr>
          <w:rFonts w:asciiTheme="majorBidi" w:hAnsiTheme="majorBidi" w:cstheme="majorBidi"/>
        </w:rPr>
      </w:pPr>
      <w:r>
        <w:rPr>
          <w:rFonts w:asciiTheme="majorBidi" w:hAnsiTheme="majorBidi" w:cstheme="majorBidi"/>
        </w:rPr>
        <w:t>À sa sixième séance, le 25 octobre, le Groupe de travail II a examiné un projet de décision révisé présenté par le président.</w:t>
      </w:r>
    </w:p>
    <w:p w14:paraId="0D6CE1E3" w14:textId="77777777" w:rsidR="00F36999" w:rsidRPr="008E1212" w:rsidRDefault="00F36999" w:rsidP="00F36999">
      <w:pPr>
        <w:pStyle w:val="CBDNormalNumber"/>
        <w:spacing w:before="0"/>
        <w:rPr>
          <w:rFonts w:asciiTheme="majorBidi" w:hAnsiTheme="majorBidi" w:cstheme="majorBidi"/>
        </w:rPr>
      </w:pPr>
      <w:r>
        <w:lastRenderedPageBreak/>
        <w:t>Des déclarations ont été faites par les représentants des Parties suivantes : Brésil et Union européenne et ses États membres.</w:t>
      </w:r>
    </w:p>
    <w:p w14:paraId="2522873A" w14:textId="77777777" w:rsidR="00F36999" w:rsidRPr="008E1212" w:rsidRDefault="00F36999" w:rsidP="00F36999">
      <w:pPr>
        <w:pStyle w:val="CBDNormalNumber"/>
        <w:spacing w:before="0"/>
        <w:rPr>
          <w:rFonts w:asciiTheme="majorBidi" w:hAnsiTheme="majorBidi" w:cstheme="majorBidi"/>
        </w:rPr>
      </w:pPr>
      <w:r>
        <w:t>Le Groupe de travail II a approuvé le projet de décision révisé, tel que modifié oralement, et a décidé de le soumettre pour examen en séance plénière sous la cote CBD/CP/MOP/11/L.2.</w:t>
      </w:r>
    </w:p>
    <w:p w14:paraId="308B4999" w14:textId="3DD5D90C" w:rsidR="0088588B" w:rsidRPr="008E1212" w:rsidRDefault="0088588B" w:rsidP="0088588B">
      <w:pPr>
        <w:pStyle w:val="CBDNormalNumber"/>
        <w:rPr>
          <w:snapToGrid w:val="0"/>
          <w:lang w:eastAsia="en-CA"/>
        </w:rPr>
      </w:pPr>
      <w:r>
        <w:t xml:space="preserve">Lors de sa deuxième séance plénière, la Conférence des Parties siégeant en tant que réunion des Parties au Protocole a examiné le projet de décision CBD/CP/MOP/11/L.2, présenté par le président du Groupe de travail II, et l’a adopté en tant que décision </w:t>
      </w:r>
      <w:hyperlink r:id="rId52" w:history="1">
        <w:r>
          <w:rPr>
            <w:rStyle w:val="Hyperlink"/>
          </w:rPr>
          <w:t>CP-11/3</w:t>
        </w:r>
      </w:hyperlink>
      <w:r>
        <w:t xml:space="preserve">. </w:t>
      </w:r>
    </w:p>
    <w:p w14:paraId="11D18C30" w14:textId="788BAB1C" w:rsidR="004A085B" w:rsidRPr="008E1212" w:rsidRDefault="004A085B" w:rsidP="004A085B">
      <w:pPr>
        <w:pStyle w:val="CBDAgendaItem"/>
      </w:pPr>
      <w:bookmarkStart w:id="71" w:name="_Toc194919573"/>
      <w:r>
        <w:t xml:space="preserve">Point 9 </w:t>
      </w:r>
      <w:r>
        <w:br/>
        <w:t xml:space="preserve">Coopération avec des organisations internationales, </w:t>
      </w:r>
      <w:r>
        <w:br/>
        <w:t>des organismes créés en vertu d’autres conventions, et des initiatives</w:t>
      </w:r>
      <w:bookmarkEnd w:id="71"/>
    </w:p>
    <w:p w14:paraId="37E09E40" w14:textId="77777777" w:rsidR="00FD13CC" w:rsidRPr="008E1212" w:rsidRDefault="00FD13CC" w:rsidP="00B75CA2">
      <w:pPr>
        <w:pStyle w:val="CBDNormalNumber"/>
        <w:rPr>
          <w:u w:color="000000"/>
        </w:rPr>
      </w:pPr>
      <w:r>
        <w:t>À sa deuxième séance, le Groupe de travail II a examiné le point 9 de l'ordre du jour.</w:t>
      </w:r>
      <w:r>
        <w:rPr>
          <w:u w:color="000000"/>
        </w:rPr>
        <w:t xml:space="preserve"> Il était saisi d'une note du secrétariat sur la </w:t>
      </w:r>
      <w:r>
        <w:t>coopération</w:t>
      </w:r>
      <w:r>
        <w:rPr>
          <w:u w:color="000000"/>
        </w:rPr>
        <w:t xml:space="preserve"> avec des organisations internationales, </w:t>
      </w:r>
      <w:r>
        <w:t>des organismes créés en vertu d’autres conventions, et des initiatives</w:t>
      </w:r>
      <w:r>
        <w:rPr>
          <w:u w:color="000000"/>
          <w:vertAlign w:val="superscript"/>
        </w:rPr>
        <w:footnoteReference w:id="94"/>
      </w:r>
      <w:r>
        <w:rPr>
          <w:u w:color="000000"/>
        </w:rPr>
        <w:t xml:space="preserve">. </w:t>
      </w:r>
    </w:p>
    <w:p w14:paraId="3F23C70E" w14:textId="77777777" w:rsidR="00FD13CC" w:rsidRPr="008E1212" w:rsidRDefault="00FD13CC" w:rsidP="00842669">
      <w:pPr>
        <w:pStyle w:val="CBDNormalNumber"/>
        <w:rPr>
          <w:u w:color="000000"/>
        </w:rPr>
      </w:pPr>
      <w:r>
        <w:rPr>
          <w:u w:color="000000"/>
        </w:rPr>
        <w:t>Des déclarations ont été faites par des représentants de l'</w:t>
      </w:r>
      <w:r>
        <w:t>Union internationale pour la conservation de la nature et de l'Institut interaméricain de coopération pour l’agriculture.</w:t>
      </w:r>
    </w:p>
    <w:p w14:paraId="5A983AB4" w14:textId="7CADCB97" w:rsidR="00FD13CC" w:rsidRPr="008E1212" w:rsidRDefault="00FD13CC" w:rsidP="00842669">
      <w:pPr>
        <w:pStyle w:val="CBDNormalNumber"/>
        <w:rPr>
          <w:color w:val="000000" w:themeColor="text1"/>
        </w:rPr>
      </w:pPr>
      <w:r>
        <w:rPr>
          <w:snapToGrid w:val="0"/>
        </w:rPr>
        <w:t xml:space="preserve">Le Groupe de travail II a pris note des informations figurant dans le document </w:t>
      </w:r>
      <w:r>
        <w:t>CBD/CP/MOP/11/8/Rev.1</w:t>
      </w:r>
      <w:r>
        <w:rPr>
          <w:snapToGrid w:val="0"/>
        </w:rPr>
        <w:t>.</w:t>
      </w:r>
    </w:p>
    <w:p w14:paraId="30D0BC18" w14:textId="61EAC048" w:rsidR="0088588B" w:rsidRPr="008E1212" w:rsidRDefault="0088588B" w:rsidP="0088588B">
      <w:pPr>
        <w:pStyle w:val="CBDAgendaItem"/>
      </w:pPr>
      <w:bookmarkStart w:id="72" w:name="_Toc194919574"/>
      <w:r>
        <w:t xml:space="preserve">Point 10 </w:t>
      </w:r>
      <w:r>
        <w:br/>
        <w:t>Examen de l'efficacité des processus établis au titre de la Convention et de ses Protocoles</w:t>
      </w:r>
      <w:bookmarkEnd w:id="72"/>
    </w:p>
    <w:p w14:paraId="30DFC391" w14:textId="4EB74886" w:rsidR="006A2906" w:rsidRPr="008E1212" w:rsidRDefault="006A2906" w:rsidP="00B75CA2">
      <w:pPr>
        <w:pStyle w:val="CBDNormalNumber"/>
      </w:pPr>
      <w:bookmarkStart w:id="73" w:name="_Hlk181974712"/>
      <w:r>
        <w:t>À sa troisième séance, le Groupe de travail I a examiné le point 10 de l'ordre du jour en liaison avec le point 27 de l'ordre du jour de la seizième réunion de la Conférence des Parties à la Convention et le point 12 de l'ordre du jour de la cinquième réunion de la Conférence des Parties siégeant en tant que réunion des Parties au Protocole de Nagoya. Il était saisi de trois projets de décision : un premier projet sur les options propres à améliorer davantage l'efficacité des processus dans le cadre de la Convention et de ses Protocoles, un deuxième sur les procédures relatives à la tenue de réunions virtuelles et hybrides, et un troisième sur une procédure relative à la prévention et la gestion des conflits d'intérêts au sein des groupes d'experts</w:t>
      </w:r>
      <w:r>
        <w:rPr>
          <w:rStyle w:val="FootnoteReference"/>
        </w:rPr>
        <w:footnoteReference w:id="95"/>
      </w:r>
      <w:r>
        <w:t>.</w:t>
      </w:r>
    </w:p>
    <w:p w14:paraId="135E57BD" w14:textId="77777777" w:rsidR="006A2906" w:rsidRPr="008E1212" w:rsidRDefault="006A2906" w:rsidP="00474A1A">
      <w:pPr>
        <w:pStyle w:val="CBDNormalNumber"/>
      </w:pPr>
      <w:r>
        <w:t>La présidente a créé un groupe des amis de la présidence, sous la direction de Joaquín Salzberg (Argentine), ayant pour mandat de mener des discussions et de parvenir à un accord sur les deux premiers projets de décision.</w:t>
      </w:r>
    </w:p>
    <w:p w14:paraId="16892780" w14:textId="17AE299A" w:rsidR="002D202F" w:rsidRPr="008E1212"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rPr>
        <w:t>Options propres à améliorer davantage l'efficacité des processus dans le cadre de la Convention et de ses Protocoles</w:t>
      </w:r>
    </w:p>
    <w:p w14:paraId="63B2EC19" w14:textId="0F7EB6B1" w:rsidR="000F1F57" w:rsidRPr="008E1212" w:rsidRDefault="000F1F57" w:rsidP="000F1F57">
      <w:pPr>
        <w:pStyle w:val="CBDNormalNumber"/>
        <w:spacing w:before="0"/>
      </w:pPr>
      <w:bookmarkStart w:id="74" w:name="_Hlk182075790"/>
      <w:r>
        <w:t>À sa cinquième session, le Groupe de travail I a examiné un projet de décision soumis par la présidente suite aux discussions du groupe des amis de la présidence.</w:t>
      </w:r>
    </w:p>
    <w:p w14:paraId="62185452" w14:textId="2DB1C86C" w:rsidR="000F1F57" w:rsidRPr="008E1212" w:rsidRDefault="000F1F57" w:rsidP="000F1F57">
      <w:pPr>
        <w:pStyle w:val="CBDNormalNumber"/>
        <w:spacing w:before="0"/>
      </w:pPr>
      <w:r>
        <w:t>Des déclarations ont été faites par les représentants des Parties suivantes : Brésil, Royaume-Uni, Union européenne et ses États membres.</w:t>
      </w:r>
    </w:p>
    <w:p w14:paraId="0A41B796" w14:textId="02F7DBC8" w:rsidR="004631EB" w:rsidRPr="008E1212" w:rsidRDefault="004631EB" w:rsidP="000F1F57">
      <w:pPr>
        <w:pStyle w:val="CBDNormalNumber"/>
        <w:spacing w:before="0"/>
      </w:pPr>
      <w:r>
        <w:t xml:space="preserve">Une déclaration a également été faite par un représentant de la non-Partie suivante : Fédération de Russie </w:t>
      </w:r>
    </w:p>
    <w:p w14:paraId="5A67B471" w14:textId="1862B32D" w:rsidR="000F1F57" w:rsidRPr="008E1212" w:rsidRDefault="000F1F57" w:rsidP="000F1F57">
      <w:pPr>
        <w:pStyle w:val="CBDNormalNumber"/>
        <w:spacing w:before="0"/>
      </w:pPr>
      <w:r>
        <w:rPr>
          <w:bCs/>
        </w:rPr>
        <w:t>Le Groupe de travail I a approuvé le projet de décision et a décidé de le soumettre pour examen en séance plénière sous la cote</w:t>
      </w:r>
      <w:r>
        <w:t xml:space="preserve"> </w:t>
      </w:r>
      <w:r>
        <w:rPr>
          <w:rFonts w:asciiTheme="majorBidi" w:hAnsiTheme="majorBidi" w:cstheme="majorBidi"/>
        </w:rPr>
        <w:t>CBD/CP/MOP/11/L.10.</w:t>
      </w:r>
    </w:p>
    <w:p w14:paraId="3D82462D" w14:textId="4BB1A27B" w:rsidR="002D202F" w:rsidRPr="008E1212" w:rsidRDefault="002D202F" w:rsidP="002D202F">
      <w:pPr>
        <w:pStyle w:val="CBDNormalNumber"/>
        <w:rPr>
          <w:snapToGrid w:val="0"/>
          <w:lang w:eastAsia="en-CA"/>
        </w:rPr>
      </w:pPr>
      <w:r>
        <w:lastRenderedPageBreak/>
        <w:t>À sa cinquième séance plénière, la Conférence des Parties siégeant en tant que réunion des Parties au Protocole a examiné le projet de décision CBD/CP/MOP/11/L.10, présenté par la présidente du Groupe de travail I, et l’a adopté en tant que décision</w:t>
      </w:r>
      <w:r w:rsidR="00422A02">
        <w:t xml:space="preserve"> </w:t>
      </w:r>
      <w:hyperlink r:id="rId53" w:history="1">
        <w:r>
          <w:rPr>
            <w:rStyle w:val="Hyperlink"/>
          </w:rPr>
          <w:t>CP-11/5</w:t>
        </w:r>
      </w:hyperlink>
      <w:r>
        <w:t>.</w:t>
      </w:r>
    </w:p>
    <w:p w14:paraId="49CAEE96" w14:textId="1D734EA7" w:rsidR="002D202F" w:rsidRPr="008E1212"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rPr>
        <w:t>Procédures relatives à la tenue de réunions virtuelles et hybrides</w:t>
      </w:r>
    </w:p>
    <w:p w14:paraId="4BB4A9E2" w14:textId="6B9D128A" w:rsidR="00C81CDF" w:rsidRPr="008E1212" w:rsidRDefault="00C81CDF" w:rsidP="00C81CDF">
      <w:pPr>
        <w:pStyle w:val="CBDNormalNumber"/>
        <w:spacing w:before="0"/>
      </w:pPr>
      <w:r>
        <w:t>À sa cinquième session, le Groupe de travail I a examiné un projet de décision soumis par la présidente suite aux discussions du groupe des amis de la présidence.</w:t>
      </w:r>
    </w:p>
    <w:p w14:paraId="6CE61898" w14:textId="03DD28FB" w:rsidR="00C81CDF" w:rsidRPr="008E1212" w:rsidRDefault="00C81CDF" w:rsidP="00C81CDF">
      <w:pPr>
        <w:pStyle w:val="CBDNormalNumber"/>
        <w:spacing w:before="0"/>
      </w:pPr>
      <w:r>
        <w:t>Une déclaration a été faite par un représentant de la non-Partie suivante : Argentine.</w:t>
      </w:r>
    </w:p>
    <w:p w14:paraId="524A62B9" w14:textId="5679C793" w:rsidR="00C81CDF" w:rsidRPr="008E1212" w:rsidRDefault="00C81CDF" w:rsidP="00C81CDF">
      <w:pPr>
        <w:pStyle w:val="CBDNormalNumber"/>
        <w:spacing w:before="0"/>
      </w:pPr>
      <w:r>
        <w:rPr>
          <w:bCs/>
        </w:rPr>
        <w:t>Le Groupe de travail I a approuvé le projet de décision et a décidé de le soumettre pour examen en séance plénière sous la cote</w:t>
      </w:r>
      <w:r>
        <w:t xml:space="preserve"> </w:t>
      </w:r>
      <w:r>
        <w:rPr>
          <w:rFonts w:asciiTheme="majorBidi" w:hAnsiTheme="majorBidi" w:cstheme="majorBidi"/>
        </w:rPr>
        <w:t>CBD/CP/MOP/11/L.9.</w:t>
      </w:r>
    </w:p>
    <w:p w14:paraId="06F98D02" w14:textId="6CD51F7E" w:rsidR="002D202F" w:rsidRPr="008E1212" w:rsidRDefault="002D202F" w:rsidP="002D202F">
      <w:pPr>
        <w:pStyle w:val="CBDNormalNumber"/>
        <w:rPr>
          <w:snapToGrid w:val="0"/>
          <w:lang w:eastAsia="en-CA"/>
        </w:rPr>
      </w:pPr>
      <w:r>
        <w:t>À sa cinquième séance plénière, la Conférence des Parties siégeant en tant que réunion des Parties au Protocole a examiné le projet de décision CBD/CP/MOP/11/L.9, présenté par la présidente du Groupe de travail I, et l’a adopté en tant que décision </w:t>
      </w:r>
      <w:hyperlink r:id="rId54" w:history="1">
        <w:r>
          <w:rPr>
            <w:rStyle w:val="Hyperlink"/>
          </w:rPr>
          <w:t>CP-11/4</w:t>
        </w:r>
      </w:hyperlink>
      <w:r>
        <w:t>.</w:t>
      </w:r>
    </w:p>
    <w:p w14:paraId="2EA32AAB" w14:textId="472610AC" w:rsidR="002D202F" w:rsidRPr="008E1212" w:rsidRDefault="002D202F" w:rsidP="00060C68">
      <w:pPr>
        <w:pStyle w:val="CBDNormalNumber"/>
        <w:keepNext/>
        <w:numPr>
          <w:ilvl w:val="0"/>
          <w:numId w:val="0"/>
        </w:numPr>
        <w:spacing w:before="240"/>
        <w:ind w:left="567"/>
        <w:jc w:val="left"/>
        <w:rPr>
          <w:rFonts w:asciiTheme="majorBidi" w:eastAsia="MS Mincho" w:hAnsiTheme="majorBidi" w:cstheme="majorBidi"/>
          <w:i/>
          <w:iCs/>
          <w:color w:val="000000"/>
          <w:kern w:val="22"/>
        </w:rPr>
      </w:pPr>
      <w:r>
        <w:rPr>
          <w:rFonts w:asciiTheme="majorBidi" w:eastAsia="MS Mincho" w:hAnsiTheme="majorBidi" w:cstheme="majorBidi"/>
          <w:i/>
          <w:iCs/>
          <w:color w:val="000000"/>
          <w:kern w:val="22"/>
        </w:rPr>
        <w:t>Procédure relative à la prévention et la gestion des conflits d'intérêts au sein des groupes d'experts</w:t>
      </w:r>
    </w:p>
    <w:p w14:paraId="5B27B754" w14:textId="77777777" w:rsidR="00252AE4" w:rsidRPr="008E1212" w:rsidRDefault="00252AE4" w:rsidP="00252AE4">
      <w:pPr>
        <w:pStyle w:val="CBDNormalNumber"/>
        <w:spacing w:before="0"/>
      </w:pPr>
      <w:r>
        <w:t>En ce qui concerne le troisième projet de décision, le Groupe de travail I est convenu que la présidente élaborerait un projet de décision révisé et le soumettrait au Groupe pour examen.</w:t>
      </w:r>
    </w:p>
    <w:p w14:paraId="1DB0F7B8" w14:textId="1A5A5F8B" w:rsidR="00252AE4" w:rsidRPr="008E1212" w:rsidRDefault="00252AE4" w:rsidP="00252AE4">
      <w:pPr>
        <w:pStyle w:val="CBDNormalNumber"/>
        <w:spacing w:before="0"/>
      </w:pPr>
      <w:r>
        <w:t>À sa cinquième séance, le Groupe de travail I a examiné un projet de décision soumis par la présidente.</w:t>
      </w:r>
    </w:p>
    <w:p w14:paraId="291C1E65" w14:textId="32CDB271" w:rsidR="00252AE4" w:rsidRPr="008E1212" w:rsidRDefault="00252AE4" w:rsidP="00252AE4">
      <w:pPr>
        <w:pStyle w:val="CBDNormalNumber"/>
        <w:spacing w:before="0"/>
      </w:pPr>
      <w:r>
        <w:t>Des déclarations ont été faites par des représentants des Parties suivantes : Bolivie (État plurinational de), Brésil, Guatemala, Norvège, République démocratique du Congo, République unie de Tanzanie et Union européenne et ses États membres.</w:t>
      </w:r>
    </w:p>
    <w:p w14:paraId="735C40A1" w14:textId="519E7690" w:rsidR="00993FF5" w:rsidRPr="008E1212" w:rsidRDefault="00993FF5" w:rsidP="00252AE4">
      <w:pPr>
        <w:pStyle w:val="CBDNormalNumber"/>
        <w:spacing w:before="0"/>
      </w:pPr>
      <w:r>
        <w:t>Les représentants des non-Parties suivantes ont également fait des déclarations : Argentine et Canada.</w:t>
      </w:r>
    </w:p>
    <w:p w14:paraId="36C6C649" w14:textId="77777777" w:rsidR="00252AE4" w:rsidRPr="008E1212" w:rsidRDefault="00252AE4" w:rsidP="00252AE4">
      <w:pPr>
        <w:pStyle w:val="CBDNormalNumber"/>
        <w:spacing w:before="0"/>
      </w:pPr>
      <w:r>
        <w:rPr>
          <w:bCs/>
        </w:rPr>
        <w:t>Le Groupe de travail I a approuvé le projet de décision et a décidé de le soumettre pour examen en séance plénière sous la cote</w:t>
      </w:r>
      <w:r>
        <w:t xml:space="preserve"> </w:t>
      </w:r>
      <w:r>
        <w:rPr>
          <w:rFonts w:asciiTheme="majorBidi" w:hAnsiTheme="majorBidi" w:cstheme="majorBidi"/>
        </w:rPr>
        <w:t>CBD/CP/MOP/11/L.11.</w:t>
      </w:r>
    </w:p>
    <w:p w14:paraId="15A79BEB" w14:textId="78B32D16" w:rsidR="002D202F" w:rsidRPr="008E1212" w:rsidRDefault="002D202F" w:rsidP="002D202F">
      <w:pPr>
        <w:pStyle w:val="CBDNormalNumber"/>
        <w:rPr>
          <w:snapToGrid w:val="0"/>
          <w:lang w:eastAsia="en-CA"/>
        </w:rPr>
      </w:pPr>
      <w:r>
        <w:t>À sa cinquième séance plénière, la Conférence des Parties siégeant en tant que réunion des Parties au Protocole a examiné le projet de décision CBD/CP/MOP/11/L.11, soumis par la présidente du Groupe de travail I, et l’a adopté en tant que décision</w:t>
      </w:r>
      <w:r w:rsidR="00422A02">
        <w:t xml:space="preserve"> </w:t>
      </w:r>
      <w:hyperlink r:id="rId55" w:history="1">
        <w:r>
          <w:rPr>
            <w:rStyle w:val="Hyperlink"/>
          </w:rPr>
          <w:t>CP-11/6</w:t>
        </w:r>
      </w:hyperlink>
      <w:r>
        <w:t>.</w:t>
      </w:r>
    </w:p>
    <w:p w14:paraId="01F34AA4" w14:textId="600A5E2D" w:rsidR="00620D2D" w:rsidRPr="008E1212" w:rsidRDefault="00620D2D" w:rsidP="00620D2D">
      <w:pPr>
        <w:pStyle w:val="CBDAgendaItem"/>
      </w:pPr>
      <w:bookmarkStart w:id="75" w:name="_Toc194919575"/>
      <w:bookmarkStart w:id="76" w:name="_Hlk180940739"/>
      <w:bookmarkEnd w:id="73"/>
      <w:bookmarkEnd w:id="74"/>
      <w:r>
        <w:t xml:space="preserve">Point 11 </w:t>
      </w:r>
      <w:r>
        <w:br/>
        <w:t>Évaluation et gestion des risques</w:t>
      </w:r>
      <w:bookmarkEnd w:id="75"/>
    </w:p>
    <w:p w14:paraId="220D09CE" w14:textId="6B768AB5" w:rsidR="000D4E61" w:rsidRPr="008E1212" w:rsidRDefault="000D4E61" w:rsidP="00080541">
      <w:pPr>
        <w:pStyle w:val="CBDNormalNumber"/>
      </w:pPr>
      <w:r>
        <w:t>À sa deuxième séance, le Groupe de travail II a examiné le point 11 de l'ordre du jour. Il était saisi d’un projet de décision</w:t>
      </w:r>
      <w:r>
        <w:rPr>
          <w:rStyle w:val="FootnoteReference"/>
        </w:rPr>
        <w:footnoteReference w:id="96"/>
      </w:r>
      <w:r>
        <w:t xml:space="preserve"> et d’une note du Secrétariat sur des documents d’orientation facultatives supplémentaires à l’appui de l’évaluation des risques au cas par cas des organismes vivants modifiés issus du forçage génétique</w:t>
      </w:r>
      <w:r>
        <w:rPr>
          <w:rStyle w:val="FootnoteReference"/>
        </w:rPr>
        <w:footnoteReference w:id="97"/>
      </w:r>
      <w:r>
        <w:t>.</w:t>
      </w:r>
    </w:p>
    <w:p w14:paraId="693DF4E8" w14:textId="77777777" w:rsidR="000D4E61" w:rsidRPr="008E1212" w:rsidRDefault="000D4E61" w:rsidP="00B67283">
      <w:pPr>
        <w:pStyle w:val="CBDNormalNumber"/>
      </w:pPr>
      <w:r>
        <w:t>Des déclarations ont été faites par les représentants des Parties suivantes : Brésil, Burkina Faso, Colombie, Égypte, Équateur, Inde, Kenya, Malawi (au nom des États d'Afrique), Norvège, Nouvelle-Zélande, Ouganda, Panama, Rwanda, Suriname, Union européenne et ses États membres, et Zambie.</w:t>
      </w:r>
    </w:p>
    <w:p w14:paraId="08E9650A" w14:textId="33AF670E" w:rsidR="000D4E61" w:rsidRPr="008E1212" w:rsidRDefault="000D4E61" w:rsidP="00B67283">
      <w:pPr>
        <w:pStyle w:val="CBDNormalNumber"/>
      </w:pPr>
      <w:r>
        <w:t xml:space="preserve">Le Groupe de travail II est convenu d’établir un groupe de contact, coprésidé par Marja Ruohonen-Lehto (Finlande) et Martha Kandawa-Schulz (Namibie), qui serait chargé de résoudre les divergences de vues sur la question de l’élaboration de documents d’orientation à l’appui des évaluations des risques au cas par cas pour les poissons vivants modifiés, en se concentrant sur les </w:t>
      </w:r>
      <w:r>
        <w:lastRenderedPageBreak/>
        <w:t>paragraphes 7 à 10 et 15 c) à 15 f) du projet de décision et sur l’annexe au projet de décision, ainsi que, si le temps le permet, de se pencher sur les libellés figurant entre crochets dans le texte.</w:t>
      </w:r>
    </w:p>
    <w:p w14:paraId="7CD5F4AA" w14:textId="3D809E5D" w:rsidR="000D4E61" w:rsidRPr="008E1212" w:rsidRDefault="000D4E61" w:rsidP="00B67283">
      <w:pPr>
        <w:pStyle w:val="CBDNormalNumber"/>
      </w:pPr>
      <w:r>
        <w:t>À sa septième séance, le Groupe de travail II a examiné le projet de décision révisé soumis par le président à la suite d’une discussion tenue au sein du groupe de contact.</w:t>
      </w:r>
    </w:p>
    <w:p w14:paraId="37181B43" w14:textId="1CD0A578" w:rsidR="000D4E61" w:rsidRPr="008E1212" w:rsidRDefault="000D4E61" w:rsidP="00B67283">
      <w:pPr>
        <w:pStyle w:val="CBDNormalNumber"/>
      </w:pPr>
      <w:r>
        <w:t>Le Groupe de travail II a approuvé le projet de décision révisé et a décidé de le soumettre pour examen en séance plénière sous la cote CBD/CP/MOP/11/L.6.</w:t>
      </w:r>
    </w:p>
    <w:p w14:paraId="25330618" w14:textId="00C926FE" w:rsidR="006D6C59" w:rsidRPr="008E1212" w:rsidRDefault="007F53D7" w:rsidP="00B67283">
      <w:pPr>
        <w:pStyle w:val="CBDNormalNumber"/>
      </w:pPr>
      <w:r>
        <w:t>À sa troisième séance plénière, la Conférence des Parties siégeant en tant que réunion des Parties au Protocole a examiné le projet de décision CBD/CP/MOP/11/L.6, soumis par le président du Groupe de travail II, et l'a adopté en tant que décision</w:t>
      </w:r>
      <w:r w:rsidR="002E5D8F">
        <w:t xml:space="preserve"> </w:t>
      </w:r>
      <w:hyperlink r:id="rId56" w:history="1">
        <w:r>
          <w:rPr>
            <w:rStyle w:val="Hyperlink"/>
          </w:rPr>
          <w:t>CP-11/7</w:t>
        </w:r>
      </w:hyperlink>
      <w:r>
        <w:t>.</w:t>
      </w:r>
    </w:p>
    <w:p w14:paraId="78E86F42" w14:textId="526FE6B1" w:rsidR="00620D2D" w:rsidRPr="008E1212" w:rsidRDefault="00620D2D" w:rsidP="00620D2D">
      <w:pPr>
        <w:pStyle w:val="CBDAgendaItem"/>
      </w:pPr>
      <w:bookmarkStart w:id="77" w:name="_Toc194919576"/>
      <w:r>
        <w:t xml:space="preserve">Point 12 </w:t>
      </w:r>
      <w:r>
        <w:br/>
        <w:t>Détection et identification des organismes vivants modifiés</w:t>
      </w:r>
      <w:bookmarkEnd w:id="77"/>
    </w:p>
    <w:p w14:paraId="4F4621F4" w14:textId="0B68B684" w:rsidR="006839F0" w:rsidRPr="008E1212" w:rsidRDefault="006839F0" w:rsidP="006839F0">
      <w:pPr>
        <w:pStyle w:val="CBDNormalNumber"/>
        <w:spacing w:before="0"/>
      </w:pPr>
      <w:r>
        <w:t>À sa deuxième séance, le Groupe de travail II a examiné le point 12 de l'ordre du jour. Il était saisi d'un projet de décision</w:t>
      </w:r>
      <w:r>
        <w:rPr>
          <w:rStyle w:val="FootnoteReference"/>
        </w:rPr>
        <w:footnoteReference w:id="98"/>
      </w:r>
      <w:r>
        <w:t xml:space="preserve">. </w:t>
      </w:r>
    </w:p>
    <w:p w14:paraId="50916D2C" w14:textId="3E3D9193" w:rsidR="006839F0" w:rsidRPr="008E1212" w:rsidRDefault="006839F0" w:rsidP="006839F0">
      <w:pPr>
        <w:pStyle w:val="CBDNormalNumber"/>
        <w:spacing w:before="0"/>
      </w:pPr>
      <w:r>
        <w:t>Le Groupe de travail II est convenu que le président élaborerait un projet de décision révisé, avec l’aide du secrétariat et en menant des consultations informelles avec les Parties, le cas échéant, et le soumettrait au Groupe pour examen.</w:t>
      </w:r>
    </w:p>
    <w:p w14:paraId="76162186" w14:textId="77777777" w:rsidR="006839F0" w:rsidRPr="008E1212" w:rsidRDefault="006839F0" w:rsidP="006839F0">
      <w:pPr>
        <w:pStyle w:val="CBDNormalNumber"/>
        <w:spacing w:before="0"/>
        <w:rPr>
          <w:rFonts w:asciiTheme="majorBidi" w:hAnsiTheme="majorBidi" w:cstheme="majorBidi"/>
        </w:rPr>
      </w:pPr>
      <w:r>
        <w:t>À sa sixième séance, le Groupe de travail II a examiné un projet de décision soumis par le président.</w:t>
      </w:r>
    </w:p>
    <w:p w14:paraId="4A110B23" w14:textId="294AF49D" w:rsidR="006839F0" w:rsidRPr="008E1212" w:rsidRDefault="006839F0" w:rsidP="006839F0">
      <w:pPr>
        <w:pStyle w:val="CBDNormalNumber"/>
        <w:spacing w:before="0"/>
      </w:pPr>
      <w:r>
        <w:t xml:space="preserve"> Des déclarations ont été faites par des représentants des Parties suivantes : Brésil, Cameroun, Colombie, Costa Rica, Guatemala, Inde, Kenya, Malaisie, Malawi, Mexique, Norvège, Nouvelle-Zélande, Ouganda, Panama, Paraguay, Pérou, République de Moldova, Royaume-Uni, Union européenne et ses États membres et Uruguay. </w:t>
      </w:r>
    </w:p>
    <w:p w14:paraId="0AE5287E" w14:textId="77777777" w:rsidR="006839F0" w:rsidRPr="008E1212" w:rsidRDefault="006839F0" w:rsidP="006839F0">
      <w:pPr>
        <w:pStyle w:val="CBDNormalNumber"/>
        <w:spacing w:before="0"/>
      </w:pPr>
      <w:r>
        <w:t xml:space="preserve">À sa septième séance, le Groupe de travail II a poursuivi son examen du projet de décision révisé. </w:t>
      </w:r>
    </w:p>
    <w:p w14:paraId="144F1708" w14:textId="77777777" w:rsidR="006839F0" w:rsidRPr="008E1212" w:rsidRDefault="006839F0" w:rsidP="006839F0">
      <w:pPr>
        <w:pStyle w:val="CBDNormalNumber"/>
        <w:spacing w:before="0"/>
      </w:pPr>
      <w:r>
        <w:t>Des déclarations ont été faites par des représentants des Parties suivantes : Brésil, Colombie, Inde, Rwanda, Togo, Union européenne et ses États membres et Uruguay.</w:t>
      </w:r>
    </w:p>
    <w:p w14:paraId="59867C9C" w14:textId="4B2E8D7A" w:rsidR="006D6C59" w:rsidRPr="008E1212" w:rsidRDefault="006839F0" w:rsidP="006839F0">
      <w:pPr>
        <w:pStyle w:val="CBDNormalNumber"/>
        <w:spacing w:before="0"/>
      </w:pPr>
      <w:r>
        <w:t>Le Groupe de travail II a approuvé le projet de décision révisé, tel que modifié oralement, et a décidé de le soumettre pour examen en séance plénière sous la cote CBD/CP/MOP/11/L.5.</w:t>
      </w:r>
    </w:p>
    <w:p w14:paraId="216FF3D3" w14:textId="7FFC002A" w:rsidR="00FA3B06" w:rsidRPr="008E1212" w:rsidRDefault="00AE4F18" w:rsidP="006839F0">
      <w:pPr>
        <w:pStyle w:val="CBDNormalNumber"/>
        <w:spacing w:before="0"/>
      </w:pPr>
      <w:r>
        <w:t>À sa troisième séance plénière, la Conférence des Parties siégeant en tant que réunion des Parties au Protocole a examiné le projet de décision CBD/CP/MOP/11/L.5, soumis par le président du Groupe de travail II, et l'a adopté en tant que décision</w:t>
      </w:r>
      <w:r w:rsidR="007D4A0C">
        <w:t xml:space="preserve"> </w:t>
      </w:r>
      <w:hyperlink r:id="rId57" w:history="1">
        <w:r>
          <w:rPr>
            <w:rStyle w:val="Hyperlink"/>
          </w:rPr>
          <w:t>CP-11/8</w:t>
        </w:r>
      </w:hyperlink>
      <w:r>
        <w:t>.</w:t>
      </w:r>
    </w:p>
    <w:p w14:paraId="0C30C1D9" w14:textId="77777777" w:rsidR="00125A40" w:rsidRPr="008E1212" w:rsidRDefault="00125A40" w:rsidP="00125A40">
      <w:pPr>
        <w:pStyle w:val="CBDAgendaItem"/>
      </w:pPr>
      <w:bookmarkStart w:id="78" w:name="_Toc194919577"/>
      <w:r>
        <w:t xml:space="preserve">Point 13 </w:t>
      </w:r>
      <w:r>
        <w:br/>
        <w:t>Considérations socio-économiques</w:t>
      </w:r>
      <w:bookmarkEnd w:id="78"/>
    </w:p>
    <w:p w14:paraId="41542305" w14:textId="53F66742" w:rsidR="00022AA4" w:rsidRPr="008E1212" w:rsidRDefault="00022AA4" w:rsidP="00022AA4">
      <w:pPr>
        <w:pStyle w:val="CBDNormalNumber"/>
        <w:spacing w:before="0"/>
      </w:pPr>
      <w:r>
        <w:t>À sa troisième session, le 23 octobre, le Groupe de travail II a examiné le point 13 de l'ordre du jour. Il était saisi d'un projet de décision</w:t>
      </w:r>
      <w:r>
        <w:rPr>
          <w:rStyle w:val="FootnoteReference"/>
        </w:rPr>
        <w:footnoteReference w:id="99"/>
      </w:r>
      <w:r>
        <w:t xml:space="preserve"> et d'une note du secrétariat sur les considérations socio-économiques</w:t>
      </w:r>
      <w:r>
        <w:rPr>
          <w:rStyle w:val="FootnoteReference"/>
        </w:rPr>
        <w:footnoteReference w:id="100"/>
      </w:r>
      <w:r>
        <w:t xml:space="preserve">. </w:t>
      </w:r>
    </w:p>
    <w:p w14:paraId="53D05633" w14:textId="77777777" w:rsidR="00022AA4" w:rsidRPr="008E1212" w:rsidRDefault="00022AA4" w:rsidP="00022AA4">
      <w:pPr>
        <w:pStyle w:val="CBDNormalNumber"/>
        <w:spacing w:before="0"/>
      </w:pPr>
      <w:r>
        <w:t>Des déclarations ont été faites par des représentants des Parties suivantes : Afrique du Sud, Inde, Malaisie, Malawi, Norvège, Ouganda, République de Moldova, Union européenne et ses États membres et Zimbabwe (au nom des États d’Afrique).</w:t>
      </w:r>
    </w:p>
    <w:p w14:paraId="7A87C521" w14:textId="0BC7D919" w:rsidR="00022AA4" w:rsidRPr="008E1212" w:rsidRDefault="00022AA4" w:rsidP="00022AA4">
      <w:pPr>
        <w:pStyle w:val="CBDNormalNumber"/>
        <w:spacing w:before="0"/>
      </w:pPr>
      <w:r>
        <w:lastRenderedPageBreak/>
        <w:t>Le Groupe de travail II est convenu que le président élaborerait un projet de décision révisé qu’il soumettrait au Groupe pour examen, avec l’appui du secrétariat.</w:t>
      </w:r>
    </w:p>
    <w:p w14:paraId="45A284B0" w14:textId="77777777" w:rsidR="00022AA4" w:rsidRPr="008E1212" w:rsidRDefault="00022AA4" w:rsidP="00022AA4">
      <w:pPr>
        <w:pStyle w:val="CBDNormalNumber"/>
        <w:spacing w:before="0"/>
        <w:rPr>
          <w:rFonts w:asciiTheme="majorBidi" w:hAnsiTheme="majorBidi" w:cstheme="majorBidi"/>
        </w:rPr>
      </w:pPr>
      <w:r>
        <w:rPr>
          <w:rFonts w:asciiTheme="majorBidi" w:hAnsiTheme="majorBidi" w:cstheme="majorBidi"/>
        </w:rPr>
        <w:t>À sa sixième séance, le Groupe de travail II a examiné le projet de décision révisé présenté par le président.</w:t>
      </w:r>
    </w:p>
    <w:p w14:paraId="06C93DF7" w14:textId="77777777" w:rsidR="00022AA4" w:rsidRPr="008E1212" w:rsidRDefault="00022AA4" w:rsidP="00022AA4">
      <w:pPr>
        <w:pStyle w:val="CBDNormalNumber"/>
        <w:spacing w:before="0"/>
      </w:pPr>
      <w:r>
        <w:t>Le Groupe de travail II a approuvé le projet de décision révisé et a décidé de le soumettre pour examen en séance plénière sous la cote CBD/CP/MOP/11/L.3.</w:t>
      </w:r>
    </w:p>
    <w:p w14:paraId="7FA48FB0" w14:textId="6E853255" w:rsidR="00FA3B06" w:rsidRPr="008E1212" w:rsidRDefault="00125A40" w:rsidP="00125A40">
      <w:pPr>
        <w:pStyle w:val="CBDNormalNumber"/>
        <w:rPr>
          <w:snapToGrid w:val="0"/>
          <w:lang w:eastAsia="en-CA"/>
        </w:rPr>
      </w:pPr>
      <w:r>
        <w:t xml:space="preserve">À sa deuxième séance plénière, la Conférence des Parties siégeant en tant que réunion des Parties au Protocole a examiné le projet de décision CBD/CP/MOP/11/L.3, présenté par le président du Groupe de travail II, et l’a adopté en tant que décision </w:t>
      </w:r>
      <w:hyperlink r:id="rId58" w:history="1">
        <w:r>
          <w:rPr>
            <w:rStyle w:val="Hyperlink"/>
          </w:rPr>
          <w:t>CP-11/9</w:t>
        </w:r>
      </w:hyperlink>
      <w:r>
        <w:t>.</w:t>
      </w:r>
    </w:p>
    <w:p w14:paraId="0EECDB6B" w14:textId="77777777" w:rsidR="00125A40" w:rsidRPr="008E1212" w:rsidRDefault="00125A40" w:rsidP="004B0886">
      <w:pPr>
        <w:pStyle w:val="CBDAgendaItem"/>
      </w:pPr>
      <w:bookmarkStart w:id="79" w:name="_Toc194919578"/>
      <w:bookmarkEnd w:id="76"/>
      <w:r>
        <w:t xml:space="preserve">Point 14 </w:t>
      </w:r>
      <w:r>
        <w:br/>
        <w:t>Protocole additionnel de Nagoya - Kuala Lumpur sur la responsabilité et la réparation</w:t>
      </w:r>
      <w:bookmarkEnd w:id="79"/>
    </w:p>
    <w:p w14:paraId="1835C1C1" w14:textId="4964215F" w:rsidR="001F3A26" w:rsidRPr="008E1212" w:rsidRDefault="001F3A26" w:rsidP="001F3A26">
      <w:pPr>
        <w:pStyle w:val="CBDNormalNumber"/>
        <w:spacing w:before="0"/>
      </w:pPr>
      <w:r>
        <w:t>À sa troisième séance, le Groupe de travail II a examiné le point 14 de l'ordre du jour. Il était saisi d'un projet de décision</w:t>
      </w:r>
      <w:r>
        <w:rPr>
          <w:rStyle w:val="FootnoteReference"/>
        </w:rPr>
        <w:footnoteReference w:id="101"/>
      </w:r>
      <w:r>
        <w:t xml:space="preserve"> et d'une note du Secrétariat sur le Protocole additionnel de Nagoya - Kuala Lumpur sur la responsabilité et la réparation</w:t>
      </w:r>
      <w:r>
        <w:rPr>
          <w:rStyle w:val="FootnoteReference"/>
        </w:rPr>
        <w:footnoteReference w:id="102"/>
      </w:r>
      <w:r>
        <w:t xml:space="preserve">. </w:t>
      </w:r>
    </w:p>
    <w:p w14:paraId="6156D16B" w14:textId="77777777" w:rsidR="001F3A26" w:rsidRPr="008E1212" w:rsidRDefault="001F3A26" w:rsidP="001F3A26">
      <w:pPr>
        <w:pStyle w:val="CBDNormalNumber"/>
        <w:spacing w:before="0"/>
      </w:pPr>
      <w:r>
        <w:t>Des déclarations ont été faites par les Parties suivantes : Inde, Malawi (au nom des États d’Afrique), Ouganda, République centrafricaine, République de Moldova et Union européenne et ses États membres.</w:t>
      </w:r>
    </w:p>
    <w:p w14:paraId="5AACDA93" w14:textId="325FB345" w:rsidR="001F3A26" w:rsidRPr="008E1212" w:rsidRDefault="001F3A26" w:rsidP="001F3A26">
      <w:pPr>
        <w:pStyle w:val="CBDNormalNumber"/>
        <w:spacing w:before="0"/>
      </w:pPr>
      <w:r>
        <w:t>Le Groupe de travail II est convenu que le président élaborerait un projet de décision révisé, avec l’appui du Secrétariat, qu’il soumettrait au Groupe pour examen, lors d'une séance ultérieure.</w:t>
      </w:r>
    </w:p>
    <w:p w14:paraId="344A180A" w14:textId="77777777" w:rsidR="001F3A26" w:rsidRPr="008E1212" w:rsidRDefault="001F3A26" w:rsidP="001F3A26">
      <w:pPr>
        <w:pStyle w:val="CBDNormalNumber"/>
        <w:spacing w:before="0"/>
        <w:rPr>
          <w:rFonts w:asciiTheme="majorBidi" w:hAnsiTheme="majorBidi" w:cstheme="majorBidi"/>
        </w:rPr>
      </w:pPr>
      <w:r>
        <w:rPr>
          <w:rFonts w:asciiTheme="majorBidi" w:hAnsiTheme="majorBidi" w:cstheme="majorBidi"/>
        </w:rPr>
        <w:t>À sa sixième séance, le Groupe de travail II a examiné le projet de décision révisé présenté par le président.</w:t>
      </w:r>
    </w:p>
    <w:p w14:paraId="1988FAEC" w14:textId="77777777" w:rsidR="001F3A26" w:rsidRPr="008E1212" w:rsidRDefault="001F3A26" w:rsidP="001F3A26">
      <w:pPr>
        <w:pStyle w:val="CBDNormalNumber"/>
        <w:spacing w:before="0"/>
      </w:pPr>
      <w:r>
        <w:t>Des déclarations ont été faites par des représentants des Parties suivantes : Japon, Nouvelle-Zélande et Union européenne et ses États membres.</w:t>
      </w:r>
    </w:p>
    <w:p w14:paraId="715A1A8F" w14:textId="77777777" w:rsidR="001F3A26" w:rsidRPr="008E1212" w:rsidRDefault="001F3A26" w:rsidP="001F3A26">
      <w:pPr>
        <w:pStyle w:val="CBDNormalNumber"/>
        <w:rPr>
          <w:snapToGrid w:val="0"/>
          <w:lang w:eastAsia="en-CA"/>
        </w:rPr>
      </w:pPr>
      <w:r>
        <w:t>Le Groupe de travail II a approuvé le projet de décision révisé, tel que modifié oralement, et a décidé de le soumettre pour examen en séance plénière sous la cote CBD/CP/MOP/11/L.4.</w:t>
      </w:r>
    </w:p>
    <w:p w14:paraId="33F6BD0C" w14:textId="1C6D1C42" w:rsidR="00125A40" w:rsidRPr="008E1212" w:rsidRDefault="00125A40" w:rsidP="001F3A26">
      <w:pPr>
        <w:pStyle w:val="CBDNormalNumber"/>
        <w:rPr>
          <w:snapToGrid w:val="0"/>
          <w:lang w:eastAsia="en-CA"/>
        </w:rPr>
      </w:pPr>
      <w:r>
        <w:t>À sa deuxième séance plénière, la Conférence des Parties siégeant en tant que réunion des Parties au Protocole a examiné le projet de décision CBD/CP/MOP/11/L.4, présenté par le président du Groupe de travail II, et l'a adopté en tant que décision </w:t>
      </w:r>
      <w:hyperlink r:id="rId59" w:history="1">
        <w:r>
          <w:rPr>
            <w:rStyle w:val="Hyperlink"/>
          </w:rPr>
          <w:t>CP-11/10</w:t>
        </w:r>
      </w:hyperlink>
      <w:r>
        <w:t xml:space="preserve">. </w:t>
      </w:r>
    </w:p>
    <w:p w14:paraId="78160E91" w14:textId="2C044ED9" w:rsidR="00557370" w:rsidRPr="008E1212" w:rsidRDefault="00C45D2D" w:rsidP="006F791E">
      <w:pPr>
        <w:pStyle w:val="CBDAgendaItem"/>
      </w:pPr>
      <w:bookmarkStart w:id="80" w:name="_Toc194919579"/>
      <w:r>
        <w:t xml:space="preserve">Point 15 </w:t>
      </w:r>
      <w:r>
        <w:br/>
        <w:t>Questions diverses</w:t>
      </w:r>
      <w:bookmarkEnd w:id="80"/>
    </w:p>
    <w:bookmarkEnd w:id="69"/>
    <w:p w14:paraId="4BB53C2F" w14:textId="1913E99A" w:rsidR="001F7E66" w:rsidRPr="008E1212" w:rsidRDefault="008B177D" w:rsidP="001F7E66">
      <w:pPr>
        <w:pStyle w:val="CBDNormalNumber"/>
      </w:pPr>
      <w:r>
        <w:t xml:space="preserve">Le point 15 de l'ordre du jour a été examiné à la neuvième session plénière, le 28 février 2025. </w:t>
      </w:r>
      <w:r>
        <w:rPr>
          <w:snapToGrid w:val="0"/>
        </w:rPr>
        <w:t>Aucune autre question n’a été soulevée.</w:t>
      </w:r>
    </w:p>
    <w:p w14:paraId="1D12A01C" w14:textId="3C519906" w:rsidR="00557370" w:rsidRPr="008E1212" w:rsidRDefault="00C45D2D" w:rsidP="006F791E">
      <w:pPr>
        <w:pStyle w:val="CBDAgendaItem"/>
      </w:pPr>
      <w:bookmarkStart w:id="81" w:name="_Toc194919580"/>
      <w:r>
        <w:t xml:space="preserve">Point 16 </w:t>
      </w:r>
      <w:r>
        <w:br/>
        <w:t>Adoption du rapport</w:t>
      </w:r>
      <w:bookmarkEnd w:id="81"/>
    </w:p>
    <w:p w14:paraId="56552C92" w14:textId="2E9E99AA" w:rsidR="007378AD" w:rsidRPr="008E1212" w:rsidRDefault="007378AD" w:rsidP="007378AD">
      <w:pPr>
        <w:pStyle w:val="CBDNormalNumber"/>
      </w:pPr>
      <w:r>
        <w:t>À sa neuvième réunion, la Conférence des Parties siégeant en tant que réunion des Parties au Protocole a examiné le projet de rapport de la réunion présenté par le rapporteur</w:t>
      </w:r>
      <w:r>
        <w:rPr>
          <w:rStyle w:val="FootnoteReference"/>
          <w:kern w:val="22"/>
        </w:rPr>
        <w:footnoteReference w:id="103"/>
      </w:r>
      <w:r>
        <w:t xml:space="preserve"> </w:t>
      </w:r>
      <w:bookmarkStart w:id="82" w:name="_Hlk191595238"/>
      <w:r>
        <w:t>et l'a adopté, étant entendu que le r</w:t>
      </w:r>
      <w:r>
        <w:rPr>
          <w:snapToGrid w:val="0"/>
          <w:kern w:val="22"/>
        </w:rPr>
        <w:t>apporteur serait chargé de le finaliser.</w:t>
      </w:r>
      <w:bookmarkEnd w:id="82"/>
    </w:p>
    <w:p w14:paraId="0EED474F" w14:textId="21684BE1" w:rsidR="00557370" w:rsidRPr="008E1212" w:rsidRDefault="00C45D2D" w:rsidP="006F791E">
      <w:pPr>
        <w:pStyle w:val="CBDAgendaItem"/>
      </w:pPr>
      <w:bookmarkStart w:id="83" w:name="_Toc194919581"/>
      <w:r>
        <w:lastRenderedPageBreak/>
        <w:t>Point 17</w:t>
      </w:r>
      <w:r>
        <w:br/>
        <w:t>Clôture de la réunion</w:t>
      </w:r>
      <w:bookmarkEnd w:id="83"/>
    </w:p>
    <w:p w14:paraId="74E10AC6" w14:textId="3E9E9CB7" w:rsidR="00F31B9D" w:rsidRPr="008E1212" w:rsidRDefault="00F31B9D" w:rsidP="00842669">
      <w:pPr>
        <w:pStyle w:val="CBDNormalNumber"/>
      </w:pPr>
      <w:bookmarkStart w:id="84" w:name="_Hlk182078196"/>
      <w:r>
        <w:t>À la cinquième séance plénière, un appel nominal a été effectué à la demande d'un représentant du Panama pour vérifier le nombre de Parties présentes et déterminer si des décisions pouvaient encore être prises conformément à l'article 30 du règlement intérieur. En l'absence de quorum, la Présidente a proposé de suspendre la réunion.</w:t>
      </w:r>
    </w:p>
    <w:p w14:paraId="78674330" w14:textId="65EEDD7D" w:rsidR="00F31B9D" w:rsidRPr="008E1212" w:rsidRDefault="00B05A6D" w:rsidP="00842669">
      <w:pPr>
        <w:pStyle w:val="CBDNormalNumber"/>
      </w:pPr>
      <w:r>
        <w:t>La Présidente a suspendu la réunion à 8 h 30 le 2 novembre 2024.</w:t>
      </w:r>
    </w:p>
    <w:bookmarkEnd w:id="84"/>
    <w:p w14:paraId="15549394" w14:textId="1B33BF60" w:rsidR="006E6886" w:rsidRPr="008E1212" w:rsidRDefault="003D04C7" w:rsidP="006E6886">
      <w:pPr>
        <w:pStyle w:val="CBDNormalNoNumber"/>
        <w:keepNext/>
        <w:rPr>
          <w:i/>
          <w:iCs/>
          <w:snapToGrid w:val="0"/>
        </w:rPr>
      </w:pPr>
      <w:r>
        <w:rPr>
          <w:i/>
          <w:iCs/>
          <w:snapToGrid w:val="0"/>
        </w:rPr>
        <w:t>Deuxième reprise de la réunion</w:t>
      </w:r>
    </w:p>
    <w:p w14:paraId="68AE5820" w14:textId="2EB9022B" w:rsidR="006E6886" w:rsidRPr="008E1212" w:rsidRDefault="006E6886" w:rsidP="006E6886">
      <w:pPr>
        <w:pStyle w:val="CBDNormalNumber"/>
        <w:rPr>
          <w:kern w:val="22"/>
        </w:rPr>
      </w:pPr>
      <w:r>
        <w:t>Après l'échange de courtoisies d'usage, la deuxième reprise de réunion a été déclarée close à 1 h 40, le 28 février 2025.</w:t>
      </w:r>
    </w:p>
    <w:p w14:paraId="453CE0E0" w14:textId="7D33AFE0" w:rsidR="002B559C" w:rsidRPr="008E1212" w:rsidRDefault="00557370" w:rsidP="00191C16">
      <w:pPr>
        <w:suppressLineNumbers/>
        <w:suppressAutoHyphens/>
        <w:jc w:val="center"/>
      </w:pPr>
      <w:r>
        <w:rPr>
          <w:kern w:val="22"/>
        </w:rPr>
        <w:t>__________</w:t>
      </w:r>
    </w:p>
    <w:sectPr w:rsidR="002B559C" w:rsidRPr="008E1212" w:rsidSect="004B552A">
      <w:headerReference w:type="even" r:id="rId60"/>
      <w:headerReference w:type="default" r:id="rId61"/>
      <w:footerReference w:type="even" r:id="rId62"/>
      <w:footerReference w:type="default" r:id="rId63"/>
      <w:headerReference w:type="first" r:id="rId6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74AA" w14:textId="77777777" w:rsidR="00AF3F1C" w:rsidRPr="00AA1338" w:rsidRDefault="00AF3F1C" w:rsidP="00A96B21">
      <w:r w:rsidRPr="00AA1338">
        <w:separator/>
      </w:r>
    </w:p>
  </w:endnote>
  <w:endnote w:type="continuationSeparator" w:id="0">
    <w:p w14:paraId="137EE6CE" w14:textId="77777777" w:rsidR="00AF3F1C" w:rsidRPr="00AA1338" w:rsidRDefault="00AF3F1C" w:rsidP="00A96B21">
      <w:r w:rsidRPr="00AA1338">
        <w:continuationSeparator/>
      </w:r>
    </w:p>
  </w:endnote>
  <w:endnote w:type="continuationNotice" w:id="1">
    <w:p w14:paraId="0CDAEE47" w14:textId="77777777" w:rsidR="00AF3F1C" w:rsidRPr="00AA1338" w:rsidRDefault="00AF3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NewRomanP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AA1338" w:rsidRDefault="002B559C">
            <w:pPr>
              <w:pStyle w:val="Footer"/>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AA1338" w:rsidRDefault="002B559C" w:rsidP="002B559C">
            <w:pPr>
              <w:pStyle w:val="Footer"/>
              <w:jc w:val="righ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CD8CB" w14:textId="77777777" w:rsidR="00AF3F1C" w:rsidRPr="00AA1338" w:rsidRDefault="00AF3F1C" w:rsidP="00A96B21">
      <w:r w:rsidRPr="00AA1338">
        <w:separator/>
      </w:r>
    </w:p>
  </w:footnote>
  <w:footnote w:type="continuationSeparator" w:id="0">
    <w:p w14:paraId="1C41F21F" w14:textId="77777777" w:rsidR="00AF3F1C" w:rsidRPr="00AA1338" w:rsidRDefault="00AF3F1C" w:rsidP="00A96B21">
      <w:r w:rsidRPr="00AA1338">
        <w:continuationSeparator/>
      </w:r>
    </w:p>
  </w:footnote>
  <w:footnote w:type="continuationNotice" w:id="1">
    <w:p w14:paraId="7042067A" w14:textId="77777777" w:rsidR="00AF3F1C" w:rsidRPr="00AA1338" w:rsidRDefault="00AF3F1C"/>
  </w:footnote>
  <w:footnote w:id="2">
    <w:p w14:paraId="5EF49FDC" w14:textId="77777777" w:rsidR="00080196" w:rsidRPr="008E1212" w:rsidRDefault="00080196" w:rsidP="00EB4C0A">
      <w:pPr>
        <w:pStyle w:val="CBD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3">
    <w:p w14:paraId="69A5B607" w14:textId="77777777" w:rsidR="00080196" w:rsidRPr="008E1212" w:rsidRDefault="00080196" w:rsidP="00EB4C0A">
      <w:pPr>
        <w:pStyle w:val="CBDFootnoteText"/>
      </w:pPr>
      <w:r>
        <w:rPr>
          <w:rStyle w:val="FootnoteReference"/>
        </w:rPr>
        <w:footnoteRef/>
      </w:r>
      <w:r>
        <w:t xml:space="preserve"> </w:t>
      </w:r>
      <w:bookmarkStart w:id="6" w:name="_Hlk177112457"/>
      <w:r>
        <w:t>Barbade, Burundi, Guinée, Kirghizistan, Liban, Maroc, Oman, Samoa, Suriname, Trinité-et-Tobago et Tunisie</w:t>
      </w:r>
      <w:bookmarkEnd w:id="6"/>
      <w:r>
        <w:t>.</w:t>
      </w:r>
    </w:p>
  </w:footnote>
  <w:footnote w:id="4">
    <w:p w14:paraId="15451518" w14:textId="77777777" w:rsidR="00080196" w:rsidRPr="008E1212" w:rsidRDefault="00080196" w:rsidP="00EB4C0A">
      <w:pPr>
        <w:pStyle w:val="CBD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5">
    <w:p w14:paraId="1646F870" w14:textId="77777777" w:rsidR="00080196" w:rsidRPr="009050B4" w:rsidRDefault="00080196">
      <w:pPr>
        <w:pStyle w:val="FootnoteText"/>
        <w:rPr>
          <w:lang w:val="es-ES"/>
        </w:rPr>
      </w:pPr>
      <w:r>
        <w:rPr>
          <w:rStyle w:val="FootnoteReference"/>
        </w:rPr>
        <w:footnoteRef/>
      </w:r>
      <w:r w:rsidRPr="00787A27">
        <w:rPr>
          <w:lang w:val="en-CA"/>
        </w:rPr>
        <w:t xml:space="preserve"> Ibid., vol. 1760, n° 30619.</w:t>
      </w:r>
    </w:p>
  </w:footnote>
  <w:footnote w:id="6">
    <w:p w14:paraId="3BB59570" w14:textId="77777777" w:rsidR="00080196" w:rsidRPr="009050B4" w:rsidRDefault="00080196" w:rsidP="00EB4C0A">
      <w:pPr>
        <w:pStyle w:val="CBDFootnoteText"/>
        <w:rPr>
          <w:lang w:val="es-ES"/>
        </w:rPr>
      </w:pPr>
      <w:r>
        <w:rPr>
          <w:rStyle w:val="FootnoteReference"/>
        </w:rPr>
        <w:footnoteRef/>
      </w:r>
      <w:r w:rsidRPr="00787A27">
        <w:rPr>
          <w:lang w:val="en-CA"/>
        </w:rPr>
        <w:t xml:space="preserve"> Ibid., vol. 2226, n° 30619.</w:t>
      </w:r>
    </w:p>
  </w:footnote>
  <w:footnote w:id="7">
    <w:p w14:paraId="4032BEBB" w14:textId="77777777" w:rsidR="00080196" w:rsidRPr="008E1212" w:rsidRDefault="00080196" w:rsidP="00FA192D">
      <w:pPr>
        <w:pStyle w:val="FootnoteText"/>
      </w:pPr>
      <w:r>
        <w:rPr>
          <w:rStyle w:val="FootnoteReference"/>
        </w:rPr>
        <w:footnoteRef/>
      </w:r>
      <w:r>
        <w:t xml:space="preserve"> Ibid., vol. 1760, ´n° 30619.</w:t>
      </w:r>
    </w:p>
  </w:footnote>
  <w:footnote w:id="8">
    <w:p w14:paraId="75CBEBFD" w14:textId="77777777" w:rsidR="00080196" w:rsidRPr="008E1212" w:rsidRDefault="00080196" w:rsidP="005F3E10">
      <w:pPr>
        <w:pStyle w:val="CBDFootnoteText"/>
      </w:pPr>
      <w:r>
        <w:rPr>
          <w:rStyle w:val="FootnoteReference"/>
        </w:rPr>
        <w:footnoteRef/>
      </w:r>
      <w:r>
        <w:t xml:space="preserve"> Nations Unies, </w:t>
      </w:r>
      <w:r>
        <w:rPr>
          <w:i/>
          <w:iCs/>
        </w:rPr>
        <w:t>Recueil des Traités</w:t>
      </w:r>
      <w:r>
        <w:t>,</w:t>
      </w:r>
      <w:r>
        <w:rPr>
          <w:i/>
          <w:iCs/>
        </w:rPr>
        <w:t xml:space="preserve"> </w:t>
      </w:r>
      <w:r>
        <w:t>vol. 1760, n° 30619.</w:t>
      </w:r>
    </w:p>
  </w:footnote>
  <w:footnote w:id="9">
    <w:p w14:paraId="2B2943DE" w14:textId="77777777" w:rsidR="00080196" w:rsidRPr="00787A27" w:rsidRDefault="00080196" w:rsidP="005F3E10">
      <w:pPr>
        <w:pStyle w:val="CBDFootnoteText"/>
        <w:rPr>
          <w:lang w:val="en-CA"/>
        </w:rPr>
      </w:pPr>
      <w:r>
        <w:rPr>
          <w:rStyle w:val="FootnoteReference"/>
        </w:rPr>
        <w:footnoteRef/>
      </w:r>
      <w:r w:rsidRPr="00787A27">
        <w:rPr>
          <w:lang w:val="en-CA"/>
        </w:rPr>
        <w:t xml:space="preserve"> </w:t>
      </w:r>
      <w:hyperlink r:id="rId1" w:history="1">
        <w:r w:rsidRPr="00787A27">
          <w:rPr>
            <w:rStyle w:val="Hyperlink"/>
            <w:lang w:val="en-CA"/>
          </w:rPr>
          <w:t>CBD/COP/16/8/Rev.1</w:t>
        </w:r>
      </w:hyperlink>
      <w:r w:rsidRPr="00787A27">
        <w:rPr>
          <w:lang w:val="en-CA"/>
        </w:rPr>
        <w:t>.</w:t>
      </w:r>
    </w:p>
  </w:footnote>
  <w:footnote w:id="10">
    <w:p w14:paraId="691D7855" w14:textId="467AFD0F" w:rsidR="00080196" w:rsidRPr="00787A27" w:rsidRDefault="00080196" w:rsidP="005F3E10">
      <w:pPr>
        <w:pStyle w:val="CBDFootnoteText"/>
        <w:rPr>
          <w:lang w:val="en-CA"/>
        </w:rPr>
      </w:pPr>
      <w:r>
        <w:rPr>
          <w:rStyle w:val="FootnoteReference"/>
        </w:rPr>
        <w:footnoteRef/>
      </w:r>
      <w:r w:rsidRPr="00787A27">
        <w:rPr>
          <w:lang w:val="en-CA"/>
        </w:rPr>
        <w:t xml:space="preserve"> </w:t>
      </w:r>
      <w:hyperlink r:id="rId2" w:history="1">
        <w:r w:rsidRPr="00787A27">
          <w:rPr>
            <w:rStyle w:val="Hyperlink"/>
            <w:lang w:val="en-CA"/>
          </w:rPr>
          <w:t>CBD/COP/16/INF/25</w:t>
        </w:r>
      </w:hyperlink>
      <w:r w:rsidRPr="00787A27">
        <w:rPr>
          <w:lang w:val="en-CA"/>
        </w:rPr>
        <w:t>.</w:t>
      </w:r>
    </w:p>
  </w:footnote>
  <w:footnote w:id="11">
    <w:p w14:paraId="2A9E492B" w14:textId="77777777" w:rsidR="00080196" w:rsidRPr="008E1212" w:rsidRDefault="00080196" w:rsidP="005F3E10">
      <w:pPr>
        <w:pStyle w:val="CBD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12">
    <w:p w14:paraId="1569CCDE" w14:textId="77777777" w:rsidR="00080196" w:rsidRPr="008E1212" w:rsidRDefault="00080196" w:rsidP="005F3E10">
      <w:pPr>
        <w:pStyle w:val="CBDFootnoteText"/>
      </w:pPr>
      <w:r>
        <w:rPr>
          <w:rStyle w:val="FootnoteReference"/>
        </w:rPr>
        <w:footnoteRef/>
      </w:r>
      <w:r>
        <w:t xml:space="preserve"> Annexe à la décision </w:t>
      </w:r>
      <w:hyperlink r:id="rId3" w:history="1">
        <w:r>
          <w:rPr>
            <w:rStyle w:val="Hyperlink"/>
          </w:rPr>
          <w:t>CP-10/3</w:t>
        </w:r>
      </w:hyperlink>
      <w:r>
        <w:t>.</w:t>
      </w:r>
    </w:p>
  </w:footnote>
  <w:footnote w:id="13">
    <w:p w14:paraId="16E516C0" w14:textId="77777777" w:rsidR="00080196" w:rsidRPr="008E1212" w:rsidRDefault="00080196" w:rsidP="005F3E10">
      <w:pPr>
        <w:pStyle w:val="CBDFootnoteText"/>
      </w:pPr>
      <w:r>
        <w:rPr>
          <w:rStyle w:val="FootnoteReference"/>
        </w:rPr>
        <w:footnoteRef/>
      </w:r>
      <w:r>
        <w:t xml:space="preserve"> Annexe à la décision </w:t>
      </w:r>
      <w:hyperlink r:id="rId4" w:history="1">
        <w:r>
          <w:rPr>
            <w:rStyle w:val="Hyperlink"/>
          </w:rPr>
          <w:t>CP-10/4</w:t>
        </w:r>
      </w:hyperlink>
      <w:r>
        <w:t>.</w:t>
      </w:r>
    </w:p>
  </w:footnote>
  <w:footnote w:id="14">
    <w:p w14:paraId="6DA67CC5" w14:textId="77777777" w:rsidR="00080196" w:rsidRPr="008E1212" w:rsidRDefault="00080196" w:rsidP="005F3E10">
      <w:pPr>
        <w:pStyle w:val="CBDFootnoteText"/>
      </w:pPr>
      <w:r>
        <w:rPr>
          <w:rStyle w:val="FootnoteReference"/>
        </w:rPr>
        <w:footnoteRef/>
      </w:r>
      <w:r>
        <w:t xml:space="preserve"> Annexe à la décision </w:t>
      </w:r>
      <w:hyperlink r:id="rId5" w:history="1">
        <w:r>
          <w:rPr>
            <w:rStyle w:val="Hyperlink"/>
          </w:rPr>
          <w:t>15/4</w:t>
        </w:r>
      </w:hyperlink>
      <w:r>
        <w:t>.</w:t>
      </w:r>
    </w:p>
  </w:footnote>
  <w:footnote w:id="15">
    <w:p w14:paraId="270D742D" w14:textId="05ABF9DA" w:rsidR="00080196" w:rsidRPr="008E1212" w:rsidRDefault="00080196" w:rsidP="005F3E10">
      <w:pPr>
        <w:pStyle w:val="CBDFootnoteText"/>
      </w:pPr>
      <w:r>
        <w:rPr>
          <w:rStyle w:val="FootnoteReference"/>
        </w:rPr>
        <w:footnoteRef/>
      </w:r>
      <w:r>
        <w:t xml:space="preserve"> Décision </w:t>
      </w:r>
      <w:hyperlink r:id="rId6" w:history="1">
        <w:r>
          <w:rPr>
            <w:rStyle w:val="Hyperlink"/>
          </w:rPr>
          <w:t>16/34</w:t>
        </w:r>
      </w:hyperlink>
      <w:r>
        <w:t>, annexe I.</w:t>
      </w:r>
    </w:p>
  </w:footnote>
  <w:footnote w:id="16">
    <w:p w14:paraId="4A2E9752" w14:textId="77777777" w:rsidR="00080196" w:rsidRPr="008E1212" w:rsidRDefault="00080196" w:rsidP="00A37262">
      <w:pPr>
        <w:pStyle w:val="FootnoteText"/>
      </w:pPr>
      <w:r>
        <w:rPr>
          <w:rStyle w:val="FootnoteReference"/>
        </w:rPr>
        <w:footnoteRef/>
      </w:r>
      <w:r>
        <w:t xml:space="preserve"> Nations Unies, </w:t>
      </w:r>
      <w:r>
        <w:rPr>
          <w:i/>
          <w:iCs/>
        </w:rPr>
        <w:t>Recueil des Traités</w:t>
      </w:r>
      <w:r>
        <w:t>,</w:t>
      </w:r>
      <w:r>
        <w:rPr>
          <w:i/>
          <w:iCs/>
        </w:rPr>
        <w:t xml:space="preserve"> </w:t>
      </w:r>
      <w:r>
        <w:t>vol. 1760, n° 30619.</w:t>
      </w:r>
    </w:p>
  </w:footnote>
  <w:footnote w:id="17">
    <w:p w14:paraId="78700EBC" w14:textId="04481B36" w:rsidR="00080196" w:rsidRPr="008E1212" w:rsidRDefault="00080196" w:rsidP="00A37262">
      <w:pPr>
        <w:pStyle w:val="FootnoteText"/>
      </w:pPr>
      <w:r>
        <w:rPr>
          <w:rStyle w:val="FootnoteReference"/>
        </w:rPr>
        <w:footnoteRef/>
      </w:r>
      <w:r>
        <w:t xml:space="preserve"> Annexe à la décision </w:t>
      </w:r>
      <w:hyperlink r:id="rId7" w:history="1">
        <w:r>
          <w:rPr>
            <w:rStyle w:val="Hyperlink"/>
          </w:rPr>
          <w:t>14/25</w:t>
        </w:r>
      </w:hyperlink>
      <w:r>
        <w:t>.</w:t>
      </w:r>
    </w:p>
  </w:footnote>
  <w:footnote w:id="18">
    <w:p w14:paraId="7DF23C5A" w14:textId="77777777" w:rsidR="00080196" w:rsidRPr="008E1212" w:rsidRDefault="00080196" w:rsidP="00A37262">
      <w:pPr>
        <w:pStyle w:val="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19">
    <w:p w14:paraId="510244DA" w14:textId="77777777" w:rsidR="00080196" w:rsidRPr="008E1212" w:rsidRDefault="00080196" w:rsidP="00BA2067">
      <w:pPr>
        <w:pStyle w:val="CBDFootnoteText"/>
      </w:pPr>
      <w:r>
        <w:rPr>
          <w:rStyle w:val="FootnoteReference"/>
          <w:szCs w:val="18"/>
        </w:rPr>
        <w:footnoteRef/>
      </w:r>
      <w:r>
        <w:t xml:space="preserve"> Nations Unies, </w:t>
      </w:r>
      <w:r>
        <w:rPr>
          <w:i/>
          <w:iCs/>
        </w:rPr>
        <w:t>Recueil des Traités</w:t>
      </w:r>
      <w:r>
        <w:rPr>
          <w:iCs/>
        </w:rPr>
        <w:t>,</w:t>
      </w:r>
      <w:r>
        <w:rPr>
          <w:i/>
          <w:iCs/>
        </w:rPr>
        <w:t xml:space="preserve"> </w:t>
      </w:r>
      <w:r>
        <w:t>vol. 2226, n° 30619.</w:t>
      </w:r>
    </w:p>
  </w:footnote>
  <w:footnote w:id="20">
    <w:p w14:paraId="5F183849" w14:textId="12DD4B7B" w:rsidR="00080196" w:rsidRPr="008E1212" w:rsidRDefault="00080196" w:rsidP="001B159C">
      <w:pPr>
        <w:pStyle w:val="FootnoteText"/>
        <w:rPr>
          <w:szCs w:val="18"/>
        </w:rPr>
      </w:pPr>
      <w:r>
        <w:rPr>
          <w:rStyle w:val="FootnoteReference"/>
          <w:szCs w:val="18"/>
        </w:rPr>
        <w:footnoteRef/>
      </w:r>
      <w:r>
        <w:rPr>
          <w:szCs w:val="18"/>
        </w:rPr>
        <w:t xml:space="preserve"> </w:t>
      </w:r>
      <w:r>
        <w:rPr>
          <w:color w:val="000000"/>
          <w:szCs w:val="18"/>
        </w:rPr>
        <w:t>Ibid.</w:t>
      </w:r>
      <w:r>
        <w:rPr>
          <w:iCs/>
          <w:color w:val="000000"/>
          <w:szCs w:val="18"/>
        </w:rPr>
        <w:t>,</w:t>
      </w:r>
      <w:r>
        <w:rPr>
          <w:i/>
          <w:iCs/>
          <w:color w:val="000000"/>
          <w:szCs w:val="18"/>
        </w:rPr>
        <w:t xml:space="preserve"> </w:t>
      </w:r>
      <w:r>
        <w:rPr>
          <w:color w:val="000000"/>
          <w:szCs w:val="18"/>
        </w:rPr>
        <w:t>vol. 1760, n° 30619.</w:t>
      </w:r>
    </w:p>
  </w:footnote>
  <w:footnote w:id="21">
    <w:p w14:paraId="3F34213C" w14:textId="77777777" w:rsidR="00080196" w:rsidRPr="008E1212" w:rsidRDefault="00080196">
      <w:pPr>
        <w:pStyle w:val="FootnoteText"/>
      </w:pPr>
      <w:r>
        <w:rPr>
          <w:rStyle w:val="FootnoteReference"/>
        </w:rPr>
        <w:footnoteRef/>
      </w:r>
      <w:r>
        <w:t xml:space="preserve"> Les procédures d’approbation tacite de l’Organisation des Nations Unies sont des procédures écrites.</w:t>
      </w:r>
    </w:p>
  </w:footnote>
  <w:footnote w:id="22">
    <w:p w14:paraId="4DEBD708" w14:textId="77777777" w:rsidR="00080196" w:rsidRPr="008E1212" w:rsidRDefault="00080196" w:rsidP="00C90DFA">
      <w:pPr>
        <w:pStyle w:val="CBDFootnoteText"/>
      </w:pPr>
      <w:r>
        <w:rPr>
          <w:rStyle w:val="FootnoteReference"/>
        </w:rPr>
        <w:footnoteRef/>
      </w:r>
      <w:r>
        <w:t xml:space="preserve"> Nations Unies, </w:t>
      </w:r>
      <w:r>
        <w:rPr>
          <w:i/>
          <w:iCs/>
        </w:rPr>
        <w:t>Recueil des Traités</w:t>
      </w:r>
      <w:r>
        <w:t>,</w:t>
      </w:r>
      <w:r>
        <w:rPr>
          <w:i/>
          <w:iCs/>
        </w:rPr>
        <w:t xml:space="preserve"> </w:t>
      </w:r>
      <w:r>
        <w:t>vol. 1760, n° 30619.</w:t>
      </w:r>
    </w:p>
  </w:footnote>
  <w:footnote w:id="23">
    <w:p w14:paraId="6BA53EBF" w14:textId="77777777" w:rsidR="00080196" w:rsidRPr="008E1212" w:rsidRDefault="00080196">
      <w:pPr>
        <w:pStyle w:val="FootnoteText"/>
      </w:pPr>
      <w:r>
        <w:rPr>
          <w:rStyle w:val="FootnoteReference"/>
        </w:rPr>
        <w:footnoteRef/>
      </w:r>
      <w:r>
        <w:t xml:space="preserve"> Ibid., vol. 2226, n° 30619.</w:t>
      </w:r>
    </w:p>
  </w:footnote>
  <w:footnote w:id="24">
    <w:p w14:paraId="3D65145B" w14:textId="77777777" w:rsidR="00080196" w:rsidRPr="008E1212" w:rsidRDefault="00080196" w:rsidP="007B1F4B">
      <w:pPr>
        <w:pStyle w:val="CBDFootnoteText"/>
      </w:pPr>
      <w:r>
        <w:rPr>
          <w:rStyle w:val="FootnoteReference"/>
          <w:szCs w:val="18"/>
        </w:rPr>
        <w:footnoteRef/>
      </w:r>
      <w:r>
        <w:t xml:space="preserve"> Nations Unies, </w:t>
      </w:r>
      <w:r>
        <w:rPr>
          <w:i/>
          <w:iCs/>
        </w:rPr>
        <w:t>Recueil des Traités</w:t>
      </w:r>
      <w:r>
        <w:rPr>
          <w:iCs/>
        </w:rPr>
        <w:t>,</w:t>
      </w:r>
      <w:r>
        <w:rPr>
          <w:i/>
          <w:iCs/>
        </w:rPr>
        <w:t xml:space="preserve"> </w:t>
      </w:r>
      <w:r>
        <w:t>vol. 1760, n° 30619.</w:t>
      </w:r>
    </w:p>
  </w:footnote>
  <w:footnote w:id="25">
    <w:p w14:paraId="69CAC158" w14:textId="77777777" w:rsidR="00080196" w:rsidRPr="008E1212" w:rsidRDefault="00080196" w:rsidP="007B1F4B">
      <w:pPr>
        <w:pStyle w:val="CBDFootnoteText"/>
      </w:pPr>
      <w:r>
        <w:rPr>
          <w:rStyle w:val="FootnoteReference"/>
          <w:szCs w:val="18"/>
        </w:rPr>
        <w:footnoteRef/>
      </w:r>
      <w:r>
        <w:t xml:space="preserve"> </w:t>
      </w:r>
      <w:hyperlink r:id="rId8" w:history="1">
        <w:r>
          <w:t xml:space="preserve"> </w:t>
        </w:r>
        <w:r>
          <w:rPr>
            <w:rStyle w:val="Hyperlink"/>
          </w:rPr>
          <w:t>CBD/SBI/4/11/Add.1</w:t>
        </w:r>
      </w:hyperlink>
      <w:r>
        <w:t>.</w:t>
      </w:r>
    </w:p>
  </w:footnote>
  <w:footnote w:id="26">
    <w:p w14:paraId="22684874" w14:textId="77777777" w:rsidR="00080196" w:rsidRPr="008E1212" w:rsidRDefault="00080196" w:rsidP="007B1F4B">
      <w:pPr>
        <w:pStyle w:val="CBDFootnoteText"/>
      </w:pPr>
      <w:r>
        <w:rPr>
          <w:rStyle w:val="FootnoteReference"/>
          <w:szCs w:val="18"/>
        </w:rPr>
        <w:footnoteRef/>
      </w:r>
      <w:r>
        <w:t xml:space="preserve"> Annexe à la décision </w:t>
      </w:r>
      <w:hyperlink r:id="rId9" w:history="1">
        <w:r>
          <w:rPr>
            <w:rStyle w:val="Hyperlink"/>
          </w:rPr>
          <w:t>14/33</w:t>
        </w:r>
      </w:hyperlink>
      <w:r>
        <w:t>.</w:t>
      </w:r>
    </w:p>
  </w:footnote>
  <w:footnote w:id="27">
    <w:p w14:paraId="15B04ACF" w14:textId="77777777" w:rsidR="00080196" w:rsidRPr="008E1212" w:rsidRDefault="00080196">
      <w:pPr>
        <w:pStyle w:val="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28">
    <w:p w14:paraId="27329150" w14:textId="77777777" w:rsidR="00080196" w:rsidRPr="008E1212" w:rsidRDefault="00080196" w:rsidP="00417CEB">
      <w:pPr>
        <w:pStyle w:val="CBDFootnoteText"/>
      </w:pPr>
      <w:r>
        <w:rPr>
          <w:rStyle w:val="FootnoteReference"/>
          <w:szCs w:val="18"/>
        </w:rPr>
        <w:footnoteRef/>
      </w:r>
      <w:r>
        <w:t xml:space="preserve"> Nations Unies, </w:t>
      </w:r>
      <w:r>
        <w:rPr>
          <w:i/>
          <w:iCs/>
        </w:rPr>
        <w:t>Recueil des Traités</w:t>
      </w:r>
      <w:r>
        <w:rPr>
          <w:iCs/>
        </w:rPr>
        <w:t>,</w:t>
      </w:r>
      <w:r>
        <w:rPr>
          <w:i/>
          <w:iCs/>
        </w:rPr>
        <w:t xml:space="preserve"> </w:t>
      </w:r>
      <w:r>
        <w:t>vol. 2226, n° 30619.</w:t>
      </w:r>
    </w:p>
  </w:footnote>
  <w:footnote w:id="29">
    <w:p w14:paraId="59FD60AF" w14:textId="77777777" w:rsidR="00080196" w:rsidRPr="008E1212" w:rsidRDefault="00080196" w:rsidP="00417CEB">
      <w:pPr>
        <w:pStyle w:val="CBDFootnoteText"/>
      </w:pPr>
      <w:r>
        <w:rPr>
          <w:rStyle w:val="FootnoteReference"/>
          <w:szCs w:val="18"/>
        </w:rPr>
        <w:footnoteRef/>
      </w:r>
      <w:r>
        <w:t xml:space="preserve"> Ibid.</w:t>
      </w:r>
      <w:r>
        <w:rPr>
          <w:iCs/>
        </w:rPr>
        <w:t>,</w:t>
      </w:r>
      <w:r>
        <w:rPr>
          <w:i/>
          <w:iCs/>
        </w:rPr>
        <w:t xml:space="preserve"> </w:t>
      </w:r>
      <w:r>
        <w:t>vol. 1760, n° 30619.</w:t>
      </w:r>
    </w:p>
  </w:footnote>
  <w:footnote w:id="30">
    <w:p w14:paraId="6873035F" w14:textId="70F9A865" w:rsidR="00080196" w:rsidRPr="008E1212" w:rsidRDefault="00080196" w:rsidP="00417CEB">
      <w:pPr>
        <w:pStyle w:val="CBDFootnoteText"/>
      </w:pPr>
      <w:r>
        <w:rPr>
          <w:rStyle w:val="FootnoteReference"/>
          <w:szCs w:val="18"/>
        </w:rPr>
        <w:footnoteRef/>
      </w:r>
      <w:r>
        <w:t xml:space="preserve"> Voir </w:t>
      </w:r>
      <w:hyperlink r:id="rId10" w:history="1">
        <w:r>
          <w:rPr>
            <w:rStyle w:val="Hyperlink"/>
          </w:rPr>
          <w:t>CBD/SYNBIO/AHTEG/2024/1/3</w:t>
        </w:r>
      </w:hyperlink>
      <w:r>
        <w:t>.</w:t>
      </w:r>
    </w:p>
  </w:footnote>
  <w:footnote w:id="31">
    <w:p w14:paraId="1F553FA3" w14:textId="060042D8" w:rsidR="00080196" w:rsidRPr="008E1212" w:rsidRDefault="00080196" w:rsidP="00417CEB">
      <w:pPr>
        <w:pStyle w:val="CBDFootnoteText"/>
      </w:pPr>
      <w:r>
        <w:rPr>
          <w:rStyle w:val="FootnoteReference"/>
          <w:szCs w:val="18"/>
        </w:rPr>
        <w:footnoteRef/>
      </w:r>
      <w:r>
        <w:t xml:space="preserve"> Voir </w:t>
      </w:r>
      <w:hyperlink r:id="rId11" w:history="1">
        <w:r>
          <w:rPr>
            <w:rStyle w:val="Hyperlink"/>
          </w:rPr>
          <w:t>CBD/CP/RA/AHTEG/2024/1/3</w:t>
        </w:r>
      </w:hyperlink>
      <w:r>
        <w:t>.</w:t>
      </w:r>
    </w:p>
  </w:footnote>
  <w:footnote w:id="32">
    <w:p w14:paraId="247707D0" w14:textId="26B1DB73" w:rsidR="00080196" w:rsidRPr="008E1212" w:rsidRDefault="00080196" w:rsidP="00417CEB">
      <w:pPr>
        <w:pStyle w:val="CBDFootnoteText"/>
      </w:pPr>
      <w:r>
        <w:rPr>
          <w:rStyle w:val="FootnoteReference"/>
          <w:szCs w:val="18"/>
        </w:rPr>
        <w:footnoteRef/>
      </w:r>
      <w:r>
        <w:t xml:space="preserve"> Voir </w:t>
      </w:r>
      <w:hyperlink r:id="rId12" w:history="1">
        <w:r>
          <w:rPr>
            <w:rStyle w:val="Hyperlink"/>
          </w:rPr>
          <w:t>CBD/CP/RA/AHTEG/2023/1/4</w:t>
        </w:r>
      </w:hyperlink>
      <w:r>
        <w:t xml:space="preserve"> et </w:t>
      </w:r>
      <w:hyperlink r:id="rId13" w:history="1">
        <w:r>
          <w:rPr>
            <w:rStyle w:val="Hyperlink"/>
          </w:rPr>
          <w:t>CBD/CP/RA/AHTEG/2024/1/3</w:t>
        </w:r>
      </w:hyperlink>
      <w:r>
        <w:t>.</w:t>
      </w:r>
    </w:p>
  </w:footnote>
  <w:footnote w:id="33">
    <w:p w14:paraId="057387DD" w14:textId="7E092001" w:rsidR="00080196" w:rsidRPr="00787A27" w:rsidRDefault="00080196" w:rsidP="00417CEB">
      <w:pPr>
        <w:pStyle w:val="CBDFootnoteText"/>
        <w:rPr>
          <w:lang w:val="en-CA"/>
        </w:rPr>
      </w:pPr>
      <w:r>
        <w:rPr>
          <w:rStyle w:val="FootnoteReference"/>
          <w:szCs w:val="18"/>
        </w:rPr>
        <w:footnoteRef/>
      </w:r>
      <w:r w:rsidRPr="00787A27">
        <w:rPr>
          <w:lang w:val="en-CA"/>
        </w:rPr>
        <w:t xml:space="preserve"> </w:t>
      </w:r>
      <w:hyperlink r:id="rId14" w:history="1">
        <w:r w:rsidRPr="00787A27">
          <w:rPr>
            <w:rStyle w:val="Hyperlink"/>
            <w:lang w:val="en-CA"/>
          </w:rPr>
          <w:t>CBD/CP/MOP/11/9</w:t>
        </w:r>
      </w:hyperlink>
      <w:r w:rsidRPr="00787A27">
        <w:rPr>
          <w:lang w:val="en-CA"/>
        </w:rPr>
        <w:t>.</w:t>
      </w:r>
    </w:p>
  </w:footnote>
  <w:footnote w:id="34">
    <w:p w14:paraId="3C2FDFD5" w14:textId="77777777" w:rsidR="00080196" w:rsidRPr="00787A27" w:rsidRDefault="00080196" w:rsidP="00417CEB">
      <w:pPr>
        <w:pStyle w:val="CBDFootnoteText"/>
        <w:rPr>
          <w:lang w:val="en-CA"/>
        </w:rPr>
      </w:pPr>
      <w:r>
        <w:rPr>
          <w:rStyle w:val="FootnoteReference"/>
          <w:szCs w:val="18"/>
        </w:rPr>
        <w:footnoteRef/>
      </w:r>
      <w:r w:rsidRPr="00787A27">
        <w:rPr>
          <w:lang w:val="en-CA"/>
        </w:rPr>
        <w:t xml:space="preserve"> Ibid., section  7.</w:t>
      </w:r>
    </w:p>
  </w:footnote>
  <w:footnote w:id="35">
    <w:p w14:paraId="13AAD136" w14:textId="220A18BD" w:rsidR="00080196" w:rsidRPr="008E1212" w:rsidRDefault="00080196" w:rsidP="00417CEB">
      <w:pPr>
        <w:pStyle w:val="CBDFootnoteText"/>
      </w:pPr>
      <w:r>
        <w:rPr>
          <w:rStyle w:val="FootnoteReference"/>
          <w:szCs w:val="18"/>
        </w:rPr>
        <w:footnoteRef/>
      </w:r>
      <w:r>
        <w:t xml:space="preserve"> Décision </w:t>
      </w:r>
      <w:hyperlink r:id="rId15" w:history="1">
        <w:r>
          <w:rPr>
            <w:rStyle w:val="Hyperlink"/>
          </w:rPr>
          <w:t>VIII/10</w:t>
        </w:r>
      </w:hyperlink>
      <w:r>
        <w:t>, annexe III.</w:t>
      </w:r>
    </w:p>
  </w:footnote>
  <w:footnote w:id="36">
    <w:p w14:paraId="1B28CE80" w14:textId="77777777" w:rsidR="00080196" w:rsidRPr="008E1212" w:rsidRDefault="00080196" w:rsidP="00417CEB">
      <w:pPr>
        <w:pStyle w:val="CBDFootnoteText"/>
      </w:pPr>
      <w:r>
        <w:rPr>
          <w:rStyle w:val="FootnoteReference"/>
          <w:szCs w:val="18"/>
        </w:rPr>
        <w:footnoteRef/>
      </w:r>
      <w:r>
        <w:t xml:space="preserve"> Nations Unies, </w:t>
      </w:r>
      <w:r>
        <w:rPr>
          <w:i/>
          <w:iCs/>
        </w:rPr>
        <w:t>Recueil des Traités</w:t>
      </w:r>
      <w:r>
        <w:rPr>
          <w:iCs/>
        </w:rPr>
        <w:t>,</w:t>
      </w:r>
      <w:r>
        <w:rPr>
          <w:i/>
          <w:iCs/>
        </w:rPr>
        <w:t xml:space="preserve"> </w:t>
      </w:r>
      <w:r>
        <w:t>vol. 2226, n° 30619.</w:t>
      </w:r>
    </w:p>
  </w:footnote>
  <w:footnote w:id="37">
    <w:p w14:paraId="0786BBBA" w14:textId="77777777" w:rsidR="00080196" w:rsidRPr="008E1212" w:rsidRDefault="00080196" w:rsidP="00BF410B">
      <w:pPr>
        <w:pStyle w:val="CBDFootnoteText"/>
      </w:pPr>
      <w:r>
        <w:rPr>
          <w:rStyle w:val="FootnoteReference"/>
          <w:szCs w:val="18"/>
        </w:rPr>
        <w:footnoteRef/>
      </w:r>
      <w:r>
        <w:t xml:space="preserve"> Nations Unies, </w:t>
      </w:r>
      <w:r>
        <w:rPr>
          <w:i/>
          <w:iCs/>
        </w:rPr>
        <w:t>Recueil des Traités</w:t>
      </w:r>
      <w:r>
        <w:rPr>
          <w:iCs/>
        </w:rPr>
        <w:t>,</w:t>
      </w:r>
      <w:r>
        <w:rPr>
          <w:i/>
          <w:iCs/>
        </w:rPr>
        <w:t xml:space="preserve"> </w:t>
      </w:r>
      <w:r>
        <w:t>vol. 2226, n° 30619.</w:t>
      </w:r>
    </w:p>
  </w:footnote>
  <w:footnote w:id="38">
    <w:p w14:paraId="56DC7D06" w14:textId="77777777" w:rsidR="00080196" w:rsidRPr="008E1212" w:rsidRDefault="00080196" w:rsidP="00BF410B">
      <w:pPr>
        <w:pStyle w:val="CBDFootnoteText"/>
      </w:pPr>
      <w:r>
        <w:rPr>
          <w:rStyle w:val="FootnoteReference"/>
          <w:szCs w:val="18"/>
        </w:rPr>
        <w:footnoteRef/>
      </w:r>
      <w:r>
        <w:t xml:space="preserve"> Ibid.</w:t>
      </w:r>
      <w:r>
        <w:rPr>
          <w:iCs/>
        </w:rPr>
        <w:t>,</w:t>
      </w:r>
      <w:r>
        <w:rPr>
          <w:i/>
          <w:iCs/>
        </w:rPr>
        <w:t xml:space="preserve"> </w:t>
      </w:r>
      <w:r>
        <w:t>vol. 1760, n° 30619.</w:t>
      </w:r>
    </w:p>
  </w:footnote>
  <w:footnote w:id="39">
    <w:p w14:paraId="63B540B2" w14:textId="77777777" w:rsidR="00080196" w:rsidRPr="008E1212" w:rsidRDefault="00080196">
      <w:pPr>
        <w:pStyle w:val="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40">
    <w:p w14:paraId="3B7FCD9F" w14:textId="77777777" w:rsidR="00080196" w:rsidRPr="008E1212" w:rsidRDefault="00080196" w:rsidP="00826B18">
      <w:pPr>
        <w:pStyle w:val="FootnoteText"/>
      </w:pPr>
      <w:r>
        <w:rPr>
          <w:rStyle w:val="FootnoteReference"/>
        </w:rPr>
        <w:footnoteRef/>
      </w:r>
      <w:r>
        <w:t xml:space="preserve"> </w:t>
      </w:r>
      <w:hyperlink r:id="rId16" w:history="1">
        <w:r>
          <w:rPr>
            <w:rStyle w:val="Hyperlink"/>
          </w:rPr>
          <w:t>CBD/CP/MOP/9/10</w:t>
        </w:r>
      </w:hyperlink>
      <w:r>
        <w:t>, annexe.</w:t>
      </w:r>
    </w:p>
  </w:footnote>
  <w:footnote w:id="41">
    <w:p w14:paraId="31002840" w14:textId="77777777" w:rsidR="00080196" w:rsidRPr="008E1212" w:rsidRDefault="00080196" w:rsidP="00826B18">
      <w:pPr>
        <w:pStyle w:val="FootnoteText"/>
      </w:pPr>
      <w:r>
        <w:rPr>
          <w:rStyle w:val="FootnoteReference"/>
        </w:rPr>
        <w:footnoteRef/>
      </w:r>
      <w:r>
        <w:t xml:space="preserve"> Annexe à la décision </w:t>
      </w:r>
      <w:hyperlink r:id="rId17" w:history="1">
        <w:r>
          <w:rPr>
            <w:rStyle w:val="Hyperlink"/>
          </w:rPr>
          <w:t>CP-10/3</w:t>
        </w:r>
      </w:hyperlink>
      <w:r>
        <w:t>.</w:t>
      </w:r>
    </w:p>
  </w:footnote>
  <w:footnote w:id="42">
    <w:p w14:paraId="6E14F0C5" w14:textId="77777777" w:rsidR="00080196" w:rsidRPr="008E1212" w:rsidRDefault="00080196" w:rsidP="00826B18">
      <w:pPr>
        <w:pStyle w:val="FootnoteText"/>
      </w:pPr>
      <w:r>
        <w:rPr>
          <w:rStyle w:val="FootnoteReference"/>
        </w:rPr>
        <w:footnoteRef/>
      </w:r>
      <w:r>
        <w:t xml:space="preserve"> Annexe à la décision </w:t>
      </w:r>
      <w:hyperlink r:id="rId18" w:history="1">
        <w:r>
          <w:rPr>
            <w:rStyle w:val="Hyperlink"/>
          </w:rPr>
          <w:t>CP-10/4</w:t>
        </w:r>
      </w:hyperlink>
      <w:r>
        <w:t>.</w:t>
      </w:r>
    </w:p>
  </w:footnote>
  <w:footnote w:id="43">
    <w:p w14:paraId="3465A762" w14:textId="77777777" w:rsidR="00080196" w:rsidRPr="008E1212" w:rsidRDefault="00080196" w:rsidP="00826B18">
      <w:pPr>
        <w:pStyle w:val="FootnoteText"/>
      </w:pPr>
      <w:r>
        <w:rPr>
          <w:rStyle w:val="FootnoteReference"/>
        </w:rPr>
        <w:footnoteRef/>
      </w:r>
      <w:r>
        <w:t>Disponible à l’adresse : .</w:t>
      </w:r>
      <w:hyperlink r:id="rId19" w:history="1">
        <w:r>
          <w:rPr>
            <w:rStyle w:val="Hyperlink"/>
          </w:rPr>
          <w:t>www.cbd.int/notifications/2023-133</w:t>
        </w:r>
      </w:hyperlink>
      <w:r>
        <w:t xml:space="preserve"> </w:t>
      </w:r>
    </w:p>
  </w:footnote>
  <w:footnote w:id="44">
    <w:p w14:paraId="3AD33125" w14:textId="09ADF68C" w:rsidR="00080196" w:rsidRPr="008E1212" w:rsidRDefault="00080196" w:rsidP="00826B18">
      <w:pPr>
        <w:pStyle w:val="FootnoteText"/>
      </w:pPr>
      <w:r>
        <w:rPr>
          <w:rStyle w:val="FootnoteReference"/>
        </w:rPr>
        <w:footnoteRef/>
      </w:r>
      <w:r>
        <w:t xml:space="preserve">Disponible à l’adresse : </w:t>
      </w:r>
      <w:hyperlink r:id="rId20" w:history="1">
        <w:r>
          <w:rPr>
            <w:rStyle w:val="Hyperlink"/>
          </w:rPr>
          <w:t>bch.cbd.int/onlineconferences/portal_art26/Activities2023-2024.shtml</w:t>
        </w:r>
      </w:hyperlink>
      <w:r>
        <w:t xml:space="preserve"> </w:t>
      </w:r>
    </w:p>
  </w:footnote>
  <w:footnote w:id="45">
    <w:p w14:paraId="53112A6A" w14:textId="77777777" w:rsidR="00080196" w:rsidRPr="008E1212" w:rsidRDefault="00080196" w:rsidP="00716E0C">
      <w:pPr>
        <w:pStyle w:val="FootnoteText"/>
      </w:pPr>
      <w:r>
        <w:rPr>
          <w:rStyle w:val="FootnoteReference"/>
        </w:rPr>
        <w:footnoteRef/>
      </w:r>
      <w:r>
        <w:t xml:space="preserve"> Nations Unies, </w:t>
      </w:r>
      <w:r>
        <w:rPr>
          <w:i/>
          <w:iCs/>
        </w:rPr>
        <w:t>Recueil des Traités</w:t>
      </w:r>
      <w:r>
        <w:t>,</w:t>
      </w:r>
      <w:r>
        <w:rPr>
          <w:i/>
          <w:iCs/>
        </w:rPr>
        <w:t xml:space="preserve"> </w:t>
      </w:r>
      <w:r>
        <w:t>vol. 1760, n° 30619.</w:t>
      </w:r>
    </w:p>
  </w:footnote>
  <w:footnote w:id="46">
    <w:p w14:paraId="5494F368" w14:textId="77777777" w:rsidR="00080196" w:rsidRPr="008E1212" w:rsidRDefault="00080196" w:rsidP="000D063F">
      <w:pPr>
        <w:pStyle w:val="CBDFootnoteText"/>
      </w:pPr>
      <w:r>
        <w:rPr>
          <w:rStyle w:val="FootnoteReference"/>
          <w:szCs w:val="18"/>
        </w:rPr>
        <w:footnoteRef/>
      </w:r>
      <w:r>
        <w:t xml:space="preserve"> Conformément au paragraphe 1 de l’article 14 du Protocole additionnel de Nagoya-Kuala Lumpur, et sous réserve du paragraphe 2 de l’article 32 de la Convention sur la diversité biologique, la Conférence des Parties siégeant en tant que réunion des Parties au Protocole de Cartagena siégera en tant que réunion des Parties au Protocole additionnel. Par conséquent, la présente décision a été adoptée par les Parties au Protocole additionnel.</w:t>
      </w:r>
    </w:p>
  </w:footnote>
  <w:footnote w:id="47">
    <w:p w14:paraId="714AC0E2" w14:textId="77777777" w:rsidR="00080196" w:rsidRPr="008E1212" w:rsidRDefault="00080196" w:rsidP="000D063F">
      <w:pPr>
        <w:pStyle w:val="CBDFootnoteText"/>
      </w:pPr>
      <w:r>
        <w:rPr>
          <w:rStyle w:val="FootnoteReference"/>
        </w:rPr>
        <w:footnoteRef/>
      </w:r>
      <w:r>
        <w:t xml:space="preserve"> Annexe à la décision </w:t>
      </w:r>
      <w:hyperlink r:id="rId21" w:history="1">
        <w:r>
          <w:rPr>
            <w:rStyle w:val="Hyperlink"/>
          </w:rPr>
          <w:t>CP-10/3</w:t>
        </w:r>
      </w:hyperlink>
      <w:r>
        <w:t>.</w:t>
      </w:r>
    </w:p>
  </w:footnote>
  <w:footnote w:id="48">
    <w:p w14:paraId="5BD691B7" w14:textId="77777777" w:rsidR="00080196" w:rsidRPr="008E1212" w:rsidRDefault="00080196" w:rsidP="000D063F">
      <w:pPr>
        <w:pStyle w:val="CBDFootnoteText"/>
      </w:pPr>
      <w:r>
        <w:rPr>
          <w:rStyle w:val="FootnoteReference"/>
        </w:rPr>
        <w:footnoteRef/>
      </w:r>
      <w:r>
        <w:t xml:space="preserve"> Annexe à la décision </w:t>
      </w:r>
      <w:hyperlink r:id="rId22" w:history="1">
        <w:r>
          <w:rPr>
            <w:rStyle w:val="Hyperlink"/>
          </w:rPr>
          <w:t>CP-10/4</w:t>
        </w:r>
      </w:hyperlink>
      <w:r>
        <w:t>.</w:t>
      </w:r>
    </w:p>
  </w:footnote>
  <w:footnote w:id="49">
    <w:p w14:paraId="51A0FDCF" w14:textId="77777777" w:rsidR="00080196" w:rsidRPr="008E1212" w:rsidRDefault="00080196" w:rsidP="000D063F">
      <w:pPr>
        <w:pStyle w:val="CBD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50">
    <w:p w14:paraId="2835D05B" w14:textId="725F27F7" w:rsidR="00080196" w:rsidRPr="008E1212" w:rsidRDefault="00080196" w:rsidP="000D063F">
      <w:pPr>
        <w:pStyle w:val="CBDFootnoteText"/>
      </w:pPr>
      <w:r>
        <w:rPr>
          <w:rStyle w:val="FootnoteReference"/>
        </w:rPr>
        <w:footnoteRef/>
      </w:r>
      <w:r>
        <w:t xml:space="preserve"> Voir Programme des Nations Unies pour l’environnement, document </w:t>
      </w:r>
      <w:hyperlink r:id="rId23" w:history="1">
        <w:r>
          <w:rPr>
            <w:rStyle w:val="Hyperlink"/>
          </w:rPr>
          <w:t>UNEP/CBD/BS/COP</w:t>
        </w:r>
        <w:r>
          <w:rPr>
            <w:rStyle w:val="Hyperlink"/>
          </w:rPr>
          <w:noBreakHyphen/>
          <w:t>MOP/5/17</w:t>
        </w:r>
      </w:hyperlink>
      <w:r>
        <w:t xml:space="preserve">, annexe, </w:t>
      </w:r>
      <w:r w:rsidR="008833E7">
        <w:br/>
      </w:r>
      <w:r>
        <w:t>décision </w:t>
      </w:r>
      <w:hyperlink r:id="rId24" w:history="1">
        <w:r>
          <w:rPr>
            <w:rStyle w:val="Hyperlink"/>
          </w:rPr>
          <w:t>BS-V/11</w:t>
        </w:r>
      </w:hyperlink>
      <w:r>
        <w:t>.</w:t>
      </w:r>
    </w:p>
  </w:footnote>
  <w:footnote w:id="51">
    <w:p w14:paraId="33870AF3" w14:textId="77777777" w:rsidR="00080196" w:rsidRPr="008E1212" w:rsidRDefault="00080196">
      <w:pPr>
        <w:pStyle w:val="FootnoteText"/>
      </w:pPr>
      <w:r>
        <w:rPr>
          <w:rStyle w:val="FootnoteReference"/>
        </w:rPr>
        <w:footnoteRef/>
      </w:r>
      <w:r>
        <w:t xml:space="preserve"> Nations Unies, </w:t>
      </w:r>
      <w:r>
        <w:rPr>
          <w:i/>
          <w:iCs/>
        </w:rPr>
        <w:t>Recueil des Traités</w:t>
      </w:r>
      <w:r>
        <w:t>,</w:t>
      </w:r>
      <w:r>
        <w:rPr>
          <w:i/>
          <w:iCs/>
        </w:rPr>
        <w:t xml:space="preserve"> </w:t>
      </w:r>
      <w:r>
        <w:t>vol. 1760, n° 30619.</w:t>
      </w:r>
    </w:p>
  </w:footnote>
  <w:footnote w:id="52">
    <w:p w14:paraId="5EBBE896" w14:textId="77777777" w:rsidR="00080196" w:rsidRPr="008E1212" w:rsidRDefault="00080196" w:rsidP="000D063F">
      <w:pPr>
        <w:pStyle w:val="CBDFootnoteText"/>
      </w:pPr>
      <w:r>
        <w:rPr>
          <w:rStyle w:val="FootnoteReference"/>
          <w:szCs w:val="18"/>
        </w:rPr>
        <w:footnoteRef/>
      </w:r>
      <w:r>
        <w:t xml:space="preserve"> Voir décision </w:t>
      </w:r>
      <w:hyperlink r:id="rId25" w:history="1">
        <w:r>
          <w:rPr>
            <w:rStyle w:val="Hyperlink"/>
          </w:rPr>
          <w:t>CP-10/13</w:t>
        </w:r>
      </w:hyperlink>
      <w:r>
        <w:t>, paragraphe  12.</w:t>
      </w:r>
    </w:p>
  </w:footnote>
  <w:footnote w:id="53">
    <w:p w14:paraId="69D6BA4D" w14:textId="77777777" w:rsidR="00080196" w:rsidRPr="008E1212" w:rsidRDefault="00080196">
      <w:pPr>
        <w:pStyle w:val="FootnoteText"/>
      </w:pPr>
      <w:r>
        <w:rPr>
          <w:rStyle w:val="FootnoteReference"/>
        </w:rPr>
        <w:footnoteRef/>
      </w:r>
      <w:r>
        <w:t xml:space="preserve"> </w:t>
      </w:r>
      <w:r>
        <w:rPr>
          <w:color w:val="000000"/>
          <w:szCs w:val="18"/>
        </w:rPr>
        <w:t xml:space="preserve">Nations Unies, </w:t>
      </w:r>
      <w:r>
        <w:rPr>
          <w:i/>
          <w:iCs/>
          <w:color w:val="000000"/>
          <w:szCs w:val="18"/>
        </w:rPr>
        <w:t>Recueil des Traités</w:t>
      </w:r>
      <w:r>
        <w:rPr>
          <w:iCs/>
          <w:color w:val="000000"/>
          <w:szCs w:val="18"/>
        </w:rPr>
        <w:t>,</w:t>
      </w:r>
      <w:r>
        <w:rPr>
          <w:i/>
          <w:iCs/>
          <w:color w:val="000000"/>
          <w:szCs w:val="18"/>
        </w:rPr>
        <w:t xml:space="preserve"> </w:t>
      </w:r>
      <w:r>
        <w:rPr>
          <w:color w:val="000000"/>
          <w:szCs w:val="18"/>
        </w:rPr>
        <w:t>vol. 1760, n° 30619.</w:t>
      </w:r>
    </w:p>
  </w:footnote>
  <w:footnote w:id="54">
    <w:p w14:paraId="6DB606D1" w14:textId="35A9508B" w:rsidR="00080196" w:rsidRPr="009050B4" w:rsidRDefault="00080196">
      <w:pPr>
        <w:pStyle w:val="FootnoteText"/>
        <w:rPr>
          <w:lang w:val="es-ES"/>
        </w:rPr>
      </w:pPr>
      <w:r>
        <w:rPr>
          <w:rStyle w:val="FootnoteReference"/>
        </w:rPr>
        <w:footnoteRef/>
      </w:r>
      <w:r w:rsidRPr="00787A27">
        <w:rPr>
          <w:color w:val="000000"/>
          <w:szCs w:val="18"/>
          <w:lang w:val="en-CA"/>
        </w:rPr>
        <w:t xml:space="preserve"> Ibid.,</w:t>
      </w:r>
      <w:r w:rsidRPr="00787A27">
        <w:rPr>
          <w:i/>
          <w:color w:val="000000"/>
          <w:szCs w:val="18"/>
          <w:lang w:val="en-CA"/>
        </w:rPr>
        <w:t xml:space="preserve"> </w:t>
      </w:r>
      <w:r w:rsidRPr="00787A27">
        <w:rPr>
          <w:color w:val="000000"/>
          <w:szCs w:val="18"/>
          <w:lang w:val="en-CA"/>
        </w:rPr>
        <w:t>vol. 2226, n° 30619.</w:t>
      </w:r>
    </w:p>
  </w:footnote>
  <w:footnote w:id="55">
    <w:p w14:paraId="7B3080E0" w14:textId="54F8DAB0" w:rsidR="00080196" w:rsidRPr="009050B4" w:rsidRDefault="00080196">
      <w:pPr>
        <w:pStyle w:val="FootnoteText"/>
        <w:rPr>
          <w:lang w:val="es-ES"/>
        </w:rPr>
      </w:pPr>
      <w:r>
        <w:rPr>
          <w:rStyle w:val="FootnoteReference"/>
        </w:rPr>
        <w:footnoteRef/>
      </w:r>
      <w:r w:rsidRPr="00787A27">
        <w:rPr>
          <w:color w:val="000000"/>
          <w:szCs w:val="18"/>
          <w:lang w:val="en-CA"/>
        </w:rPr>
        <w:t xml:space="preserve"> Ibid.</w:t>
      </w:r>
      <w:r w:rsidRPr="00787A27">
        <w:rPr>
          <w:szCs w:val="18"/>
          <w:lang w:val="en-CA"/>
        </w:rPr>
        <w:t>, vol. 3008, n° 30619.</w:t>
      </w:r>
    </w:p>
  </w:footnote>
  <w:footnote w:id="56">
    <w:p w14:paraId="0ECD0272" w14:textId="77777777" w:rsidR="00080196" w:rsidRPr="008E1212" w:rsidRDefault="00080196" w:rsidP="00A52B30">
      <w:pPr>
        <w:pStyle w:val="FootnoteText"/>
        <w:rPr>
          <w:szCs w:val="18"/>
        </w:rPr>
      </w:pPr>
      <w:r>
        <w:rPr>
          <w:rStyle w:val="FootnoteReference"/>
          <w:szCs w:val="18"/>
        </w:rPr>
        <w:footnoteRef/>
      </w:r>
      <w:r>
        <w:rPr>
          <w:szCs w:val="18"/>
        </w:rPr>
        <w:t xml:space="preserve"> Comme indiqué dans la résolution 76/238 de l'Assemblée générale. </w:t>
      </w:r>
      <w:r>
        <w:t>Tel qu’il figure dans la résolution 76/238 de l’Assemblée générale. Une fois adopté par l’Assemblée, le barème révisé des quotes-parts pour la période triennale 2025-2027 sera appliqué pour le calcul des contributions pour la période biennale 2025-2026.</w:t>
      </w:r>
    </w:p>
  </w:footnote>
  <w:footnote w:id="57">
    <w:p w14:paraId="69E386A2" w14:textId="77777777" w:rsidR="00080196" w:rsidRPr="008E1212" w:rsidRDefault="00080196" w:rsidP="000C5FCA">
      <w:pPr>
        <w:pStyle w:val="FootnoteText"/>
      </w:pPr>
      <w:r>
        <w:rPr>
          <w:rStyle w:val="FootnoteReference"/>
        </w:rPr>
        <w:footnoteRef/>
      </w:r>
      <w:r>
        <w:t xml:space="preserve"> Nations Unies, </w:t>
      </w:r>
      <w:r>
        <w:rPr>
          <w:i/>
          <w:iCs/>
        </w:rPr>
        <w:t>Recueil des Traités</w:t>
      </w:r>
      <w:r>
        <w:t>,</w:t>
      </w:r>
      <w:r>
        <w:rPr>
          <w:i/>
          <w:iCs/>
        </w:rPr>
        <w:t xml:space="preserve"> </w:t>
      </w:r>
      <w:r>
        <w:t>vol. 2226, n° 30619.</w:t>
      </w:r>
    </w:p>
  </w:footnote>
  <w:footnote w:id="58">
    <w:p w14:paraId="58B0F008" w14:textId="6299F2ED" w:rsidR="00080196" w:rsidRPr="009050B4" w:rsidRDefault="00080196" w:rsidP="005D2B78">
      <w:pPr>
        <w:pStyle w:val="FootnoteText"/>
        <w:rPr>
          <w:lang w:val="es-ES"/>
        </w:rPr>
      </w:pPr>
      <w:r>
        <w:rPr>
          <w:rStyle w:val="FootnoteReference"/>
        </w:rPr>
        <w:footnoteRef/>
      </w:r>
      <w:r w:rsidRPr="00787A27">
        <w:rPr>
          <w:color w:val="000000"/>
          <w:szCs w:val="18"/>
          <w:lang w:val="en-CA"/>
        </w:rPr>
        <w:t xml:space="preserve"> Ibid.</w:t>
      </w:r>
      <w:r w:rsidRPr="00787A27">
        <w:rPr>
          <w:lang w:val="en-CA"/>
        </w:rPr>
        <w:t>, vol. 1760, n° 30619.</w:t>
      </w:r>
    </w:p>
  </w:footnote>
  <w:footnote w:id="59">
    <w:p w14:paraId="16F5546D" w14:textId="4DF0A7A1" w:rsidR="00080196" w:rsidRPr="00BB75FE" w:rsidRDefault="00080196" w:rsidP="00D30F49">
      <w:pPr>
        <w:pStyle w:val="FootnoteText"/>
        <w:rPr>
          <w:lang w:val="es-ES"/>
        </w:rPr>
      </w:pPr>
      <w:r>
        <w:rPr>
          <w:rStyle w:val="FootnoteReference"/>
        </w:rPr>
        <w:footnoteRef/>
      </w:r>
      <w:r w:rsidRPr="00787A27">
        <w:rPr>
          <w:color w:val="000000"/>
          <w:szCs w:val="18"/>
          <w:lang w:val="en-CA"/>
        </w:rPr>
        <w:t xml:space="preserve"> Ibid.</w:t>
      </w:r>
      <w:r w:rsidRPr="00787A27">
        <w:rPr>
          <w:lang w:val="en-CA"/>
        </w:rPr>
        <w:t>, vol. 3008, n° 30619.</w:t>
      </w:r>
    </w:p>
  </w:footnote>
  <w:footnote w:id="60">
    <w:p w14:paraId="73B2E278" w14:textId="245BAEEC" w:rsidR="005B2FFA" w:rsidRPr="008E1212" w:rsidRDefault="005B2FFA" w:rsidP="00244F3A">
      <w:pPr>
        <w:pStyle w:val="FootnoteText"/>
      </w:pPr>
      <w:r>
        <w:rPr>
          <w:rStyle w:val="FootnoteReference"/>
        </w:rPr>
        <w:footnoteRef/>
      </w:r>
      <w:r>
        <w:t xml:space="preserve"> Voir le document </w:t>
      </w:r>
      <w:hyperlink r:id="rId26" w:history="1">
        <w:r>
          <w:rPr>
            <w:rStyle w:val="Hyperlink"/>
          </w:rPr>
          <w:t>CBD/CP/MOP/11/INF/1</w:t>
        </w:r>
      </w:hyperlink>
      <w:r>
        <w:t xml:space="preserve"> pour prendre connaissance de la liste des participants.</w:t>
      </w:r>
    </w:p>
  </w:footnote>
  <w:footnote w:id="61">
    <w:p w14:paraId="5E017F15" w14:textId="4A02C8B7" w:rsidR="005E4A59" w:rsidRPr="008E1212" w:rsidRDefault="005E4A59">
      <w:pPr>
        <w:pStyle w:val="FootnoteText"/>
      </w:pPr>
      <w:r>
        <w:rPr>
          <w:rStyle w:val="FootnoteReference"/>
        </w:rPr>
        <w:footnoteRef/>
      </w:r>
      <w:r>
        <w:t xml:space="preserve"> Cf. </w:t>
      </w:r>
      <w:hyperlink r:id="rId27" w:history="1">
        <w:r>
          <w:rPr>
            <w:rStyle w:val="Hyperlink"/>
          </w:rPr>
          <w:t>CBD/COP/16/13</w:t>
        </w:r>
      </w:hyperlink>
      <w:r>
        <w:t>, paragraphes  5–9, pour un résumé des remarques et déclarations d’ouverture.</w:t>
      </w:r>
    </w:p>
  </w:footnote>
  <w:footnote w:id="62">
    <w:p w14:paraId="4FC8BCC1" w14:textId="5C45B2CC" w:rsidR="004807BA" w:rsidRPr="008E1212" w:rsidRDefault="004807BA">
      <w:pPr>
        <w:pStyle w:val="FootnoteText"/>
      </w:pPr>
      <w:r>
        <w:rPr>
          <w:rStyle w:val="FootnoteReference"/>
        </w:rPr>
        <w:footnoteRef/>
      </w:r>
      <w:r>
        <w:t xml:space="preserve"> Voir « Élection de la présidence », au point 2 de l’ordre du jour.</w:t>
      </w:r>
    </w:p>
  </w:footnote>
  <w:footnote w:id="63">
    <w:p w14:paraId="3E1DE8DA" w14:textId="2A86A741" w:rsidR="00816162" w:rsidRPr="008E1212" w:rsidRDefault="00816162">
      <w:pPr>
        <w:pStyle w:val="FootnoteText"/>
      </w:pPr>
      <w:r>
        <w:rPr>
          <w:rStyle w:val="FootnoteReference"/>
        </w:rPr>
        <w:footnoteRef/>
      </w:r>
      <w:r>
        <w:t xml:space="preserve"> La première reprise de la réunion, à la sixième séance plénière, s’est déroulée en ligne dans le cadre d’une procédure d’approbation tacite, du 3 au 6 décembre 2024 (voir le point 6 de l’ordre du jour).</w:t>
      </w:r>
    </w:p>
  </w:footnote>
  <w:footnote w:id="64">
    <w:p w14:paraId="10A32DA9" w14:textId="1B19EBB4" w:rsidR="00AB5B92" w:rsidRPr="008E1212" w:rsidRDefault="00AB5B92" w:rsidP="00AB5B92">
      <w:pPr>
        <w:pStyle w:val="FootnoteText"/>
      </w:pPr>
      <w:r>
        <w:rPr>
          <w:rStyle w:val="FootnoteReference"/>
        </w:rPr>
        <w:footnoteRef/>
      </w:r>
      <w:r>
        <w:t xml:space="preserve"> Les </w:t>
      </w:r>
      <w:hyperlink r:id="rId28" w:history="1">
        <w:r>
          <w:rPr>
            <w:rStyle w:val="Hyperlink"/>
          </w:rPr>
          <w:t>CBD/COP/16/13</w:t>
        </w:r>
      </w:hyperlink>
      <w:r>
        <w:t xml:space="preserve"> paragraphes  12–14 offrent un résumé de l’allocution luminaire de la deuxième reprise de la réunion.</w:t>
      </w:r>
    </w:p>
  </w:footnote>
  <w:footnote w:id="65">
    <w:p w14:paraId="500763B5" w14:textId="1E8CB1AF" w:rsidR="00045A72" w:rsidRPr="008E1212" w:rsidRDefault="00045A72" w:rsidP="00EF6CBE">
      <w:pPr>
        <w:pStyle w:val="FootnoteText"/>
      </w:pPr>
      <w:r>
        <w:rPr>
          <w:rStyle w:val="FootnoteReference"/>
        </w:rPr>
        <w:footnoteRef/>
      </w:r>
      <w:r>
        <w:t xml:space="preserve"> </w:t>
      </w:r>
      <w:hyperlink r:id="rId29" w:history="1">
        <w:r>
          <w:rPr>
            <w:rStyle w:val="Hyperlink"/>
          </w:rPr>
          <w:t>CBD/CP/MOP/11/1</w:t>
        </w:r>
      </w:hyperlink>
      <w:r>
        <w:t>.</w:t>
      </w:r>
    </w:p>
  </w:footnote>
  <w:footnote w:id="66">
    <w:p w14:paraId="4688E880" w14:textId="14FE9F08" w:rsidR="00045A72" w:rsidRPr="008E1212" w:rsidRDefault="00045A72" w:rsidP="00586722">
      <w:pPr>
        <w:pStyle w:val="FootnoteText"/>
      </w:pPr>
      <w:r>
        <w:rPr>
          <w:rStyle w:val="FootnoteReference"/>
        </w:rPr>
        <w:footnoteRef/>
      </w:r>
      <w:r>
        <w:t xml:space="preserve"> </w:t>
      </w:r>
      <w:hyperlink r:id="rId30" w:history="1">
        <w:r>
          <w:rPr>
            <w:rStyle w:val="Hyperlink"/>
          </w:rPr>
          <w:t>CBD/CP/MOP/11/1/Add.1</w:t>
        </w:r>
      </w:hyperlink>
      <w:r>
        <w:t>.</w:t>
      </w:r>
    </w:p>
  </w:footnote>
  <w:footnote w:id="67">
    <w:p w14:paraId="0D4C56DC" w14:textId="5EA0AF67" w:rsidR="00045A72" w:rsidRPr="00787A27" w:rsidRDefault="00045A72" w:rsidP="00045A72">
      <w:pPr>
        <w:pStyle w:val="FootnoteText"/>
        <w:rPr>
          <w:lang w:val="en-CA"/>
        </w:rPr>
      </w:pPr>
      <w:r>
        <w:rPr>
          <w:rStyle w:val="FootnoteReference"/>
        </w:rPr>
        <w:footnoteRef/>
      </w:r>
      <w:r w:rsidRPr="00787A27">
        <w:rPr>
          <w:lang w:val="en-CA"/>
        </w:rPr>
        <w:t xml:space="preserve"> </w:t>
      </w:r>
      <w:hyperlink r:id="rId31" w:history="1">
        <w:r w:rsidRPr="00787A27">
          <w:rPr>
            <w:rStyle w:val="Hyperlink"/>
            <w:lang w:val="en-CA"/>
          </w:rPr>
          <w:t>CBD/CP/MOP/11/1/Add.2</w:t>
        </w:r>
      </w:hyperlink>
      <w:r w:rsidRPr="00787A27">
        <w:rPr>
          <w:lang w:val="en-CA"/>
        </w:rPr>
        <w:t>.</w:t>
      </w:r>
    </w:p>
  </w:footnote>
  <w:footnote w:id="68">
    <w:p w14:paraId="44AD0007" w14:textId="2FA3B83C" w:rsidR="00045A72" w:rsidRPr="00787A27" w:rsidRDefault="00045A72" w:rsidP="00045A72">
      <w:pPr>
        <w:pStyle w:val="FootnoteText"/>
        <w:rPr>
          <w:lang w:val="en-CA"/>
        </w:rPr>
      </w:pPr>
      <w:r>
        <w:rPr>
          <w:rStyle w:val="FootnoteReference"/>
        </w:rPr>
        <w:footnoteRef/>
      </w:r>
      <w:r w:rsidRPr="00787A27">
        <w:rPr>
          <w:lang w:val="en-CA"/>
        </w:rPr>
        <w:t xml:space="preserve"> </w:t>
      </w:r>
      <w:hyperlink r:id="rId32" w:history="1">
        <w:r w:rsidRPr="00787A27">
          <w:rPr>
            <w:rStyle w:val="Hyperlink"/>
            <w:lang w:val="en-CA"/>
          </w:rPr>
          <w:t>CBD/CP/MOP/11/INF/4</w:t>
        </w:r>
      </w:hyperlink>
      <w:r w:rsidRPr="00787A27">
        <w:rPr>
          <w:lang w:val="en-CA"/>
        </w:rPr>
        <w:t>.</w:t>
      </w:r>
    </w:p>
  </w:footnote>
  <w:footnote w:id="69">
    <w:p w14:paraId="08FA918C" w14:textId="1D76DBD2" w:rsidR="00BB00D8" w:rsidRPr="00787A27" w:rsidRDefault="00BB00D8" w:rsidP="00BB00D8">
      <w:pPr>
        <w:pStyle w:val="FootnoteText"/>
        <w:rPr>
          <w:lang w:val="en-CA"/>
        </w:rPr>
      </w:pPr>
      <w:r>
        <w:rPr>
          <w:rStyle w:val="FootnoteReference"/>
        </w:rPr>
        <w:footnoteRef/>
      </w:r>
      <w:r w:rsidRPr="00787A27">
        <w:rPr>
          <w:lang w:val="en-CA"/>
        </w:rPr>
        <w:t xml:space="preserve"> </w:t>
      </w:r>
      <w:hyperlink r:id="rId33" w:history="1">
        <w:r w:rsidRPr="00787A27">
          <w:rPr>
            <w:rStyle w:val="Hyperlink"/>
            <w:lang w:val="en-CA"/>
          </w:rPr>
          <w:t>CBD/CP/MOP/11/WGI/L.1</w:t>
        </w:r>
      </w:hyperlink>
      <w:r w:rsidRPr="00787A27">
        <w:rPr>
          <w:lang w:val="en-CA"/>
        </w:rPr>
        <w:t>.</w:t>
      </w:r>
    </w:p>
  </w:footnote>
  <w:footnote w:id="70">
    <w:p w14:paraId="0FAE7018" w14:textId="015E8865" w:rsidR="00BB00D8" w:rsidRPr="00787A27" w:rsidRDefault="00BB00D8" w:rsidP="00BB00D8">
      <w:pPr>
        <w:pStyle w:val="FootnoteText"/>
        <w:rPr>
          <w:lang w:val="en-CA"/>
        </w:rPr>
      </w:pPr>
      <w:r>
        <w:rPr>
          <w:rStyle w:val="FootnoteReference"/>
        </w:rPr>
        <w:footnoteRef/>
      </w:r>
      <w:r w:rsidRPr="00787A27">
        <w:rPr>
          <w:lang w:val="en-CA"/>
        </w:rPr>
        <w:t xml:space="preserve"> </w:t>
      </w:r>
      <w:hyperlink r:id="rId34" w:history="1">
        <w:r w:rsidRPr="00787A27">
          <w:rPr>
            <w:rStyle w:val="Hyperlink"/>
            <w:lang w:val="en-CA"/>
          </w:rPr>
          <w:t>CBD/CP/MOP/11/WGII/L.1</w:t>
        </w:r>
      </w:hyperlink>
      <w:r w:rsidRPr="00787A27">
        <w:rPr>
          <w:lang w:val="en-CA"/>
        </w:rPr>
        <w:t>.</w:t>
      </w:r>
    </w:p>
  </w:footnote>
  <w:footnote w:id="71">
    <w:p w14:paraId="124FA73B" w14:textId="00D0C53C" w:rsidR="009F02FB" w:rsidRPr="008E1212" w:rsidRDefault="009F02FB" w:rsidP="009F02FB">
      <w:pPr>
        <w:pStyle w:val="FootnoteText"/>
      </w:pPr>
      <w:r>
        <w:rPr>
          <w:rStyle w:val="FootnoteReference"/>
        </w:rPr>
        <w:footnoteRef/>
      </w:r>
      <w:r>
        <w:t xml:space="preserve"> Les Îles Cook, Haïti, la Micronésie (États fédérés de), le Vanuatu et certains États africains ne sont pas Parties au Protocole de Cartagena.</w:t>
      </w:r>
    </w:p>
  </w:footnote>
  <w:footnote w:id="72">
    <w:p w14:paraId="62E506BA" w14:textId="68BB3F91" w:rsidR="00C86BCF" w:rsidRPr="008E1212" w:rsidRDefault="00C86BCF" w:rsidP="00C86BCF">
      <w:pPr>
        <w:pStyle w:val="FootnoteText"/>
      </w:pPr>
      <w:r>
        <w:rPr>
          <w:rStyle w:val="FootnoteReference"/>
        </w:rPr>
        <w:footnoteRef/>
      </w:r>
      <w:r>
        <w:t xml:space="preserve"> Disponible à l'adresse </w:t>
      </w:r>
      <w:hyperlink r:id="rId35" w:history="1">
        <w:r>
          <w:rPr>
            <w:rStyle w:val="Hyperlink"/>
          </w:rPr>
          <w:t>www.cbd.int/meetings/CP-MOP-11-R1</w:t>
        </w:r>
      </w:hyperlink>
      <w:r>
        <w:t>, avec tous les documents relatifs à la reprise de la réunion en ligne.</w:t>
      </w:r>
    </w:p>
  </w:footnote>
  <w:footnote w:id="73">
    <w:p w14:paraId="073FE684" w14:textId="7282994E" w:rsidR="00C86BCF" w:rsidRPr="008E1212" w:rsidRDefault="00C86BCF" w:rsidP="00C86BCF">
      <w:pPr>
        <w:pStyle w:val="FootnoteText"/>
      </w:pPr>
      <w:r>
        <w:rPr>
          <w:rStyle w:val="FootnoteReference"/>
        </w:rPr>
        <w:footnoteRef/>
      </w:r>
      <w:r>
        <w:t xml:space="preserve"> </w:t>
      </w:r>
      <w:hyperlink r:id="rId36" w:history="1">
        <w:r>
          <w:rPr>
            <w:rStyle w:val="Hyperlink"/>
          </w:rPr>
          <w:t>CBD/CP/MOP/11/1/Add.3</w:t>
        </w:r>
      </w:hyperlink>
      <w:r>
        <w:t>.</w:t>
      </w:r>
    </w:p>
  </w:footnote>
  <w:footnote w:id="74">
    <w:p w14:paraId="397AFA5E" w14:textId="658AF5D5" w:rsidR="00C86BCF" w:rsidRPr="008E1212" w:rsidRDefault="00C86BCF" w:rsidP="00C86BCF">
      <w:pPr>
        <w:pStyle w:val="FootnoteText"/>
      </w:pPr>
      <w:r>
        <w:rPr>
          <w:rStyle w:val="FootnoteReference"/>
        </w:rPr>
        <w:footnoteRef/>
      </w:r>
      <w:r>
        <w:t xml:space="preserve"> </w:t>
      </w:r>
      <w:hyperlink r:id="rId37" w:history="1">
        <w:r>
          <w:rPr>
            <w:rStyle w:val="Hyperlink"/>
          </w:rPr>
          <w:t>CBD/CP/MOP/11/L.12/Rev.1</w:t>
        </w:r>
      </w:hyperlink>
      <w:r>
        <w:t xml:space="preserve"> et </w:t>
      </w:r>
      <w:hyperlink r:id="rId38" w:history="1">
        <w:r>
          <w:rPr>
            <w:rStyle w:val="Hyperlink"/>
          </w:rPr>
          <w:t>CBD/CP/MOP/11/L.13</w:t>
        </w:r>
      </w:hyperlink>
      <w:r>
        <w:t>.</w:t>
      </w:r>
    </w:p>
  </w:footnote>
  <w:footnote w:id="75">
    <w:p w14:paraId="162123B2" w14:textId="4E36C5C7" w:rsidR="00035500" w:rsidRPr="008E1212" w:rsidRDefault="00035500" w:rsidP="00035500">
      <w:pPr>
        <w:pStyle w:val="FootnoteText"/>
      </w:pPr>
      <w:r>
        <w:rPr>
          <w:rStyle w:val="FootnoteReference"/>
        </w:rPr>
        <w:footnoteRef/>
      </w:r>
      <w:r>
        <w:t xml:space="preserve"> </w:t>
      </w:r>
      <w:bookmarkStart w:id="53" w:name="_Hlk190684059"/>
      <w:r>
        <w:fldChar w:fldCharType="begin"/>
      </w:r>
      <w:r>
        <w:instrText>HYPERLINK "https://www.cbd.int/documents/CBD/COP/16/1/ADD4"</w:instrText>
      </w:r>
      <w:r>
        <w:fldChar w:fldCharType="separate"/>
      </w:r>
      <w:r>
        <w:rPr>
          <w:rStyle w:val="Hyperlink"/>
        </w:rPr>
        <w:t>CBD/CP/MOP/11/1/Add.4</w:t>
      </w:r>
      <w:r>
        <w:fldChar w:fldCharType="end"/>
      </w:r>
      <w:r>
        <w:t>.</w:t>
      </w:r>
      <w:bookmarkEnd w:id="53"/>
    </w:p>
  </w:footnote>
  <w:footnote w:id="76">
    <w:p w14:paraId="106323CE" w14:textId="535739FE" w:rsidR="00035500" w:rsidRPr="008E1212" w:rsidRDefault="00035500" w:rsidP="00035500">
      <w:pPr>
        <w:pStyle w:val="FootnoteText"/>
      </w:pPr>
      <w:r>
        <w:rPr>
          <w:rStyle w:val="FootnoteReference"/>
        </w:rPr>
        <w:footnoteRef/>
      </w:r>
      <w:r>
        <w:t xml:space="preserve"> </w:t>
      </w:r>
      <w:bookmarkStart w:id="54" w:name="_Hlk190684050"/>
      <w:r>
        <w:fldChar w:fldCharType="begin"/>
      </w:r>
      <w:r>
        <w:instrText>HYPERLINK "https://www.cbd.int/documents/CBD/COP/16/1/ADD5"</w:instrText>
      </w:r>
      <w:r>
        <w:fldChar w:fldCharType="separate"/>
      </w:r>
      <w:r>
        <w:rPr>
          <w:rStyle w:val="Hyperlink"/>
        </w:rPr>
        <w:t>CBD/CP/MOP/11/1/Add.5</w:t>
      </w:r>
      <w:r>
        <w:fldChar w:fldCharType="end"/>
      </w:r>
      <w:r>
        <w:t>.</w:t>
      </w:r>
      <w:bookmarkEnd w:id="54"/>
    </w:p>
  </w:footnote>
  <w:footnote w:id="77">
    <w:p w14:paraId="399E0601" w14:textId="17D1C312" w:rsidR="00A53A16" w:rsidRPr="00787A27" w:rsidRDefault="00A53A16" w:rsidP="00A53A16">
      <w:pPr>
        <w:pStyle w:val="FootnoteText"/>
        <w:rPr>
          <w:lang w:val="en-CA"/>
        </w:rPr>
      </w:pPr>
      <w:r>
        <w:rPr>
          <w:rStyle w:val="FootnoteReference"/>
        </w:rPr>
        <w:footnoteRef/>
      </w:r>
      <w:r w:rsidRPr="00787A27">
        <w:rPr>
          <w:lang w:val="en-CA"/>
        </w:rPr>
        <w:t xml:space="preserve"> </w:t>
      </w:r>
      <w:hyperlink r:id="rId39" w:history="1">
        <w:r w:rsidRPr="00787A27">
          <w:rPr>
            <w:rStyle w:val="Hyperlink"/>
            <w:lang w:val="en-CA"/>
          </w:rPr>
          <w:t>CBD/CP/MOP/11/INF/5</w:t>
        </w:r>
      </w:hyperlink>
      <w:r w:rsidRPr="00787A27">
        <w:rPr>
          <w:lang w:val="en-CA"/>
        </w:rPr>
        <w:t>, annexe.</w:t>
      </w:r>
    </w:p>
  </w:footnote>
  <w:footnote w:id="78">
    <w:p w14:paraId="274BEA6D" w14:textId="6C5248A2" w:rsidR="001C71E0" w:rsidRPr="008E1212" w:rsidRDefault="001C71E0" w:rsidP="001C71E0">
      <w:pPr>
        <w:pStyle w:val="FootnoteText"/>
      </w:pPr>
      <w:r>
        <w:rPr>
          <w:rStyle w:val="FootnoteReference"/>
        </w:rPr>
        <w:footnoteRef/>
      </w:r>
      <w:r>
        <w:t xml:space="preserve"> La République bolivarienne du Venezuela a soumis des pouvoirs après la publication du rapport sur les pouvoirs et un rapport révisé (</w:t>
      </w:r>
      <w:hyperlink r:id="rId40" w:history="1">
        <w:r>
          <w:rPr>
            <w:rStyle w:val="Hyperlink"/>
          </w:rPr>
          <w:t>CBD/CP/MOP/11/INF/6/Rev.1</w:t>
        </w:r>
      </w:hyperlink>
      <w:r>
        <w:t>) a été publié avec des données actualisées.</w:t>
      </w:r>
    </w:p>
  </w:footnote>
  <w:footnote w:id="79">
    <w:p w14:paraId="28C4E393" w14:textId="701E7F83" w:rsidR="00075DDE" w:rsidRPr="00657D07" w:rsidRDefault="00075DDE">
      <w:pPr>
        <w:pStyle w:val="FootnoteText"/>
      </w:pPr>
      <w:r>
        <w:rPr>
          <w:rStyle w:val="FootnoteReference"/>
        </w:rPr>
        <w:footnoteRef/>
      </w:r>
      <w:r>
        <w:t xml:space="preserve"> L'Argentine, la Barbade, le Botswana, la République unie de Tanzanie et le Vanuatu ont soumis des pouvoirs après la publication du rapport sur la vérification des pouvoirs de la deuxième reprise de réunion, et un rapport révisé (</w:t>
      </w:r>
      <w:hyperlink r:id="rId41" w:history="1">
        <w:r>
          <w:rPr>
            <w:rStyle w:val="Hyperlink"/>
          </w:rPr>
          <w:t>CBD/CP/MOP/11/INF/7/Rev.1</w:t>
        </w:r>
      </w:hyperlink>
      <w:r>
        <w:t>) a été publié avec des données actualisées.</w:t>
      </w:r>
    </w:p>
  </w:footnote>
  <w:footnote w:id="80">
    <w:p w14:paraId="7F97B9F8" w14:textId="3A383F9B" w:rsidR="00DF3BD1" w:rsidRPr="008E1212" w:rsidRDefault="00DF3BD1" w:rsidP="00DF3BD1">
      <w:pPr>
        <w:pStyle w:val="FootnoteText"/>
      </w:pPr>
      <w:r>
        <w:rPr>
          <w:rStyle w:val="FootnoteReference"/>
        </w:rPr>
        <w:footnoteRef/>
      </w:r>
      <w:r>
        <w:t xml:space="preserve"> </w:t>
      </w:r>
      <w:hyperlink r:id="rId42" w:history="1">
        <w:r>
          <w:rPr>
            <w:rStyle w:val="Hyperlink"/>
            <w:rFonts w:asciiTheme="majorBidi" w:hAnsiTheme="majorBidi" w:cstheme="majorBidi"/>
          </w:rPr>
          <w:t>CBD/SBSTTA/26/9</w:t>
        </w:r>
      </w:hyperlink>
      <w:r>
        <w:rPr>
          <w:rFonts w:asciiTheme="majorBidi" w:hAnsiTheme="majorBidi" w:cstheme="majorBidi"/>
        </w:rPr>
        <w:t>.</w:t>
      </w:r>
    </w:p>
  </w:footnote>
  <w:footnote w:id="81">
    <w:p w14:paraId="34DCE28F" w14:textId="14C866B9" w:rsidR="0070457B" w:rsidRPr="008E1212" w:rsidRDefault="0070457B">
      <w:pPr>
        <w:pStyle w:val="FootnoteText"/>
      </w:pPr>
      <w:r>
        <w:rPr>
          <w:rStyle w:val="FootnoteReference"/>
        </w:rPr>
        <w:footnoteRef/>
      </w:r>
      <w:r>
        <w:t xml:space="preserve"> </w:t>
      </w:r>
      <w:hyperlink r:id="rId43" w:history="1">
        <w:r>
          <w:rPr>
            <w:rStyle w:val="Hyperlink"/>
            <w:snapToGrid w:val="0"/>
            <w:kern w:val="22"/>
            <w:szCs w:val="22"/>
          </w:rPr>
          <w:t>CBD/SBI/4/17</w:t>
        </w:r>
      </w:hyperlink>
      <w:r>
        <w:rPr>
          <w:snapToGrid w:val="0"/>
          <w:kern w:val="22"/>
          <w:szCs w:val="22"/>
        </w:rPr>
        <w:t xml:space="preserve"> et </w:t>
      </w:r>
      <w:hyperlink r:id="rId44" w:history="1">
        <w:r>
          <w:rPr>
            <w:rStyle w:val="Hyperlink"/>
            <w:rFonts w:asciiTheme="majorBidi" w:hAnsiTheme="majorBidi" w:cstheme="majorBidi"/>
          </w:rPr>
          <w:t>CBD/SBI/5/4</w:t>
        </w:r>
      </w:hyperlink>
      <w:r>
        <w:rPr>
          <w:rFonts w:asciiTheme="majorBidi" w:hAnsiTheme="majorBidi" w:cstheme="majorBidi"/>
        </w:rPr>
        <w:t>, respectivement.</w:t>
      </w:r>
    </w:p>
  </w:footnote>
  <w:footnote w:id="82">
    <w:p w14:paraId="4589786E" w14:textId="0DF71709" w:rsidR="00207B7C" w:rsidRPr="00787A27" w:rsidRDefault="00207B7C">
      <w:pPr>
        <w:pStyle w:val="FootnoteText"/>
        <w:rPr>
          <w:lang w:val="en-CA"/>
        </w:rPr>
      </w:pPr>
      <w:r>
        <w:rPr>
          <w:rStyle w:val="FootnoteReference"/>
        </w:rPr>
        <w:footnoteRef/>
      </w:r>
      <w:r w:rsidRPr="00787A27">
        <w:rPr>
          <w:lang w:val="en-CA"/>
        </w:rPr>
        <w:t xml:space="preserve"> </w:t>
      </w:r>
      <w:hyperlink r:id="rId45" w:history="1">
        <w:r w:rsidRPr="00787A27">
          <w:rPr>
            <w:rStyle w:val="Hyperlink"/>
            <w:lang w:val="en-CA"/>
          </w:rPr>
          <w:t>CBD/CP/MOP/11/2</w:t>
        </w:r>
      </w:hyperlink>
      <w:r w:rsidRPr="00787A27">
        <w:rPr>
          <w:lang w:val="en-CA"/>
        </w:rPr>
        <w:t>, point 5.</w:t>
      </w:r>
    </w:p>
  </w:footnote>
  <w:footnote w:id="83">
    <w:p w14:paraId="5ACA3C43" w14:textId="2963361E" w:rsidR="004E0973" w:rsidRPr="00787A27" w:rsidRDefault="004E0973">
      <w:pPr>
        <w:pStyle w:val="FootnoteText"/>
        <w:rPr>
          <w:lang w:val="en-CA"/>
        </w:rPr>
      </w:pPr>
      <w:r>
        <w:rPr>
          <w:rStyle w:val="FootnoteReference"/>
        </w:rPr>
        <w:footnoteRef/>
      </w:r>
      <w:r w:rsidRPr="00787A27">
        <w:rPr>
          <w:lang w:val="en-CA"/>
        </w:rPr>
        <w:t xml:space="preserve"> </w:t>
      </w:r>
      <w:hyperlink r:id="rId46" w:history="1">
        <w:r w:rsidRPr="00787A27">
          <w:rPr>
            <w:rStyle w:val="Hyperlink"/>
            <w:rFonts w:asciiTheme="majorBidi" w:eastAsia="MS Mincho" w:hAnsiTheme="majorBidi" w:cstheme="majorBidi"/>
            <w:lang w:val="en-CA"/>
          </w:rPr>
          <w:t>CBD/CP/MOP/11/3</w:t>
        </w:r>
      </w:hyperlink>
      <w:r w:rsidRPr="00787A27">
        <w:rPr>
          <w:rFonts w:asciiTheme="majorBidi" w:eastAsia="MS Mincho" w:hAnsiTheme="majorBidi" w:cstheme="majorBidi"/>
          <w:color w:val="000000" w:themeColor="text1"/>
          <w:lang w:val="en-CA"/>
        </w:rPr>
        <w:t>.</w:t>
      </w:r>
    </w:p>
  </w:footnote>
  <w:footnote w:id="84">
    <w:p w14:paraId="1B6EAD4E" w14:textId="3CEA282D" w:rsidR="008B291B" w:rsidRPr="00787A27" w:rsidRDefault="008B291B" w:rsidP="008B291B">
      <w:pPr>
        <w:pStyle w:val="FootnoteText"/>
        <w:rPr>
          <w:lang w:val="en-CA"/>
        </w:rPr>
      </w:pPr>
      <w:r>
        <w:rPr>
          <w:rStyle w:val="FootnoteReference"/>
        </w:rPr>
        <w:footnoteRef/>
      </w:r>
      <w:r w:rsidRPr="00787A27">
        <w:rPr>
          <w:lang w:val="en-CA"/>
        </w:rPr>
        <w:t xml:space="preserve"> </w:t>
      </w:r>
      <w:hyperlink r:id="rId47" w:history="1">
        <w:r w:rsidRPr="00787A27">
          <w:rPr>
            <w:rStyle w:val="Hyperlink"/>
            <w:lang w:val="en-CA"/>
          </w:rPr>
          <w:t>CBD/CP/MOP/11/INF/2</w:t>
        </w:r>
      </w:hyperlink>
      <w:r w:rsidRPr="00787A27">
        <w:rPr>
          <w:lang w:val="en-CA"/>
        </w:rPr>
        <w:t>.</w:t>
      </w:r>
    </w:p>
  </w:footnote>
  <w:footnote w:id="85">
    <w:p w14:paraId="44746D5E" w14:textId="07C139BA" w:rsidR="00BF4643" w:rsidRPr="00787A27" w:rsidRDefault="00BF4643">
      <w:pPr>
        <w:pStyle w:val="FootnoteText"/>
        <w:rPr>
          <w:lang w:val="en-CA"/>
        </w:rPr>
      </w:pPr>
      <w:r>
        <w:rPr>
          <w:rStyle w:val="FootnoteReference"/>
        </w:rPr>
        <w:footnoteRef/>
      </w:r>
      <w:r w:rsidRPr="00787A27">
        <w:rPr>
          <w:lang w:val="en-CA"/>
        </w:rPr>
        <w:t xml:space="preserve"> </w:t>
      </w:r>
      <w:hyperlink r:id="rId48" w:history="1">
        <w:r w:rsidRPr="00787A27">
          <w:rPr>
            <w:rStyle w:val="Hyperlink"/>
            <w:snapToGrid w:val="0"/>
            <w:lang w:val="en-CA"/>
          </w:rPr>
          <w:t>CBD/COP/16/4/Add.1</w:t>
        </w:r>
      </w:hyperlink>
      <w:r w:rsidRPr="00787A27">
        <w:rPr>
          <w:snapToGrid w:val="0"/>
          <w:lang w:val="en-CA"/>
        </w:rPr>
        <w:t>, point 7.</w:t>
      </w:r>
      <w:r w:rsidRPr="00787A27">
        <w:rPr>
          <w:lang w:val="en-CA"/>
        </w:rPr>
        <w:t xml:space="preserve"> </w:t>
      </w:r>
    </w:p>
  </w:footnote>
  <w:footnote w:id="86">
    <w:p w14:paraId="5DD8E1E7" w14:textId="6495011F" w:rsidR="007E2135" w:rsidRPr="00787A27" w:rsidRDefault="007E2135">
      <w:pPr>
        <w:pStyle w:val="FootnoteText"/>
        <w:rPr>
          <w:lang w:val="en-CA"/>
        </w:rPr>
      </w:pPr>
      <w:r>
        <w:rPr>
          <w:rStyle w:val="FootnoteReference"/>
        </w:rPr>
        <w:footnoteRef/>
      </w:r>
      <w:r w:rsidRPr="00787A27">
        <w:rPr>
          <w:lang w:val="en-CA"/>
        </w:rPr>
        <w:t xml:space="preserve"> </w:t>
      </w:r>
      <w:hyperlink r:id="rId49" w:history="1">
        <w:r w:rsidRPr="00787A27">
          <w:rPr>
            <w:rStyle w:val="Hyperlink"/>
            <w:snapToGrid w:val="0"/>
            <w:lang w:val="en-CA"/>
          </w:rPr>
          <w:t>CBD/CP/MOP/11/4</w:t>
        </w:r>
      </w:hyperlink>
      <w:r w:rsidRPr="00787A27">
        <w:rPr>
          <w:snapToGrid w:val="0"/>
          <w:lang w:val="en-CA"/>
        </w:rPr>
        <w:t>.</w:t>
      </w:r>
    </w:p>
  </w:footnote>
  <w:footnote w:id="87">
    <w:p w14:paraId="701F75B7" w14:textId="31B0E3D3" w:rsidR="007E2135" w:rsidRPr="00787A27" w:rsidRDefault="007E2135">
      <w:pPr>
        <w:pStyle w:val="FootnoteText"/>
        <w:rPr>
          <w:lang w:val="en-CA"/>
        </w:rPr>
      </w:pPr>
      <w:r>
        <w:rPr>
          <w:rStyle w:val="FootnoteReference"/>
        </w:rPr>
        <w:footnoteRef/>
      </w:r>
      <w:r w:rsidRPr="00787A27">
        <w:rPr>
          <w:lang w:val="en-CA"/>
        </w:rPr>
        <w:t xml:space="preserve"> </w:t>
      </w:r>
      <w:hyperlink r:id="rId50" w:history="1">
        <w:r w:rsidRPr="00787A27">
          <w:rPr>
            <w:rStyle w:val="Hyperlink"/>
            <w:snapToGrid w:val="0"/>
            <w:lang w:val="en-CA"/>
          </w:rPr>
          <w:t>CBD/CP/MOP/11/5</w:t>
        </w:r>
      </w:hyperlink>
      <w:r w:rsidRPr="00787A27">
        <w:rPr>
          <w:snapToGrid w:val="0"/>
          <w:lang w:val="en-CA"/>
        </w:rPr>
        <w:t>.</w:t>
      </w:r>
    </w:p>
  </w:footnote>
  <w:footnote w:id="88">
    <w:p w14:paraId="5EA8748F" w14:textId="2FB65F62" w:rsidR="006F0978" w:rsidRPr="00787A27" w:rsidRDefault="006F0978" w:rsidP="006F0978">
      <w:pPr>
        <w:pStyle w:val="FootnoteText"/>
        <w:rPr>
          <w:lang w:val="en-CA"/>
        </w:rPr>
      </w:pPr>
      <w:r>
        <w:rPr>
          <w:rStyle w:val="FootnoteReference"/>
        </w:rPr>
        <w:footnoteRef/>
      </w:r>
      <w:r w:rsidRPr="00787A27">
        <w:rPr>
          <w:lang w:val="en-CA"/>
        </w:rPr>
        <w:t xml:space="preserve"> </w:t>
      </w:r>
      <w:hyperlink r:id="rId51" w:history="1">
        <w:r w:rsidRPr="00787A27">
          <w:rPr>
            <w:rStyle w:val="Hyperlink"/>
            <w:lang w:val="en-CA"/>
          </w:rPr>
          <w:t>CBD/CP/MOP/11/5/Add.1</w:t>
        </w:r>
      </w:hyperlink>
      <w:r w:rsidRPr="00787A27">
        <w:rPr>
          <w:lang w:val="en-CA"/>
        </w:rPr>
        <w:t>.</w:t>
      </w:r>
    </w:p>
  </w:footnote>
  <w:footnote w:id="89">
    <w:p w14:paraId="7E11290E" w14:textId="45FA492E" w:rsidR="005177C0" w:rsidRPr="00787A27" w:rsidRDefault="005177C0">
      <w:pPr>
        <w:pStyle w:val="FootnoteText"/>
        <w:rPr>
          <w:lang w:val="en-CA"/>
        </w:rPr>
      </w:pPr>
      <w:r>
        <w:rPr>
          <w:rStyle w:val="FootnoteReference"/>
        </w:rPr>
        <w:footnoteRef/>
      </w:r>
      <w:r w:rsidRPr="00787A27">
        <w:rPr>
          <w:lang w:val="en-CA"/>
        </w:rPr>
        <w:t xml:space="preserve"> </w:t>
      </w:r>
      <w:hyperlink r:id="rId52" w:history="1">
        <w:r w:rsidRPr="00787A27">
          <w:rPr>
            <w:rStyle w:val="Hyperlink"/>
            <w:rFonts w:asciiTheme="majorBidi" w:eastAsia="MS Mincho" w:hAnsiTheme="majorBidi" w:cstheme="majorBidi"/>
            <w:kern w:val="22"/>
            <w:lang w:val="en-CA"/>
          </w:rPr>
          <w:t>CBD/CP/MOP/11/5/Add.2</w:t>
        </w:r>
      </w:hyperlink>
      <w:r w:rsidRPr="00787A27">
        <w:rPr>
          <w:rFonts w:asciiTheme="majorBidi" w:eastAsia="MS Mincho" w:hAnsiTheme="majorBidi" w:cstheme="majorBidi"/>
          <w:color w:val="000000"/>
          <w:kern w:val="22"/>
          <w:lang w:val="en-CA"/>
        </w:rPr>
        <w:t>.</w:t>
      </w:r>
    </w:p>
  </w:footnote>
  <w:footnote w:id="90">
    <w:p w14:paraId="42F6AFF7" w14:textId="6AB368C2" w:rsidR="000D47B5" w:rsidRPr="00787A27" w:rsidRDefault="000D47B5">
      <w:pPr>
        <w:pStyle w:val="FootnoteText"/>
        <w:rPr>
          <w:lang w:val="en-CA"/>
        </w:rPr>
      </w:pPr>
      <w:r>
        <w:rPr>
          <w:rStyle w:val="FootnoteReference"/>
        </w:rPr>
        <w:footnoteRef/>
      </w:r>
      <w:r w:rsidRPr="00787A27">
        <w:rPr>
          <w:lang w:val="en-CA"/>
        </w:rPr>
        <w:t xml:space="preserve"> </w:t>
      </w:r>
      <w:hyperlink r:id="rId53" w:history="1">
        <w:r w:rsidRPr="00787A27">
          <w:rPr>
            <w:rStyle w:val="Hyperlink"/>
            <w:lang w:val="en-CA"/>
          </w:rPr>
          <w:t>CBD/CP/MOP/11/2</w:t>
        </w:r>
      </w:hyperlink>
      <w:r w:rsidRPr="00787A27">
        <w:rPr>
          <w:lang w:val="en-CA"/>
        </w:rPr>
        <w:t xml:space="preserve">, point 7. </w:t>
      </w:r>
    </w:p>
  </w:footnote>
  <w:footnote w:id="91">
    <w:p w14:paraId="4282FC8B" w14:textId="7F72B317" w:rsidR="000363D0" w:rsidRPr="00787A27" w:rsidRDefault="000363D0" w:rsidP="000363D0">
      <w:pPr>
        <w:pStyle w:val="FootnoteText"/>
        <w:rPr>
          <w:lang w:val="en-CA"/>
        </w:rPr>
      </w:pPr>
      <w:r>
        <w:rPr>
          <w:rStyle w:val="FootnoteReference"/>
        </w:rPr>
        <w:footnoteRef/>
      </w:r>
      <w:r w:rsidRPr="00787A27">
        <w:rPr>
          <w:lang w:val="en-CA"/>
        </w:rPr>
        <w:t xml:space="preserve"> </w:t>
      </w:r>
      <w:hyperlink r:id="rId54" w:history="1">
        <w:r w:rsidRPr="00787A27">
          <w:rPr>
            <w:rStyle w:val="Hyperlink"/>
            <w:lang w:val="en-CA"/>
          </w:rPr>
          <w:t>CBD/CP/MOP/11/6</w:t>
        </w:r>
      </w:hyperlink>
      <w:r w:rsidRPr="00787A27">
        <w:rPr>
          <w:lang w:val="en-CA"/>
        </w:rPr>
        <w:t>.</w:t>
      </w:r>
    </w:p>
  </w:footnote>
  <w:footnote w:id="92">
    <w:p w14:paraId="2F97A1A1" w14:textId="5E452A20" w:rsidR="00740991" w:rsidRPr="00787A27" w:rsidRDefault="00740991">
      <w:pPr>
        <w:pStyle w:val="FootnoteText"/>
        <w:rPr>
          <w:lang w:val="en-CA"/>
        </w:rPr>
      </w:pPr>
      <w:r>
        <w:rPr>
          <w:rStyle w:val="FootnoteReference"/>
        </w:rPr>
        <w:footnoteRef/>
      </w:r>
      <w:r w:rsidRPr="00787A27">
        <w:rPr>
          <w:lang w:val="en-CA"/>
        </w:rPr>
        <w:t xml:space="preserve"> </w:t>
      </w:r>
      <w:hyperlink r:id="rId55" w:history="1">
        <w:r w:rsidRPr="00787A27">
          <w:rPr>
            <w:rStyle w:val="Hyperlink"/>
            <w:lang w:val="en-CA"/>
          </w:rPr>
          <w:t>CBD/CP/MOP/11/2</w:t>
        </w:r>
      </w:hyperlink>
      <w:r w:rsidRPr="00787A27">
        <w:rPr>
          <w:lang w:val="en-CA"/>
        </w:rPr>
        <w:t xml:space="preserve">, point 8. </w:t>
      </w:r>
    </w:p>
  </w:footnote>
  <w:footnote w:id="93">
    <w:p w14:paraId="00124BCD" w14:textId="3CB5FD5F" w:rsidR="007A6DE7" w:rsidRPr="00787A27" w:rsidRDefault="007A6DE7" w:rsidP="007A6DE7">
      <w:pPr>
        <w:pStyle w:val="FootnoteText"/>
        <w:rPr>
          <w:lang w:val="en-CA"/>
        </w:rPr>
      </w:pPr>
      <w:r>
        <w:rPr>
          <w:rStyle w:val="FootnoteReference"/>
        </w:rPr>
        <w:footnoteRef/>
      </w:r>
      <w:r w:rsidRPr="00787A27">
        <w:rPr>
          <w:lang w:val="en-CA"/>
        </w:rPr>
        <w:t xml:space="preserve"> </w:t>
      </w:r>
      <w:hyperlink r:id="rId56" w:history="1">
        <w:r w:rsidRPr="00787A27">
          <w:rPr>
            <w:rStyle w:val="Hyperlink"/>
            <w:lang w:val="en-CA"/>
          </w:rPr>
          <w:t>CBD/CP/MOP/11/7</w:t>
        </w:r>
      </w:hyperlink>
      <w:r w:rsidRPr="00787A27">
        <w:rPr>
          <w:lang w:val="en-CA"/>
        </w:rPr>
        <w:t>.</w:t>
      </w:r>
    </w:p>
  </w:footnote>
  <w:footnote w:id="94">
    <w:p w14:paraId="1D10E455" w14:textId="45D88B6B" w:rsidR="00FD13CC" w:rsidRPr="00787A27" w:rsidRDefault="00FD13CC" w:rsidP="00FD13CC">
      <w:pPr>
        <w:pStyle w:val="FootnoteText"/>
        <w:rPr>
          <w:lang w:val="en-CA"/>
        </w:rPr>
      </w:pPr>
      <w:r>
        <w:rPr>
          <w:rStyle w:val="FootnoteReference"/>
        </w:rPr>
        <w:footnoteRef/>
      </w:r>
      <w:r w:rsidRPr="00787A27">
        <w:rPr>
          <w:lang w:val="en-CA"/>
        </w:rPr>
        <w:t xml:space="preserve"> </w:t>
      </w:r>
      <w:hyperlink r:id="rId57" w:history="1">
        <w:r w:rsidRPr="00787A27">
          <w:rPr>
            <w:rStyle w:val="Hyperlink"/>
            <w:lang w:val="en-CA"/>
          </w:rPr>
          <w:t>CBD/CP/MOP/11/8/Rev.1</w:t>
        </w:r>
      </w:hyperlink>
      <w:r w:rsidRPr="00787A27">
        <w:rPr>
          <w:lang w:val="en-CA"/>
        </w:rPr>
        <w:t>.</w:t>
      </w:r>
    </w:p>
  </w:footnote>
  <w:footnote w:id="95">
    <w:p w14:paraId="635F003A" w14:textId="7D4C3D0A" w:rsidR="00F65A81" w:rsidRPr="00787A27" w:rsidRDefault="00F65A81">
      <w:pPr>
        <w:pStyle w:val="FootnoteText"/>
        <w:rPr>
          <w:lang w:val="en-CA"/>
        </w:rPr>
      </w:pPr>
      <w:r>
        <w:rPr>
          <w:rStyle w:val="FootnoteReference"/>
        </w:rPr>
        <w:footnoteRef/>
      </w:r>
      <w:r w:rsidRPr="00787A27">
        <w:rPr>
          <w:lang w:val="en-CA"/>
        </w:rPr>
        <w:t xml:space="preserve"> </w:t>
      </w:r>
      <w:hyperlink r:id="rId58" w:history="1">
        <w:r w:rsidRPr="00787A27">
          <w:rPr>
            <w:rStyle w:val="Hyperlink"/>
            <w:lang w:val="en-CA"/>
          </w:rPr>
          <w:t>CBD/CP/MOP/11/2</w:t>
        </w:r>
      </w:hyperlink>
      <w:r w:rsidRPr="00787A27">
        <w:rPr>
          <w:lang w:val="en-CA"/>
        </w:rPr>
        <w:t xml:space="preserve">, point 10. </w:t>
      </w:r>
    </w:p>
  </w:footnote>
  <w:footnote w:id="96">
    <w:p w14:paraId="49A10FA8" w14:textId="2BB951D5" w:rsidR="008249AA" w:rsidRPr="00787A27" w:rsidRDefault="008249AA">
      <w:pPr>
        <w:pStyle w:val="FootnoteText"/>
        <w:rPr>
          <w:lang w:val="en-CA"/>
        </w:rPr>
      </w:pPr>
      <w:r>
        <w:rPr>
          <w:rStyle w:val="FootnoteReference"/>
        </w:rPr>
        <w:footnoteRef/>
      </w:r>
      <w:r w:rsidRPr="00787A27">
        <w:rPr>
          <w:lang w:val="en-CA"/>
        </w:rPr>
        <w:t>Ibid., point 11.</w:t>
      </w:r>
    </w:p>
  </w:footnote>
  <w:footnote w:id="97">
    <w:p w14:paraId="32DABCC5" w14:textId="19A9AEEF" w:rsidR="000D4E61" w:rsidRPr="00787A27" w:rsidRDefault="000D4E61" w:rsidP="000D4E61">
      <w:pPr>
        <w:pStyle w:val="FootnoteText"/>
        <w:rPr>
          <w:lang w:val="en-CA"/>
        </w:rPr>
      </w:pPr>
      <w:r>
        <w:rPr>
          <w:rStyle w:val="FootnoteReference"/>
        </w:rPr>
        <w:footnoteRef/>
      </w:r>
      <w:r w:rsidRPr="00787A27">
        <w:rPr>
          <w:lang w:val="en-CA"/>
        </w:rPr>
        <w:t xml:space="preserve"> </w:t>
      </w:r>
      <w:hyperlink r:id="rId59" w:history="1">
        <w:r w:rsidRPr="00787A27">
          <w:rPr>
            <w:rStyle w:val="Hyperlink"/>
            <w:lang w:val="en-CA"/>
          </w:rPr>
          <w:t>CBD/CP/MOP/11/9</w:t>
        </w:r>
      </w:hyperlink>
      <w:r w:rsidRPr="00787A27">
        <w:rPr>
          <w:lang w:val="en-CA"/>
        </w:rPr>
        <w:t>.</w:t>
      </w:r>
    </w:p>
  </w:footnote>
  <w:footnote w:id="98">
    <w:p w14:paraId="7084734A" w14:textId="55D5DEB4" w:rsidR="00883C50" w:rsidRPr="00787A27" w:rsidRDefault="00883C50">
      <w:pPr>
        <w:pStyle w:val="FootnoteText"/>
        <w:rPr>
          <w:lang w:val="en-CA"/>
        </w:rPr>
      </w:pPr>
      <w:r>
        <w:rPr>
          <w:rStyle w:val="FootnoteReference"/>
        </w:rPr>
        <w:footnoteRef/>
      </w:r>
      <w:r w:rsidRPr="00787A27">
        <w:rPr>
          <w:lang w:val="en-CA"/>
        </w:rPr>
        <w:t xml:space="preserve"> </w:t>
      </w:r>
      <w:hyperlink r:id="rId60" w:history="1">
        <w:r w:rsidRPr="00787A27">
          <w:rPr>
            <w:rStyle w:val="Hyperlink"/>
            <w:lang w:val="en-CA"/>
          </w:rPr>
          <w:t>CBD/CP/MOP/11/2</w:t>
        </w:r>
      </w:hyperlink>
      <w:r w:rsidRPr="00787A27">
        <w:rPr>
          <w:lang w:val="en-CA"/>
        </w:rPr>
        <w:t xml:space="preserve">, point 12. </w:t>
      </w:r>
    </w:p>
  </w:footnote>
  <w:footnote w:id="99">
    <w:p w14:paraId="25D66E10" w14:textId="7F853044" w:rsidR="002550B1" w:rsidRPr="00787A27" w:rsidRDefault="002550B1">
      <w:pPr>
        <w:pStyle w:val="FootnoteText"/>
        <w:rPr>
          <w:lang w:val="en-CA"/>
        </w:rPr>
      </w:pPr>
      <w:r>
        <w:rPr>
          <w:rStyle w:val="FootnoteReference"/>
        </w:rPr>
        <w:footnoteRef/>
      </w:r>
      <w:r w:rsidRPr="00787A27">
        <w:rPr>
          <w:lang w:val="en-CA"/>
        </w:rPr>
        <w:t xml:space="preserve"> Ibid., point 13.</w:t>
      </w:r>
    </w:p>
  </w:footnote>
  <w:footnote w:id="100">
    <w:p w14:paraId="715AE107" w14:textId="2E259BEB" w:rsidR="00022AA4" w:rsidRPr="00787A27" w:rsidRDefault="00022AA4" w:rsidP="00022AA4">
      <w:pPr>
        <w:pStyle w:val="FootnoteText"/>
        <w:rPr>
          <w:lang w:val="en-CA"/>
        </w:rPr>
      </w:pPr>
      <w:r>
        <w:rPr>
          <w:rStyle w:val="FootnoteReference"/>
        </w:rPr>
        <w:footnoteRef/>
      </w:r>
      <w:r w:rsidRPr="00787A27">
        <w:rPr>
          <w:lang w:val="en-CA"/>
        </w:rPr>
        <w:t xml:space="preserve"> </w:t>
      </w:r>
      <w:hyperlink r:id="rId61" w:history="1">
        <w:r w:rsidRPr="00787A27">
          <w:rPr>
            <w:rStyle w:val="Hyperlink"/>
            <w:lang w:val="en-CA"/>
          </w:rPr>
          <w:t>CBD/CP/MOP/11/10</w:t>
        </w:r>
      </w:hyperlink>
      <w:r w:rsidRPr="00787A27">
        <w:rPr>
          <w:lang w:val="en-CA"/>
        </w:rPr>
        <w:t>.</w:t>
      </w:r>
    </w:p>
  </w:footnote>
  <w:footnote w:id="101">
    <w:p w14:paraId="07DA2B52" w14:textId="3F030B86" w:rsidR="00D40F99" w:rsidRPr="00787A27" w:rsidRDefault="00D40F99">
      <w:pPr>
        <w:pStyle w:val="FootnoteText"/>
        <w:rPr>
          <w:lang w:val="en-CA"/>
        </w:rPr>
      </w:pPr>
      <w:r>
        <w:rPr>
          <w:rStyle w:val="FootnoteReference"/>
        </w:rPr>
        <w:footnoteRef/>
      </w:r>
      <w:r w:rsidRPr="00787A27">
        <w:rPr>
          <w:lang w:val="en-CA"/>
        </w:rPr>
        <w:t xml:space="preserve"> </w:t>
      </w:r>
      <w:hyperlink r:id="rId62" w:history="1">
        <w:r w:rsidRPr="00787A27">
          <w:rPr>
            <w:rStyle w:val="Hyperlink"/>
            <w:lang w:val="en-CA"/>
          </w:rPr>
          <w:t>CBD/CP/MOP/11/2</w:t>
        </w:r>
      </w:hyperlink>
      <w:r w:rsidRPr="00787A27">
        <w:rPr>
          <w:lang w:val="en-CA"/>
        </w:rPr>
        <w:t xml:space="preserve">, point 14. </w:t>
      </w:r>
    </w:p>
  </w:footnote>
  <w:footnote w:id="102">
    <w:p w14:paraId="51D618CA" w14:textId="599DA3F0" w:rsidR="001F3A26" w:rsidRPr="00787A27" w:rsidRDefault="001F3A26" w:rsidP="001F3A26">
      <w:pPr>
        <w:pStyle w:val="FootnoteText"/>
        <w:rPr>
          <w:lang w:val="en-CA"/>
        </w:rPr>
      </w:pPr>
      <w:r>
        <w:rPr>
          <w:rStyle w:val="FootnoteReference"/>
        </w:rPr>
        <w:footnoteRef/>
      </w:r>
      <w:r w:rsidRPr="00787A27">
        <w:rPr>
          <w:lang w:val="en-CA"/>
        </w:rPr>
        <w:t xml:space="preserve"> </w:t>
      </w:r>
      <w:hyperlink r:id="rId63" w:history="1">
        <w:r w:rsidRPr="00787A27">
          <w:rPr>
            <w:rStyle w:val="Hyperlink"/>
            <w:lang w:val="en-CA"/>
          </w:rPr>
          <w:t>CBD/CP/MOP/11/11</w:t>
        </w:r>
      </w:hyperlink>
      <w:r w:rsidRPr="00787A27">
        <w:rPr>
          <w:lang w:val="en-CA"/>
        </w:rPr>
        <w:t>.</w:t>
      </w:r>
    </w:p>
  </w:footnote>
  <w:footnote w:id="103">
    <w:p w14:paraId="204D1EAD" w14:textId="1C850852" w:rsidR="007378AD" w:rsidRPr="00787A27" w:rsidRDefault="007378AD" w:rsidP="007378AD">
      <w:pPr>
        <w:pStyle w:val="FootnoteText"/>
        <w:rPr>
          <w:lang w:val="en-CA"/>
        </w:rPr>
      </w:pPr>
      <w:r w:rsidRPr="008D5D99">
        <w:rPr>
          <w:rStyle w:val="FootnoteReference"/>
        </w:rPr>
        <w:footnoteRef/>
      </w:r>
      <w:r w:rsidRPr="00787A27">
        <w:rPr>
          <w:vertAlign w:val="superscript"/>
          <w:lang w:val="en-CA"/>
        </w:rPr>
        <w:t xml:space="preserve"> </w:t>
      </w:r>
      <w:hyperlink r:id="rId64" w:history="1">
        <w:r w:rsidRPr="00787A27">
          <w:rPr>
            <w:rStyle w:val="Hyperlink"/>
            <w:kern w:val="22"/>
            <w:szCs w:val="22"/>
            <w:lang w:val="en-CA"/>
          </w:rPr>
          <w:t>CBD/</w:t>
        </w:r>
        <w:r w:rsidRPr="00787A27">
          <w:rPr>
            <w:rStyle w:val="Hyperlink"/>
            <w:kern w:val="22"/>
            <w:lang w:val="en-CA"/>
          </w:rPr>
          <w:t>C</w:t>
        </w:r>
        <w:r w:rsidRPr="00787A27">
          <w:rPr>
            <w:rStyle w:val="Hyperlink"/>
            <w:kern w:val="22"/>
            <w:szCs w:val="22"/>
            <w:lang w:val="en-CA"/>
          </w:rPr>
          <w:t>P/</w:t>
        </w:r>
        <w:r w:rsidRPr="00787A27">
          <w:rPr>
            <w:rStyle w:val="Hyperlink"/>
            <w:kern w:val="22"/>
            <w:lang w:val="en-CA"/>
          </w:rPr>
          <w:t>MOP/</w:t>
        </w:r>
        <w:r w:rsidRPr="00787A27">
          <w:rPr>
            <w:rStyle w:val="Hyperlink"/>
            <w:kern w:val="22"/>
            <w:szCs w:val="22"/>
            <w:lang w:val="en-CA"/>
          </w:rPr>
          <w:t>11/L.1/Rev.</w:t>
        </w:r>
        <w:r w:rsidRPr="00787A27">
          <w:rPr>
            <w:rStyle w:val="Hyperlink"/>
            <w:kern w:val="22"/>
            <w:lang w:val="en-CA"/>
          </w:rPr>
          <w:t>1</w:t>
        </w:r>
      </w:hyperlink>
      <w:r w:rsidRPr="00787A27">
        <w:rPr>
          <w:kern w:val="22"/>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5" w:name="_Hlk137802784"/>
  <w:bookmarkStart w:id="86" w:name="_Hlk137802785"/>
  <w:p w14:paraId="2F8A26D5" w14:textId="4D4DDFEF" w:rsidR="002B559C" w:rsidRPr="00AA1338"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67D43">
          <w:rPr>
            <w:sz w:val="20"/>
            <w:szCs w:val="20"/>
          </w:rPr>
          <w:t>CBD/CP/MOP/11/12</w:t>
        </w:r>
      </w:sdtContent>
    </w:sdt>
    <w:bookmarkEnd w:id="85"/>
    <w:bookmarkEnd w:id="8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3F94B1EF" w:rsidR="002B559C" w:rsidRPr="00AA1338" w:rsidRDefault="00F67D43" w:rsidP="002B559C">
        <w:pPr>
          <w:pBdr>
            <w:bottom w:val="single" w:sz="4" w:space="1" w:color="auto"/>
          </w:pBdr>
          <w:spacing w:after="240"/>
          <w:jc w:val="right"/>
          <w:rPr>
            <w:sz w:val="20"/>
            <w:szCs w:val="20"/>
          </w:rPr>
        </w:pPr>
        <w:r>
          <w:rPr>
            <w:sz w:val="20"/>
            <w:szCs w:val="20"/>
          </w:rPr>
          <w:t>CBD/CP/MOP/11/12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4B552A" w:rsidRPr="00AA1338" w:rsidRDefault="004B552A" w:rsidP="004B552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7"/>
  </w:num>
  <w:num w:numId="2" w16cid:durableId="2105613923">
    <w:abstractNumId w:val="0"/>
  </w:num>
  <w:num w:numId="3" w16cid:durableId="519390554">
    <w:abstractNumId w:val="2"/>
  </w:num>
  <w:num w:numId="4" w16cid:durableId="1072390599">
    <w:abstractNumId w:val="6"/>
  </w:num>
  <w:num w:numId="5" w16cid:durableId="960385107">
    <w:abstractNumId w:val="1"/>
  </w:num>
  <w:num w:numId="6" w16cid:durableId="893932166">
    <w:abstractNumId w:val="5"/>
  </w:num>
  <w:num w:numId="7" w16cid:durableId="323945383">
    <w:abstractNumId w:val="4"/>
  </w:num>
  <w:num w:numId="8"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88058353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0305201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979918665">
    <w:abstractNumId w:val="3"/>
  </w:num>
  <w:num w:numId="12" w16cid:durableId="3105978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699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9843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58977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F8"/>
    <w:rsid w:val="000008AD"/>
    <w:rsid w:val="000009D1"/>
    <w:rsid w:val="00000B1F"/>
    <w:rsid w:val="00000FDC"/>
    <w:rsid w:val="000011AB"/>
    <w:rsid w:val="00001250"/>
    <w:rsid w:val="00002B05"/>
    <w:rsid w:val="00003E20"/>
    <w:rsid w:val="00004DAA"/>
    <w:rsid w:val="00004F91"/>
    <w:rsid w:val="00005AFF"/>
    <w:rsid w:val="00005BCE"/>
    <w:rsid w:val="000103F2"/>
    <w:rsid w:val="00010727"/>
    <w:rsid w:val="00010881"/>
    <w:rsid w:val="00011450"/>
    <w:rsid w:val="00012DE3"/>
    <w:rsid w:val="00013DB2"/>
    <w:rsid w:val="00014A86"/>
    <w:rsid w:val="000163D9"/>
    <w:rsid w:val="00016AA5"/>
    <w:rsid w:val="00016B57"/>
    <w:rsid w:val="0001715E"/>
    <w:rsid w:val="000174F9"/>
    <w:rsid w:val="00017B5D"/>
    <w:rsid w:val="00020E2E"/>
    <w:rsid w:val="00022AA4"/>
    <w:rsid w:val="0002373F"/>
    <w:rsid w:val="000243FD"/>
    <w:rsid w:val="0002491C"/>
    <w:rsid w:val="00024982"/>
    <w:rsid w:val="00025E82"/>
    <w:rsid w:val="000300DB"/>
    <w:rsid w:val="000301D9"/>
    <w:rsid w:val="00030465"/>
    <w:rsid w:val="00030AC4"/>
    <w:rsid w:val="0003203C"/>
    <w:rsid w:val="00033DB3"/>
    <w:rsid w:val="000346FF"/>
    <w:rsid w:val="00034A4C"/>
    <w:rsid w:val="00035500"/>
    <w:rsid w:val="000363D0"/>
    <w:rsid w:val="00040598"/>
    <w:rsid w:val="00040D0B"/>
    <w:rsid w:val="0004115E"/>
    <w:rsid w:val="00041AC8"/>
    <w:rsid w:val="00042345"/>
    <w:rsid w:val="0004334E"/>
    <w:rsid w:val="00043CF0"/>
    <w:rsid w:val="00043E83"/>
    <w:rsid w:val="000448CB"/>
    <w:rsid w:val="000456E7"/>
    <w:rsid w:val="00045A72"/>
    <w:rsid w:val="00047D4D"/>
    <w:rsid w:val="000501ED"/>
    <w:rsid w:val="00051B37"/>
    <w:rsid w:val="00051B8E"/>
    <w:rsid w:val="000527FE"/>
    <w:rsid w:val="0005487B"/>
    <w:rsid w:val="000579E1"/>
    <w:rsid w:val="00057A92"/>
    <w:rsid w:val="00060111"/>
    <w:rsid w:val="00060BCD"/>
    <w:rsid w:val="00060C68"/>
    <w:rsid w:val="00062CC1"/>
    <w:rsid w:val="00064EBA"/>
    <w:rsid w:val="00064F64"/>
    <w:rsid w:val="00065326"/>
    <w:rsid w:val="0006532F"/>
    <w:rsid w:val="0006715F"/>
    <w:rsid w:val="00067189"/>
    <w:rsid w:val="000709B6"/>
    <w:rsid w:val="00070EAC"/>
    <w:rsid w:val="0007149A"/>
    <w:rsid w:val="000714E6"/>
    <w:rsid w:val="0007157A"/>
    <w:rsid w:val="00074C6C"/>
    <w:rsid w:val="00075376"/>
    <w:rsid w:val="00075B94"/>
    <w:rsid w:val="00075DDE"/>
    <w:rsid w:val="00076608"/>
    <w:rsid w:val="00076AD4"/>
    <w:rsid w:val="00080196"/>
    <w:rsid w:val="00080541"/>
    <w:rsid w:val="000824B8"/>
    <w:rsid w:val="000830F6"/>
    <w:rsid w:val="00083650"/>
    <w:rsid w:val="00083FD2"/>
    <w:rsid w:val="00084459"/>
    <w:rsid w:val="00084964"/>
    <w:rsid w:val="00086066"/>
    <w:rsid w:val="00086406"/>
    <w:rsid w:val="0008720D"/>
    <w:rsid w:val="00090089"/>
    <w:rsid w:val="000903A7"/>
    <w:rsid w:val="00092A78"/>
    <w:rsid w:val="00093ADA"/>
    <w:rsid w:val="000944AD"/>
    <w:rsid w:val="000953AE"/>
    <w:rsid w:val="00095616"/>
    <w:rsid w:val="00096D69"/>
    <w:rsid w:val="00096E44"/>
    <w:rsid w:val="000976E3"/>
    <w:rsid w:val="000A0B73"/>
    <w:rsid w:val="000A0CE9"/>
    <w:rsid w:val="000A14EA"/>
    <w:rsid w:val="000A1749"/>
    <w:rsid w:val="000A1BC6"/>
    <w:rsid w:val="000A1C3D"/>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3DE5"/>
    <w:rsid w:val="000B433B"/>
    <w:rsid w:val="000B4DFE"/>
    <w:rsid w:val="000B4E83"/>
    <w:rsid w:val="000B5262"/>
    <w:rsid w:val="000B5D52"/>
    <w:rsid w:val="000B6714"/>
    <w:rsid w:val="000B69D1"/>
    <w:rsid w:val="000B734B"/>
    <w:rsid w:val="000C180C"/>
    <w:rsid w:val="000C25A0"/>
    <w:rsid w:val="000C25A5"/>
    <w:rsid w:val="000C25DE"/>
    <w:rsid w:val="000C2759"/>
    <w:rsid w:val="000C34E1"/>
    <w:rsid w:val="000C4370"/>
    <w:rsid w:val="000C54F7"/>
    <w:rsid w:val="000C74F9"/>
    <w:rsid w:val="000D16A5"/>
    <w:rsid w:val="000D47B5"/>
    <w:rsid w:val="000D4E61"/>
    <w:rsid w:val="000D4F1B"/>
    <w:rsid w:val="000D648B"/>
    <w:rsid w:val="000D6591"/>
    <w:rsid w:val="000D6B03"/>
    <w:rsid w:val="000D6E91"/>
    <w:rsid w:val="000E1404"/>
    <w:rsid w:val="000E1810"/>
    <w:rsid w:val="000E3CF8"/>
    <w:rsid w:val="000E3DAB"/>
    <w:rsid w:val="000E4CCD"/>
    <w:rsid w:val="000E4D43"/>
    <w:rsid w:val="000E705B"/>
    <w:rsid w:val="000E7539"/>
    <w:rsid w:val="000E7BA0"/>
    <w:rsid w:val="000E7F83"/>
    <w:rsid w:val="000F054D"/>
    <w:rsid w:val="000F0E94"/>
    <w:rsid w:val="000F16F9"/>
    <w:rsid w:val="000F1F57"/>
    <w:rsid w:val="000F3090"/>
    <w:rsid w:val="000F50AB"/>
    <w:rsid w:val="000F5346"/>
    <w:rsid w:val="000F55B7"/>
    <w:rsid w:val="000F5F1C"/>
    <w:rsid w:val="000F62E0"/>
    <w:rsid w:val="000F6361"/>
    <w:rsid w:val="000F6DE9"/>
    <w:rsid w:val="000F6FBB"/>
    <w:rsid w:val="000F70FA"/>
    <w:rsid w:val="000F7213"/>
    <w:rsid w:val="000F773B"/>
    <w:rsid w:val="000F7F8A"/>
    <w:rsid w:val="0010053F"/>
    <w:rsid w:val="00102F79"/>
    <w:rsid w:val="001038CE"/>
    <w:rsid w:val="00103ED5"/>
    <w:rsid w:val="00105299"/>
    <w:rsid w:val="00105E1E"/>
    <w:rsid w:val="00106AD0"/>
    <w:rsid w:val="00112162"/>
    <w:rsid w:val="00112CC6"/>
    <w:rsid w:val="001137E6"/>
    <w:rsid w:val="00113BD7"/>
    <w:rsid w:val="0011497F"/>
    <w:rsid w:val="00114EA8"/>
    <w:rsid w:val="00115329"/>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64D5"/>
    <w:rsid w:val="00126769"/>
    <w:rsid w:val="00126B99"/>
    <w:rsid w:val="001274B6"/>
    <w:rsid w:val="00127EE6"/>
    <w:rsid w:val="00127F29"/>
    <w:rsid w:val="00131910"/>
    <w:rsid w:val="00132581"/>
    <w:rsid w:val="00132C81"/>
    <w:rsid w:val="00133DC2"/>
    <w:rsid w:val="001346B3"/>
    <w:rsid w:val="00136F8A"/>
    <w:rsid w:val="00137121"/>
    <w:rsid w:val="00140021"/>
    <w:rsid w:val="0014075A"/>
    <w:rsid w:val="00141BBA"/>
    <w:rsid w:val="00143C7A"/>
    <w:rsid w:val="00146559"/>
    <w:rsid w:val="0014784B"/>
    <w:rsid w:val="001478D9"/>
    <w:rsid w:val="00147CE6"/>
    <w:rsid w:val="00147DF8"/>
    <w:rsid w:val="00151C26"/>
    <w:rsid w:val="00152821"/>
    <w:rsid w:val="001531BD"/>
    <w:rsid w:val="00153EAE"/>
    <w:rsid w:val="0015441A"/>
    <w:rsid w:val="00154D76"/>
    <w:rsid w:val="001558EC"/>
    <w:rsid w:val="00155DD1"/>
    <w:rsid w:val="0015660B"/>
    <w:rsid w:val="00156EBD"/>
    <w:rsid w:val="00157F6F"/>
    <w:rsid w:val="0016094A"/>
    <w:rsid w:val="00162592"/>
    <w:rsid w:val="001632C7"/>
    <w:rsid w:val="001633F8"/>
    <w:rsid w:val="00163993"/>
    <w:rsid w:val="00163D1D"/>
    <w:rsid w:val="00164246"/>
    <w:rsid w:val="001655E7"/>
    <w:rsid w:val="00165881"/>
    <w:rsid w:val="001660AD"/>
    <w:rsid w:val="00167F60"/>
    <w:rsid w:val="00171C6C"/>
    <w:rsid w:val="00171C84"/>
    <w:rsid w:val="001723F2"/>
    <w:rsid w:val="001729CC"/>
    <w:rsid w:val="00173260"/>
    <w:rsid w:val="001736CA"/>
    <w:rsid w:val="00173D88"/>
    <w:rsid w:val="00174869"/>
    <w:rsid w:val="00174920"/>
    <w:rsid w:val="00174C69"/>
    <w:rsid w:val="00174DC4"/>
    <w:rsid w:val="00175744"/>
    <w:rsid w:val="0017633A"/>
    <w:rsid w:val="00176EF3"/>
    <w:rsid w:val="0017742C"/>
    <w:rsid w:val="00181ECE"/>
    <w:rsid w:val="00182866"/>
    <w:rsid w:val="0018355D"/>
    <w:rsid w:val="00183BB7"/>
    <w:rsid w:val="001842F0"/>
    <w:rsid w:val="00184909"/>
    <w:rsid w:val="00185D1B"/>
    <w:rsid w:val="00187E36"/>
    <w:rsid w:val="00190A94"/>
    <w:rsid w:val="00191171"/>
    <w:rsid w:val="00191520"/>
    <w:rsid w:val="001919AF"/>
    <w:rsid w:val="00191B8B"/>
    <w:rsid w:val="00191C16"/>
    <w:rsid w:val="00193052"/>
    <w:rsid w:val="00193CB8"/>
    <w:rsid w:val="00195B0E"/>
    <w:rsid w:val="00195E09"/>
    <w:rsid w:val="00195FE4"/>
    <w:rsid w:val="0019772A"/>
    <w:rsid w:val="00197820"/>
    <w:rsid w:val="001A0034"/>
    <w:rsid w:val="001A04BF"/>
    <w:rsid w:val="001A063F"/>
    <w:rsid w:val="001A11CB"/>
    <w:rsid w:val="001A1719"/>
    <w:rsid w:val="001A1A04"/>
    <w:rsid w:val="001A1EB6"/>
    <w:rsid w:val="001A2205"/>
    <w:rsid w:val="001A2449"/>
    <w:rsid w:val="001A2565"/>
    <w:rsid w:val="001A34E6"/>
    <w:rsid w:val="001A6DD6"/>
    <w:rsid w:val="001A7813"/>
    <w:rsid w:val="001B0424"/>
    <w:rsid w:val="001B0530"/>
    <w:rsid w:val="001B138C"/>
    <w:rsid w:val="001B153E"/>
    <w:rsid w:val="001B15AC"/>
    <w:rsid w:val="001B19A3"/>
    <w:rsid w:val="001B272B"/>
    <w:rsid w:val="001B27F1"/>
    <w:rsid w:val="001B4D7A"/>
    <w:rsid w:val="001B619A"/>
    <w:rsid w:val="001B78BD"/>
    <w:rsid w:val="001B7F63"/>
    <w:rsid w:val="001C1AE5"/>
    <w:rsid w:val="001C1D8A"/>
    <w:rsid w:val="001C1EF4"/>
    <w:rsid w:val="001C320F"/>
    <w:rsid w:val="001C3225"/>
    <w:rsid w:val="001C40F9"/>
    <w:rsid w:val="001C4616"/>
    <w:rsid w:val="001C5985"/>
    <w:rsid w:val="001C5E3D"/>
    <w:rsid w:val="001C60C8"/>
    <w:rsid w:val="001C6824"/>
    <w:rsid w:val="001C6B05"/>
    <w:rsid w:val="001C710A"/>
    <w:rsid w:val="001C71E0"/>
    <w:rsid w:val="001D2459"/>
    <w:rsid w:val="001D26E1"/>
    <w:rsid w:val="001D2D16"/>
    <w:rsid w:val="001D2DD0"/>
    <w:rsid w:val="001D3912"/>
    <w:rsid w:val="001D7BB9"/>
    <w:rsid w:val="001E1D93"/>
    <w:rsid w:val="001E1F13"/>
    <w:rsid w:val="001E2F4B"/>
    <w:rsid w:val="001E389B"/>
    <w:rsid w:val="001E3E90"/>
    <w:rsid w:val="001E448E"/>
    <w:rsid w:val="001E4566"/>
    <w:rsid w:val="001E4610"/>
    <w:rsid w:val="001E6A05"/>
    <w:rsid w:val="001F0248"/>
    <w:rsid w:val="001F079B"/>
    <w:rsid w:val="001F08B5"/>
    <w:rsid w:val="001F1A75"/>
    <w:rsid w:val="001F209D"/>
    <w:rsid w:val="001F2A1A"/>
    <w:rsid w:val="001F2EA3"/>
    <w:rsid w:val="001F3A26"/>
    <w:rsid w:val="001F3F0A"/>
    <w:rsid w:val="001F3F92"/>
    <w:rsid w:val="001F762D"/>
    <w:rsid w:val="001F7E66"/>
    <w:rsid w:val="002009BD"/>
    <w:rsid w:val="00200A51"/>
    <w:rsid w:val="00200AE2"/>
    <w:rsid w:val="00200D17"/>
    <w:rsid w:val="00201CC1"/>
    <w:rsid w:val="00202BFD"/>
    <w:rsid w:val="0020331A"/>
    <w:rsid w:val="002039C1"/>
    <w:rsid w:val="00204E8B"/>
    <w:rsid w:val="0020668A"/>
    <w:rsid w:val="00207736"/>
    <w:rsid w:val="00207B7C"/>
    <w:rsid w:val="002102C5"/>
    <w:rsid w:val="00211F68"/>
    <w:rsid w:val="0021219F"/>
    <w:rsid w:val="0021241E"/>
    <w:rsid w:val="002124FB"/>
    <w:rsid w:val="002125AF"/>
    <w:rsid w:val="002133DA"/>
    <w:rsid w:val="0021344F"/>
    <w:rsid w:val="00213780"/>
    <w:rsid w:val="0021408A"/>
    <w:rsid w:val="0021488E"/>
    <w:rsid w:val="00214B5F"/>
    <w:rsid w:val="00214C3A"/>
    <w:rsid w:val="00214D12"/>
    <w:rsid w:val="00215857"/>
    <w:rsid w:val="00215B99"/>
    <w:rsid w:val="00215FC5"/>
    <w:rsid w:val="002170D6"/>
    <w:rsid w:val="00217796"/>
    <w:rsid w:val="00220CD2"/>
    <w:rsid w:val="00221DFE"/>
    <w:rsid w:val="002259F5"/>
    <w:rsid w:val="00226A4A"/>
    <w:rsid w:val="0023094B"/>
    <w:rsid w:val="00230DDB"/>
    <w:rsid w:val="00233AEC"/>
    <w:rsid w:val="00233E34"/>
    <w:rsid w:val="00234D17"/>
    <w:rsid w:val="0023504D"/>
    <w:rsid w:val="0023543A"/>
    <w:rsid w:val="002355ED"/>
    <w:rsid w:val="00235A6A"/>
    <w:rsid w:val="00235D84"/>
    <w:rsid w:val="00236944"/>
    <w:rsid w:val="00242BC1"/>
    <w:rsid w:val="002437BA"/>
    <w:rsid w:val="0024417F"/>
    <w:rsid w:val="002446C9"/>
    <w:rsid w:val="00244774"/>
    <w:rsid w:val="00244F30"/>
    <w:rsid w:val="00244F3A"/>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045"/>
    <w:rsid w:val="002619BD"/>
    <w:rsid w:val="00262BA1"/>
    <w:rsid w:val="002630BF"/>
    <w:rsid w:val="002639D4"/>
    <w:rsid w:val="00264248"/>
    <w:rsid w:val="002653F5"/>
    <w:rsid w:val="002656B1"/>
    <w:rsid w:val="002659D5"/>
    <w:rsid w:val="002659EE"/>
    <w:rsid w:val="00265D46"/>
    <w:rsid w:val="002667D4"/>
    <w:rsid w:val="00266D7B"/>
    <w:rsid w:val="00267369"/>
    <w:rsid w:val="00272C63"/>
    <w:rsid w:val="00275921"/>
    <w:rsid w:val="00277657"/>
    <w:rsid w:val="002807DC"/>
    <w:rsid w:val="0028086E"/>
    <w:rsid w:val="00281878"/>
    <w:rsid w:val="00282024"/>
    <w:rsid w:val="0028270A"/>
    <w:rsid w:val="00283009"/>
    <w:rsid w:val="00283152"/>
    <w:rsid w:val="00285780"/>
    <w:rsid w:val="0028646E"/>
    <w:rsid w:val="00287378"/>
    <w:rsid w:val="00287B32"/>
    <w:rsid w:val="00287D5A"/>
    <w:rsid w:val="0029008A"/>
    <w:rsid w:val="00290BAF"/>
    <w:rsid w:val="00291781"/>
    <w:rsid w:val="00291D23"/>
    <w:rsid w:val="0029297A"/>
    <w:rsid w:val="00292B1E"/>
    <w:rsid w:val="00293CC8"/>
    <w:rsid w:val="002958CC"/>
    <w:rsid w:val="0029718A"/>
    <w:rsid w:val="00297255"/>
    <w:rsid w:val="00297E57"/>
    <w:rsid w:val="002A0866"/>
    <w:rsid w:val="002A2A23"/>
    <w:rsid w:val="002A458C"/>
    <w:rsid w:val="002A4851"/>
    <w:rsid w:val="002A529C"/>
    <w:rsid w:val="002A54F4"/>
    <w:rsid w:val="002A5A2B"/>
    <w:rsid w:val="002A5F62"/>
    <w:rsid w:val="002A740C"/>
    <w:rsid w:val="002A7E1F"/>
    <w:rsid w:val="002B00CA"/>
    <w:rsid w:val="002B015D"/>
    <w:rsid w:val="002B0E50"/>
    <w:rsid w:val="002B15CF"/>
    <w:rsid w:val="002B161A"/>
    <w:rsid w:val="002B1D2E"/>
    <w:rsid w:val="002B1FC9"/>
    <w:rsid w:val="002B2047"/>
    <w:rsid w:val="002B2996"/>
    <w:rsid w:val="002B2DDE"/>
    <w:rsid w:val="002B382D"/>
    <w:rsid w:val="002B38F5"/>
    <w:rsid w:val="002B4709"/>
    <w:rsid w:val="002B559C"/>
    <w:rsid w:val="002B5BB9"/>
    <w:rsid w:val="002B5E7E"/>
    <w:rsid w:val="002B6ED1"/>
    <w:rsid w:val="002B714B"/>
    <w:rsid w:val="002B7BE1"/>
    <w:rsid w:val="002C019E"/>
    <w:rsid w:val="002C0AB0"/>
    <w:rsid w:val="002C1B10"/>
    <w:rsid w:val="002C273F"/>
    <w:rsid w:val="002C2A42"/>
    <w:rsid w:val="002C2FE5"/>
    <w:rsid w:val="002C47DA"/>
    <w:rsid w:val="002C4809"/>
    <w:rsid w:val="002C4EF1"/>
    <w:rsid w:val="002C589A"/>
    <w:rsid w:val="002C5984"/>
    <w:rsid w:val="002C656B"/>
    <w:rsid w:val="002C65CC"/>
    <w:rsid w:val="002C7190"/>
    <w:rsid w:val="002C76E1"/>
    <w:rsid w:val="002D00B0"/>
    <w:rsid w:val="002D1876"/>
    <w:rsid w:val="002D1A51"/>
    <w:rsid w:val="002D202F"/>
    <w:rsid w:val="002D21D8"/>
    <w:rsid w:val="002D2790"/>
    <w:rsid w:val="002D27D9"/>
    <w:rsid w:val="002D402A"/>
    <w:rsid w:val="002D42D0"/>
    <w:rsid w:val="002D533B"/>
    <w:rsid w:val="002D5579"/>
    <w:rsid w:val="002D561A"/>
    <w:rsid w:val="002D6803"/>
    <w:rsid w:val="002D69EF"/>
    <w:rsid w:val="002D6AAF"/>
    <w:rsid w:val="002D70BE"/>
    <w:rsid w:val="002D7EA8"/>
    <w:rsid w:val="002E0734"/>
    <w:rsid w:val="002E0B5E"/>
    <w:rsid w:val="002E0B69"/>
    <w:rsid w:val="002E23E8"/>
    <w:rsid w:val="002E5D8F"/>
    <w:rsid w:val="002E6B82"/>
    <w:rsid w:val="002E6C4A"/>
    <w:rsid w:val="002E72E5"/>
    <w:rsid w:val="002F1038"/>
    <w:rsid w:val="002F2308"/>
    <w:rsid w:val="002F3486"/>
    <w:rsid w:val="002F3E86"/>
    <w:rsid w:val="002F44FD"/>
    <w:rsid w:val="002F50DF"/>
    <w:rsid w:val="002F61C8"/>
    <w:rsid w:val="002F6C61"/>
    <w:rsid w:val="002F76E7"/>
    <w:rsid w:val="003002F4"/>
    <w:rsid w:val="0030044E"/>
    <w:rsid w:val="00300817"/>
    <w:rsid w:val="00300CC1"/>
    <w:rsid w:val="00302775"/>
    <w:rsid w:val="003031E2"/>
    <w:rsid w:val="00304C20"/>
    <w:rsid w:val="00304FF9"/>
    <w:rsid w:val="003057C1"/>
    <w:rsid w:val="00305E28"/>
    <w:rsid w:val="0030684B"/>
    <w:rsid w:val="00306E1A"/>
    <w:rsid w:val="00310410"/>
    <w:rsid w:val="00310608"/>
    <w:rsid w:val="003106D1"/>
    <w:rsid w:val="003127EC"/>
    <w:rsid w:val="00313FE3"/>
    <w:rsid w:val="00314360"/>
    <w:rsid w:val="00314632"/>
    <w:rsid w:val="003152EB"/>
    <w:rsid w:val="00315B76"/>
    <w:rsid w:val="00316781"/>
    <w:rsid w:val="00316C1D"/>
    <w:rsid w:val="003171D4"/>
    <w:rsid w:val="003200AB"/>
    <w:rsid w:val="00320549"/>
    <w:rsid w:val="00320A08"/>
    <w:rsid w:val="0032130D"/>
    <w:rsid w:val="00323F22"/>
    <w:rsid w:val="003242BD"/>
    <w:rsid w:val="00325671"/>
    <w:rsid w:val="003263D5"/>
    <w:rsid w:val="0032775F"/>
    <w:rsid w:val="00330DEA"/>
    <w:rsid w:val="00330ED1"/>
    <w:rsid w:val="00331B4F"/>
    <w:rsid w:val="00331CD2"/>
    <w:rsid w:val="003334F2"/>
    <w:rsid w:val="00334413"/>
    <w:rsid w:val="0033445F"/>
    <w:rsid w:val="00334508"/>
    <w:rsid w:val="003349E4"/>
    <w:rsid w:val="0033573F"/>
    <w:rsid w:val="00336C3F"/>
    <w:rsid w:val="00336E6E"/>
    <w:rsid w:val="0033711F"/>
    <w:rsid w:val="0033718E"/>
    <w:rsid w:val="00337BAF"/>
    <w:rsid w:val="0034007E"/>
    <w:rsid w:val="003405AD"/>
    <w:rsid w:val="00342119"/>
    <w:rsid w:val="00342651"/>
    <w:rsid w:val="0034273A"/>
    <w:rsid w:val="00342B37"/>
    <w:rsid w:val="0034322D"/>
    <w:rsid w:val="00344A6A"/>
    <w:rsid w:val="00344C6A"/>
    <w:rsid w:val="0034625E"/>
    <w:rsid w:val="003476A9"/>
    <w:rsid w:val="00350E21"/>
    <w:rsid w:val="0035127C"/>
    <w:rsid w:val="00351372"/>
    <w:rsid w:val="00351B2B"/>
    <w:rsid w:val="00351C22"/>
    <w:rsid w:val="00352E75"/>
    <w:rsid w:val="0035318C"/>
    <w:rsid w:val="003532C4"/>
    <w:rsid w:val="0035381A"/>
    <w:rsid w:val="00353FDA"/>
    <w:rsid w:val="00354FA1"/>
    <w:rsid w:val="00355F9F"/>
    <w:rsid w:val="00356047"/>
    <w:rsid w:val="00356924"/>
    <w:rsid w:val="00356A53"/>
    <w:rsid w:val="00356C27"/>
    <w:rsid w:val="00357198"/>
    <w:rsid w:val="00360382"/>
    <w:rsid w:val="00361661"/>
    <w:rsid w:val="00362FB6"/>
    <w:rsid w:val="0036405E"/>
    <w:rsid w:val="00364AA7"/>
    <w:rsid w:val="00366543"/>
    <w:rsid w:val="00366A66"/>
    <w:rsid w:val="00367AB2"/>
    <w:rsid w:val="00367D4D"/>
    <w:rsid w:val="00367F3C"/>
    <w:rsid w:val="003703DE"/>
    <w:rsid w:val="0037065A"/>
    <w:rsid w:val="00370E99"/>
    <w:rsid w:val="00371C42"/>
    <w:rsid w:val="00372D3D"/>
    <w:rsid w:val="00372EE7"/>
    <w:rsid w:val="00373FA5"/>
    <w:rsid w:val="0037543C"/>
    <w:rsid w:val="00376A8A"/>
    <w:rsid w:val="00377528"/>
    <w:rsid w:val="00377F1E"/>
    <w:rsid w:val="0038115A"/>
    <w:rsid w:val="003817A9"/>
    <w:rsid w:val="00382080"/>
    <w:rsid w:val="00382290"/>
    <w:rsid w:val="00382596"/>
    <w:rsid w:val="00383F78"/>
    <w:rsid w:val="00386EC3"/>
    <w:rsid w:val="00386FCD"/>
    <w:rsid w:val="00387129"/>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41F5"/>
    <w:rsid w:val="003A53C3"/>
    <w:rsid w:val="003A53FD"/>
    <w:rsid w:val="003A5690"/>
    <w:rsid w:val="003A5F76"/>
    <w:rsid w:val="003A668C"/>
    <w:rsid w:val="003A6925"/>
    <w:rsid w:val="003A6A94"/>
    <w:rsid w:val="003B0604"/>
    <w:rsid w:val="003B10AB"/>
    <w:rsid w:val="003B26FD"/>
    <w:rsid w:val="003B3573"/>
    <w:rsid w:val="003B3636"/>
    <w:rsid w:val="003B4857"/>
    <w:rsid w:val="003B6212"/>
    <w:rsid w:val="003B6BF3"/>
    <w:rsid w:val="003B736C"/>
    <w:rsid w:val="003C002D"/>
    <w:rsid w:val="003C079A"/>
    <w:rsid w:val="003C0A75"/>
    <w:rsid w:val="003C0F0A"/>
    <w:rsid w:val="003C1BEA"/>
    <w:rsid w:val="003C2C3B"/>
    <w:rsid w:val="003C4451"/>
    <w:rsid w:val="003C4D97"/>
    <w:rsid w:val="003C4FA7"/>
    <w:rsid w:val="003C51D3"/>
    <w:rsid w:val="003C6E20"/>
    <w:rsid w:val="003C6F10"/>
    <w:rsid w:val="003C75C5"/>
    <w:rsid w:val="003D03B9"/>
    <w:rsid w:val="003D04C7"/>
    <w:rsid w:val="003D04E7"/>
    <w:rsid w:val="003D04F4"/>
    <w:rsid w:val="003D069E"/>
    <w:rsid w:val="003D1870"/>
    <w:rsid w:val="003D22D7"/>
    <w:rsid w:val="003D240E"/>
    <w:rsid w:val="003D359A"/>
    <w:rsid w:val="003D3A68"/>
    <w:rsid w:val="003D3E92"/>
    <w:rsid w:val="003D3ED5"/>
    <w:rsid w:val="003D62DE"/>
    <w:rsid w:val="003D6731"/>
    <w:rsid w:val="003D6FE8"/>
    <w:rsid w:val="003D748F"/>
    <w:rsid w:val="003D7DB4"/>
    <w:rsid w:val="003E3210"/>
    <w:rsid w:val="003E333E"/>
    <w:rsid w:val="003E3BC7"/>
    <w:rsid w:val="003E44D0"/>
    <w:rsid w:val="003E44D7"/>
    <w:rsid w:val="003E5517"/>
    <w:rsid w:val="003E5C01"/>
    <w:rsid w:val="003E6A9F"/>
    <w:rsid w:val="003E717B"/>
    <w:rsid w:val="003E7328"/>
    <w:rsid w:val="003E77A6"/>
    <w:rsid w:val="003F0082"/>
    <w:rsid w:val="003F0860"/>
    <w:rsid w:val="003F0B34"/>
    <w:rsid w:val="003F1315"/>
    <w:rsid w:val="003F17D6"/>
    <w:rsid w:val="003F1CE0"/>
    <w:rsid w:val="003F428E"/>
    <w:rsid w:val="003F4885"/>
    <w:rsid w:val="003F4A35"/>
    <w:rsid w:val="003F607B"/>
    <w:rsid w:val="003F6858"/>
    <w:rsid w:val="003F69A1"/>
    <w:rsid w:val="003F6F72"/>
    <w:rsid w:val="003F77F3"/>
    <w:rsid w:val="003F7C9F"/>
    <w:rsid w:val="00400010"/>
    <w:rsid w:val="00400B12"/>
    <w:rsid w:val="00402040"/>
    <w:rsid w:val="00402798"/>
    <w:rsid w:val="00404B5C"/>
    <w:rsid w:val="00404DB0"/>
    <w:rsid w:val="004059B8"/>
    <w:rsid w:val="00406035"/>
    <w:rsid w:val="004063FA"/>
    <w:rsid w:val="004118AD"/>
    <w:rsid w:val="00414F8C"/>
    <w:rsid w:val="00415323"/>
    <w:rsid w:val="00415854"/>
    <w:rsid w:val="00416906"/>
    <w:rsid w:val="00416C76"/>
    <w:rsid w:val="00417524"/>
    <w:rsid w:val="00420EDD"/>
    <w:rsid w:val="00421456"/>
    <w:rsid w:val="00421A25"/>
    <w:rsid w:val="00422A02"/>
    <w:rsid w:val="00423B16"/>
    <w:rsid w:val="00424B2A"/>
    <w:rsid w:val="004259E4"/>
    <w:rsid w:val="00425F19"/>
    <w:rsid w:val="004268A5"/>
    <w:rsid w:val="0042712B"/>
    <w:rsid w:val="00430A2B"/>
    <w:rsid w:val="00430A75"/>
    <w:rsid w:val="00431A9C"/>
    <w:rsid w:val="00432050"/>
    <w:rsid w:val="004335E2"/>
    <w:rsid w:val="004338B9"/>
    <w:rsid w:val="0043420D"/>
    <w:rsid w:val="00435A96"/>
    <w:rsid w:val="00435E81"/>
    <w:rsid w:val="00436778"/>
    <w:rsid w:val="0043718E"/>
    <w:rsid w:val="004372B3"/>
    <w:rsid w:val="00437ED1"/>
    <w:rsid w:val="00441E5C"/>
    <w:rsid w:val="00442C4B"/>
    <w:rsid w:val="00445062"/>
    <w:rsid w:val="00445AE3"/>
    <w:rsid w:val="00445BEA"/>
    <w:rsid w:val="004462F2"/>
    <w:rsid w:val="004470B8"/>
    <w:rsid w:val="004476FB"/>
    <w:rsid w:val="00450E0F"/>
    <w:rsid w:val="004517F7"/>
    <w:rsid w:val="004517F8"/>
    <w:rsid w:val="00451DFE"/>
    <w:rsid w:val="004521A0"/>
    <w:rsid w:val="004526FA"/>
    <w:rsid w:val="004566F3"/>
    <w:rsid w:val="00456AE4"/>
    <w:rsid w:val="004570B9"/>
    <w:rsid w:val="00460D9A"/>
    <w:rsid w:val="004616CB"/>
    <w:rsid w:val="004631EB"/>
    <w:rsid w:val="00463779"/>
    <w:rsid w:val="00463BFB"/>
    <w:rsid w:val="00464D4B"/>
    <w:rsid w:val="00466E54"/>
    <w:rsid w:val="00467699"/>
    <w:rsid w:val="004701EE"/>
    <w:rsid w:val="00470496"/>
    <w:rsid w:val="00470634"/>
    <w:rsid w:val="00471154"/>
    <w:rsid w:val="00471CB8"/>
    <w:rsid w:val="00472190"/>
    <w:rsid w:val="00473709"/>
    <w:rsid w:val="00473903"/>
    <w:rsid w:val="00473A27"/>
    <w:rsid w:val="00474A1A"/>
    <w:rsid w:val="00476E03"/>
    <w:rsid w:val="004779F9"/>
    <w:rsid w:val="00477D2C"/>
    <w:rsid w:val="004807BA"/>
    <w:rsid w:val="00480D97"/>
    <w:rsid w:val="00481567"/>
    <w:rsid w:val="0048219F"/>
    <w:rsid w:val="00482682"/>
    <w:rsid w:val="00483A69"/>
    <w:rsid w:val="00484381"/>
    <w:rsid w:val="0048440F"/>
    <w:rsid w:val="0048497B"/>
    <w:rsid w:val="00484CBD"/>
    <w:rsid w:val="00485887"/>
    <w:rsid w:val="00486FCE"/>
    <w:rsid w:val="004875E9"/>
    <w:rsid w:val="0049232B"/>
    <w:rsid w:val="0049344D"/>
    <w:rsid w:val="00494F66"/>
    <w:rsid w:val="0049593E"/>
    <w:rsid w:val="00495B95"/>
    <w:rsid w:val="004962F7"/>
    <w:rsid w:val="00496479"/>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20E9"/>
    <w:rsid w:val="004B23A6"/>
    <w:rsid w:val="004B2B90"/>
    <w:rsid w:val="004B3A3D"/>
    <w:rsid w:val="004B3E10"/>
    <w:rsid w:val="004B4247"/>
    <w:rsid w:val="004B4EE2"/>
    <w:rsid w:val="004B5462"/>
    <w:rsid w:val="004B552A"/>
    <w:rsid w:val="004B59E1"/>
    <w:rsid w:val="004B5D31"/>
    <w:rsid w:val="004B7AAB"/>
    <w:rsid w:val="004B7E53"/>
    <w:rsid w:val="004C204E"/>
    <w:rsid w:val="004C28CE"/>
    <w:rsid w:val="004C2B98"/>
    <w:rsid w:val="004C460B"/>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3639"/>
    <w:rsid w:val="004E4C24"/>
    <w:rsid w:val="004E5C77"/>
    <w:rsid w:val="004E65D4"/>
    <w:rsid w:val="004E7055"/>
    <w:rsid w:val="004E71D9"/>
    <w:rsid w:val="004F01C4"/>
    <w:rsid w:val="004F044F"/>
    <w:rsid w:val="004F1455"/>
    <w:rsid w:val="004F15BE"/>
    <w:rsid w:val="004F34C0"/>
    <w:rsid w:val="004F37F0"/>
    <w:rsid w:val="004F422E"/>
    <w:rsid w:val="004F5285"/>
    <w:rsid w:val="004F67D2"/>
    <w:rsid w:val="004F7087"/>
    <w:rsid w:val="004F71F6"/>
    <w:rsid w:val="0050239C"/>
    <w:rsid w:val="00503C95"/>
    <w:rsid w:val="00503C98"/>
    <w:rsid w:val="00503F74"/>
    <w:rsid w:val="0050474C"/>
    <w:rsid w:val="00504A35"/>
    <w:rsid w:val="00505E79"/>
    <w:rsid w:val="00505EC7"/>
    <w:rsid w:val="005068CC"/>
    <w:rsid w:val="00506914"/>
    <w:rsid w:val="00507ABA"/>
    <w:rsid w:val="00507DDD"/>
    <w:rsid w:val="0051003B"/>
    <w:rsid w:val="00510BE9"/>
    <w:rsid w:val="00511150"/>
    <w:rsid w:val="00511B45"/>
    <w:rsid w:val="00512136"/>
    <w:rsid w:val="00512CE8"/>
    <w:rsid w:val="00512EE5"/>
    <w:rsid w:val="00512F5B"/>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59A0"/>
    <w:rsid w:val="00526550"/>
    <w:rsid w:val="005304C9"/>
    <w:rsid w:val="00531721"/>
    <w:rsid w:val="0053275D"/>
    <w:rsid w:val="00532A76"/>
    <w:rsid w:val="00532C83"/>
    <w:rsid w:val="00533165"/>
    <w:rsid w:val="00534EFA"/>
    <w:rsid w:val="00534FA5"/>
    <w:rsid w:val="005357D7"/>
    <w:rsid w:val="00535C7C"/>
    <w:rsid w:val="00535E0D"/>
    <w:rsid w:val="00535E0F"/>
    <w:rsid w:val="00535E8A"/>
    <w:rsid w:val="005364D9"/>
    <w:rsid w:val="00537248"/>
    <w:rsid w:val="00537419"/>
    <w:rsid w:val="005417F1"/>
    <w:rsid w:val="00541AA8"/>
    <w:rsid w:val="00545117"/>
    <w:rsid w:val="00546525"/>
    <w:rsid w:val="00546A24"/>
    <w:rsid w:val="00546F72"/>
    <w:rsid w:val="00547C8B"/>
    <w:rsid w:val="00550394"/>
    <w:rsid w:val="00551650"/>
    <w:rsid w:val="00552E57"/>
    <w:rsid w:val="00553515"/>
    <w:rsid w:val="00553DC5"/>
    <w:rsid w:val="0055617E"/>
    <w:rsid w:val="00556CF2"/>
    <w:rsid w:val="00557370"/>
    <w:rsid w:val="00557A5E"/>
    <w:rsid w:val="00561F0C"/>
    <w:rsid w:val="0056265D"/>
    <w:rsid w:val="00562F74"/>
    <w:rsid w:val="00563AC9"/>
    <w:rsid w:val="00564BF7"/>
    <w:rsid w:val="00564DB2"/>
    <w:rsid w:val="00564E9F"/>
    <w:rsid w:val="00564FEE"/>
    <w:rsid w:val="00565270"/>
    <w:rsid w:val="005655B4"/>
    <w:rsid w:val="0056750E"/>
    <w:rsid w:val="00567941"/>
    <w:rsid w:val="00570913"/>
    <w:rsid w:val="0057103F"/>
    <w:rsid w:val="00571172"/>
    <w:rsid w:val="00572E1A"/>
    <w:rsid w:val="00573FBD"/>
    <w:rsid w:val="005741ED"/>
    <w:rsid w:val="00574CA3"/>
    <w:rsid w:val="00575A16"/>
    <w:rsid w:val="005769CE"/>
    <w:rsid w:val="00576E1D"/>
    <w:rsid w:val="005778B4"/>
    <w:rsid w:val="005779EB"/>
    <w:rsid w:val="00580DCF"/>
    <w:rsid w:val="00580F2D"/>
    <w:rsid w:val="00581804"/>
    <w:rsid w:val="00584E4F"/>
    <w:rsid w:val="005852BD"/>
    <w:rsid w:val="00586722"/>
    <w:rsid w:val="00586D77"/>
    <w:rsid w:val="00587309"/>
    <w:rsid w:val="00590B00"/>
    <w:rsid w:val="0059131D"/>
    <w:rsid w:val="0059159D"/>
    <w:rsid w:val="00592CD5"/>
    <w:rsid w:val="005930E9"/>
    <w:rsid w:val="00593470"/>
    <w:rsid w:val="00593933"/>
    <w:rsid w:val="00594B4E"/>
    <w:rsid w:val="0059523D"/>
    <w:rsid w:val="00595ADA"/>
    <w:rsid w:val="00596821"/>
    <w:rsid w:val="00596EE4"/>
    <w:rsid w:val="005A0118"/>
    <w:rsid w:val="005A05C8"/>
    <w:rsid w:val="005A089C"/>
    <w:rsid w:val="005A0B25"/>
    <w:rsid w:val="005A116F"/>
    <w:rsid w:val="005A1F8C"/>
    <w:rsid w:val="005A206E"/>
    <w:rsid w:val="005A209C"/>
    <w:rsid w:val="005A2AA0"/>
    <w:rsid w:val="005A3209"/>
    <w:rsid w:val="005A3C23"/>
    <w:rsid w:val="005A4CF5"/>
    <w:rsid w:val="005A56EB"/>
    <w:rsid w:val="005A60E8"/>
    <w:rsid w:val="005B058C"/>
    <w:rsid w:val="005B1CCB"/>
    <w:rsid w:val="005B1F83"/>
    <w:rsid w:val="005B22F5"/>
    <w:rsid w:val="005B2FFA"/>
    <w:rsid w:val="005B3385"/>
    <w:rsid w:val="005B3FCA"/>
    <w:rsid w:val="005B4B5B"/>
    <w:rsid w:val="005B4E4B"/>
    <w:rsid w:val="005B54E4"/>
    <w:rsid w:val="005B7E5E"/>
    <w:rsid w:val="005C0045"/>
    <w:rsid w:val="005C20DB"/>
    <w:rsid w:val="005C26FD"/>
    <w:rsid w:val="005C291A"/>
    <w:rsid w:val="005C337C"/>
    <w:rsid w:val="005C437D"/>
    <w:rsid w:val="005C4862"/>
    <w:rsid w:val="005C4A83"/>
    <w:rsid w:val="005C4D7E"/>
    <w:rsid w:val="005C694D"/>
    <w:rsid w:val="005C6F0C"/>
    <w:rsid w:val="005D01EB"/>
    <w:rsid w:val="005D0398"/>
    <w:rsid w:val="005D0B8B"/>
    <w:rsid w:val="005D2CD5"/>
    <w:rsid w:val="005D5039"/>
    <w:rsid w:val="005D551F"/>
    <w:rsid w:val="005D5E73"/>
    <w:rsid w:val="005E0329"/>
    <w:rsid w:val="005E05A9"/>
    <w:rsid w:val="005E132D"/>
    <w:rsid w:val="005E17F3"/>
    <w:rsid w:val="005E2605"/>
    <w:rsid w:val="005E30AC"/>
    <w:rsid w:val="005E3308"/>
    <w:rsid w:val="005E44DA"/>
    <w:rsid w:val="005E4A59"/>
    <w:rsid w:val="005E57CB"/>
    <w:rsid w:val="005E5E9E"/>
    <w:rsid w:val="005E6457"/>
    <w:rsid w:val="005E6703"/>
    <w:rsid w:val="005E6B9C"/>
    <w:rsid w:val="005F004F"/>
    <w:rsid w:val="005F1066"/>
    <w:rsid w:val="005F12BA"/>
    <w:rsid w:val="005F26EF"/>
    <w:rsid w:val="005F2770"/>
    <w:rsid w:val="005F3251"/>
    <w:rsid w:val="005F4E87"/>
    <w:rsid w:val="005F5F00"/>
    <w:rsid w:val="005F6331"/>
    <w:rsid w:val="005F6573"/>
    <w:rsid w:val="005F6883"/>
    <w:rsid w:val="005F6A00"/>
    <w:rsid w:val="005F73BA"/>
    <w:rsid w:val="006008A7"/>
    <w:rsid w:val="00600C6F"/>
    <w:rsid w:val="006024A7"/>
    <w:rsid w:val="006031EF"/>
    <w:rsid w:val="00603DFD"/>
    <w:rsid w:val="00603F8B"/>
    <w:rsid w:val="00605200"/>
    <w:rsid w:val="006077F3"/>
    <w:rsid w:val="00610C79"/>
    <w:rsid w:val="006123EF"/>
    <w:rsid w:val="0061367A"/>
    <w:rsid w:val="006143F6"/>
    <w:rsid w:val="00614F60"/>
    <w:rsid w:val="00614FC4"/>
    <w:rsid w:val="00615138"/>
    <w:rsid w:val="00616159"/>
    <w:rsid w:val="00616B9C"/>
    <w:rsid w:val="00617168"/>
    <w:rsid w:val="00620ABF"/>
    <w:rsid w:val="00620CD7"/>
    <w:rsid w:val="00620D2D"/>
    <w:rsid w:val="00621920"/>
    <w:rsid w:val="00622057"/>
    <w:rsid w:val="00622D03"/>
    <w:rsid w:val="00622D26"/>
    <w:rsid w:val="006236F9"/>
    <w:rsid w:val="006240F3"/>
    <w:rsid w:val="006246CB"/>
    <w:rsid w:val="00624784"/>
    <w:rsid w:val="006256A6"/>
    <w:rsid w:val="00625C05"/>
    <w:rsid w:val="00625C9B"/>
    <w:rsid w:val="006265BB"/>
    <w:rsid w:val="00627404"/>
    <w:rsid w:val="0063041F"/>
    <w:rsid w:val="006305AE"/>
    <w:rsid w:val="006306BA"/>
    <w:rsid w:val="006314DB"/>
    <w:rsid w:val="00631DEF"/>
    <w:rsid w:val="00631EE7"/>
    <w:rsid w:val="0063251F"/>
    <w:rsid w:val="006327F2"/>
    <w:rsid w:val="0063335D"/>
    <w:rsid w:val="00637608"/>
    <w:rsid w:val="00637962"/>
    <w:rsid w:val="0064124D"/>
    <w:rsid w:val="006418D5"/>
    <w:rsid w:val="006419E5"/>
    <w:rsid w:val="00642413"/>
    <w:rsid w:val="00642A26"/>
    <w:rsid w:val="00643E3D"/>
    <w:rsid w:val="006443BD"/>
    <w:rsid w:val="006448E0"/>
    <w:rsid w:val="00644AD7"/>
    <w:rsid w:val="0064552E"/>
    <w:rsid w:val="0064559A"/>
    <w:rsid w:val="006456F1"/>
    <w:rsid w:val="0064649B"/>
    <w:rsid w:val="00650039"/>
    <w:rsid w:val="006523B3"/>
    <w:rsid w:val="0065384A"/>
    <w:rsid w:val="0065526C"/>
    <w:rsid w:val="00655BD3"/>
    <w:rsid w:val="00655D19"/>
    <w:rsid w:val="00657D07"/>
    <w:rsid w:val="00657ED6"/>
    <w:rsid w:val="00660948"/>
    <w:rsid w:val="0066179A"/>
    <w:rsid w:val="00661BF2"/>
    <w:rsid w:val="00661C36"/>
    <w:rsid w:val="00663D2C"/>
    <w:rsid w:val="0066402B"/>
    <w:rsid w:val="00665474"/>
    <w:rsid w:val="00666286"/>
    <w:rsid w:val="00666782"/>
    <w:rsid w:val="006667CD"/>
    <w:rsid w:val="00666E24"/>
    <w:rsid w:val="006709B5"/>
    <w:rsid w:val="00670C74"/>
    <w:rsid w:val="00671289"/>
    <w:rsid w:val="006720BE"/>
    <w:rsid w:val="00672D95"/>
    <w:rsid w:val="0067368A"/>
    <w:rsid w:val="00675221"/>
    <w:rsid w:val="00675373"/>
    <w:rsid w:val="006759C1"/>
    <w:rsid w:val="00675ADF"/>
    <w:rsid w:val="00675F55"/>
    <w:rsid w:val="0067600B"/>
    <w:rsid w:val="0067671B"/>
    <w:rsid w:val="006800DF"/>
    <w:rsid w:val="00680593"/>
    <w:rsid w:val="00680FB6"/>
    <w:rsid w:val="0068175F"/>
    <w:rsid w:val="006826F9"/>
    <w:rsid w:val="0068292C"/>
    <w:rsid w:val="00682E81"/>
    <w:rsid w:val="0068334D"/>
    <w:rsid w:val="006839F0"/>
    <w:rsid w:val="00684117"/>
    <w:rsid w:val="00684593"/>
    <w:rsid w:val="00684AAF"/>
    <w:rsid w:val="00684CF0"/>
    <w:rsid w:val="00684E3A"/>
    <w:rsid w:val="006857C0"/>
    <w:rsid w:val="00685DFD"/>
    <w:rsid w:val="0068687A"/>
    <w:rsid w:val="00687670"/>
    <w:rsid w:val="006905B0"/>
    <w:rsid w:val="0069082E"/>
    <w:rsid w:val="00690B67"/>
    <w:rsid w:val="00690F39"/>
    <w:rsid w:val="00691611"/>
    <w:rsid w:val="00691CFA"/>
    <w:rsid w:val="00694C51"/>
    <w:rsid w:val="006954EA"/>
    <w:rsid w:val="0069693E"/>
    <w:rsid w:val="00696A42"/>
    <w:rsid w:val="00697042"/>
    <w:rsid w:val="006A1264"/>
    <w:rsid w:val="006A13A8"/>
    <w:rsid w:val="006A1C71"/>
    <w:rsid w:val="006A2005"/>
    <w:rsid w:val="006A218B"/>
    <w:rsid w:val="006A24E7"/>
    <w:rsid w:val="006A25D9"/>
    <w:rsid w:val="006A2906"/>
    <w:rsid w:val="006A2EB7"/>
    <w:rsid w:val="006A3C15"/>
    <w:rsid w:val="006A4402"/>
    <w:rsid w:val="006A5260"/>
    <w:rsid w:val="006A6489"/>
    <w:rsid w:val="006A6821"/>
    <w:rsid w:val="006A6C73"/>
    <w:rsid w:val="006A75CD"/>
    <w:rsid w:val="006B040D"/>
    <w:rsid w:val="006B058A"/>
    <w:rsid w:val="006B0911"/>
    <w:rsid w:val="006B0F6D"/>
    <w:rsid w:val="006B12B2"/>
    <w:rsid w:val="006B17C1"/>
    <w:rsid w:val="006B234D"/>
    <w:rsid w:val="006B293D"/>
    <w:rsid w:val="006B30B9"/>
    <w:rsid w:val="006B32A8"/>
    <w:rsid w:val="006B3324"/>
    <w:rsid w:val="006B4709"/>
    <w:rsid w:val="006B49C8"/>
    <w:rsid w:val="006B50B3"/>
    <w:rsid w:val="006B5209"/>
    <w:rsid w:val="006B5368"/>
    <w:rsid w:val="006B604A"/>
    <w:rsid w:val="006B673C"/>
    <w:rsid w:val="006B6C79"/>
    <w:rsid w:val="006B723A"/>
    <w:rsid w:val="006C0D76"/>
    <w:rsid w:val="006C0F84"/>
    <w:rsid w:val="006C12B1"/>
    <w:rsid w:val="006C13BA"/>
    <w:rsid w:val="006C41E6"/>
    <w:rsid w:val="006C5CB9"/>
    <w:rsid w:val="006C7289"/>
    <w:rsid w:val="006D0150"/>
    <w:rsid w:val="006D050E"/>
    <w:rsid w:val="006D05A6"/>
    <w:rsid w:val="006D06EC"/>
    <w:rsid w:val="006D1FC0"/>
    <w:rsid w:val="006D2225"/>
    <w:rsid w:val="006D253B"/>
    <w:rsid w:val="006D29BB"/>
    <w:rsid w:val="006D3402"/>
    <w:rsid w:val="006D402F"/>
    <w:rsid w:val="006D45E0"/>
    <w:rsid w:val="006D4817"/>
    <w:rsid w:val="006D4E67"/>
    <w:rsid w:val="006D57A3"/>
    <w:rsid w:val="006D57E9"/>
    <w:rsid w:val="006D6C59"/>
    <w:rsid w:val="006D742A"/>
    <w:rsid w:val="006D752D"/>
    <w:rsid w:val="006E02DD"/>
    <w:rsid w:val="006E0832"/>
    <w:rsid w:val="006E0C34"/>
    <w:rsid w:val="006E1286"/>
    <w:rsid w:val="006E32DA"/>
    <w:rsid w:val="006E4489"/>
    <w:rsid w:val="006E44B4"/>
    <w:rsid w:val="006E5EBE"/>
    <w:rsid w:val="006E6886"/>
    <w:rsid w:val="006E71FA"/>
    <w:rsid w:val="006E7820"/>
    <w:rsid w:val="006F0978"/>
    <w:rsid w:val="006F11C3"/>
    <w:rsid w:val="006F2153"/>
    <w:rsid w:val="006F22B0"/>
    <w:rsid w:val="006F3B36"/>
    <w:rsid w:val="006F40D4"/>
    <w:rsid w:val="006F5712"/>
    <w:rsid w:val="006F5DDC"/>
    <w:rsid w:val="006F7367"/>
    <w:rsid w:val="006F791E"/>
    <w:rsid w:val="006F7F9D"/>
    <w:rsid w:val="00700727"/>
    <w:rsid w:val="007008FC"/>
    <w:rsid w:val="00700A64"/>
    <w:rsid w:val="00700DF9"/>
    <w:rsid w:val="0070309F"/>
    <w:rsid w:val="00703450"/>
    <w:rsid w:val="007037D8"/>
    <w:rsid w:val="007040FA"/>
    <w:rsid w:val="0070457B"/>
    <w:rsid w:val="00705BE1"/>
    <w:rsid w:val="007067C5"/>
    <w:rsid w:val="00706B7F"/>
    <w:rsid w:val="00707845"/>
    <w:rsid w:val="00707BDB"/>
    <w:rsid w:val="00707FE7"/>
    <w:rsid w:val="00710C3A"/>
    <w:rsid w:val="007119DC"/>
    <w:rsid w:val="00711B73"/>
    <w:rsid w:val="0071333C"/>
    <w:rsid w:val="00713B18"/>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5E4"/>
    <w:rsid w:val="00723C08"/>
    <w:rsid w:val="007244A4"/>
    <w:rsid w:val="00726568"/>
    <w:rsid w:val="00726736"/>
    <w:rsid w:val="00727F9D"/>
    <w:rsid w:val="007300CB"/>
    <w:rsid w:val="00730751"/>
    <w:rsid w:val="00730C2F"/>
    <w:rsid w:val="0073107A"/>
    <w:rsid w:val="00731B58"/>
    <w:rsid w:val="00733754"/>
    <w:rsid w:val="00733940"/>
    <w:rsid w:val="007339A2"/>
    <w:rsid w:val="00733E21"/>
    <w:rsid w:val="00735005"/>
    <w:rsid w:val="007351C7"/>
    <w:rsid w:val="00736694"/>
    <w:rsid w:val="00736DCA"/>
    <w:rsid w:val="007378AD"/>
    <w:rsid w:val="007379BE"/>
    <w:rsid w:val="00737A96"/>
    <w:rsid w:val="00740534"/>
    <w:rsid w:val="00740991"/>
    <w:rsid w:val="00740E50"/>
    <w:rsid w:val="0074200E"/>
    <w:rsid w:val="00742AC8"/>
    <w:rsid w:val="0074412F"/>
    <w:rsid w:val="00745147"/>
    <w:rsid w:val="00746721"/>
    <w:rsid w:val="00746C94"/>
    <w:rsid w:val="00753156"/>
    <w:rsid w:val="00753BAC"/>
    <w:rsid w:val="00754166"/>
    <w:rsid w:val="00754214"/>
    <w:rsid w:val="007544E8"/>
    <w:rsid w:val="0075458F"/>
    <w:rsid w:val="00754801"/>
    <w:rsid w:val="007553C1"/>
    <w:rsid w:val="00755C10"/>
    <w:rsid w:val="00755D74"/>
    <w:rsid w:val="007605DD"/>
    <w:rsid w:val="00761BBE"/>
    <w:rsid w:val="007635D7"/>
    <w:rsid w:val="00763BDA"/>
    <w:rsid w:val="00764EAD"/>
    <w:rsid w:val="007659D7"/>
    <w:rsid w:val="00765A58"/>
    <w:rsid w:val="0076668C"/>
    <w:rsid w:val="00766756"/>
    <w:rsid w:val="007668D6"/>
    <w:rsid w:val="007671BA"/>
    <w:rsid w:val="0076734A"/>
    <w:rsid w:val="00767E1B"/>
    <w:rsid w:val="00767F72"/>
    <w:rsid w:val="00770822"/>
    <w:rsid w:val="007731F3"/>
    <w:rsid w:val="00774673"/>
    <w:rsid w:val="007751E8"/>
    <w:rsid w:val="00776848"/>
    <w:rsid w:val="00777DF6"/>
    <w:rsid w:val="0078196D"/>
    <w:rsid w:val="00782D7B"/>
    <w:rsid w:val="00783751"/>
    <w:rsid w:val="0078500E"/>
    <w:rsid w:val="007853F5"/>
    <w:rsid w:val="0078682D"/>
    <w:rsid w:val="00786865"/>
    <w:rsid w:val="00786C61"/>
    <w:rsid w:val="00787A27"/>
    <w:rsid w:val="00791F0E"/>
    <w:rsid w:val="00793F47"/>
    <w:rsid w:val="00794029"/>
    <w:rsid w:val="007956C4"/>
    <w:rsid w:val="00796045"/>
    <w:rsid w:val="007A04DA"/>
    <w:rsid w:val="007A0F38"/>
    <w:rsid w:val="007A0FC7"/>
    <w:rsid w:val="007A2787"/>
    <w:rsid w:val="007A2895"/>
    <w:rsid w:val="007A51BA"/>
    <w:rsid w:val="007A58E6"/>
    <w:rsid w:val="007A62D0"/>
    <w:rsid w:val="007A6DE7"/>
    <w:rsid w:val="007A7247"/>
    <w:rsid w:val="007A7C08"/>
    <w:rsid w:val="007A7EBD"/>
    <w:rsid w:val="007A7ED7"/>
    <w:rsid w:val="007B0359"/>
    <w:rsid w:val="007B1B95"/>
    <w:rsid w:val="007B303A"/>
    <w:rsid w:val="007B4273"/>
    <w:rsid w:val="007B4341"/>
    <w:rsid w:val="007B4840"/>
    <w:rsid w:val="007B5061"/>
    <w:rsid w:val="007B55D5"/>
    <w:rsid w:val="007B58CE"/>
    <w:rsid w:val="007B60F1"/>
    <w:rsid w:val="007B6395"/>
    <w:rsid w:val="007B72EB"/>
    <w:rsid w:val="007C1056"/>
    <w:rsid w:val="007C19EB"/>
    <w:rsid w:val="007C234F"/>
    <w:rsid w:val="007C40EA"/>
    <w:rsid w:val="007C4292"/>
    <w:rsid w:val="007C4A5D"/>
    <w:rsid w:val="007C4D34"/>
    <w:rsid w:val="007C5764"/>
    <w:rsid w:val="007C5D35"/>
    <w:rsid w:val="007C65DA"/>
    <w:rsid w:val="007C77BC"/>
    <w:rsid w:val="007C7DCE"/>
    <w:rsid w:val="007D0624"/>
    <w:rsid w:val="007D2021"/>
    <w:rsid w:val="007D22B3"/>
    <w:rsid w:val="007D23A7"/>
    <w:rsid w:val="007D2B41"/>
    <w:rsid w:val="007D4A0C"/>
    <w:rsid w:val="007D4E7F"/>
    <w:rsid w:val="007D5AC9"/>
    <w:rsid w:val="007E028F"/>
    <w:rsid w:val="007E1020"/>
    <w:rsid w:val="007E12C0"/>
    <w:rsid w:val="007E1698"/>
    <w:rsid w:val="007E1DB9"/>
    <w:rsid w:val="007E1F85"/>
    <w:rsid w:val="007E2135"/>
    <w:rsid w:val="007E2342"/>
    <w:rsid w:val="007E2863"/>
    <w:rsid w:val="007E29D9"/>
    <w:rsid w:val="007E2CD8"/>
    <w:rsid w:val="007E32C8"/>
    <w:rsid w:val="007E518E"/>
    <w:rsid w:val="007E593C"/>
    <w:rsid w:val="007F0EC9"/>
    <w:rsid w:val="007F103B"/>
    <w:rsid w:val="007F2922"/>
    <w:rsid w:val="007F4236"/>
    <w:rsid w:val="007F4656"/>
    <w:rsid w:val="007F53D7"/>
    <w:rsid w:val="007F5725"/>
    <w:rsid w:val="007F6452"/>
    <w:rsid w:val="007F6BFD"/>
    <w:rsid w:val="007F7E8B"/>
    <w:rsid w:val="0080009F"/>
    <w:rsid w:val="0080049C"/>
    <w:rsid w:val="00800A4D"/>
    <w:rsid w:val="008014D7"/>
    <w:rsid w:val="00801BB8"/>
    <w:rsid w:val="00803510"/>
    <w:rsid w:val="008047B0"/>
    <w:rsid w:val="00804BA8"/>
    <w:rsid w:val="00805292"/>
    <w:rsid w:val="00805689"/>
    <w:rsid w:val="008060B6"/>
    <w:rsid w:val="0080647C"/>
    <w:rsid w:val="00806BDD"/>
    <w:rsid w:val="00806F43"/>
    <w:rsid w:val="008079B4"/>
    <w:rsid w:val="00810EE4"/>
    <w:rsid w:val="00812EE8"/>
    <w:rsid w:val="00814249"/>
    <w:rsid w:val="0081493B"/>
    <w:rsid w:val="00814D5C"/>
    <w:rsid w:val="00814E04"/>
    <w:rsid w:val="0081553B"/>
    <w:rsid w:val="00816162"/>
    <w:rsid w:val="00816F6C"/>
    <w:rsid w:val="00816FD4"/>
    <w:rsid w:val="00820E7D"/>
    <w:rsid w:val="00821AFC"/>
    <w:rsid w:val="00821B9B"/>
    <w:rsid w:val="0082394F"/>
    <w:rsid w:val="00823A9A"/>
    <w:rsid w:val="00823B7B"/>
    <w:rsid w:val="0082433B"/>
    <w:rsid w:val="008249AA"/>
    <w:rsid w:val="00824D08"/>
    <w:rsid w:val="00824DDE"/>
    <w:rsid w:val="008270BA"/>
    <w:rsid w:val="00827AC0"/>
    <w:rsid w:val="0083033F"/>
    <w:rsid w:val="00830B8C"/>
    <w:rsid w:val="008313B7"/>
    <w:rsid w:val="0083296A"/>
    <w:rsid w:val="00836ECA"/>
    <w:rsid w:val="00842669"/>
    <w:rsid w:val="00844946"/>
    <w:rsid w:val="0084573E"/>
    <w:rsid w:val="00846FDA"/>
    <w:rsid w:val="008470F9"/>
    <w:rsid w:val="00847675"/>
    <w:rsid w:val="008478BD"/>
    <w:rsid w:val="008479B9"/>
    <w:rsid w:val="00847DE7"/>
    <w:rsid w:val="00850BB6"/>
    <w:rsid w:val="00852C29"/>
    <w:rsid w:val="008554BE"/>
    <w:rsid w:val="00856078"/>
    <w:rsid w:val="0085638E"/>
    <w:rsid w:val="00856C81"/>
    <w:rsid w:val="00856F2F"/>
    <w:rsid w:val="008570CA"/>
    <w:rsid w:val="0086247D"/>
    <w:rsid w:val="00862B5F"/>
    <w:rsid w:val="0086338D"/>
    <w:rsid w:val="00863A09"/>
    <w:rsid w:val="00863B45"/>
    <w:rsid w:val="0086425D"/>
    <w:rsid w:val="0086560A"/>
    <w:rsid w:val="00866DB0"/>
    <w:rsid w:val="008674DE"/>
    <w:rsid w:val="00867986"/>
    <w:rsid w:val="008679F5"/>
    <w:rsid w:val="00870135"/>
    <w:rsid w:val="00870957"/>
    <w:rsid w:val="00870F6E"/>
    <w:rsid w:val="00872012"/>
    <w:rsid w:val="0087307E"/>
    <w:rsid w:val="00873936"/>
    <w:rsid w:val="00874541"/>
    <w:rsid w:val="00874738"/>
    <w:rsid w:val="008766BE"/>
    <w:rsid w:val="00877DEA"/>
    <w:rsid w:val="00880330"/>
    <w:rsid w:val="00881F97"/>
    <w:rsid w:val="00882967"/>
    <w:rsid w:val="00882C67"/>
    <w:rsid w:val="008833E7"/>
    <w:rsid w:val="00883C50"/>
    <w:rsid w:val="0088500C"/>
    <w:rsid w:val="0088588B"/>
    <w:rsid w:val="008858F5"/>
    <w:rsid w:val="00886772"/>
    <w:rsid w:val="008873DB"/>
    <w:rsid w:val="00887524"/>
    <w:rsid w:val="008875DE"/>
    <w:rsid w:val="00887C17"/>
    <w:rsid w:val="00887E79"/>
    <w:rsid w:val="00891219"/>
    <w:rsid w:val="00891FD0"/>
    <w:rsid w:val="00892CEB"/>
    <w:rsid w:val="00892F93"/>
    <w:rsid w:val="00894B1E"/>
    <w:rsid w:val="008953EE"/>
    <w:rsid w:val="008964A7"/>
    <w:rsid w:val="00897B0D"/>
    <w:rsid w:val="008A0D72"/>
    <w:rsid w:val="008A136C"/>
    <w:rsid w:val="008A1B55"/>
    <w:rsid w:val="008A1B72"/>
    <w:rsid w:val="008A257E"/>
    <w:rsid w:val="008A325F"/>
    <w:rsid w:val="008A3FF1"/>
    <w:rsid w:val="008A5EED"/>
    <w:rsid w:val="008A6251"/>
    <w:rsid w:val="008A6614"/>
    <w:rsid w:val="008A68D6"/>
    <w:rsid w:val="008A6D9B"/>
    <w:rsid w:val="008A6FA5"/>
    <w:rsid w:val="008A73BE"/>
    <w:rsid w:val="008A7AD3"/>
    <w:rsid w:val="008B0BB0"/>
    <w:rsid w:val="008B0CA5"/>
    <w:rsid w:val="008B0CD3"/>
    <w:rsid w:val="008B0D6A"/>
    <w:rsid w:val="008B177D"/>
    <w:rsid w:val="008B1EDB"/>
    <w:rsid w:val="008B291B"/>
    <w:rsid w:val="008B32A3"/>
    <w:rsid w:val="008B36B0"/>
    <w:rsid w:val="008B36C3"/>
    <w:rsid w:val="008B3A0D"/>
    <w:rsid w:val="008B6068"/>
    <w:rsid w:val="008B6928"/>
    <w:rsid w:val="008C0F7B"/>
    <w:rsid w:val="008C2603"/>
    <w:rsid w:val="008C2CDA"/>
    <w:rsid w:val="008C3705"/>
    <w:rsid w:val="008C39FA"/>
    <w:rsid w:val="008C4AA8"/>
    <w:rsid w:val="008C53E1"/>
    <w:rsid w:val="008C5693"/>
    <w:rsid w:val="008C5F3C"/>
    <w:rsid w:val="008C762A"/>
    <w:rsid w:val="008C77CB"/>
    <w:rsid w:val="008C7EAE"/>
    <w:rsid w:val="008D0427"/>
    <w:rsid w:val="008D2345"/>
    <w:rsid w:val="008D2EBD"/>
    <w:rsid w:val="008D3488"/>
    <w:rsid w:val="008D3914"/>
    <w:rsid w:val="008D3B62"/>
    <w:rsid w:val="008D4B8E"/>
    <w:rsid w:val="008D5D99"/>
    <w:rsid w:val="008D651F"/>
    <w:rsid w:val="008D701B"/>
    <w:rsid w:val="008D7F3C"/>
    <w:rsid w:val="008E0581"/>
    <w:rsid w:val="008E05B9"/>
    <w:rsid w:val="008E1212"/>
    <w:rsid w:val="008E1477"/>
    <w:rsid w:val="008E18D3"/>
    <w:rsid w:val="008E1F4C"/>
    <w:rsid w:val="008E257B"/>
    <w:rsid w:val="008E3361"/>
    <w:rsid w:val="008E3EDB"/>
    <w:rsid w:val="008E42D8"/>
    <w:rsid w:val="008E530C"/>
    <w:rsid w:val="008E616A"/>
    <w:rsid w:val="008E662F"/>
    <w:rsid w:val="008E70DC"/>
    <w:rsid w:val="008F2FCE"/>
    <w:rsid w:val="008F415C"/>
    <w:rsid w:val="008F42EB"/>
    <w:rsid w:val="008F4E3F"/>
    <w:rsid w:val="008F5D1F"/>
    <w:rsid w:val="008F70F7"/>
    <w:rsid w:val="008F7427"/>
    <w:rsid w:val="008F7965"/>
    <w:rsid w:val="009006FC"/>
    <w:rsid w:val="009021F3"/>
    <w:rsid w:val="00903066"/>
    <w:rsid w:val="009037F9"/>
    <w:rsid w:val="00903A2F"/>
    <w:rsid w:val="00904C2E"/>
    <w:rsid w:val="009050B4"/>
    <w:rsid w:val="0090555D"/>
    <w:rsid w:val="00905BEB"/>
    <w:rsid w:val="00907398"/>
    <w:rsid w:val="00907C1A"/>
    <w:rsid w:val="009107B3"/>
    <w:rsid w:val="00910A70"/>
    <w:rsid w:val="00910DF3"/>
    <w:rsid w:val="0091394F"/>
    <w:rsid w:val="009148CF"/>
    <w:rsid w:val="00914F4A"/>
    <w:rsid w:val="00914FFF"/>
    <w:rsid w:val="009159EE"/>
    <w:rsid w:val="00917091"/>
    <w:rsid w:val="00917222"/>
    <w:rsid w:val="0092087E"/>
    <w:rsid w:val="00920B95"/>
    <w:rsid w:val="00920F38"/>
    <w:rsid w:val="00921320"/>
    <w:rsid w:val="00921865"/>
    <w:rsid w:val="00922304"/>
    <w:rsid w:val="00922554"/>
    <w:rsid w:val="00923238"/>
    <w:rsid w:val="00923746"/>
    <w:rsid w:val="00923A0F"/>
    <w:rsid w:val="00924B82"/>
    <w:rsid w:val="00924D62"/>
    <w:rsid w:val="00925B1C"/>
    <w:rsid w:val="0093460F"/>
    <w:rsid w:val="0093532A"/>
    <w:rsid w:val="00935461"/>
    <w:rsid w:val="009371E1"/>
    <w:rsid w:val="00937404"/>
    <w:rsid w:val="00940B92"/>
    <w:rsid w:val="00940EBD"/>
    <w:rsid w:val="009427DA"/>
    <w:rsid w:val="00942A55"/>
    <w:rsid w:val="00943622"/>
    <w:rsid w:val="009463B3"/>
    <w:rsid w:val="009466B1"/>
    <w:rsid w:val="00946D00"/>
    <w:rsid w:val="00946EE1"/>
    <w:rsid w:val="009475F0"/>
    <w:rsid w:val="009477EA"/>
    <w:rsid w:val="00950824"/>
    <w:rsid w:val="0095089E"/>
    <w:rsid w:val="0095137B"/>
    <w:rsid w:val="009515B8"/>
    <w:rsid w:val="00951657"/>
    <w:rsid w:val="00951C0E"/>
    <w:rsid w:val="00953794"/>
    <w:rsid w:val="00953E4C"/>
    <w:rsid w:val="0095460B"/>
    <w:rsid w:val="00955FE8"/>
    <w:rsid w:val="00956177"/>
    <w:rsid w:val="00957A5C"/>
    <w:rsid w:val="00961919"/>
    <w:rsid w:val="0096246A"/>
    <w:rsid w:val="00962667"/>
    <w:rsid w:val="0096319C"/>
    <w:rsid w:val="00964CBC"/>
    <w:rsid w:val="009659FA"/>
    <w:rsid w:val="00970731"/>
    <w:rsid w:val="0097150A"/>
    <w:rsid w:val="0097184F"/>
    <w:rsid w:val="00971F76"/>
    <w:rsid w:val="00972E1F"/>
    <w:rsid w:val="00973D94"/>
    <w:rsid w:val="00975B33"/>
    <w:rsid w:val="00976893"/>
    <w:rsid w:val="00976E5A"/>
    <w:rsid w:val="00976F92"/>
    <w:rsid w:val="009770D6"/>
    <w:rsid w:val="009776DD"/>
    <w:rsid w:val="00977AE9"/>
    <w:rsid w:val="00980541"/>
    <w:rsid w:val="009805ED"/>
    <w:rsid w:val="00981307"/>
    <w:rsid w:val="009813DA"/>
    <w:rsid w:val="00981686"/>
    <w:rsid w:val="00981C20"/>
    <w:rsid w:val="00982F98"/>
    <w:rsid w:val="009831DC"/>
    <w:rsid w:val="00983C93"/>
    <w:rsid w:val="009858AF"/>
    <w:rsid w:val="009863D2"/>
    <w:rsid w:val="00986809"/>
    <w:rsid w:val="00986A4D"/>
    <w:rsid w:val="00987DD3"/>
    <w:rsid w:val="009908B3"/>
    <w:rsid w:val="009911AD"/>
    <w:rsid w:val="00991725"/>
    <w:rsid w:val="00991D9E"/>
    <w:rsid w:val="00991F76"/>
    <w:rsid w:val="00992C49"/>
    <w:rsid w:val="00992F32"/>
    <w:rsid w:val="00993FF5"/>
    <w:rsid w:val="009940F0"/>
    <w:rsid w:val="00994881"/>
    <w:rsid w:val="0099552F"/>
    <w:rsid w:val="00995DDC"/>
    <w:rsid w:val="00996709"/>
    <w:rsid w:val="00996865"/>
    <w:rsid w:val="00996A46"/>
    <w:rsid w:val="00997AB1"/>
    <w:rsid w:val="00997C02"/>
    <w:rsid w:val="00997CD4"/>
    <w:rsid w:val="009A26FF"/>
    <w:rsid w:val="009A467F"/>
    <w:rsid w:val="009A4A6E"/>
    <w:rsid w:val="009A5033"/>
    <w:rsid w:val="009A6B1B"/>
    <w:rsid w:val="009A73DC"/>
    <w:rsid w:val="009A745E"/>
    <w:rsid w:val="009B0654"/>
    <w:rsid w:val="009B16DA"/>
    <w:rsid w:val="009B2433"/>
    <w:rsid w:val="009B2D88"/>
    <w:rsid w:val="009B3353"/>
    <w:rsid w:val="009B3FFD"/>
    <w:rsid w:val="009B50F5"/>
    <w:rsid w:val="009C0E85"/>
    <w:rsid w:val="009C10B9"/>
    <w:rsid w:val="009C1114"/>
    <w:rsid w:val="009C1D0C"/>
    <w:rsid w:val="009C1EFA"/>
    <w:rsid w:val="009C1F59"/>
    <w:rsid w:val="009C237F"/>
    <w:rsid w:val="009C269F"/>
    <w:rsid w:val="009C3137"/>
    <w:rsid w:val="009C3C25"/>
    <w:rsid w:val="009C4230"/>
    <w:rsid w:val="009C52F1"/>
    <w:rsid w:val="009C574E"/>
    <w:rsid w:val="009C5EA0"/>
    <w:rsid w:val="009D0329"/>
    <w:rsid w:val="009D1593"/>
    <w:rsid w:val="009D2B6D"/>
    <w:rsid w:val="009D4FC8"/>
    <w:rsid w:val="009D6407"/>
    <w:rsid w:val="009D7597"/>
    <w:rsid w:val="009E0252"/>
    <w:rsid w:val="009E1D8E"/>
    <w:rsid w:val="009E22AB"/>
    <w:rsid w:val="009E2813"/>
    <w:rsid w:val="009E2BF2"/>
    <w:rsid w:val="009E3565"/>
    <w:rsid w:val="009E3B01"/>
    <w:rsid w:val="009E4185"/>
    <w:rsid w:val="009E4980"/>
    <w:rsid w:val="009E5626"/>
    <w:rsid w:val="009E5687"/>
    <w:rsid w:val="009E6006"/>
    <w:rsid w:val="009E649F"/>
    <w:rsid w:val="009E71CD"/>
    <w:rsid w:val="009E77C6"/>
    <w:rsid w:val="009E7855"/>
    <w:rsid w:val="009E7EFF"/>
    <w:rsid w:val="009F02B6"/>
    <w:rsid w:val="009F02FB"/>
    <w:rsid w:val="009F08DB"/>
    <w:rsid w:val="009F288C"/>
    <w:rsid w:val="009F292A"/>
    <w:rsid w:val="009F2C9B"/>
    <w:rsid w:val="009F34FA"/>
    <w:rsid w:val="009F39BF"/>
    <w:rsid w:val="009F3BCB"/>
    <w:rsid w:val="009F40F5"/>
    <w:rsid w:val="009F61A6"/>
    <w:rsid w:val="009F6EB3"/>
    <w:rsid w:val="00A0088F"/>
    <w:rsid w:val="00A01926"/>
    <w:rsid w:val="00A01C93"/>
    <w:rsid w:val="00A026BF"/>
    <w:rsid w:val="00A02EDB"/>
    <w:rsid w:val="00A030B1"/>
    <w:rsid w:val="00A03CBE"/>
    <w:rsid w:val="00A05E10"/>
    <w:rsid w:val="00A05F16"/>
    <w:rsid w:val="00A06BE5"/>
    <w:rsid w:val="00A07D19"/>
    <w:rsid w:val="00A07F9D"/>
    <w:rsid w:val="00A10099"/>
    <w:rsid w:val="00A10913"/>
    <w:rsid w:val="00A13C10"/>
    <w:rsid w:val="00A16916"/>
    <w:rsid w:val="00A16DAC"/>
    <w:rsid w:val="00A1781B"/>
    <w:rsid w:val="00A205E1"/>
    <w:rsid w:val="00A207D6"/>
    <w:rsid w:val="00A21389"/>
    <w:rsid w:val="00A23275"/>
    <w:rsid w:val="00A24CB4"/>
    <w:rsid w:val="00A24D38"/>
    <w:rsid w:val="00A26550"/>
    <w:rsid w:val="00A26734"/>
    <w:rsid w:val="00A26CD4"/>
    <w:rsid w:val="00A2733F"/>
    <w:rsid w:val="00A2746D"/>
    <w:rsid w:val="00A279DB"/>
    <w:rsid w:val="00A321E7"/>
    <w:rsid w:val="00A33221"/>
    <w:rsid w:val="00A3390B"/>
    <w:rsid w:val="00A33BB0"/>
    <w:rsid w:val="00A342DB"/>
    <w:rsid w:val="00A34F9A"/>
    <w:rsid w:val="00A35248"/>
    <w:rsid w:val="00A35754"/>
    <w:rsid w:val="00A358D2"/>
    <w:rsid w:val="00A36493"/>
    <w:rsid w:val="00A36DEC"/>
    <w:rsid w:val="00A37031"/>
    <w:rsid w:val="00A37228"/>
    <w:rsid w:val="00A40DE2"/>
    <w:rsid w:val="00A41059"/>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60570"/>
    <w:rsid w:val="00A6216A"/>
    <w:rsid w:val="00A621B9"/>
    <w:rsid w:val="00A62573"/>
    <w:rsid w:val="00A625AC"/>
    <w:rsid w:val="00A629DB"/>
    <w:rsid w:val="00A63265"/>
    <w:rsid w:val="00A6375D"/>
    <w:rsid w:val="00A642D6"/>
    <w:rsid w:val="00A658CA"/>
    <w:rsid w:val="00A6776A"/>
    <w:rsid w:val="00A67AC8"/>
    <w:rsid w:val="00A71471"/>
    <w:rsid w:val="00A7162F"/>
    <w:rsid w:val="00A71F8E"/>
    <w:rsid w:val="00A72A3E"/>
    <w:rsid w:val="00A73860"/>
    <w:rsid w:val="00A74CD7"/>
    <w:rsid w:val="00A764BB"/>
    <w:rsid w:val="00A80623"/>
    <w:rsid w:val="00A80A0D"/>
    <w:rsid w:val="00A8203F"/>
    <w:rsid w:val="00A8267B"/>
    <w:rsid w:val="00A82E84"/>
    <w:rsid w:val="00A83AFA"/>
    <w:rsid w:val="00A83C37"/>
    <w:rsid w:val="00A8433D"/>
    <w:rsid w:val="00A850C7"/>
    <w:rsid w:val="00A86F28"/>
    <w:rsid w:val="00A873DE"/>
    <w:rsid w:val="00A90C66"/>
    <w:rsid w:val="00A90D3F"/>
    <w:rsid w:val="00A90DFD"/>
    <w:rsid w:val="00A91499"/>
    <w:rsid w:val="00A92513"/>
    <w:rsid w:val="00A939E4"/>
    <w:rsid w:val="00A94064"/>
    <w:rsid w:val="00A943B1"/>
    <w:rsid w:val="00A94AA9"/>
    <w:rsid w:val="00A94C54"/>
    <w:rsid w:val="00A94C7D"/>
    <w:rsid w:val="00A94EBA"/>
    <w:rsid w:val="00A955DA"/>
    <w:rsid w:val="00A9690D"/>
    <w:rsid w:val="00A96B21"/>
    <w:rsid w:val="00AA1338"/>
    <w:rsid w:val="00AA1D92"/>
    <w:rsid w:val="00AA2647"/>
    <w:rsid w:val="00AA28F3"/>
    <w:rsid w:val="00AA2B1F"/>
    <w:rsid w:val="00AA2CD5"/>
    <w:rsid w:val="00AA3525"/>
    <w:rsid w:val="00AA3533"/>
    <w:rsid w:val="00AA3A3E"/>
    <w:rsid w:val="00AA3AE9"/>
    <w:rsid w:val="00AA4288"/>
    <w:rsid w:val="00AA4395"/>
    <w:rsid w:val="00AA46D0"/>
    <w:rsid w:val="00AA53F3"/>
    <w:rsid w:val="00AA5F2B"/>
    <w:rsid w:val="00AA643B"/>
    <w:rsid w:val="00AA67E0"/>
    <w:rsid w:val="00AA6BAA"/>
    <w:rsid w:val="00AA6F70"/>
    <w:rsid w:val="00AA77F2"/>
    <w:rsid w:val="00AB01AD"/>
    <w:rsid w:val="00AB02D2"/>
    <w:rsid w:val="00AB0490"/>
    <w:rsid w:val="00AB1332"/>
    <w:rsid w:val="00AB1BEE"/>
    <w:rsid w:val="00AB24E2"/>
    <w:rsid w:val="00AB3D6C"/>
    <w:rsid w:val="00AB3F3C"/>
    <w:rsid w:val="00AB5602"/>
    <w:rsid w:val="00AB5B5E"/>
    <w:rsid w:val="00AB5B92"/>
    <w:rsid w:val="00AB7967"/>
    <w:rsid w:val="00AB7AE4"/>
    <w:rsid w:val="00AC03CF"/>
    <w:rsid w:val="00AC06F3"/>
    <w:rsid w:val="00AC0AF4"/>
    <w:rsid w:val="00AC1F1A"/>
    <w:rsid w:val="00AC3431"/>
    <w:rsid w:val="00AC3651"/>
    <w:rsid w:val="00AC43EA"/>
    <w:rsid w:val="00AC4788"/>
    <w:rsid w:val="00AC47D7"/>
    <w:rsid w:val="00AC6B37"/>
    <w:rsid w:val="00AC6E09"/>
    <w:rsid w:val="00AC7192"/>
    <w:rsid w:val="00AC7437"/>
    <w:rsid w:val="00AC7B52"/>
    <w:rsid w:val="00AD27E2"/>
    <w:rsid w:val="00AD4023"/>
    <w:rsid w:val="00AD435A"/>
    <w:rsid w:val="00AD4C0F"/>
    <w:rsid w:val="00AD5455"/>
    <w:rsid w:val="00AD5599"/>
    <w:rsid w:val="00AD78B4"/>
    <w:rsid w:val="00AD7C0F"/>
    <w:rsid w:val="00AE083D"/>
    <w:rsid w:val="00AE196C"/>
    <w:rsid w:val="00AE199C"/>
    <w:rsid w:val="00AE1A95"/>
    <w:rsid w:val="00AE2E80"/>
    <w:rsid w:val="00AE3082"/>
    <w:rsid w:val="00AE380A"/>
    <w:rsid w:val="00AE3870"/>
    <w:rsid w:val="00AE4F18"/>
    <w:rsid w:val="00AE5682"/>
    <w:rsid w:val="00AE5EAE"/>
    <w:rsid w:val="00AE6940"/>
    <w:rsid w:val="00AE6ED5"/>
    <w:rsid w:val="00AE6FAD"/>
    <w:rsid w:val="00AE76B5"/>
    <w:rsid w:val="00AF0F14"/>
    <w:rsid w:val="00AF1638"/>
    <w:rsid w:val="00AF1C96"/>
    <w:rsid w:val="00AF28AC"/>
    <w:rsid w:val="00AF39A8"/>
    <w:rsid w:val="00AF3B7A"/>
    <w:rsid w:val="00AF3F1C"/>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C7D"/>
    <w:rsid w:val="00B10F5E"/>
    <w:rsid w:val="00B10FEE"/>
    <w:rsid w:val="00B116AF"/>
    <w:rsid w:val="00B119AD"/>
    <w:rsid w:val="00B12B28"/>
    <w:rsid w:val="00B130B5"/>
    <w:rsid w:val="00B134E6"/>
    <w:rsid w:val="00B15572"/>
    <w:rsid w:val="00B20A9F"/>
    <w:rsid w:val="00B22258"/>
    <w:rsid w:val="00B24E8B"/>
    <w:rsid w:val="00B25654"/>
    <w:rsid w:val="00B26352"/>
    <w:rsid w:val="00B270E2"/>
    <w:rsid w:val="00B27E1C"/>
    <w:rsid w:val="00B31260"/>
    <w:rsid w:val="00B31F68"/>
    <w:rsid w:val="00B320AA"/>
    <w:rsid w:val="00B33C17"/>
    <w:rsid w:val="00B35479"/>
    <w:rsid w:val="00B3566E"/>
    <w:rsid w:val="00B36089"/>
    <w:rsid w:val="00B36214"/>
    <w:rsid w:val="00B36EA9"/>
    <w:rsid w:val="00B37EBF"/>
    <w:rsid w:val="00B4129C"/>
    <w:rsid w:val="00B43ED1"/>
    <w:rsid w:val="00B447CA"/>
    <w:rsid w:val="00B45054"/>
    <w:rsid w:val="00B46256"/>
    <w:rsid w:val="00B47289"/>
    <w:rsid w:val="00B47764"/>
    <w:rsid w:val="00B47A84"/>
    <w:rsid w:val="00B47AAD"/>
    <w:rsid w:val="00B47B5C"/>
    <w:rsid w:val="00B511B7"/>
    <w:rsid w:val="00B54646"/>
    <w:rsid w:val="00B55710"/>
    <w:rsid w:val="00B55D9E"/>
    <w:rsid w:val="00B55EF8"/>
    <w:rsid w:val="00B579B4"/>
    <w:rsid w:val="00B57BFB"/>
    <w:rsid w:val="00B60676"/>
    <w:rsid w:val="00B60858"/>
    <w:rsid w:val="00B60F60"/>
    <w:rsid w:val="00B62CC6"/>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77898"/>
    <w:rsid w:val="00B77E00"/>
    <w:rsid w:val="00B80230"/>
    <w:rsid w:val="00B815DB"/>
    <w:rsid w:val="00B8190D"/>
    <w:rsid w:val="00B81A38"/>
    <w:rsid w:val="00B82127"/>
    <w:rsid w:val="00B82767"/>
    <w:rsid w:val="00B829AC"/>
    <w:rsid w:val="00B830DF"/>
    <w:rsid w:val="00B84A49"/>
    <w:rsid w:val="00B84DDD"/>
    <w:rsid w:val="00B86EEC"/>
    <w:rsid w:val="00B871CB"/>
    <w:rsid w:val="00B87232"/>
    <w:rsid w:val="00B93350"/>
    <w:rsid w:val="00B937D8"/>
    <w:rsid w:val="00B9405D"/>
    <w:rsid w:val="00B951A5"/>
    <w:rsid w:val="00B95801"/>
    <w:rsid w:val="00B95A6D"/>
    <w:rsid w:val="00B95A7F"/>
    <w:rsid w:val="00BA20AE"/>
    <w:rsid w:val="00BA2D52"/>
    <w:rsid w:val="00BA41D0"/>
    <w:rsid w:val="00BA4481"/>
    <w:rsid w:val="00BA4BF5"/>
    <w:rsid w:val="00BB00D8"/>
    <w:rsid w:val="00BB0672"/>
    <w:rsid w:val="00BB0AFD"/>
    <w:rsid w:val="00BB10F5"/>
    <w:rsid w:val="00BB2B33"/>
    <w:rsid w:val="00BB2C5C"/>
    <w:rsid w:val="00BB4FBD"/>
    <w:rsid w:val="00BB6743"/>
    <w:rsid w:val="00BB75FE"/>
    <w:rsid w:val="00BC264E"/>
    <w:rsid w:val="00BC38D7"/>
    <w:rsid w:val="00BC4029"/>
    <w:rsid w:val="00BC4CAC"/>
    <w:rsid w:val="00BC533D"/>
    <w:rsid w:val="00BC5AD7"/>
    <w:rsid w:val="00BC5DCA"/>
    <w:rsid w:val="00BC5E15"/>
    <w:rsid w:val="00BC5F52"/>
    <w:rsid w:val="00BC67C9"/>
    <w:rsid w:val="00BC7971"/>
    <w:rsid w:val="00BD045A"/>
    <w:rsid w:val="00BD1BCB"/>
    <w:rsid w:val="00BD21C5"/>
    <w:rsid w:val="00BD26BF"/>
    <w:rsid w:val="00BD2736"/>
    <w:rsid w:val="00BD2BC1"/>
    <w:rsid w:val="00BD3937"/>
    <w:rsid w:val="00BD4199"/>
    <w:rsid w:val="00BD41A3"/>
    <w:rsid w:val="00BD4806"/>
    <w:rsid w:val="00BD53EE"/>
    <w:rsid w:val="00BD59C7"/>
    <w:rsid w:val="00BD59E3"/>
    <w:rsid w:val="00BD696A"/>
    <w:rsid w:val="00BD6AF0"/>
    <w:rsid w:val="00BD7B97"/>
    <w:rsid w:val="00BE0106"/>
    <w:rsid w:val="00BE0554"/>
    <w:rsid w:val="00BE0AAD"/>
    <w:rsid w:val="00BE0E36"/>
    <w:rsid w:val="00BE3ACE"/>
    <w:rsid w:val="00BE3E9D"/>
    <w:rsid w:val="00BE4891"/>
    <w:rsid w:val="00BE5195"/>
    <w:rsid w:val="00BE5925"/>
    <w:rsid w:val="00BE6F77"/>
    <w:rsid w:val="00BE7663"/>
    <w:rsid w:val="00BF172F"/>
    <w:rsid w:val="00BF178A"/>
    <w:rsid w:val="00BF19E6"/>
    <w:rsid w:val="00BF1E0E"/>
    <w:rsid w:val="00BF23BA"/>
    <w:rsid w:val="00BF4440"/>
    <w:rsid w:val="00BF4643"/>
    <w:rsid w:val="00BF5251"/>
    <w:rsid w:val="00BF600A"/>
    <w:rsid w:val="00BF60B0"/>
    <w:rsid w:val="00BF678C"/>
    <w:rsid w:val="00BF6C5C"/>
    <w:rsid w:val="00BF6D4C"/>
    <w:rsid w:val="00BF6F3C"/>
    <w:rsid w:val="00BF702F"/>
    <w:rsid w:val="00C000B7"/>
    <w:rsid w:val="00C0180E"/>
    <w:rsid w:val="00C0257E"/>
    <w:rsid w:val="00C0297F"/>
    <w:rsid w:val="00C041AC"/>
    <w:rsid w:val="00C0437C"/>
    <w:rsid w:val="00C04501"/>
    <w:rsid w:val="00C04D8B"/>
    <w:rsid w:val="00C05B19"/>
    <w:rsid w:val="00C063B4"/>
    <w:rsid w:val="00C06F7F"/>
    <w:rsid w:val="00C104BD"/>
    <w:rsid w:val="00C105B0"/>
    <w:rsid w:val="00C10904"/>
    <w:rsid w:val="00C112DF"/>
    <w:rsid w:val="00C11525"/>
    <w:rsid w:val="00C12958"/>
    <w:rsid w:val="00C1297F"/>
    <w:rsid w:val="00C12BAE"/>
    <w:rsid w:val="00C13845"/>
    <w:rsid w:val="00C171E2"/>
    <w:rsid w:val="00C1788F"/>
    <w:rsid w:val="00C20855"/>
    <w:rsid w:val="00C20EB3"/>
    <w:rsid w:val="00C21D7F"/>
    <w:rsid w:val="00C222BF"/>
    <w:rsid w:val="00C22E29"/>
    <w:rsid w:val="00C22F67"/>
    <w:rsid w:val="00C2354A"/>
    <w:rsid w:val="00C239BE"/>
    <w:rsid w:val="00C239DB"/>
    <w:rsid w:val="00C23B05"/>
    <w:rsid w:val="00C23D7E"/>
    <w:rsid w:val="00C24E84"/>
    <w:rsid w:val="00C25CD5"/>
    <w:rsid w:val="00C262DF"/>
    <w:rsid w:val="00C3202F"/>
    <w:rsid w:val="00C32940"/>
    <w:rsid w:val="00C338C3"/>
    <w:rsid w:val="00C33A95"/>
    <w:rsid w:val="00C352D2"/>
    <w:rsid w:val="00C379EE"/>
    <w:rsid w:val="00C40B76"/>
    <w:rsid w:val="00C40B94"/>
    <w:rsid w:val="00C4242C"/>
    <w:rsid w:val="00C426BE"/>
    <w:rsid w:val="00C42A11"/>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2F55"/>
    <w:rsid w:val="00C53351"/>
    <w:rsid w:val="00C53B22"/>
    <w:rsid w:val="00C53F3F"/>
    <w:rsid w:val="00C54134"/>
    <w:rsid w:val="00C5491B"/>
    <w:rsid w:val="00C554A6"/>
    <w:rsid w:val="00C55C4A"/>
    <w:rsid w:val="00C56081"/>
    <w:rsid w:val="00C5753F"/>
    <w:rsid w:val="00C57A4C"/>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7A5"/>
    <w:rsid w:val="00C75703"/>
    <w:rsid w:val="00C75BA9"/>
    <w:rsid w:val="00C77FF8"/>
    <w:rsid w:val="00C8007F"/>
    <w:rsid w:val="00C8021B"/>
    <w:rsid w:val="00C80365"/>
    <w:rsid w:val="00C804DB"/>
    <w:rsid w:val="00C80A6D"/>
    <w:rsid w:val="00C80C1C"/>
    <w:rsid w:val="00C80D2E"/>
    <w:rsid w:val="00C80D80"/>
    <w:rsid w:val="00C817A9"/>
    <w:rsid w:val="00C81CDF"/>
    <w:rsid w:val="00C8255F"/>
    <w:rsid w:val="00C82B9E"/>
    <w:rsid w:val="00C842AE"/>
    <w:rsid w:val="00C84634"/>
    <w:rsid w:val="00C84F2D"/>
    <w:rsid w:val="00C859D1"/>
    <w:rsid w:val="00C85ABF"/>
    <w:rsid w:val="00C86BCF"/>
    <w:rsid w:val="00C86C76"/>
    <w:rsid w:val="00C87308"/>
    <w:rsid w:val="00C87A9C"/>
    <w:rsid w:val="00C90669"/>
    <w:rsid w:val="00C9088E"/>
    <w:rsid w:val="00C919D4"/>
    <w:rsid w:val="00C9367D"/>
    <w:rsid w:val="00C93828"/>
    <w:rsid w:val="00C94BD9"/>
    <w:rsid w:val="00C955A1"/>
    <w:rsid w:val="00C966AD"/>
    <w:rsid w:val="00C97B30"/>
    <w:rsid w:val="00CA0A1F"/>
    <w:rsid w:val="00CA1215"/>
    <w:rsid w:val="00CA1483"/>
    <w:rsid w:val="00CA1583"/>
    <w:rsid w:val="00CA1A6E"/>
    <w:rsid w:val="00CA1B65"/>
    <w:rsid w:val="00CA1DB0"/>
    <w:rsid w:val="00CA2DED"/>
    <w:rsid w:val="00CA5E82"/>
    <w:rsid w:val="00CA6929"/>
    <w:rsid w:val="00CB02BC"/>
    <w:rsid w:val="00CB06B1"/>
    <w:rsid w:val="00CB0A6D"/>
    <w:rsid w:val="00CB0AD8"/>
    <w:rsid w:val="00CB101D"/>
    <w:rsid w:val="00CB13BF"/>
    <w:rsid w:val="00CB1C46"/>
    <w:rsid w:val="00CB3F41"/>
    <w:rsid w:val="00CB446F"/>
    <w:rsid w:val="00CB4A0D"/>
    <w:rsid w:val="00CB4FEB"/>
    <w:rsid w:val="00CB51FD"/>
    <w:rsid w:val="00CB5C78"/>
    <w:rsid w:val="00CB60CE"/>
    <w:rsid w:val="00CB6448"/>
    <w:rsid w:val="00CB66C2"/>
    <w:rsid w:val="00CB74C0"/>
    <w:rsid w:val="00CB7717"/>
    <w:rsid w:val="00CB7CBF"/>
    <w:rsid w:val="00CC060D"/>
    <w:rsid w:val="00CC086F"/>
    <w:rsid w:val="00CC0BB1"/>
    <w:rsid w:val="00CC0D6D"/>
    <w:rsid w:val="00CC0E72"/>
    <w:rsid w:val="00CC1798"/>
    <w:rsid w:val="00CC2570"/>
    <w:rsid w:val="00CC275A"/>
    <w:rsid w:val="00CC42EE"/>
    <w:rsid w:val="00CC4899"/>
    <w:rsid w:val="00CC5071"/>
    <w:rsid w:val="00CC57FD"/>
    <w:rsid w:val="00CC5899"/>
    <w:rsid w:val="00CC5C11"/>
    <w:rsid w:val="00CC6301"/>
    <w:rsid w:val="00CC7B72"/>
    <w:rsid w:val="00CD053E"/>
    <w:rsid w:val="00CD07C8"/>
    <w:rsid w:val="00CD3E49"/>
    <w:rsid w:val="00CD3FAD"/>
    <w:rsid w:val="00CD4BD5"/>
    <w:rsid w:val="00CD5806"/>
    <w:rsid w:val="00CD5EAB"/>
    <w:rsid w:val="00CD68C7"/>
    <w:rsid w:val="00CD6B94"/>
    <w:rsid w:val="00CE041A"/>
    <w:rsid w:val="00CE13D9"/>
    <w:rsid w:val="00CE1E90"/>
    <w:rsid w:val="00CE228B"/>
    <w:rsid w:val="00CE266A"/>
    <w:rsid w:val="00CE3DCE"/>
    <w:rsid w:val="00CE4E30"/>
    <w:rsid w:val="00CE4FA9"/>
    <w:rsid w:val="00CE54EA"/>
    <w:rsid w:val="00CE7460"/>
    <w:rsid w:val="00CF02B2"/>
    <w:rsid w:val="00CF1ACB"/>
    <w:rsid w:val="00CF1AD7"/>
    <w:rsid w:val="00CF1ADD"/>
    <w:rsid w:val="00CF2117"/>
    <w:rsid w:val="00CF5345"/>
    <w:rsid w:val="00CF55E9"/>
    <w:rsid w:val="00CF5BCC"/>
    <w:rsid w:val="00CF5EE7"/>
    <w:rsid w:val="00CF6A56"/>
    <w:rsid w:val="00CF70AB"/>
    <w:rsid w:val="00CF73E8"/>
    <w:rsid w:val="00CF7A69"/>
    <w:rsid w:val="00D0022B"/>
    <w:rsid w:val="00D0086A"/>
    <w:rsid w:val="00D03E7D"/>
    <w:rsid w:val="00D045EB"/>
    <w:rsid w:val="00D0520A"/>
    <w:rsid w:val="00D061A0"/>
    <w:rsid w:val="00D075F4"/>
    <w:rsid w:val="00D0790A"/>
    <w:rsid w:val="00D10B51"/>
    <w:rsid w:val="00D134DF"/>
    <w:rsid w:val="00D153CC"/>
    <w:rsid w:val="00D154E8"/>
    <w:rsid w:val="00D15693"/>
    <w:rsid w:val="00D163F5"/>
    <w:rsid w:val="00D168C4"/>
    <w:rsid w:val="00D16B95"/>
    <w:rsid w:val="00D17ABE"/>
    <w:rsid w:val="00D2010E"/>
    <w:rsid w:val="00D21433"/>
    <w:rsid w:val="00D21F5C"/>
    <w:rsid w:val="00D2253D"/>
    <w:rsid w:val="00D226DA"/>
    <w:rsid w:val="00D22C36"/>
    <w:rsid w:val="00D22FD9"/>
    <w:rsid w:val="00D2302E"/>
    <w:rsid w:val="00D23E1D"/>
    <w:rsid w:val="00D24095"/>
    <w:rsid w:val="00D245F9"/>
    <w:rsid w:val="00D27D29"/>
    <w:rsid w:val="00D27EFB"/>
    <w:rsid w:val="00D3059B"/>
    <w:rsid w:val="00D30864"/>
    <w:rsid w:val="00D30C33"/>
    <w:rsid w:val="00D31087"/>
    <w:rsid w:val="00D311D8"/>
    <w:rsid w:val="00D31A20"/>
    <w:rsid w:val="00D31EF2"/>
    <w:rsid w:val="00D328D3"/>
    <w:rsid w:val="00D328F2"/>
    <w:rsid w:val="00D332D5"/>
    <w:rsid w:val="00D3405F"/>
    <w:rsid w:val="00D34738"/>
    <w:rsid w:val="00D353E8"/>
    <w:rsid w:val="00D36AEB"/>
    <w:rsid w:val="00D37EAA"/>
    <w:rsid w:val="00D40086"/>
    <w:rsid w:val="00D40177"/>
    <w:rsid w:val="00D40F95"/>
    <w:rsid w:val="00D40F99"/>
    <w:rsid w:val="00D41B4A"/>
    <w:rsid w:val="00D41D03"/>
    <w:rsid w:val="00D42311"/>
    <w:rsid w:val="00D42499"/>
    <w:rsid w:val="00D442BA"/>
    <w:rsid w:val="00D45131"/>
    <w:rsid w:val="00D47013"/>
    <w:rsid w:val="00D47BEE"/>
    <w:rsid w:val="00D5080E"/>
    <w:rsid w:val="00D509EC"/>
    <w:rsid w:val="00D5120D"/>
    <w:rsid w:val="00D52234"/>
    <w:rsid w:val="00D524CA"/>
    <w:rsid w:val="00D53403"/>
    <w:rsid w:val="00D537BC"/>
    <w:rsid w:val="00D53AD6"/>
    <w:rsid w:val="00D53C08"/>
    <w:rsid w:val="00D540A8"/>
    <w:rsid w:val="00D5530E"/>
    <w:rsid w:val="00D57423"/>
    <w:rsid w:val="00D57922"/>
    <w:rsid w:val="00D57EFA"/>
    <w:rsid w:val="00D60046"/>
    <w:rsid w:val="00D6066F"/>
    <w:rsid w:val="00D60E14"/>
    <w:rsid w:val="00D61FF8"/>
    <w:rsid w:val="00D623A0"/>
    <w:rsid w:val="00D6276C"/>
    <w:rsid w:val="00D6374C"/>
    <w:rsid w:val="00D64106"/>
    <w:rsid w:val="00D64F35"/>
    <w:rsid w:val="00D65551"/>
    <w:rsid w:val="00D65CF6"/>
    <w:rsid w:val="00D66CA9"/>
    <w:rsid w:val="00D67939"/>
    <w:rsid w:val="00D71FD3"/>
    <w:rsid w:val="00D71FFB"/>
    <w:rsid w:val="00D7350A"/>
    <w:rsid w:val="00D73C2C"/>
    <w:rsid w:val="00D74663"/>
    <w:rsid w:val="00D751FA"/>
    <w:rsid w:val="00D75E8B"/>
    <w:rsid w:val="00D7633E"/>
    <w:rsid w:val="00D7694D"/>
    <w:rsid w:val="00D773A9"/>
    <w:rsid w:val="00D82DFB"/>
    <w:rsid w:val="00D8501A"/>
    <w:rsid w:val="00D86B08"/>
    <w:rsid w:val="00D86CE3"/>
    <w:rsid w:val="00D87063"/>
    <w:rsid w:val="00D902B7"/>
    <w:rsid w:val="00D9044B"/>
    <w:rsid w:val="00D92206"/>
    <w:rsid w:val="00D938BB"/>
    <w:rsid w:val="00D96375"/>
    <w:rsid w:val="00D970D6"/>
    <w:rsid w:val="00D97F39"/>
    <w:rsid w:val="00DA0487"/>
    <w:rsid w:val="00DA04BD"/>
    <w:rsid w:val="00DA077E"/>
    <w:rsid w:val="00DA1CB7"/>
    <w:rsid w:val="00DA2858"/>
    <w:rsid w:val="00DA55C0"/>
    <w:rsid w:val="00DA57E0"/>
    <w:rsid w:val="00DA5F4A"/>
    <w:rsid w:val="00DA6AA6"/>
    <w:rsid w:val="00DB0040"/>
    <w:rsid w:val="00DB03F5"/>
    <w:rsid w:val="00DB1015"/>
    <w:rsid w:val="00DB1075"/>
    <w:rsid w:val="00DB16A2"/>
    <w:rsid w:val="00DB38BF"/>
    <w:rsid w:val="00DB4120"/>
    <w:rsid w:val="00DB4AB7"/>
    <w:rsid w:val="00DB5463"/>
    <w:rsid w:val="00DB5E0F"/>
    <w:rsid w:val="00DB7058"/>
    <w:rsid w:val="00DB7FC4"/>
    <w:rsid w:val="00DC092E"/>
    <w:rsid w:val="00DC1A17"/>
    <w:rsid w:val="00DC408C"/>
    <w:rsid w:val="00DC42F3"/>
    <w:rsid w:val="00DC44CE"/>
    <w:rsid w:val="00DC468B"/>
    <w:rsid w:val="00DC4E81"/>
    <w:rsid w:val="00DC5470"/>
    <w:rsid w:val="00DC60AB"/>
    <w:rsid w:val="00DC7153"/>
    <w:rsid w:val="00DD00FF"/>
    <w:rsid w:val="00DD18BD"/>
    <w:rsid w:val="00DD2333"/>
    <w:rsid w:val="00DD2BBD"/>
    <w:rsid w:val="00DD3751"/>
    <w:rsid w:val="00DD4810"/>
    <w:rsid w:val="00DD5C0D"/>
    <w:rsid w:val="00DD6C07"/>
    <w:rsid w:val="00DD716A"/>
    <w:rsid w:val="00DD77E2"/>
    <w:rsid w:val="00DE02D5"/>
    <w:rsid w:val="00DE0FD1"/>
    <w:rsid w:val="00DE1558"/>
    <w:rsid w:val="00DE161B"/>
    <w:rsid w:val="00DE263F"/>
    <w:rsid w:val="00DE2DA6"/>
    <w:rsid w:val="00DE41B6"/>
    <w:rsid w:val="00DE5C7E"/>
    <w:rsid w:val="00DE5F51"/>
    <w:rsid w:val="00DE75A1"/>
    <w:rsid w:val="00DE75A6"/>
    <w:rsid w:val="00DE76A8"/>
    <w:rsid w:val="00DF047C"/>
    <w:rsid w:val="00DF21EE"/>
    <w:rsid w:val="00DF3BD1"/>
    <w:rsid w:val="00DF4E24"/>
    <w:rsid w:val="00DF56F0"/>
    <w:rsid w:val="00DF5D07"/>
    <w:rsid w:val="00DF61CC"/>
    <w:rsid w:val="00DF6EFB"/>
    <w:rsid w:val="00DF7AA4"/>
    <w:rsid w:val="00E008E0"/>
    <w:rsid w:val="00E018B3"/>
    <w:rsid w:val="00E0199B"/>
    <w:rsid w:val="00E03400"/>
    <w:rsid w:val="00E04367"/>
    <w:rsid w:val="00E043B3"/>
    <w:rsid w:val="00E050CC"/>
    <w:rsid w:val="00E0573A"/>
    <w:rsid w:val="00E05AE8"/>
    <w:rsid w:val="00E05CEC"/>
    <w:rsid w:val="00E05D6E"/>
    <w:rsid w:val="00E060BD"/>
    <w:rsid w:val="00E0765C"/>
    <w:rsid w:val="00E100A2"/>
    <w:rsid w:val="00E10F6B"/>
    <w:rsid w:val="00E114C9"/>
    <w:rsid w:val="00E11827"/>
    <w:rsid w:val="00E12613"/>
    <w:rsid w:val="00E12AFF"/>
    <w:rsid w:val="00E13C94"/>
    <w:rsid w:val="00E13F00"/>
    <w:rsid w:val="00E1597C"/>
    <w:rsid w:val="00E15DB0"/>
    <w:rsid w:val="00E1724A"/>
    <w:rsid w:val="00E17AA8"/>
    <w:rsid w:val="00E20922"/>
    <w:rsid w:val="00E20CD2"/>
    <w:rsid w:val="00E22841"/>
    <w:rsid w:val="00E22B7B"/>
    <w:rsid w:val="00E22EFB"/>
    <w:rsid w:val="00E22F2B"/>
    <w:rsid w:val="00E242F3"/>
    <w:rsid w:val="00E248CE"/>
    <w:rsid w:val="00E24CAE"/>
    <w:rsid w:val="00E26291"/>
    <w:rsid w:val="00E27242"/>
    <w:rsid w:val="00E30C75"/>
    <w:rsid w:val="00E3243A"/>
    <w:rsid w:val="00E33564"/>
    <w:rsid w:val="00E34CD6"/>
    <w:rsid w:val="00E40694"/>
    <w:rsid w:val="00E409B1"/>
    <w:rsid w:val="00E41BCC"/>
    <w:rsid w:val="00E42465"/>
    <w:rsid w:val="00E42861"/>
    <w:rsid w:val="00E434D2"/>
    <w:rsid w:val="00E438E6"/>
    <w:rsid w:val="00E43EEA"/>
    <w:rsid w:val="00E44A51"/>
    <w:rsid w:val="00E45599"/>
    <w:rsid w:val="00E47039"/>
    <w:rsid w:val="00E50704"/>
    <w:rsid w:val="00E50A27"/>
    <w:rsid w:val="00E516D6"/>
    <w:rsid w:val="00E52C4F"/>
    <w:rsid w:val="00E5364D"/>
    <w:rsid w:val="00E5645C"/>
    <w:rsid w:val="00E564C2"/>
    <w:rsid w:val="00E6036F"/>
    <w:rsid w:val="00E60902"/>
    <w:rsid w:val="00E61C34"/>
    <w:rsid w:val="00E63705"/>
    <w:rsid w:val="00E64439"/>
    <w:rsid w:val="00E6453B"/>
    <w:rsid w:val="00E653F7"/>
    <w:rsid w:val="00E668E6"/>
    <w:rsid w:val="00E67E90"/>
    <w:rsid w:val="00E7090B"/>
    <w:rsid w:val="00E72690"/>
    <w:rsid w:val="00E72699"/>
    <w:rsid w:val="00E753E6"/>
    <w:rsid w:val="00E75FBE"/>
    <w:rsid w:val="00E765A9"/>
    <w:rsid w:val="00E7677A"/>
    <w:rsid w:val="00E80646"/>
    <w:rsid w:val="00E815FC"/>
    <w:rsid w:val="00E81F63"/>
    <w:rsid w:val="00E823DC"/>
    <w:rsid w:val="00E82544"/>
    <w:rsid w:val="00E84BAD"/>
    <w:rsid w:val="00E86401"/>
    <w:rsid w:val="00E90C7C"/>
    <w:rsid w:val="00E90DA6"/>
    <w:rsid w:val="00E9372B"/>
    <w:rsid w:val="00E93EE7"/>
    <w:rsid w:val="00E94A15"/>
    <w:rsid w:val="00E97C6B"/>
    <w:rsid w:val="00E97E7A"/>
    <w:rsid w:val="00EA0C1D"/>
    <w:rsid w:val="00EA0E91"/>
    <w:rsid w:val="00EA3DE8"/>
    <w:rsid w:val="00EA4F98"/>
    <w:rsid w:val="00EA5CCD"/>
    <w:rsid w:val="00EA5DEC"/>
    <w:rsid w:val="00EA60FE"/>
    <w:rsid w:val="00EA7642"/>
    <w:rsid w:val="00EB1A67"/>
    <w:rsid w:val="00EB1EB2"/>
    <w:rsid w:val="00EB2C52"/>
    <w:rsid w:val="00EB33DC"/>
    <w:rsid w:val="00EB3E6F"/>
    <w:rsid w:val="00EB4343"/>
    <w:rsid w:val="00EB4AC8"/>
    <w:rsid w:val="00EB535C"/>
    <w:rsid w:val="00EC05CA"/>
    <w:rsid w:val="00EC11A7"/>
    <w:rsid w:val="00EC19C7"/>
    <w:rsid w:val="00EC2124"/>
    <w:rsid w:val="00EC27CD"/>
    <w:rsid w:val="00EC2DEF"/>
    <w:rsid w:val="00EC3289"/>
    <w:rsid w:val="00EC49B9"/>
    <w:rsid w:val="00EC6F1B"/>
    <w:rsid w:val="00EC6FDB"/>
    <w:rsid w:val="00EC7601"/>
    <w:rsid w:val="00ED14F3"/>
    <w:rsid w:val="00ED1A19"/>
    <w:rsid w:val="00ED1F10"/>
    <w:rsid w:val="00ED2610"/>
    <w:rsid w:val="00ED3288"/>
    <w:rsid w:val="00ED337B"/>
    <w:rsid w:val="00ED3849"/>
    <w:rsid w:val="00ED3AC9"/>
    <w:rsid w:val="00ED4A0D"/>
    <w:rsid w:val="00ED4D08"/>
    <w:rsid w:val="00ED564A"/>
    <w:rsid w:val="00ED64F3"/>
    <w:rsid w:val="00EE1573"/>
    <w:rsid w:val="00EE1BD0"/>
    <w:rsid w:val="00EE23E5"/>
    <w:rsid w:val="00EE265B"/>
    <w:rsid w:val="00EE2FF8"/>
    <w:rsid w:val="00EE378F"/>
    <w:rsid w:val="00EE53C2"/>
    <w:rsid w:val="00EE6354"/>
    <w:rsid w:val="00EE6D3C"/>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491"/>
    <w:rsid w:val="00F038D6"/>
    <w:rsid w:val="00F03C79"/>
    <w:rsid w:val="00F06D0B"/>
    <w:rsid w:val="00F07E9E"/>
    <w:rsid w:val="00F107D0"/>
    <w:rsid w:val="00F108E7"/>
    <w:rsid w:val="00F10CBD"/>
    <w:rsid w:val="00F115FF"/>
    <w:rsid w:val="00F12115"/>
    <w:rsid w:val="00F1345E"/>
    <w:rsid w:val="00F13DE2"/>
    <w:rsid w:val="00F14826"/>
    <w:rsid w:val="00F16080"/>
    <w:rsid w:val="00F17CFB"/>
    <w:rsid w:val="00F17D17"/>
    <w:rsid w:val="00F2052B"/>
    <w:rsid w:val="00F22823"/>
    <w:rsid w:val="00F2361D"/>
    <w:rsid w:val="00F2406B"/>
    <w:rsid w:val="00F24143"/>
    <w:rsid w:val="00F242CE"/>
    <w:rsid w:val="00F243FF"/>
    <w:rsid w:val="00F24B8A"/>
    <w:rsid w:val="00F258FB"/>
    <w:rsid w:val="00F300D6"/>
    <w:rsid w:val="00F302E7"/>
    <w:rsid w:val="00F3062F"/>
    <w:rsid w:val="00F31B9D"/>
    <w:rsid w:val="00F32445"/>
    <w:rsid w:val="00F33162"/>
    <w:rsid w:val="00F33247"/>
    <w:rsid w:val="00F349B8"/>
    <w:rsid w:val="00F35366"/>
    <w:rsid w:val="00F364B6"/>
    <w:rsid w:val="00F3680D"/>
    <w:rsid w:val="00F36999"/>
    <w:rsid w:val="00F36B27"/>
    <w:rsid w:val="00F371CD"/>
    <w:rsid w:val="00F371DF"/>
    <w:rsid w:val="00F3789D"/>
    <w:rsid w:val="00F37DC6"/>
    <w:rsid w:val="00F40B09"/>
    <w:rsid w:val="00F41639"/>
    <w:rsid w:val="00F417A1"/>
    <w:rsid w:val="00F42664"/>
    <w:rsid w:val="00F42BE7"/>
    <w:rsid w:val="00F43BB2"/>
    <w:rsid w:val="00F442FC"/>
    <w:rsid w:val="00F467CC"/>
    <w:rsid w:val="00F46ABF"/>
    <w:rsid w:val="00F505B7"/>
    <w:rsid w:val="00F50F9F"/>
    <w:rsid w:val="00F511EB"/>
    <w:rsid w:val="00F513B0"/>
    <w:rsid w:val="00F5421F"/>
    <w:rsid w:val="00F5561A"/>
    <w:rsid w:val="00F55BC9"/>
    <w:rsid w:val="00F55CF8"/>
    <w:rsid w:val="00F55F81"/>
    <w:rsid w:val="00F56234"/>
    <w:rsid w:val="00F57145"/>
    <w:rsid w:val="00F57405"/>
    <w:rsid w:val="00F57AC7"/>
    <w:rsid w:val="00F57CEA"/>
    <w:rsid w:val="00F6167F"/>
    <w:rsid w:val="00F61A2E"/>
    <w:rsid w:val="00F62325"/>
    <w:rsid w:val="00F62CB6"/>
    <w:rsid w:val="00F63366"/>
    <w:rsid w:val="00F6557E"/>
    <w:rsid w:val="00F65851"/>
    <w:rsid w:val="00F65A81"/>
    <w:rsid w:val="00F65CDB"/>
    <w:rsid w:val="00F67A45"/>
    <w:rsid w:val="00F67D43"/>
    <w:rsid w:val="00F70309"/>
    <w:rsid w:val="00F70BE9"/>
    <w:rsid w:val="00F70C83"/>
    <w:rsid w:val="00F7126F"/>
    <w:rsid w:val="00F726AF"/>
    <w:rsid w:val="00F72A69"/>
    <w:rsid w:val="00F72B7C"/>
    <w:rsid w:val="00F72FE5"/>
    <w:rsid w:val="00F732DB"/>
    <w:rsid w:val="00F73AED"/>
    <w:rsid w:val="00F73C03"/>
    <w:rsid w:val="00F73EDE"/>
    <w:rsid w:val="00F74CA0"/>
    <w:rsid w:val="00F74D17"/>
    <w:rsid w:val="00F75DD1"/>
    <w:rsid w:val="00F770F3"/>
    <w:rsid w:val="00F77480"/>
    <w:rsid w:val="00F811ED"/>
    <w:rsid w:val="00F81253"/>
    <w:rsid w:val="00F81709"/>
    <w:rsid w:val="00F81ACB"/>
    <w:rsid w:val="00F82192"/>
    <w:rsid w:val="00F82ED5"/>
    <w:rsid w:val="00F835CC"/>
    <w:rsid w:val="00F83C0F"/>
    <w:rsid w:val="00F841F5"/>
    <w:rsid w:val="00F845B2"/>
    <w:rsid w:val="00F84D80"/>
    <w:rsid w:val="00F84E6F"/>
    <w:rsid w:val="00F85152"/>
    <w:rsid w:val="00F853AF"/>
    <w:rsid w:val="00F863E3"/>
    <w:rsid w:val="00F8641C"/>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3B06"/>
    <w:rsid w:val="00FA4C3C"/>
    <w:rsid w:val="00FA571B"/>
    <w:rsid w:val="00FA59B4"/>
    <w:rsid w:val="00FA62B7"/>
    <w:rsid w:val="00FA66F9"/>
    <w:rsid w:val="00FA7184"/>
    <w:rsid w:val="00FA7BF3"/>
    <w:rsid w:val="00FB1DB8"/>
    <w:rsid w:val="00FB35E3"/>
    <w:rsid w:val="00FB4C9F"/>
    <w:rsid w:val="00FB5512"/>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206C"/>
    <w:rsid w:val="00FD4287"/>
    <w:rsid w:val="00FD5073"/>
    <w:rsid w:val="00FD6E52"/>
    <w:rsid w:val="00FD74CC"/>
    <w:rsid w:val="00FE1011"/>
    <w:rsid w:val="00FE165D"/>
    <w:rsid w:val="00FE2638"/>
    <w:rsid w:val="00FE2882"/>
    <w:rsid w:val="00FE3749"/>
    <w:rsid w:val="00FE45D0"/>
    <w:rsid w:val="00FE488D"/>
    <w:rsid w:val="00FE60D2"/>
    <w:rsid w:val="00FE6B1B"/>
    <w:rsid w:val="00FE709C"/>
    <w:rsid w:val="00FE713A"/>
    <w:rsid w:val="00FE7175"/>
    <w:rsid w:val="00FE7255"/>
    <w:rsid w:val="00FE75F3"/>
    <w:rsid w:val="00FE76BF"/>
    <w:rsid w:val="00FF09CD"/>
    <w:rsid w:val="00FF0D76"/>
    <w:rsid w:val="00FF0E7B"/>
    <w:rsid w:val="00FF115B"/>
    <w:rsid w:val="00FF217A"/>
    <w:rsid w:val="00FF2372"/>
    <w:rsid w:val="00FF2EF7"/>
    <w:rsid w:val="00FF3777"/>
    <w:rsid w:val="00FF38FD"/>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D0AD6F1-6E12-4A97-939D-EFB09BB8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A1338"/>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A1338"/>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A1338"/>
    <w:pPr>
      <w:keepNext/>
      <w:numPr>
        <w:ilvl w:val="3"/>
        <w:numId w:val="6"/>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AA1338"/>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A1338"/>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A1338"/>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AA1338"/>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ascii="Calibri" w:eastAsiaTheme="minorEastAsia"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A1338"/>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A1338"/>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A1338"/>
    <w:rPr>
      <w:vertAlign w:val="superscript"/>
    </w:rPr>
  </w:style>
  <w:style w:type="paragraph" w:customStyle="1" w:styleId="Footnote">
    <w:name w:val="Footnote"/>
    <w:basedOn w:val="FootnoteText"/>
    <w:qFormat/>
    <w:rsid w:val="00AA133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Heading2Char">
    <w:name w:val="Heading 2 Char"/>
    <w:basedOn w:val="DefaultParagraphFont"/>
    <w:link w:val="Heading2"/>
    <w:uiPriority w:val="9"/>
    <w:rsid w:val="00AA1338"/>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AA1338"/>
    <w:pPr>
      <w:tabs>
        <w:tab w:val="center" w:pos="4680"/>
        <w:tab w:val="right" w:pos="9360"/>
      </w:tabs>
    </w:pPr>
    <w:rPr>
      <w:sz w:val="20"/>
    </w:rPr>
  </w:style>
  <w:style w:type="character" w:customStyle="1" w:styleId="FooterChar">
    <w:name w:val="Footer Char"/>
    <w:basedOn w:val="DefaultParagraphFont"/>
    <w:link w:val="Footer"/>
    <w:uiPriority w:val="99"/>
    <w:rsid w:val="00AA1338"/>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AA1338"/>
    <w:rPr>
      <w:rFonts w:ascii="Times New Roman" w:eastAsiaTheme="majorEastAsia" w:hAnsi="Times New Roman" w:cs="Times New Roman"/>
      <w:b/>
      <w:bCs/>
      <w:kern w:val="0"/>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AA1338"/>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AA1338"/>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AA1338"/>
    <w:rPr>
      <w:sz w:val="16"/>
      <w:szCs w:val="16"/>
    </w:rPr>
  </w:style>
  <w:style w:type="paragraph" w:styleId="CommentText">
    <w:name w:val="annotation text"/>
    <w:basedOn w:val="Normal"/>
    <w:link w:val="CommentTextChar"/>
    <w:uiPriority w:val="99"/>
    <w:rsid w:val="00AA1338"/>
    <w:rPr>
      <w:sz w:val="20"/>
      <w:szCs w:val="20"/>
    </w:rPr>
  </w:style>
  <w:style w:type="character" w:customStyle="1" w:styleId="CommentTextChar">
    <w:name w:val="Comment Text Char"/>
    <w:basedOn w:val="DefaultParagraphFont"/>
    <w:link w:val="CommentText"/>
    <w:uiPriority w:val="99"/>
    <w:rsid w:val="00AA1338"/>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A1338"/>
    <w:rPr>
      <w:b/>
      <w:bCs/>
    </w:rPr>
  </w:style>
  <w:style w:type="character" w:customStyle="1" w:styleId="CommentSubjectChar">
    <w:name w:val="Comment Subject Char"/>
    <w:basedOn w:val="CommentTextChar"/>
    <w:link w:val="CommentSubject"/>
    <w:uiPriority w:val="99"/>
    <w:semiHidden/>
    <w:rsid w:val="00AA1338"/>
    <w:rPr>
      <w:rFonts w:ascii="Times New Roman" w:eastAsia="SimSun" w:hAnsi="Times New Roman" w:cs="Times New Roman"/>
      <w:b/>
      <w:bCs/>
      <w:kern w:val="0"/>
      <w:sz w:val="20"/>
      <w:szCs w:val="20"/>
      <w14:ligatures w14:val="none"/>
    </w:rPr>
  </w:style>
  <w:style w:type="paragraph" w:styleId="Re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rPr>
  </w:style>
  <w:style w:type="character" w:styleId="Hyperlink">
    <w:name w:val="Hyperlink"/>
    <w:basedOn w:val="DefaultParagraphFont"/>
    <w:uiPriority w:val="99"/>
    <w:unhideWhenUsed/>
    <w:rsid w:val="00AA1338"/>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14:ligatures w14:val="none"/>
    </w:rPr>
  </w:style>
  <w:style w:type="paragraph" w:styleId="Header">
    <w:name w:val="header"/>
    <w:basedOn w:val="Normal"/>
    <w:link w:val="HeaderChar"/>
    <w:rsid w:val="00AA133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A1338"/>
    <w:rPr>
      <w:rFonts w:ascii="Times New Roman" w:eastAsia="SimSun" w:hAnsi="Times New Roman" w:cs="Times New Roman"/>
      <w:kern w:val="0"/>
      <w:sz w:val="20"/>
      <w14:ligatures w14:val="none"/>
    </w:rPr>
  </w:style>
  <w:style w:type="character" w:customStyle="1" w:styleId="Heading6Char">
    <w:name w:val="Heading 6 Char"/>
    <w:basedOn w:val="DefaultParagraphFont"/>
    <w:link w:val="Heading6"/>
    <w:semiHidden/>
    <w:rsid w:val="00AA1338"/>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AA1338"/>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AA1338"/>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AA1338"/>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A1338"/>
    <w:pPr>
      <w:contextualSpacing/>
    </w:pPr>
  </w:style>
  <w:style w:type="numbering" w:customStyle="1" w:styleId="ListCBD">
    <w:name w:val="ListCBD"/>
    <w:basedOn w:val="NoList"/>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BalloonText">
    <w:name w:val="Balloon Text"/>
    <w:basedOn w:val="Normal"/>
    <w:link w:val="BalloonTextChar"/>
    <w:uiPriority w:val="99"/>
    <w:semiHidden/>
    <w:unhideWhenUsed/>
    <w:rsid w:val="002B38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8F5"/>
    <w:rPr>
      <w:rFonts w:ascii="Segoe UI" w:eastAsia="SimSun" w:hAnsi="Segoe UI" w:cs="Segoe UI"/>
      <w:kern w:val="0"/>
      <w:sz w:val="18"/>
      <w:szCs w:val="18"/>
      <w14:ligatures w14:val="none"/>
    </w:rPr>
  </w:style>
  <w:style w:type="paragraph" w:styleId="Bibliography">
    <w:name w:val="Bibliography"/>
    <w:basedOn w:val="Normal"/>
    <w:next w:val="Normal"/>
    <w:uiPriority w:val="37"/>
    <w:semiHidden/>
    <w:unhideWhenUsed/>
    <w:rsid w:val="002B38F5"/>
  </w:style>
  <w:style w:type="paragraph" w:styleId="BlockText">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B38F5"/>
    <w:pPr>
      <w:spacing w:after="120" w:line="480" w:lineRule="auto"/>
    </w:pPr>
  </w:style>
  <w:style w:type="character" w:customStyle="1" w:styleId="BodyText2Char">
    <w:name w:val="Body Text 2 Char"/>
    <w:basedOn w:val="DefaultParagraphFont"/>
    <w:link w:val="BodyText2"/>
    <w:uiPriority w:val="99"/>
    <w:semiHidden/>
    <w:rsid w:val="002B38F5"/>
    <w:rPr>
      <w:rFonts w:ascii="Times New Roman" w:eastAsia="SimSun" w:hAnsi="Times New Roman" w:cs="Times New Roman"/>
      <w:kern w:val="0"/>
      <w14:ligatures w14:val="none"/>
    </w:rPr>
  </w:style>
  <w:style w:type="paragraph" w:styleId="BodyText3">
    <w:name w:val="Body Text 3"/>
    <w:basedOn w:val="Normal"/>
    <w:link w:val="BodyText3Char"/>
    <w:uiPriority w:val="99"/>
    <w:semiHidden/>
    <w:unhideWhenUsed/>
    <w:rsid w:val="002B38F5"/>
    <w:pPr>
      <w:spacing w:after="120"/>
    </w:pPr>
    <w:rPr>
      <w:sz w:val="16"/>
      <w:szCs w:val="16"/>
    </w:rPr>
  </w:style>
  <w:style w:type="character" w:customStyle="1" w:styleId="BodyText3Char">
    <w:name w:val="Body Text 3 Char"/>
    <w:basedOn w:val="DefaultParagraphFont"/>
    <w:link w:val="BodyText3"/>
    <w:uiPriority w:val="99"/>
    <w:semiHidden/>
    <w:rsid w:val="002B38F5"/>
    <w:rPr>
      <w:rFonts w:ascii="Times New Roman" w:eastAsia="SimSun" w:hAnsi="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B38F5"/>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rsid w:val="002B38F5"/>
    <w:pPr>
      <w:spacing w:after="0"/>
      <w:ind w:firstLine="360"/>
    </w:pPr>
  </w:style>
  <w:style w:type="character" w:customStyle="1" w:styleId="BodyTextFirstIndent2Char">
    <w:name w:val="Body Text First Indent 2 Char"/>
    <w:basedOn w:val="BodyTextIndentChar"/>
    <w:link w:val="BodyTextFirstIndent2"/>
    <w:uiPriority w:val="99"/>
    <w:semiHidden/>
    <w:rsid w:val="002B38F5"/>
    <w:rPr>
      <w:rFonts w:ascii="Times New Roman" w:eastAsia="SimSun" w:hAnsi="Times New Roman" w:cs="Times New Roman"/>
      <w:kern w:val="0"/>
      <w14:ligatures w14:val="none"/>
    </w:rPr>
  </w:style>
  <w:style w:type="paragraph" w:styleId="BodyTextIndent2">
    <w:name w:val="Body Text Indent 2"/>
    <w:basedOn w:val="Normal"/>
    <w:link w:val="BodyTextIndent2Char"/>
    <w:uiPriority w:val="99"/>
    <w:semiHidden/>
    <w:unhideWhenUsed/>
    <w:rsid w:val="002B38F5"/>
    <w:pPr>
      <w:spacing w:after="120" w:line="480" w:lineRule="auto"/>
      <w:ind w:left="360"/>
    </w:pPr>
  </w:style>
  <w:style w:type="character" w:customStyle="1" w:styleId="BodyTextIndent2Char">
    <w:name w:val="Body Text Indent 2 Char"/>
    <w:basedOn w:val="DefaultParagraphFont"/>
    <w:link w:val="BodyTextIndent2"/>
    <w:uiPriority w:val="99"/>
    <w:semiHidden/>
    <w:rsid w:val="002B38F5"/>
    <w:rPr>
      <w:rFonts w:ascii="Times New Roman" w:eastAsia="SimSun" w:hAnsi="Times New Roman" w:cs="Times New Roman"/>
      <w:kern w:val="0"/>
      <w14:ligatures w14:val="none"/>
    </w:rPr>
  </w:style>
  <w:style w:type="paragraph" w:styleId="BodyTextIndent3">
    <w:name w:val="Body Text Indent 3"/>
    <w:basedOn w:val="Normal"/>
    <w:link w:val="BodyTextIndent3Char"/>
    <w:uiPriority w:val="99"/>
    <w:semiHidden/>
    <w:unhideWhenUsed/>
    <w:rsid w:val="002B38F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B38F5"/>
    <w:rPr>
      <w:rFonts w:ascii="Times New Roman" w:eastAsia="SimSun" w:hAnsi="Times New Roman" w:cs="Times New Roman"/>
      <w:kern w:val="0"/>
      <w:sz w:val="16"/>
      <w:szCs w:val="16"/>
      <w14:ligatures w14:val="none"/>
    </w:rPr>
  </w:style>
  <w:style w:type="character" w:styleId="BookTitle">
    <w:name w:val="Book Title"/>
    <w:basedOn w:val="DefaultParagraphFont"/>
    <w:uiPriority w:val="33"/>
    <w:qFormat/>
    <w:rsid w:val="002B38F5"/>
    <w:rPr>
      <w:b/>
      <w:bCs/>
      <w:i/>
      <w:iCs/>
      <w:spacing w:val="5"/>
    </w:rPr>
  </w:style>
  <w:style w:type="paragraph" w:styleId="Caption">
    <w:name w:val="caption"/>
    <w:basedOn w:val="Normal"/>
    <w:next w:val="Normal"/>
    <w:uiPriority w:val="35"/>
    <w:semiHidden/>
    <w:unhideWhenUsed/>
    <w:qFormat/>
    <w:rsid w:val="002B38F5"/>
    <w:pPr>
      <w:spacing w:after="200"/>
    </w:pPr>
    <w:rPr>
      <w:i/>
      <w:iCs/>
      <w:color w:val="44546A" w:themeColor="text2"/>
      <w:sz w:val="18"/>
      <w:szCs w:val="18"/>
    </w:rPr>
  </w:style>
  <w:style w:type="paragraph" w:styleId="Closing">
    <w:name w:val="Closing"/>
    <w:basedOn w:val="Normal"/>
    <w:link w:val="ClosingChar"/>
    <w:uiPriority w:val="99"/>
    <w:semiHidden/>
    <w:unhideWhenUsed/>
    <w:rsid w:val="002B38F5"/>
    <w:pPr>
      <w:ind w:left="4320"/>
    </w:pPr>
  </w:style>
  <w:style w:type="character" w:customStyle="1" w:styleId="ClosingChar">
    <w:name w:val="Closing Char"/>
    <w:basedOn w:val="DefaultParagraphFont"/>
    <w:link w:val="Closing"/>
    <w:uiPriority w:val="99"/>
    <w:semiHidden/>
    <w:rsid w:val="002B38F5"/>
    <w:rPr>
      <w:rFonts w:ascii="Times New Roman" w:eastAsia="SimSun" w:hAnsi="Times New Roman" w:cs="Times New Roman"/>
      <w:kern w:val="0"/>
      <w14:ligatures w14:val="none"/>
    </w:rPr>
  </w:style>
  <w:style w:type="table" w:styleId="ColorfulGrid">
    <w:name w:val="Colorful Grid"/>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tblPr/>
      <w:tcPr>
        <w:shd w:val="clear" w:color="auto" w:fill="F7CAAC" w:themeFill="accent2" w:themeFillTint="66"/>
      </w:tcPr>
    </w:tblStylePr>
    <w:tblStylePr w:type="lastRow">
      <w:tblPr/>
      <w:tcPr>
        <w:shd w:val="clear" w:color="auto" w:fill="F7CAAC" w:themeFill="accent2" w:themeFillTint="66"/>
      </w:tcPr>
    </w:tblStylePr>
    <w:tblStylePr w:type="firstCol">
      <w:tblPr/>
      <w:tcPr>
        <w:shd w:val="clear" w:color="auto" w:fill="C45911" w:themeFill="accent2" w:themeFillShade="BF"/>
      </w:tcPr>
    </w:tblStylePr>
    <w:tblStylePr w:type="lastCol">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tblPr/>
      <w:tcPr>
        <w:shd w:val="clear" w:color="auto" w:fill="DBDBDB" w:themeFill="accent3" w:themeFillTint="66"/>
      </w:tcPr>
    </w:tblStylePr>
    <w:tblStylePr w:type="lastRow">
      <w:tblPr/>
      <w:tcPr>
        <w:shd w:val="clear" w:color="auto" w:fill="DBDBDB" w:themeFill="accent3" w:themeFillTint="66"/>
      </w:tcPr>
    </w:tblStylePr>
    <w:tblStylePr w:type="firstCol">
      <w:tblPr/>
      <w:tcPr>
        <w:shd w:val="clear" w:color="auto" w:fill="7B7B7B" w:themeFill="accent3" w:themeFillShade="BF"/>
      </w:tcPr>
    </w:tblStylePr>
    <w:tblStylePr w:type="lastCol">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tblPr/>
      <w:tcPr>
        <w:shd w:val="clear" w:color="auto" w:fill="FFE599" w:themeFill="accent4" w:themeFillTint="66"/>
      </w:tcPr>
    </w:tblStylePr>
    <w:tblStylePr w:type="lastRow">
      <w:tblPr/>
      <w:tcPr>
        <w:shd w:val="clear" w:color="auto" w:fill="FFE599" w:themeFill="accent4" w:themeFillTint="66"/>
      </w:tcPr>
    </w:tblStylePr>
    <w:tblStylePr w:type="firstCol">
      <w:tblPr/>
      <w:tcPr>
        <w:shd w:val="clear" w:color="auto" w:fill="BF8F00" w:themeFill="accent4" w:themeFillShade="BF"/>
      </w:tcPr>
    </w:tblStylePr>
    <w:tblStylePr w:type="lastCol">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tblPr/>
      <w:tcPr>
        <w:shd w:val="clear" w:color="auto" w:fill="BDD6EE" w:themeFill="accent5" w:themeFillTint="66"/>
      </w:tcPr>
    </w:tblStylePr>
    <w:tblStylePr w:type="lastRow">
      <w:tblPr/>
      <w:tcPr>
        <w:shd w:val="clear" w:color="auto" w:fill="BDD6EE" w:themeFill="accent5" w:themeFillTint="66"/>
      </w:tcPr>
    </w:tblStylePr>
    <w:tblStylePr w:type="firstCol">
      <w:tblPr/>
      <w:tcPr>
        <w:shd w:val="clear" w:color="auto" w:fill="2E74B5" w:themeFill="accent5" w:themeFillShade="BF"/>
      </w:tcPr>
    </w:tblStylePr>
    <w:tblStylePr w:type="lastCol">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tblPr/>
      <w:tcPr>
        <w:shd w:val="clear" w:color="auto" w:fill="C5E0B3" w:themeFill="accent6" w:themeFillTint="66"/>
      </w:tcPr>
    </w:tblStylePr>
    <w:tblStylePr w:type="lastRow">
      <w:tblPr/>
      <w:tcPr>
        <w:shd w:val="clear" w:color="auto" w:fill="C5E0B3" w:themeFill="accent6" w:themeFillTint="66"/>
      </w:tcPr>
    </w:tblStylePr>
    <w:tblStylePr w:type="firstCol">
      <w:tblPr/>
      <w:tcPr>
        <w:shd w:val="clear" w:color="auto" w:fill="538135" w:themeFill="accent6" w:themeFillShade="BF"/>
      </w:tcPr>
    </w:tblStylePr>
    <w:tblStylePr w:type="lastCol">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tblPr/>
      <w:tcPr>
        <w:tcBorders>
          <w:bottom w:val="single" w:sz="12" w:space="0" w:color="FFFFFF" w:themeColor="background1"/>
        </w:tcBorders>
        <w:shd w:val="clear" w:color="auto" w:fill="CC9900"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tblPr/>
      <w:tcPr>
        <w:tcBorders>
          <w:bottom w:val="single" w:sz="12" w:space="0" w:color="FFFFFF" w:themeColor="background1"/>
        </w:tcBorders>
        <w:shd w:val="clear" w:color="auto" w:fill="848484"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tblPr/>
      <w:tcPr>
        <w:tcBorders>
          <w:bottom w:val="single" w:sz="12" w:space="0" w:color="FFFFFF" w:themeColor="background1"/>
        </w:tcBorders>
        <w:shd w:val="clear" w:color="auto" w:fill="598A38"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tblPr/>
      <w:tcPr>
        <w:tcBorders>
          <w:bottom w:val="single" w:sz="12" w:space="0" w:color="FFFFFF" w:themeColor="background1"/>
        </w:tcBorders>
        <w:shd w:val="clear" w:color="auto" w:fill="317CC1"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64378" w:themeFill="accent1" w:themeFillShade="99"/>
      </w:tcPr>
    </w:tblStylePr>
    <w:tblStylePr w:type="firstCol">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style>
  <w:style w:type="table" w:styleId="ColorfulShading-Accent2">
    <w:name w:val="Colorful Shading Accent 2"/>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D470D" w:themeFill="accent2" w:themeFillShade="99"/>
      </w:tcPr>
    </w:tblStylePr>
    <w:tblStylePr w:type="firstCol">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style>
  <w:style w:type="table" w:styleId="ColorfulShading-Accent3">
    <w:name w:val="Colorful Shading Accent 3"/>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7300" w:themeFill="accent4" w:themeFillShade="99"/>
      </w:tcPr>
    </w:tblStylePr>
    <w:tblStylePr w:type="firstCol">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style>
  <w:style w:type="table" w:styleId="ColorfulShading-Accent5">
    <w:name w:val="Colorful Shading Accent 5"/>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55D91" w:themeFill="accent5" w:themeFillShade="99"/>
      </w:tcPr>
    </w:tblStylePr>
    <w:tblStylePr w:type="firstCol">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style>
  <w:style w:type="table" w:styleId="ColorfulShading-Accent6">
    <w:name w:val="Colorful Shading Accent 6"/>
    <w:basedOn w:val="Table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3672A" w:themeFill="accent6" w:themeFillShade="99"/>
      </w:tcPr>
    </w:tblStylePr>
    <w:tblStylePr w:type="firstCol">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style>
  <w:style w:type="table" w:styleId="DarkList">
    <w:name w:val="Dark List"/>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B38F5"/>
  </w:style>
  <w:style w:type="character" w:customStyle="1" w:styleId="DateChar">
    <w:name w:val="Date Char"/>
    <w:basedOn w:val="DefaultParagraphFont"/>
    <w:link w:val="Date"/>
    <w:uiPriority w:val="99"/>
    <w:semiHidden/>
    <w:rsid w:val="002B38F5"/>
    <w:rPr>
      <w:rFonts w:ascii="Times New Roman" w:eastAsia="SimSun" w:hAnsi="Times New Roman" w:cs="Times New Roman"/>
      <w:kern w:val="0"/>
      <w14:ligatures w14:val="none"/>
    </w:rPr>
  </w:style>
  <w:style w:type="paragraph" w:styleId="DocumentMap">
    <w:name w:val="Document Map"/>
    <w:basedOn w:val="Normal"/>
    <w:link w:val="DocumentMapChar"/>
    <w:uiPriority w:val="99"/>
    <w:semiHidden/>
    <w:unhideWhenUsed/>
    <w:rsid w:val="002B38F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B38F5"/>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2B38F5"/>
  </w:style>
  <w:style w:type="character" w:customStyle="1" w:styleId="E-mailSignatureChar">
    <w:name w:val="E-mail Signature Char"/>
    <w:basedOn w:val="DefaultParagraphFont"/>
    <w:link w:val="E-mailSignature"/>
    <w:uiPriority w:val="99"/>
    <w:semiHidden/>
    <w:rsid w:val="002B38F5"/>
    <w:rPr>
      <w:rFonts w:ascii="Times New Roman" w:eastAsia="SimSun" w:hAnsi="Times New Roman" w:cs="Times New Roman"/>
      <w:kern w:val="0"/>
      <w14:ligatures w14:val="none"/>
    </w:rPr>
  </w:style>
  <w:style w:type="character" w:styleId="Emphasis">
    <w:name w:val="Emphasis"/>
    <w:basedOn w:val="DefaultParagraphFont"/>
    <w:uiPriority w:val="20"/>
    <w:qFormat/>
    <w:rsid w:val="002B38F5"/>
    <w:rPr>
      <w:i/>
      <w:iCs/>
    </w:rPr>
  </w:style>
  <w:style w:type="character" w:styleId="EndnoteReference">
    <w:name w:val="endnote reference"/>
    <w:basedOn w:val="DefaultParagraphFont"/>
    <w:uiPriority w:val="99"/>
    <w:semiHidden/>
    <w:unhideWhenUsed/>
    <w:rsid w:val="002B38F5"/>
    <w:rPr>
      <w:vertAlign w:val="superscript"/>
    </w:rPr>
  </w:style>
  <w:style w:type="paragraph" w:styleId="EndnoteText">
    <w:name w:val="endnote text"/>
    <w:basedOn w:val="Normal"/>
    <w:link w:val="EndnoteTextChar"/>
    <w:uiPriority w:val="99"/>
    <w:semiHidden/>
    <w:unhideWhenUsed/>
    <w:rsid w:val="002B38F5"/>
    <w:rPr>
      <w:sz w:val="20"/>
      <w:szCs w:val="20"/>
    </w:rPr>
  </w:style>
  <w:style w:type="character" w:customStyle="1" w:styleId="EndnoteTextChar">
    <w:name w:val="Endnote Text Char"/>
    <w:basedOn w:val="DefaultParagraphFont"/>
    <w:link w:val="EndnoteText"/>
    <w:uiPriority w:val="99"/>
    <w:semiHidden/>
    <w:rsid w:val="002B38F5"/>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B38F5"/>
    <w:rPr>
      <w:rFonts w:asciiTheme="majorHAnsi" w:eastAsiaTheme="majorEastAsia" w:hAnsiTheme="majorHAnsi" w:cstheme="majorBidi"/>
      <w:sz w:val="20"/>
      <w:szCs w:val="20"/>
    </w:rPr>
  </w:style>
  <w:style w:type="table" w:styleId="GridTable1Light">
    <w:name w:val="Grid Table 1 Light"/>
    <w:basedOn w:val="TableNormal"/>
    <w:uiPriority w:val="46"/>
    <w:rsid w:val="002B38F5"/>
    <w:pPr>
      <w:spacing w:after="0" w:line="240" w:lineRule="auto"/>
    </w:pPr>
    <w:rPr>
      <w:rFonts w:ascii="Calibri" w:hAnsi="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2B38F5"/>
    <w:pPr>
      <w:spacing w:after="0" w:line="240" w:lineRule="auto"/>
    </w:pPr>
    <w:rPr>
      <w:rFonts w:ascii="Calibri" w:hAnsi="Calibr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tblPr/>
      <w:tcPr>
        <w:tcBorders>
          <w:bottom w:val="single" w:sz="12" w:space="0" w:color="8EAADB" w:themeColor="accent1" w:themeTint="99"/>
        </w:tcBorders>
      </w:tcPr>
    </w:tblStylePr>
    <w:tblStylePr w:type="lastRow">
      <w:tblPr/>
      <w:tcPr>
        <w:tcBorders>
          <w:top w:val="double" w:sz="2" w:space="0" w:color="8EAADB" w:themeColor="accent1" w:themeTint="99"/>
        </w:tcBorders>
      </w:tcPr>
    </w:tblStylePr>
  </w:style>
  <w:style w:type="table" w:styleId="GridTable1Light-Accent2">
    <w:name w:val="Grid Table 1 Light Accent 2"/>
    <w:basedOn w:val="TableNormal"/>
    <w:uiPriority w:val="46"/>
    <w:rsid w:val="002B38F5"/>
    <w:pPr>
      <w:spacing w:after="0" w:line="240" w:lineRule="auto"/>
    </w:pPr>
    <w:rPr>
      <w:rFonts w:ascii="Calibri" w:hAnsi="Calibr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tblPr/>
      <w:tcPr>
        <w:tcBorders>
          <w:bottom w:val="single" w:sz="12" w:space="0" w:color="F4B083" w:themeColor="accent2" w:themeTint="99"/>
        </w:tcBorders>
      </w:tcPr>
    </w:tblStylePr>
    <w:tblStylePr w:type="lastRow">
      <w:tblPr/>
      <w:tcPr>
        <w:tcBorders>
          <w:top w:val="double" w:sz="2" w:space="0" w:color="F4B083" w:themeColor="accent2" w:themeTint="99"/>
        </w:tcBorders>
      </w:tcPr>
    </w:tblStylePr>
  </w:style>
  <w:style w:type="table" w:styleId="GridTable1Light-Accent3">
    <w:name w:val="Grid Table 1 Light Accent 3"/>
    <w:basedOn w:val="TableNormal"/>
    <w:uiPriority w:val="46"/>
    <w:rsid w:val="002B38F5"/>
    <w:pPr>
      <w:spacing w:after="0" w:line="240" w:lineRule="auto"/>
    </w:pPr>
    <w:rPr>
      <w:rFonts w:ascii="Calibri" w:hAnsi="Calibr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tblPr/>
      <w:tcPr>
        <w:tcBorders>
          <w:bottom w:val="single" w:sz="12" w:space="0" w:color="C9C9C9" w:themeColor="accent3" w:themeTint="99"/>
        </w:tcBorders>
      </w:tcPr>
    </w:tblStylePr>
    <w:tblStylePr w:type="lastRow">
      <w:tblPr/>
      <w:tcPr>
        <w:tcBorders>
          <w:top w:val="double" w:sz="2" w:space="0" w:color="C9C9C9" w:themeColor="accent3" w:themeTint="99"/>
        </w:tcBorders>
      </w:tcPr>
    </w:tblStylePr>
  </w:style>
  <w:style w:type="table" w:styleId="GridTable1Light-Accent4">
    <w:name w:val="Grid Table 1 Light Accent 4"/>
    <w:basedOn w:val="TableNormal"/>
    <w:uiPriority w:val="46"/>
    <w:rsid w:val="002B38F5"/>
    <w:pPr>
      <w:spacing w:after="0" w:line="240" w:lineRule="auto"/>
    </w:pPr>
    <w:rPr>
      <w:rFonts w:ascii="Calibri" w:hAnsi="Calibr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tblPr/>
      <w:tcPr>
        <w:tcBorders>
          <w:bottom w:val="single" w:sz="12" w:space="0" w:color="FFD966" w:themeColor="accent4" w:themeTint="99"/>
        </w:tcBorders>
      </w:tcPr>
    </w:tblStylePr>
    <w:tblStylePr w:type="lastRow">
      <w:tblPr/>
      <w:tcPr>
        <w:tcBorders>
          <w:top w:val="double" w:sz="2" w:space="0" w:color="FFD966" w:themeColor="accent4" w:themeTint="99"/>
        </w:tcBorders>
      </w:tcPr>
    </w:tblStylePr>
  </w:style>
  <w:style w:type="table" w:styleId="GridTable1Light-Accent5">
    <w:name w:val="Grid Table 1 Light Accent 5"/>
    <w:basedOn w:val="TableNormal"/>
    <w:uiPriority w:val="46"/>
    <w:rsid w:val="002B38F5"/>
    <w:pPr>
      <w:spacing w:after="0" w:line="240" w:lineRule="auto"/>
    </w:pPr>
    <w:rPr>
      <w:rFonts w:ascii="Calibri" w:hAnsi="Calibri"/>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tblPr/>
      <w:tcPr>
        <w:tcBorders>
          <w:bottom w:val="single" w:sz="12" w:space="0" w:color="9CC2E5" w:themeColor="accent5" w:themeTint="99"/>
        </w:tcBorders>
      </w:tcPr>
    </w:tblStylePr>
    <w:tblStylePr w:type="lastRow">
      <w:tblPr/>
      <w:tcPr>
        <w:tcBorders>
          <w:top w:val="double" w:sz="2" w:space="0" w:color="9CC2E5" w:themeColor="accent5" w:themeTint="99"/>
        </w:tcBorders>
      </w:tcPr>
    </w:tblStylePr>
  </w:style>
  <w:style w:type="table" w:styleId="GridTable1Light-Accent6">
    <w:name w:val="Grid Table 1 Light Accent 6"/>
    <w:basedOn w:val="TableNormal"/>
    <w:uiPriority w:val="46"/>
    <w:rsid w:val="002B38F5"/>
    <w:pPr>
      <w:spacing w:after="0" w:line="240" w:lineRule="auto"/>
    </w:pPr>
    <w:rPr>
      <w:rFonts w:ascii="Calibri" w:hAnsi="Calibr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tblPr/>
      <w:tcPr>
        <w:tcBorders>
          <w:bottom w:val="single" w:sz="12" w:space="0" w:color="A8D08D" w:themeColor="accent6" w:themeTint="99"/>
        </w:tcBorders>
      </w:tcPr>
    </w:tblStylePr>
    <w:tblStylePr w:type="lastRow">
      <w:tblPr/>
      <w:tcPr>
        <w:tcBorders>
          <w:top w:val="double" w:sz="2" w:space="0" w:color="A8D08D" w:themeColor="accent6" w:themeTint="99"/>
        </w:tcBorders>
      </w:tcPr>
    </w:tblStylePr>
  </w:style>
  <w:style w:type="table" w:styleId="GridTable2">
    <w:name w:val="Grid Table 2"/>
    <w:basedOn w:val="TableNormal"/>
    <w:uiPriority w:val="47"/>
    <w:rsid w:val="002B38F5"/>
    <w:pPr>
      <w:spacing w:after="0" w:line="240" w:lineRule="auto"/>
    </w:pPr>
    <w:rPr>
      <w:rFonts w:ascii="Calibri" w:hAnsi="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B38F5"/>
    <w:pPr>
      <w:spacing w:after="0" w:line="240" w:lineRule="auto"/>
    </w:pPr>
    <w:rPr>
      <w:rFonts w:ascii="Calibri" w:hAnsi="Calibr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tblPr/>
      <w:tcPr>
        <w:tcBorders>
          <w:top w:val="nil"/>
          <w:bottom w:val="single" w:sz="12" w:space="0" w:color="8EAADB" w:themeColor="accent1" w:themeTint="99"/>
          <w:insideH w:val="nil"/>
          <w:insideV w:val="nil"/>
        </w:tcBorders>
        <w:shd w:val="clear" w:color="auto" w:fill="FFFFFF" w:themeFill="background1"/>
      </w:tcPr>
    </w:tblStylePr>
    <w:tblStylePr w:type="lastRow">
      <w:tblPr/>
      <w:tcPr>
        <w:tcBorders>
          <w:top w:val="double" w:sz="2" w:space="0" w:color="8EAADB" w:themeColor="accent1" w:themeTint="99"/>
          <w:bottom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2B38F5"/>
    <w:pPr>
      <w:spacing w:after="0" w:line="240" w:lineRule="auto"/>
    </w:pPr>
    <w:rPr>
      <w:rFonts w:ascii="Calibri" w:hAnsi="Calibr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tblPr/>
      <w:tcPr>
        <w:tcBorders>
          <w:top w:val="nil"/>
          <w:bottom w:val="single" w:sz="12" w:space="0" w:color="F4B083" w:themeColor="accent2" w:themeTint="99"/>
          <w:insideH w:val="nil"/>
          <w:insideV w:val="nil"/>
        </w:tcBorders>
        <w:shd w:val="clear" w:color="auto" w:fill="FFFFFF" w:themeFill="background1"/>
      </w:tcPr>
    </w:tblStylePr>
    <w:tblStylePr w:type="lastRow">
      <w:tblPr/>
      <w:tcPr>
        <w:tcBorders>
          <w:top w:val="double" w:sz="2" w:space="0" w:color="F4B083" w:themeColor="accent2" w:themeTint="99"/>
          <w:bottom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2B38F5"/>
    <w:pPr>
      <w:spacing w:after="0" w:line="240" w:lineRule="auto"/>
    </w:pPr>
    <w:rPr>
      <w:rFonts w:ascii="Calibri" w:hAnsi="Calibr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tblPr/>
      <w:tcPr>
        <w:tcBorders>
          <w:top w:val="nil"/>
          <w:bottom w:val="single" w:sz="12" w:space="0" w:color="C9C9C9" w:themeColor="accent3" w:themeTint="99"/>
          <w:insideH w:val="nil"/>
          <w:insideV w:val="nil"/>
        </w:tcBorders>
        <w:shd w:val="clear" w:color="auto" w:fill="FFFFFF" w:themeFill="background1"/>
      </w:tcPr>
    </w:tblStylePr>
    <w:tblStylePr w:type="lastRow">
      <w:tblPr/>
      <w:tcPr>
        <w:tcBorders>
          <w:top w:val="double" w:sz="2" w:space="0" w:color="C9C9C9" w:themeColor="accent3" w:themeTint="99"/>
          <w:bottom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2B38F5"/>
    <w:pPr>
      <w:spacing w:after="0" w:line="240" w:lineRule="auto"/>
    </w:pPr>
    <w:rPr>
      <w:rFonts w:ascii="Calibri" w:hAnsi="Calibr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tblPr/>
      <w:tcPr>
        <w:tcBorders>
          <w:top w:val="nil"/>
          <w:bottom w:val="single" w:sz="12" w:space="0" w:color="FFD966" w:themeColor="accent4" w:themeTint="99"/>
          <w:insideH w:val="nil"/>
          <w:insideV w:val="nil"/>
        </w:tcBorders>
        <w:shd w:val="clear" w:color="auto" w:fill="FFFFFF" w:themeFill="background1"/>
      </w:tcPr>
    </w:tblStylePr>
    <w:tblStylePr w:type="lastRow">
      <w:tblPr/>
      <w:tcPr>
        <w:tcBorders>
          <w:top w:val="double" w:sz="2" w:space="0" w:color="FFD966" w:themeColor="accent4" w:themeTint="99"/>
          <w:bottom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2B38F5"/>
    <w:pPr>
      <w:spacing w:after="0" w:line="240" w:lineRule="auto"/>
    </w:pPr>
    <w:rPr>
      <w:rFonts w:ascii="Calibri" w:hAnsi="Calibri"/>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tblPr/>
      <w:tcPr>
        <w:tcBorders>
          <w:top w:val="nil"/>
          <w:bottom w:val="single" w:sz="12" w:space="0" w:color="9CC2E5" w:themeColor="accent5" w:themeTint="99"/>
          <w:insideH w:val="nil"/>
          <w:insideV w:val="nil"/>
        </w:tcBorders>
        <w:shd w:val="clear" w:color="auto" w:fill="FFFFFF" w:themeFill="background1"/>
      </w:tcPr>
    </w:tblStylePr>
    <w:tblStylePr w:type="lastRow">
      <w:tblPr/>
      <w:tcPr>
        <w:tcBorders>
          <w:top w:val="double" w:sz="2" w:space="0" w:color="9CC2E5" w:themeColor="accent5" w:themeTint="99"/>
          <w:bottom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2B38F5"/>
    <w:pPr>
      <w:spacing w:after="0" w:line="240" w:lineRule="auto"/>
    </w:pPr>
    <w:rPr>
      <w:rFonts w:ascii="Calibri" w:hAnsi="Calibr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tblPr/>
      <w:tcPr>
        <w:tcBorders>
          <w:top w:val="nil"/>
          <w:bottom w:val="single" w:sz="12" w:space="0" w:color="A8D08D" w:themeColor="accent6" w:themeTint="99"/>
          <w:insideH w:val="nil"/>
          <w:insideV w:val="nil"/>
        </w:tcBorders>
        <w:shd w:val="clear" w:color="auto" w:fill="FFFFFF" w:themeFill="background1"/>
      </w:tcPr>
    </w:tblStylePr>
    <w:tblStylePr w:type="lastRow">
      <w:tblPr/>
      <w:tcPr>
        <w:tcBorders>
          <w:top w:val="double" w:sz="2" w:space="0" w:color="A8D08D" w:themeColor="accent6" w:themeTint="99"/>
          <w:bottom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2B38F5"/>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B38F5"/>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2B38F5"/>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2B38F5"/>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2B38F5"/>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2B38F5"/>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2B38F5"/>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2B38F5"/>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B38F5"/>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2B38F5"/>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2B38F5"/>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2B38F5"/>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2B38F5"/>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2B38F5"/>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2B38F5"/>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bottom w:val="single" w:sz="12" w:space="0" w:color="8EAADB" w:themeColor="accent1" w:themeTint="99"/>
        </w:tcBorders>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bottom w:val="single" w:sz="12" w:space="0" w:color="F4B083" w:themeColor="accent2" w:themeTint="99"/>
        </w:tcBorders>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bottom w:val="single" w:sz="12" w:space="0" w:color="C9C9C9" w:themeColor="accent3" w:themeTint="99"/>
        </w:tcBorders>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bottom w:val="single" w:sz="12" w:space="0" w:color="FFD966" w:themeColor="accent4" w:themeTint="99"/>
        </w:tcBorders>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bottom w:val="single" w:sz="12" w:space="0" w:color="9CC2E5" w:themeColor="accent5" w:themeTint="99"/>
        </w:tcBorders>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bottom w:val="single" w:sz="12" w:space="0" w:color="A8D08D" w:themeColor="accent6" w:themeTint="99"/>
        </w:tcBorders>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2B38F5"/>
    <w:rPr>
      <w:color w:val="2B579A"/>
      <w:shd w:val="clear" w:color="auto" w:fill="E1DFDD"/>
    </w:rPr>
  </w:style>
  <w:style w:type="character" w:styleId="HTMLAcronym">
    <w:name w:val="HTML Acronym"/>
    <w:basedOn w:val="DefaultParagraphFont"/>
    <w:uiPriority w:val="99"/>
    <w:semiHidden/>
    <w:unhideWhenUsed/>
    <w:rsid w:val="002B38F5"/>
  </w:style>
  <w:style w:type="paragraph" w:styleId="HTMLAddress">
    <w:name w:val="HTML Address"/>
    <w:basedOn w:val="Normal"/>
    <w:link w:val="HTMLAddressChar"/>
    <w:uiPriority w:val="99"/>
    <w:semiHidden/>
    <w:unhideWhenUsed/>
    <w:rsid w:val="002B38F5"/>
    <w:rPr>
      <w:i/>
      <w:iCs/>
    </w:rPr>
  </w:style>
  <w:style w:type="character" w:customStyle="1" w:styleId="HTMLAddressChar">
    <w:name w:val="HTML Address Char"/>
    <w:basedOn w:val="DefaultParagraphFont"/>
    <w:link w:val="HTMLAddress"/>
    <w:uiPriority w:val="99"/>
    <w:semiHidden/>
    <w:rsid w:val="002B38F5"/>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2B38F5"/>
    <w:rPr>
      <w:i/>
      <w:iCs/>
    </w:rPr>
  </w:style>
  <w:style w:type="character" w:styleId="HTMLCode">
    <w:name w:val="HTML Code"/>
    <w:basedOn w:val="DefaultParagraphFont"/>
    <w:uiPriority w:val="99"/>
    <w:semiHidden/>
    <w:unhideWhenUsed/>
    <w:rsid w:val="002B38F5"/>
    <w:rPr>
      <w:rFonts w:ascii="Consolas" w:hAnsi="Consolas"/>
      <w:sz w:val="20"/>
      <w:szCs w:val="20"/>
    </w:rPr>
  </w:style>
  <w:style w:type="character" w:styleId="HTMLDefinition">
    <w:name w:val="HTML Definition"/>
    <w:basedOn w:val="DefaultParagraphFont"/>
    <w:uiPriority w:val="99"/>
    <w:semiHidden/>
    <w:unhideWhenUsed/>
    <w:rsid w:val="002B38F5"/>
    <w:rPr>
      <w:i/>
      <w:iCs/>
    </w:rPr>
  </w:style>
  <w:style w:type="character" w:styleId="HTMLKeyboard">
    <w:name w:val="HTML Keyboard"/>
    <w:basedOn w:val="DefaultParagraphFont"/>
    <w:uiPriority w:val="99"/>
    <w:semiHidden/>
    <w:unhideWhenUsed/>
    <w:rsid w:val="002B38F5"/>
    <w:rPr>
      <w:rFonts w:ascii="Consolas" w:hAnsi="Consolas"/>
      <w:sz w:val="20"/>
      <w:szCs w:val="20"/>
    </w:rPr>
  </w:style>
  <w:style w:type="paragraph" w:styleId="HTMLPreformatted">
    <w:name w:val="HTML Preformatted"/>
    <w:basedOn w:val="Normal"/>
    <w:link w:val="HTMLPreformattedChar"/>
    <w:uiPriority w:val="99"/>
    <w:semiHidden/>
    <w:unhideWhenUsed/>
    <w:rsid w:val="002B38F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8F5"/>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2B38F5"/>
    <w:rPr>
      <w:rFonts w:ascii="Consolas" w:hAnsi="Consolas"/>
      <w:sz w:val="24"/>
      <w:szCs w:val="24"/>
    </w:rPr>
  </w:style>
  <w:style w:type="character" w:styleId="HTMLTypewriter">
    <w:name w:val="HTML Typewriter"/>
    <w:basedOn w:val="DefaultParagraphFont"/>
    <w:uiPriority w:val="99"/>
    <w:semiHidden/>
    <w:unhideWhenUsed/>
    <w:rsid w:val="002B38F5"/>
    <w:rPr>
      <w:rFonts w:ascii="Consolas" w:hAnsi="Consolas"/>
      <w:sz w:val="20"/>
      <w:szCs w:val="20"/>
    </w:rPr>
  </w:style>
  <w:style w:type="character" w:styleId="HTMLVariable">
    <w:name w:val="HTML Variable"/>
    <w:basedOn w:val="DefaultParagraphFont"/>
    <w:uiPriority w:val="99"/>
    <w:semiHidden/>
    <w:unhideWhenUsed/>
    <w:rsid w:val="002B38F5"/>
    <w:rPr>
      <w:i/>
      <w:iCs/>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IntenseEmphasis">
    <w:name w:val="Intense Emphasis"/>
    <w:basedOn w:val="DefaultParagraphFont"/>
    <w:uiPriority w:val="21"/>
    <w:qFormat/>
    <w:rsid w:val="002B38F5"/>
    <w:rPr>
      <w:i/>
      <w:iCs/>
      <w:color w:val="4472C4" w:themeColor="accent1"/>
    </w:rPr>
  </w:style>
  <w:style w:type="paragraph" w:styleId="IntenseQuote">
    <w:name w:val="Intense Quote"/>
    <w:basedOn w:val="Normal"/>
    <w:next w:val="Normal"/>
    <w:link w:val="IntenseQuoteCh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8F5"/>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2B38F5"/>
    <w:rPr>
      <w:b/>
      <w:bCs/>
      <w:smallCaps/>
      <w:color w:val="4472C4" w:themeColor="accent1"/>
      <w:spacing w:val="5"/>
    </w:rPr>
  </w:style>
  <w:style w:type="table" w:styleId="LightGrid">
    <w:name w:val="Light Grid"/>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lastCol">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lastCol">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lastCol">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lastCol">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B38F5"/>
    <w:pPr>
      <w:spacing w:after="0" w:line="240" w:lineRule="auto"/>
    </w:pPr>
    <w:rPr>
      <w:rFonts w:ascii="Calibri" w:hAnsi="Calibr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lastCol">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tblPr/>
      <w:tcPr>
        <w:shd w:val="clear" w:color="auto" w:fill="4472C4" w:themeFill="accent1"/>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tblPr/>
      <w:tcPr>
        <w:shd w:val="clear" w:color="auto" w:fill="ED7D31" w:themeFill="accent2"/>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tblPr/>
      <w:tcPr>
        <w:shd w:val="clear" w:color="auto" w:fill="A5A5A5" w:themeFill="accent3"/>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tblPr/>
      <w:tcPr>
        <w:shd w:val="clear" w:color="auto" w:fill="FFC000" w:themeFill="accent4"/>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tblPr/>
      <w:tcPr>
        <w:shd w:val="clear" w:color="auto" w:fill="5B9BD5" w:themeFill="accent5"/>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B38F5"/>
    <w:pPr>
      <w:spacing w:after="0" w:line="240" w:lineRule="auto"/>
    </w:pPr>
    <w:rPr>
      <w:rFonts w:ascii="Calibri" w:hAnsi="Calibr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tblPr/>
      <w:tcPr>
        <w:shd w:val="clear" w:color="auto" w:fill="70AD47" w:themeFill="accent6"/>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B38F5"/>
  </w:style>
  <w:style w:type="paragraph" w:styleId="List2">
    <w:name w:val="List 2"/>
    <w:basedOn w:val="Normal"/>
    <w:uiPriority w:val="99"/>
    <w:semiHidden/>
    <w:unhideWhenUsed/>
    <w:rsid w:val="002B38F5"/>
    <w:pPr>
      <w:ind w:left="720" w:hanging="360"/>
      <w:contextualSpacing/>
    </w:pPr>
  </w:style>
  <w:style w:type="paragraph" w:styleId="List3">
    <w:name w:val="List 3"/>
    <w:basedOn w:val="Normal"/>
    <w:uiPriority w:val="99"/>
    <w:semiHidden/>
    <w:unhideWhenUsed/>
    <w:rsid w:val="002B38F5"/>
    <w:pPr>
      <w:ind w:left="1080" w:hanging="360"/>
      <w:contextualSpacing/>
    </w:pPr>
  </w:style>
  <w:style w:type="paragraph" w:styleId="List4">
    <w:name w:val="List 4"/>
    <w:basedOn w:val="Normal"/>
    <w:uiPriority w:val="99"/>
    <w:semiHidden/>
    <w:unhideWhenUsed/>
    <w:rsid w:val="002B38F5"/>
    <w:pPr>
      <w:ind w:left="1440" w:hanging="360"/>
      <w:contextualSpacing/>
    </w:pPr>
  </w:style>
  <w:style w:type="paragraph" w:styleId="List5">
    <w:name w:val="List 5"/>
    <w:basedOn w:val="Normal"/>
    <w:uiPriority w:val="99"/>
    <w:semiHidden/>
    <w:unhideWhenUsed/>
    <w:rsid w:val="002B38F5"/>
    <w:pPr>
      <w:ind w:left="1800" w:hanging="360"/>
      <w:contextualSpacing/>
    </w:pPr>
  </w:style>
  <w:style w:type="paragraph" w:styleId="ListBullet">
    <w:name w:val="List Bullet"/>
    <w:basedOn w:val="Normal"/>
    <w:uiPriority w:val="99"/>
    <w:semiHidden/>
    <w:unhideWhenUsed/>
    <w:rsid w:val="002B38F5"/>
    <w:pPr>
      <w:tabs>
        <w:tab w:val="num" w:pos="360"/>
      </w:tabs>
      <w:ind w:left="360" w:hanging="360"/>
      <w:contextualSpacing/>
    </w:pPr>
  </w:style>
  <w:style w:type="paragraph" w:styleId="ListBullet2">
    <w:name w:val="List Bullet 2"/>
    <w:basedOn w:val="Normal"/>
    <w:uiPriority w:val="99"/>
    <w:semiHidden/>
    <w:unhideWhenUsed/>
    <w:rsid w:val="002B38F5"/>
    <w:pPr>
      <w:tabs>
        <w:tab w:val="num" w:pos="643"/>
      </w:tabs>
      <w:ind w:left="643" w:hanging="360"/>
      <w:contextualSpacing/>
    </w:pPr>
  </w:style>
  <w:style w:type="paragraph" w:styleId="ListBullet3">
    <w:name w:val="List Bullet 3"/>
    <w:basedOn w:val="Normal"/>
    <w:uiPriority w:val="99"/>
    <w:semiHidden/>
    <w:unhideWhenUsed/>
    <w:rsid w:val="002B38F5"/>
    <w:pPr>
      <w:tabs>
        <w:tab w:val="num" w:pos="926"/>
      </w:tabs>
      <w:ind w:left="926" w:hanging="360"/>
      <w:contextualSpacing/>
    </w:pPr>
  </w:style>
  <w:style w:type="paragraph" w:styleId="ListBullet4">
    <w:name w:val="List Bullet 4"/>
    <w:basedOn w:val="Normal"/>
    <w:uiPriority w:val="99"/>
    <w:semiHidden/>
    <w:unhideWhenUsed/>
    <w:rsid w:val="002B38F5"/>
    <w:pPr>
      <w:tabs>
        <w:tab w:val="num" w:pos="1209"/>
      </w:tabs>
      <w:ind w:left="1209" w:hanging="360"/>
      <w:contextualSpacing/>
    </w:pPr>
  </w:style>
  <w:style w:type="paragraph" w:styleId="ListBullet5">
    <w:name w:val="List Bullet 5"/>
    <w:basedOn w:val="Normal"/>
    <w:uiPriority w:val="99"/>
    <w:semiHidden/>
    <w:unhideWhenUsed/>
    <w:rsid w:val="002B38F5"/>
    <w:pPr>
      <w:tabs>
        <w:tab w:val="num" w:pos="1492"/>
      </w:tabs>
      <w:ind w:left="1492" w:hanging="360"/>
      <w:contextualSpacing/>
    </w:pPr>
  </w:style>
  <w:style w:type="paragraph" w:styleId="ListContinue">
    <w:name w:val="List Continue"/>
    <w:basedOn w:val="Normal"/>
    <w:uiPriority w:val="99"/>
    <w:semiHidden/>
    <w:unhideWhenUsed/>
    <w:rsid w:val="002B38F5"/>
    <w:pPr>
      <w:spacing w:after="120"/>
      <w:ind w:left="360"/>
      <w:contextualSpacing/>
    </w:pPr>
  </w:style>
  <w:style w:type="paragraph" w:styleId="ListContinue2">
    <w:name w:val="List Continue 2"/>
    <w:basedOn w:val="Normal"/>
    <w:uiPriority w:val="99"/>
    <w:semiHidden/>
    <w:unhideWhenUsed/>
    <w:rsid w:val="002B38F5"/>
    <w:pPr>
      <w:spacing w:after="120"/>
      <w:ind w:left="720"/>
      <w:contextualSpacing/>
    </w:pPr>
  </w:style>
  <w:style w:type="paragraph" w:styleId="ListContinue3">
    <w:name w:val="List Continue 3"/>
    <w:basedOn w:val="Normal"/>
    <w:uiPriority w:val="99"/>
    <w:semiHidden/>
    <w:unhideWhenUsed/>
    <w:rsid w:val="002B38F5"/>
    <w:pPr>
      <w:spacing w:after="120"/>
      <w:ind w:left="1080"/>
      <w:contextualSpacing/>
    </w:pPr>
  </w:style>
  <w:style w:type="paragraph" w:styleId="ListContinue4">
    <w:name w:val="List Continue 4"/>
    <w:basedOn w:val="Normal"/>
    <w:uiPriority w:val="99"/>
    <w:semiHidden/>
    <w:unhideWhenUsed/>
    <w:rsid w:val="002B38F5"/>
    <w:pPr>
      <w:spacing w:after="120"/>
      <w:ind w:left="1440"/>
      <w:contextualSpacing/>
    </w:pPr>
  </w:style>
  <w:style w:type="paragraph" w:styleId="ListContinue5">
    <w:name w:val="List Continue 5"/>
    <w:basedOn w:val="Normal"/>
    <w:uiPriority w:val="99"/>
    <w:semiHidden/>
    <w:unhideWhenUsed/>
    <w:rsid w:val="002B38F5"/>
    <w:pPr>
      <w:spacing w:after="120"/>
      <w:ind w:left="1800"/>
      <w:contextualSpacing/>
    </w:pPr>
  </w:style>
  <w:style w:type="paragraph" w:styleId="ListNumber">
    <w:name w:val="List Number"/>
    <w:basedOn w:val="Normal"/>
    <w:uiPriority w:val="99"/>
    <w:semiHidden/>
    <w:unhideWhenUsed/>
    <w:rsid w:val="002B38F5"/>
    <w:pPr>
      <w:tabs>
        <w:tab w:val="num" w:pos="360"/>
      </w:tabs>
      <w:ind w:left="360" w:hanging="360"/>
      <w:contextualSpacing/>
    </w:pPr>
  </w:style>
  <w:style w:type="paragraph" w:styleId="ListNumber2">
    <w:name w:val="List Number 2"/>
    <w:basedOn w:val="Normal"/>
    <w:uiPriority w:val="99"/>
    <w:semiHidden/>
    <w:unhideWhenUsed/>
    <w:rsid w:val="002B38F5"/>
    <w:pPr>
      <w:tabs>
        <w:tab w:val="num" w:pos="643"/>
      </w:tabs>
      <w:ind w:left="643" w:hanging="360"/>
      <w:contextualSpacing/>
    </w:pPr>
  </w:style>
  <w:style w:type="paragraph" w:styleId="ListNumber3">
    <w:name w:val="List Number 3"/>
    <w:basedOn w:val="Normal"/>
    <w:uiPriority w:val="99"/>
    <w:semiHidden/>
    <w:unhideWhenUsed/>
    <w:rsid w:val="002B38F5"/>
    <w:pPr>
      <w:tabs>
        <w:tab w:val="num" w:pos="926"/>
      </w:tabs>
      <w:ind w:left="926" w:hanging="360"/>
      <w:contextualSpacing/>
    </w:pPr>
  </w:style>
  <w:style w:type="paragraph" w:styleId="ListNumber4">
    <w:name w:val="List Number 4"/>
    <w:basedOn w:val="Normal"/>
    <w:uiPriority w:val="99"/>
    <w:semiHidden/>
    <w:unhideWhenUsed/>
    <w:rsid w:val="002B38F5"/>
    <w:pPr>
      <w:tabs>
        <w:tab w:val="num" w:pos="1209"/>
      </w:tabs>
      <w:ind w:left="1209" w:hanging="360"/>
      <w:contextualSpacing/>
    </w:pPr>
  </w:style>
  <w:style w:type="paragraph" w:styleId="ListNumber5">
    <w:name w:val="List Number 5"/>
    <w:basedOn w:val="Normal"/>
    <w:uiPriority w:val="99"/>
    <w:semiHidden/>
    <w:unhideWhenUsed/>
    <w:rsid w:val="002B38F5"/>
    <w:pPr>
      <w:tabs>
        <w:tab w:val="num" w:pos="1800"/>
      </w:tabs>
      <w:ind w:left="1800" w:hanging="360"/>
      <w:contextualSpacing/>
    </w:pPr>
  </w:style>
  <w:style w:type="table" w:styleId="ListTable1Light">
    <w:name w:val="List Table 1 Light"/>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8EAADB" w:themeColor="accent1" w:themeTint="99"/>
        </w:tcBorders>
      </w:tcPr>
    </w:tblStylePr>
    <w:tblStylePr w:type="lastRow">
      <w:tblPr/>
      <w:tcPr>
        <w:tcBorders>
          <w:top w:val="sing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F4B083" w:themeColor="accent2" w:themeTint="99"/>
        </w:tcBorders>
      </w:tcPr>
    </w:tblStylePr>
    <w:tblStylePr w:type="lastRow">
      <w:tblPr/>
      <w:tcPr>
        <w:tcBorders>
          <w:top w:val="sing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C9C9C9" w:themeColor="accent3" w:themeTint="99"/>
        </w:tcBorders>
      </w:tcPr>
    </w:tblStylePr>
    <w:tblStylePr w:type="lastRow">
      <w:tblPr/>
      <w:tcPr>
        <w:tcBorders>
          <w:top w:val="sing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FFD966" w:themeColor="accent4" w:themeTint="99"/>
        </w:tcBorders>
      </w:tcPr>
    </w:tblStylePr>
    <w:tblStylePr w:type="lastRow">
      <w:tblPr/>
      <w:tcPr>
        <w:tcBorders>
          <w:top w:val="sing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9CC2E5" w:themeColor="accent5" w:themeTint="99"/>
        </w:tcBorders>
      </w:tcPr>
    </w:tblStylePr>
    <w:tblStylePr w:type="lastRow">
      <w:tblPr/>
      <w:tcPr>
        <w:tcBorders>
          <w:top w:val="sing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2B38F5"/>
    <w:pPr>
      <w:spacing w:after="0" w:line="240" w:lineRule="auto"/>
    </w:pPr>
    <w:rPr>
      <w:rFonts w:ascii="Calibri" w:hAnsi="Calibri"/>
    </w:rPr>
    <w:tblPr>
      <w:tblStyleRowBandSize w:val="1"/>
      <w:tblStyleColBandSize w:val="1"/>
    </w:tblPr>
    <w:tblStylePr w:type="firstRow">
      <w:tblPr/>
      <w:tcPr>
        <w:tcBorders>
          <w:bottom w:val="single" w:sz="4" w:space="0" w:color="A8D08D" w:themeColor="accent6" w:themeTint="99"/>
        </w:tcBorders>
      </w:tcPr>
    </w:tblStylePr>
    <w:tblStylePr w:type="lastRow">
      <w:tblPr/>
      <w:tcPr>
        <w:tcBorders>
          <w:top w:val="sing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2B38F5"/>
    <w:pPr>
      <w:spacing w:after="0" w:line="240" w:lineRule="auto"/>
    </w:pPr>
    <w:rPr>
      <w:rFonts w:ascii="Calibri" w:hAnsi="Calibr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B38F5"/>
    <w:pPr>
      <w:spacing w:after="0" w:line="240" w:lineRule="auto"/>
    </w:pPr>
    <w:rPr>
      <w:rFonts w:ascii="Calibri" w:hAnsi="Calibri"/>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2B38F5"/>
    <w:pPr>
      <w:spacing w:after="0" w:line="240" w:lineRule="auto"/>
    </w:pPr>
    <w:rPr>
      <w:rFonts w:ascii="Calibri" w:hAnsi="Calibri"/>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2B38F5"/>
    <w:pPr>
      <w:spacing w:after="0" w:line="240" w:lineRule="auto"/>
    </w:pPr>
    <w:rPr>
      <w:rFonts w:ascii="Calibri" w:hAnsi="Calibri"/>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2B38F5"/>
    <w:pPr>
      <w:spacing w:after="0" w:line="240" w:lineRule="auto"/>
    </w:pPr>
    <w:rPr>
      <w:rFonts w:ascii="Calibri" w:hAnsi="Calibri"/>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2B38F5"/>
    <w:pPr>
      <w:spacing w:after="0" w:line="240" w:lineRule="auto"/>
    </w:pPr>
    <w:rPr>
      <w:rFonts w:ascii="Calibri" w:hAnsi="Calibri"/>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2B38F5"/>
    <w:pPr>
      <w:spacing w:after="0" w:line="240" w:lineRule="auto"/>
    </w:pPr>
    <w:rPr>
      <w:rFonts w:ascii="Calibri" w:hAnsi="Calibri"/>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2B38F5"/>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B38F5"/>
    <w:pPr>
      <w:spacing w:after="0" w:line="240" w:lineRule="auto"/>
    </w:pPr>
    <w:rPr>
      <w:rFonts w:ascii="Calibri" w:hAnsi="Calibr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tblPr/>
      <w:tcPr>
        <w:shd w:val="clear" w:color="auto" w:fill="4472C4" w:themeFill="accent1"/>
      </w:tcPr>
    </w:tblStylePr>
    <w:tblStylePr w:type="lastRow">
      <w:tblPr/>
      <w:tcPr>
        <w:tcBorders>
          <w:top w:val="double" w:sz="4" w:space="0" w:color="4472C4"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2B38F5"/>
    <w:pPr>
      <w:spacing w:after="0" w:line="240" w:lineRule="auto"/>
    </w:pPr>
    <w:rPr>
      <w:rFonts w:ascii="Calibri" w:hAnsi="Calibr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tblPr/>
      <w:tcPr>
        <w:shd w:val="clear" w:color="auto" w:fill="ED7D31" w:themeFill="accent2"/>
      </w:tcPr>
    </w:tblStylePr>
    <w:tblStylePr w:type="lastRow">
      <w:tblPr/>
      <w:tcPr>
        <w:tcBorders>
          <w:top w:val="double" w:sz="4" w:space="0" w:color="ED7D31"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2B38F5"/>
    <w:pPr>
      <w:spacing w:after="0" w:line="240" w:lineRule="auto"/>
    </w:pPr>
    <w:rPr>
      <w:rFonts w:ascii="Calibri" w:hAnsi="Calibr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tblPr/>
      <w:tcPr>
        <w:shd w:val="clear" w:color="auto" w:fill="A5A5A5" w:themeFill="accent3"/>
      </w:tcPr>
    </w:tblStylePr>
    <w:tblStylePr w:type="lastRow">
      <w:tblPr/>
      <w:tcPr>
        <w:tcBorders>
          <w:top w:val="double" w:sz="4" w:space="0" w:color="A5A5A5"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2B38F5"/>
    <w:pPr>
      <w:spacing w:after="0" w:line="240" w:lineRule="auto"/>
    </w:pPr>
    <w:rPr>
      <w:rFonts w:ascii="Calibri" w:hAnsi="Calibr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tblPr/>
      <w:tcPr>
        <w:shd w:val="clear" w:color="auto" w:fill="FFC000" w:themeFill="accent4"/>
      </w:tcPr>
    </w:tblStylePr>
    <w:tblStylePr w:type="lastRow">
      <w:tblPr/>
      <w:tcPr>
        <w:tcBorders>
          <w:top w:val="double" w:sz="4" w:space="0" w:color="FFC000"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2B38F5"/>
    <w:pPr>
      <w:spacing w:after="0" w:line="240" w:lineRule="auto"/>
    </w:pPr>
    <w:rPr>
      <w:rFonts w:ascii="Calibri" w:hAnsi="Calibr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tblPr/>
      <w:tcPr>
        <w:shd w:val="clear" w:color="auto" w:fill="5B9BD5" w:themeFill="accent5"/>
      </w:tcPr>
    </w:tblStylePr>
    <w:tblStylePr w:type="lastRow">
      <w:tblPr/>
      <w:tcPr>
        <w:tcBorders>
          <w:top w:val="double" w:sz="4" w:space="0" w:color="5B9BD5"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2B38F5"/>
    <w:pPr>
      <w:spacing w:after="0" w:line="240" w:lineRule="auto"/>
    </w:pPr>
    <w:rPr>
      <w:rFonts w:ascii="Calibri" w:hAnsi="Calibr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tblPr/>
      <w:tcPr>
        <w:shd w:val="clear" w:color="auto" w:fill="70AD47" w:themeFill="accent6"/>
      </w:tcPr>
    </w:tblStylePr>
    <w:tblStylePr w:type="lastRow">
      <w:tblPr/>
      <w:tcPr>
        <w:tcBorders>
          <w:top w:val="double" w:sz="4" w:space="0" w:color="70AD47"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2B38F5"/>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B38F5"/>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2B38F5"/>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2B38F5"/>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2B38F5"/>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2B38F5"/>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2B38F5"/>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tblPr/>
      <w:tcPr>
        <w:tcBorders>
          <w:bottom w:val="single" w:sz="4" w:space="0" w:color="4472C4" w:themeColor="accent1"/>
        </w:tcBorders>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tblPr/>
      <w:tcPr>
        <w:tcBorders>
          <w:bottom w:val="single" w:sz="4" w:space="0" w:color="ED7D31" w:themeColor="accent2"/>
        </w:tcBorders>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tblPr/>
      <w:tcPr>
        <w:tcBorders>
          <w:bottom w:val="single" w:sz="4" w:space="0" w:color="A5A5A5" w:themeColor="accent3"/>
        </w:tcBorders>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tblPr/>
      <w:tcPr>
        <w:tcBorders>
          <w:bottom w:val="single" w:sz="4" w:space="0" w:color="FFC000" w:themeColor="accent4"/>
        </w:tcBorders>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tblPr/>
      <w:tcPr>
        <w:tcBorders>
          <w:bottom w:val="single" w:sz="4" w:space="0" w:color="5B9BD5" w:themeColor="accent5"/>
        </w:tcBorders>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tblPr/>
      <w:tcPr>
        <w:tcBorders>
          <w:bottom w:val="single" w:sz="4" w:space="0" w:color="70AD47" w:themeColor="accent6"/>
        </w:tcBorders>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2B38F5"/>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B38F5"/>
    <w:pPr>
      <w:spacing w:after="0" w:line="240" w:lineRule="auto"/>
    </w:pPr>
    <w:rPr>
      <w:color w:val="2F5496" w:themeColor="accent1" w:themeShade="BF"/>
    </w:rPr>
    <w:tblPr>
      <w:tblStyleRowBandSize w:val="1"/>
      <w:tblStyleColBandSize w:val="1"/>
    </w:tblPr>
    <w:tblStylePr w:type="firstRow">
      <w:tblPr/>
      <w:tcPr>
        <w:tcBorders>
          <w:bottom w:val="single" w:sz="4" w:space="0" w:color="4472C4" w:themeColor="accent1"/>
        </w:tcBorders>
        <w:shd w:val="clear" w:color="auto" w:fill="FFFFFF" w:themeFill="background1"/>
      </w:tcPr>
    </w:tblStylePr>
    <w:tblStylePr w:type="lastRow">
      <w:tblPr/>
      <w:tcPr>
        <w:tcBorders>
          <w:top w:val="single" w:sz="4" w:space="0" w:color="4472C4" w:themeColor="accent1"/>
        </w:tcBorders>
        <w:shd w:val="clear" w:color="auto" w:fill="FFFFFF" w:themeFill="background1"/>
      </w:tcPr>
    </w:tblStylePr>
    <w:tblStylePr w:type="firstCol">
      <w:pPr>
        <w:jc w:val="right"/>
      </w:pPr>
      <w:tblPr/>
      <w:tcPr>
        <w:tcBorders>
          <w:right w:val="single" w:sz="4" w:space="0" w:color="4472C4" w:themeColor="accent1"/>
        </w:tcBorders>
        <w:shd w:val="clear" w:color="auto" w:fill="FFFFFF" w:themeFill="background1"/>
      </w:tcPr>
    </w:tblStylePr>
    <w:tblStylePr w:type="lastCol">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B38F5"/>
    <w:pPr>
      <w:spacing w:after="0" w:line="240" w:lineRule="auto"/>
    </w:pPr>
    <w:rPr>
      <w:color w:val="C45911" w:themeColor="accent2" w:themeShade="BF"/>
    </w:rPr>
    <w:tblPr>
      <w:tblStyleRowBandSize w:val="1"/>
      <w:tblStyleColBandSize w:val="1"/>
    </w:tblPr>
    <w:tblStylePr w:type="firstRow">
      <w:tblPr/>
      <w:tcPr>
        <w:tcBorders>
          <w:bottom w:val="single" w:sz="4" w:space="0" w:color="ED7D31" w:themeColor="accent2"/>
        </w:tcBorders>
        <w:shd w:val="clear" w:color="auto" w:fill="FFFFFF" w:themeFill="background1"/>
      </w:tcPr>
    </w:tblStylePr>
    <w:tblStylePr w:type="lastRow">
      <w:tblPr/>
      <w:tcPr>
        <w:tcBorders>
          <w:top w:val="single" w:sz="4" w:space="0" w:color="ED7D31" w:themeColor="accent2"/>
        </w:tcBorders>
        <w:shd w:val="clear" w:color="auto" w:fill="FFFFFF" w:themeFill="background1"/>
      </w:tcPr>
    </w:tblStylePr>
    <w:tblStylePr w:type="firstCol">
      <w:pPr>
        <w:jc w:val="right"/>
      </w:pPr>
      <w:tblPr/>
      <w:tcPr>
        <w:tcBorders>
          <w:right w:val="single" w:sz="4" w:space="0" w:color="ED7D31" w:themeColor="accent2"/>
        </w:tcBorders>
        <w:shd w:val="clear" w:color="auto" w:fill="FFFFFF" w:themeFill="background1"/>
      </w:tcPr>
    </w:tblStylePr>
    <w:tblStylePr w:type="lastCol">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B38F5"/>
    <w:pPr>
      <w:spacing w:after="0" w:line="240" w:lineRule="auto"/>
    </w:pPr>
    <w:rPr>
      <w:color w:val="7B7B7B" w:themeColor="accent3" w:themeShade="BF"/>
    </w:rPr>
    <w:tblPr>
      <w:tblStyleRowBandSize w:val="1"/>
      <w:tblStyleColBandSize w:val="1"/>
    </w:tblPr>
    <w:tblStylePr w:type="firstRow">
      <w:tblPr/>
      <w:tcPr>
        <w:tcBorders>
          <w:bottom w:val="single" w:sz="4" w:space="0" w:color="A5A5A5" w:themeColor="accent3"/>
        </w:tcBorders>
        <w:shd w:val="clear" w:color="auto" w:fill="FFFFFF" w:themeFill="background1"/>
      </w:tcPr>
    </w:tblStylePr>
    <w:tblStylePr w:type="lastRow">
      <w:tblPr/>
      <w:tcPr>
        <w:tcBorders>
          <w:top w:val="single" w:sz="4" w:space="0" w:color="A5A5A5" w:themeColor="accent3"/>
        </w:tcBorders>
        <w:shd w:val="clear" w:color="auto" w:fill="FFFFFF" w:themeFill="background1"/>
      </w:tcPr>
    </w:tblStylePr>
    <w:tblStylePr w:type="firstCol">
      <w:pPr>
        <w:jc w:val="right"/>
      </w:pPr>
      <w:tblPr/>
      <w:tcPr>
        <w:tcBorders>
          <w:right w:val="single" w:sz="4" w:space="0" w:color="A5A5A5" w:themeColor="accent3"/>
        </w:tcBorders>
        <w:shd w:val="clear" w:color="auto" w:fill="FFFFFF" w:themeFill="background1"/>
      </w:tcPr>
    </w:tblStylePr>
    <w:tblStylePr w:type="lastCol">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B38F5"/>
    <w:pPr>
      <w:spacing w:after="0" w:line="240" w:lineRule="auto"/>
    </w:pPr>
    <w:rPr>
      <w:color w:val="BF8F00" w:themeColor="accent4" w:themeShade="BF"/>
    </w:rPr>
    <w:tblPr>
      <w:tblStyleRowBandSize w:val="1"/>
      <w:tblStyleColBandSize w:val="1"/>
    </w:tblPr>
    <w:tblStylePr w:type="firstRow">
      <w:tblPr/>
      <w:tcPr>
        <w:tcBorders>
          <w:bottom w:val="single" w:sz="4" w:space="0" w:color="FFC000" w:themeColor="accent4"/>
        </w:tcBorders>
        <w:shd w:val="clear" w:color="auto" w:fill="FFFFFF" w:themeFill="background1"/>
      </w:tcPr>
    </w:tblStylePr>
    <w:tblStylePr w:type="lastRow">
      <w:tblPr/>
      <w:tcPr>
        <w:tcBorders>
          <w:top w:val="single" w:sz="4" w:space="0" w:color="FFC000" w:themeColor="accent4"/>
        </w:tcBorders>
        <w:shd w:val="clear" w:color="auto" w:fill="FFFFFF" w:themeFill="background1"/>
      </w:tcPr>
    </w:tblStylePr>
    <w:tblStylePr w:type="firstCol">
      <w:pPr>
        <w:jc w:val="right"/>
      </w:pPr>
      <w:tblPr/>
      <w:tcPr>
        <w:tcBorders>
          <w:right w:val="single" w:sz="4" w:space="0" w:color="FFC000" w:themeColor="accent4"/>
        </w:tcBorders>
        <w:shd w:val="clear" w:color="auto" w:fill="FFFFFF" w:themeFill="background1"/>
      </w:tcPr>
    </w:tblStylePr>
    <w:tblStylePr w:type="lastCol">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38F5"/>
    <w:pPr>
      <w:spacing w:after="0" w:line="240" w:lineRule="auto"/>
    </w:pPr>
    <w:rPr>
      <w:color w:val="2E74B5" w:themeColor="accent5" w:themeShade="BF"/>
    </w:rPr>
    <w:tblPr>
      <w:tblStyleRowBandSize w:val="1"/>
      <w:tblStyleColBandSize w:val="1"/>
    </w:tblPr>
    <w:tblStylePr w:type="firstRow">
      <w:tblPr/>
      <w:tcPr>
        <w:tcBorders>
          <w:bottom w:val="single" w:sz="4" w:space="0" w:color="5B9BD5" w:themeColor="accent5"/>
        </w:tcBorders>
        <w:shd w:val="clear" w:color="auto" w:fill="FFFFFF" w:themeFill="background1"/>
      </w:tcPr>
    </w:tblStylePr>
    <w:tblStylePr w:type="lastRow">
      <w:tblPr/>
      <w:tcPr>
        <w:tcBorders>
          <w:top w:val="single" w:sz="4" w:space="0" w:color="5B9BD5" w:themeColor="accent5"/>
        </w:tcBorders>
        <w:shd w:val="clear" w:color="auto" w:fill="FFFFFF" w:themeFill="background1"/>
      </w:tcPr>
    </w:tblStylePr>
    <w:tblStylePr w:type="firstCol">
      <w:pPr>
        <w:jc w:val="right"/>
      </w:pPr>
      <w:tblPr/>
      <w:tcPr>
        <w:tcBorders>
          <w:right w:val="single" w:sz="4" w:space="0" w:color="5B9BD5" w:themeColor="accent5"/>
        </w:tcBorders>
        <w:shd w:val="clear" w:color="auto" w:fill="FFFFFF" w:themeFill="background1"/>
      </w:tcPr>
    </w:tblStylePr>
    <w:tblStylePr w:type="lastCol">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B38F5"/>
    <w:pPr>
      <w:spacing w:after="0" w:line="240" w:lineRule="auto"/>
    </w:pPr>
    <w:rPr>
      <w:color w:val="538135" w:themeColor="accent6" w:themeShade="BF"/>
    </w:rPr>
    <w:tblPr>
      <w:tblStyleRowBandSize w:val="1"/>
      <w:tblStyleColBandSize w:val="1"/>
    </w:tblPr>
    <w:tblStylePr w:type="firstRow">
      <w:tblPr/>
      <w:tcPr>
        <w:tcBorders>
          <w:bottom w:val="single" w:sz="4" w:space="0" w:color="70AD47" w:themeColor="accent6"/>
        </w:tcBorders>
        <w:shd w:val="clear" w:color="auto" w:fill="FFFFFF" w:themeFill="background1"/>
      </w:tcPr>
    </w:tblStylePr>
    <w:tblStylePr w:type="lastRow">
      <w:tblPr/>
      <w:tcPr>
        <w:tcBorders>
          <w:top w:val="single" w:sz="4" w:space="0" w:color="70AD47" w:themeColor="accent6"/>
        </w:tcBorders>
        <w:shd w:val="clear" w:color="auto" w:fill="FFFFFF" w:themeFill="background1"/>
      </w:tcPr>
    </w:tblStylePr>
    <w:tblStylePr w:type="firstCol">
      <w:pPr>
        <w:jc w:val="right"/>
      </w:pPr>
      <w:tblPr/>
      <w:tcPr>
        <w:tcBorders>
          <w:right w:val="single" w:sz="4" w:space="0" w:color="70AD47" w:themeColor="accent6"/>
        </w:tcBorders>
        <w:shd w:val="clear" w:color="auto" w:fill="FFFFFF" w:themeFill="background1"/>
      </w:tcPr>
    </w:tblStylePr>
    <w:tblStylePr w:type="lastCol">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2B38F5"/>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lastRow">
      <w:tblPr/>
      <w:tcPr>
        <w:tcBorders>
          <w:top w:val="single" w:sz="18" w:space="0" w:color="7295D2" w:themeColor="accent1" w:themeTint="BF"/>
        </w:tcBorders>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lastRow">
      <w:tblPr/>
      <w:tcPr>
        <w:tcBorders>
          <w:top w:val="single" w:sz="18" w:space="0" w:color="BBBBBB" w:themeColor="accent3" w:themeTint="BF"/>
        </w:tcBorders>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lastRow">
      <w:tblPr/>
      <w:tcPr>
        <w:tcBorders>
          <w:top w:val="single" w:sz="18" w:space="0" w:color="84B3DF" w:themeColor="accent5" w:themeTint="BF"/>
        </w:tcBorders>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B38F5"/>
    <w:pPr>
      <w:spacing w:after="0" w:line="240" w:lineRule="auto"/>
    </w:pPr>
    <w:rPr>
      <w:rFonts w:ascii="Calibri" w:hAnsi="Calibr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lastRow">
      <w:tblPr/>
      <w:tcPr>
        <w:tcBorders>
          <w:top w:val="single" w:sz="18" w:space="0" w:color="93C571" w:themeColor="accent6" w:themeTint="BF"/>
        </w:tcBorders>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tblPr/>
      <w:tcPr>
        <w:shd w:val="clear" w:color="auto" w:fill="ECF1F9"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tblPr/>
      <w:tcPr>
        <w:shd w:val="clear" w:color="auto" w:fill="F6F6F6"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tblPr/>
      <w:tcPr>
        <w:shd w:val="clear" w:color="auto" w:fill="FFF8E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tblPr/>
      <w:tcPr>
        <w:shd w:val="clear" w:color="auto" w:fill="EEF5FB"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tblPr/>
      <w:tcPr>
        <w:shd w:val="clear" w:color="auto" w:fill="F0F7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B38F5"/>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tblPr/>
      <w:tcPr>
        <w:tcBorders>
          <w:top w:val="nil"/>
          <w:bottom w:val="single" w:sz="8" w:space="0" w:color="4472C4" w:themeColor="accent1"/>
        </w:tcBorders>
      </w:tcPr>
    </w:tblStylePr>
    <w:tblStylePr w:type="lastRow">
      <w:tblPr/>
      <w:tcPr>
        <w:tcBorders>
          <w:top w:val="single" w:sz="8" w:space="0" w:color="4472C4" w:themeColor="accent1"/>
          <w:bottom w:val="single" w:sz="8" w:space="0" w:color="4472C4" w:themeColor="accent1"/>
        </w:tcBorders>
      </w:tcPr>
    </w:tblStylePr>
    <w:tblStylePr w:type="lastCol">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tblPr/>
      <w:tcPr>
        <w:tcBorders>
          <w:top w:val="nil"/>
          <w:bottom w:val="single" w:sz="8" w:space="0" w:color="ED7D31" w:themeColor="accent2"/>
        </w:tcBorders>
      </w:tcPr>
    </w:tblStylePr>
    <w:tblStylePr w:type="lastRow">
      <w:tblPr/>
      <w:tcPr>
        <w:tcBorders>
          <w:top w:val="single" w:sz="8" w:space="0" w:color="ED7D31" w:themeColor="accent2"/>
          <w:bottom w:val="single" w:sz="8" w:space="0" w:color="ED7D31" w:themeColor="accent2"/>
        </w:tcBorders>
      </w:tcPr>
    </w:tblStylePr>
    <w:tblStylePr w:type="lastCol">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tblPr/>
      <w:tcPr>
        <w:tcBorders>
          <w:top w:val="nil"/>
          <w:bottom w:val="single" w:sz="8" w:space="0" w:color="A5A5A5" w:themeColor="accent3"/>
        </w:tcBorders>
      </w:tcPr>
    </w:tblStylePr>
    <w:tblStylePr w:type="lastRow">
      <w:tblPr/>
      <w:tcPr>
        <w:tcBorders>
          <w:top w:val="single" w:sz="8" w:space="0" w:color="A5A5A5" w:themeColor="accent3"/>
          <w:bottom w:val="single" w:sz="8" w:space="0" w:color="A5A5A5" w:themeColor="accent3"/>
        </w:tcBorders>
      </w:tcPr>
    </w:tblStylePr>
    <w:tblStylePr w:type="lastCol">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tblPr/>
      <w:tcPr>
        <w:tcBorders>
          <w:top w:val="nil"/>
          <w:bottom w:val="single" w:sz="8" w:space="0" w:color="FFC000" w:themeColor="accent4"/>
        </w:tcBorders>
      </w:tcPr>
    </w:tblStylePr>
    <w:tblStylePr w:type="lastRow">
      <w:tblPr/>
      <w:tcPr>
        <w:tcBorders>
          <w:top w:val="single" w:sz="8" w:space="0" w:color="FFC000" w:themeColor="accent4"/>
          <w:bottom w:val="single" w:sz="8" w:space="0" w:color="FFC000" w:themeColor="accent4"/>
        </w:tcBorders>
      </w:tcPr>
    </w:tblStylePr>
    <w:tblStylePr w:type="lastCol">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tblPr/>
      <w:tcPr>
        <w:tcBorders>
          <w:top w:val="nil"/>
          <w:bottom w:val="single" w:sz="8" w:space="0" w:color="5B9BD5" w:themeColor="accent5"/>
        </w:tcBorders>
      </w:tcPr>
    </w:tblStylePr>
    <w:tblStylePr w:type="lastRow">
      <w:tblPr/>
      <w:tcPr>
        <w:tcBorders>
          <w:top w:val="single" w:sz="8" w:space="0" w:color="5B9BD5" w:themeColor="accent5"/>
          <w:bottom w:val="single" w:sz="8" w:space="0" w:color="5B9BD5" w:themeColor="accent5"/>
        </w:tcBorders>
      </w:tcPr>
    </w:tblStylePr>
    <w:tblStylePr w:type="lastCol">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tblPr/>
      <w:tcPr>
        <w:tcBorders>
          <w:top w:val="nil"/>
          <w:bottom w:val="single" w:sz="8" w:space="0" w:color="70AD47" w:themeColor="accent6"/>
        </w:tcBorders>
      </w:tcPr>
    </w:tblStylePr>
    <w:tblStylePr w:type="lastRow">
      <w:tblPr/>
      <w:tcPr>
        <w:tcBorders>
          <w:top w:val="single" w:sz="8" w:space="0" w:color="70AD47" w:themeColor="accent6"/>
          <w:bottom w:val="single" w:sz="8" w:space="0" w:color="70AD47" w:themeColor="accent6"/>
        </w:tcBorders>
      </w:tcPr>
    </w:tblStylePr>
    <w:tblStylePr w:type="lastCol">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B38F5"/>
    <w:pPr>
      <w:spacing w:after="0" w:line="240" w:lineRule="auto"/>
    </w:pPr>
    <w:rPr>
      <w:rFonts w:ascii="Calibri" w:hAnsi="Calibr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472C4" w:themeFill="accent1"/>
      </w:tcPr>
    </w:tblStylePr>
    <w:tblStylePr w:type="lastCol">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D7D31" w:themeFill="accent2"/>
      </w:tcPr>
    </w:tblStylePr>
    <w:tblStylePr w:type="lastCol">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5A5A5" w:themeFill="accent3"/>
      </w:tcPr>
    </w:tblStylePr>
    <w:tblStylePr w:type="lastCol">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FC000" w:themeFill="accent4"/>
      </w:tcPr>
    </w:tblStylePr>
    <w:tblStylePr w:type="lastCol">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5B9BD5" w:themeFill="accent5"/>
      </w:tcPr>
    </w:tblStylePr>
    <w:tblStylePr w:type="lastCol">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B38F5"/>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70AD47" w:themeFill="accent6"/>
      </w:tcPr>
    </w:tblStylePr>
    <w:tblStylePr w:type="lastCol">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2B38F5"/>
    <w:rPr>
      <w:color w:val="2B579A"/>
      <w:shd w:val="clear" w:color="auto" w:fill="E1DFDD"/>
    </w:rPr>
  </w:style>
  <w:style w:type="paragraph" w:styleId="MessageHeader">
    <w:name w:val="Message Header"/>
    <w:basedOn w:val="Normal"/>
    <w:link w:val="MessageHeaderCh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B38F5"/>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unhideWhenUsed/>
    <w:rsid w:val="002B38F5"/>
    <w:rPr>
      <w:sz w:val="24"/>
      <w:szCs w:val="24"/>
    </w:rPr>
  </w:style>
  <w:style w:type="paragraph" w:styleId="NormalIndent">
    <w:name w:val="Normal Indent"/>
    <w:basedOn w:val="Normal"/>
    <w:uiPriority w:val="99"/>
    <w:semiHidden/>
    <w:unhideWhenUsed/>
    <w:rsid w:val="002B38F5"/>
    <w:pPr>
      <w:ind w:left="720"/>
    </w:pPr>
  </w:style>
  <w:style w:type="paragraph" w:styleId="NoteHeading">
    <w:name w:val="Note Heading"/>
    <w:basedOn w:val="Normal"/>
    <w:next w:val="Normal"/>
    <w:link w:val="NoteHeadingChar"/>
    <w:uiPriority w:val="99"/>
    <w:semiHidden/>
    <w:unhideWhenUsed/>
    <w:rsid w:val="002B38F5"/>
  </w:style>
  <w:style w:type="character" w:customStyle="1" w:styleId="NoteHeadingChar">
    <w:name w:val="Note Heading Char"/>
    <w:basedOn w:val="DefaultParagraphFont"/>
    <w:link w:val="NoteHeading"/>
    <w:uiPriority w:val="99"/>
    <w:semiHidden/>
    <w:rsid w:val="002B38F5"/>
    <w:rPr>
      <w:rFonts w:ascii="Times New Roman" w:eastAsia="SimSun" w:hAnsi="Times New Roman" w:cs="Times New Roman"/>
      <w:kern w:val="0"/>
      <w14:ligatures w14:val="none"/>
    </w:rPr>
  </w:style>
  <w:style w:type="table" w:styleId="PlainTable1">
    <w:name w:val="Plain Table 1"/>
    <w:basedOn w:val="TableNormal"/>
    <w:uiPriority w:val="41"/>
    <w:rsid w:val="002B38F5"/>
    <w:pPr>
      <w:spacing w:after="0"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38F5"/>
    <w:pPr>
      <w:spacing w:after="0"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B38F5"/>
    <w:pPr>
      <w:spacing w:after="0" w:line="240" w:lineRule="auto"/>
    </w:pPr>
    <w:rPr>
      <w:rFonts w:ascii="Calibri" w:hAnsi="Calibri"/>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B38F5"/>
    <w:pPr>
      <w:spacing w:after="0" w:line="240" w:lineRule="auto"/>
    </w:pPr>
    <w:rPr>
      <w:rFonts w:ascii="Calibri" w:hAnsi="Calibri"/>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B38F5"/>
    <w:pPr>
      <w:spacing w:after="0" w:line="240" w:lineRule="auto"/>
    </w:pPr>
    <w:rPr>
      <w:rFonts w:ascii="Calibri" w:hAnsi="Calibri"/>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B38F5"/>
    <w:rPr>
      <w:rFonts w:ascii="Consolas" w:hAnsi="Consolas"/>
      <w:sz w:val="21"/>
      <w:szCs w:val="21"/>
    </w:rPr>
  </w:style>
  <w:style w:type="character" w:customStyle="1" w:styleId="PlainTextChar">
    <w:name w:val="Plain Text Char"/>
    <w:basedOn w:val="DefaultParagraphFont"/>
    <w:link w:val="PlainText"/>
    <w:uiPriority w:val="99"/>
    <w:semiHidden/>
    <w:rsid w:val="002B38F5"/>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2B38F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38F5"/>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2B38F5"/>
  </w:style>
  <w:style w:type="character" w:customStyle="1" w:styleId="SalutationChar">
    <w:name w:val="Salutation Char"/>
    <w:basedOn w:val="DefaultParagraphFont"/>
    <w:link w:val="Salutation"/>
    <w:uiPriority w:val="99"/>
    <w:semiHidden/>
    <w:rsid w:val="002B38F5"/>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2B38F5"/>
    <w:pPr>
      <w:ind w:left="4320"/>
    </w:pPr>
  </w:style>
  <w:style w:type="character" w:customStyle="1" w:styleId="SignatureChar">
    <w:name w:val="Signature Char"/>
    <w:basedOn w:val="DefaultParagraphFont"/>
    <w:link w:val="Signature"/>
    <w:uiPriority w:val="99"/>
    <w:semiHidden/>
    <w:rsid w:val="002B38F5"/>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2B38F5"/>
    <w:rPr>
      <w:u w:val="dotted"/>
    </w:rPr>
  </w:style>
  <w:style w:type="character" w:styleId="SmartLink">
    <w:name w:val="Smart Link"/>
    <w:basedOn w:val="DefaultParagraphFont"/>
    <w:uiPriority w:val="99"/>
    <w:semiHidden/>
    <w:unhideWhenUsed/>
    <w:rsid w:val="002B38F5"/>
    <w:rPr>
      <w:color w:val="0000FF"/>
      <w:u w:val="single"/>
      <w:shd w:val="clear" w:color="auto" w:fill="F3F2F1"/>
    </w:rPr>
  </w:style>
  <w:style w:type="character" w:styleId="Strong">
    <w:name w:val="Strong"/>
    <w:basedOn w:val="DefaultParagraphFont"/>
    <w:uiPriority w:val="22"/>
    <w:qFormat/>
    <w:rsid w:val="002B38F5"/>
    <w:rPr>
      <w:b/>
      <w:bCs/>
    </w:rPr>
  </w:style>
  <w:style w:type="character" w:styleId="SubtleEmphasis">
    <w:name w:val="Subtle Emphasis"/>
    <w:basedOn w:val="DefaultParagraphFont"/>
    <w:uiPriority w:val="19"/>
    <w:qFormat/>
    <w:rsid w:val="002B38F5"/>
    <w:rPr>
      <w:i/>
      <w:iCs/>
      <w:color w:val="404040" w:themeColor="text1" w:themeTint="BF"/>
    </w:rPr>
  </w:style>
  <w:style w:type="character" w:styleId="SubtleReference">
    <w:name w:val="Subtle Reference"/>
    <w:basedOn w:val="DefaultParagraphFont"/>
    <w:uiPriority w:val="31"/>
    <w:qFormat/>
    <w:rsid w:val="002B38F5"/>
    <w:rPr>
      <w:smallCaps/>
      <w:color w:val="5A5A5A" w:themeColor="text1" w:themeTint="A5"/>
    </w:rPr>
  </w:style>
  <w:style w:type="table" w:styleId="Table3Deffects1">
    <w:name w:val="Table 3D effects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2B38F5"/>
    <w:pPr>
      <w:spacing w:after="0" w:line="240" w:lineRule="auto"/>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38F5"/>
    <w:pPr>
      <w:tabs>
        <w:tab w:val="left" w:pos="567"/>
        <w:tab w:val="left" w:pos="1134"/>
        <w:tab w:val="left" w:pos="1701"/>
        <w:tab w:val="left" w:pos="2268"/>
      </w:tabs>
      <w:spacing w:after="0" w:line="240" w:lineRule="auto"/>
      <w:jc w:val="both"/>
    </w:pPr>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F74CA0"/>
    <w:pPr>
      <w:tabs>
        <w:tab w:val="clear" w:pos="567"/>
        <w:tab w:val="clear" w:pos="1701"/>
        <w:tab w:val="clear" w:pos="2268"/>
        <w:tab w:val="left" w:pos="624"/>
        <w:tab w:val="right" w:leader="dot" w:pos="9486"/>
      </w:tabs>
      <w:adjustRightInd w:val="0"/>
      <w:snapToGrid w:val="0"/>
      <w:spacing w:before="40" w:after="40"/>
      <w:ind w:left="1134" w:hanging="567"/>
      <w:jc w:val="left"/>
    </w:pPr>
    <w:rPr>
      <w:rFonts w:eastAsia="Times New Roman"/>
      <w:bCs/>
      <w:szCs w:val="20"/>
    </w:rPr>
  </w:style>
  <w:style w:type="paragraph" w:styleId="TOC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80196"/>
    <w:rPr>
      <w:rFonts w:ascii="Times New Roman" w:eastAsia="SimSun" w:hAnsi="Times New Roman" w:cs="Times New Roman"/>
      <w:kern w:val="0"/>
      <w14:ligatures w14:val="none"/>
    </w:rPr>
  </w:style>
  <w:style w:type="character" w:customStyle="1" w:styleId="None">
    <w:name w:val="None"/>
    <w:rsid w:val="00080196"/>
  </w:style>
  <w:style w:type="character" w:customStyle="1" w:styleId="SmartLink1">
    <w:name w:val="SmartLink1"/>
    <w:basedOn w:val="DefaultParagraphFont"/>
    <w:uiPriority w:val="99"/>
    <w:semiHidden/>
    <w:unhideWhenUsed/>
    <w:rsid w:val="00080196"/>
    <w:rPr>
      <w:color w:val="0000FF"/>
      <w:u w:val="single"/>
      <w:shd w:val="clear" w:color="auto" w:fill="F3F2F1"/>
    </w:rPr>
  </w:style>
  <w:style w:type="paragraph" w:customStyle="1" w:styleId="msonormal0">
    <w:name w:val="msonormal"/>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xl65">
    <w:name w:val="xl65"/>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66">
    <w:name w:val="xl6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rPr>
  </w:style>
  <w:style w:type="paragraph" w:customStyle="1" w:styleId="xl67">
    <w:name w:val="xl6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rPr>
  </w:style>
  <w:style w:type="paragraph" w:customStyle="1" w:styleId="xl68">
    <w:name w:val="xl6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9">
    <w:name w:val="xl6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70">
    <w:name w:val="xl7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1">
    <w:name w:val="xl71"/>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rPr>
  </w:style>
  <w:style w:type="paragraph" w:customStyle="1" w:styleId="xl72">
    <w:name w:val="xl72"/>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rPr>
  </w:style>
  <w:style w:type="paragraph" w:customStyle="1" w:styleId="xl73">
    <w:name w:val="xl73"/>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4">
    <w:name w:val="xl74"/>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rPr>
  </w:style>
  <w:style w:type="paragraph" w:customStyle="1" w:styleId="xl75">
    <w:name w:val="xl75"/>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rPr>
  </w:style>
  <w:style w:type="paragraph" w:customStyle="1" w:styleId="xl76">
    <w:name w:val="xl7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rPr>
  </w:style>
  <w:style w:type="paragraph" w:customStyle="1" w:styleId="xl77">
    <w:name w:val="xl7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8">
    <w:name w:val="xl7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rPr>
  </w:style>
  <w:style w:type="paragraph" w:customStyle="1" w:styleId="xl79">
    <w:name w:val="xl7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rPr>
  </w:style>
  <w:style w:type="paragraph" w:customStyle="1" w:styleId="xl80">
    <w:name w:val="xl8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p-mop-10/cp-mop-10-dec-10-fr.pdf" TargetMode="External"/><Relationship Id="rId21" Type="http://schemas.openxmlformats.org/officeDocument/2006/relationships/hyperlink" Target="https://www.cbd.int/decision/mop/default.shtml?id=8284" TargetMode="External"/><Relationship Id="rId34" Type="http://schemas.openxmlformats.org/officeDocument/2006/relationships/hyperlink" Target="https://www.cbd.int/doc/decisions/cp-mop-10/cp-mop-10-dec-07-fr.pdf" TargetMode="External"/><Relationship Id="rId42" Type="http://schemas.openxmlformats.org/officeDocument/2006/relationships/hyperlink" Target="https://www.cbd.int/doc/decisions/cp-mop-11/cp-mop-11-dec-04-fr.pdf" TargetMode="External"/><Relationship Id="rId47" Type="http://schemas.openxmlformats.org/officeDocument/2006/relationships/hyperlink" Target="https://www.cbd.int/documents/CBD/CP/MOP/11/L12/REV1" TargetMode="External"/><Relationship Id="rId50" Type="http://schemas.openxmlformats.org/officeDocument/2006/relationships/hyperlink" Target="https://www.cbd.int/decisions/mop/?m=cp-mop-11" TargetMode="External"/><Relationship Id="rId55" Type="http://schemas.openxmlformats.org/officeDocument/2006/relationships/hyperlink" Target="https://www.cbd.int/decisions/mop/?m=cp-mop-11" TargetMode="External"/><Relationship Id="rId63"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mop/default.shtml?id=12314" TargetMode="External"/><Relationship Id="rId29" Type="http://schemas.openxmlformats.org/officeDocument/2006/relationships/hyperlink" Target="https://www.cbd.int/doc/decisions/cp-mop-09/cp-mop-09-dec-13-fr.pdf" TargetMode="External"/><Relationship Id="rId11" Type="http://schemas.openxmlformats.org/officeDocument/2006/relationships/image" Target="media/image1.emf"/><Relationship Id="rId24" Type="http://schemas.openxmlformats.org/officeDocument/2006/relationships/hyperlink" Target="https://www.cbd.int/doc/recommendations/sbi-04/sbi-04-rec-12-fr.pdf" TargetMode="External"/><Relationship Id="rId32" Type="http://schemas.openxmlformats.org/officeDocument/2006/relationships/hyperlink" Target="https://www.cbd.int/doc/decisions/cop-14/cop-14-dec-33-fr.pdf" TargetMode="External"/><Relationship Id="rId37" Type="http://schemas.openxmlformats.org/officeDocument/2006/relationships/hyperlink" Target="https://www.cbd.int/doc/decisions/cp-mop-10/cp-mop-10-dec-04-fr.pdf" TargetMode="External"/><Relationship Id="rId40" Type="http://schemas.openxmlformats.org/officeDocument/2006/relationships/hyperlink" Target="https://www.cbd.int/doc/decisions/cp-mop-10/cp-mop-10-dec-13-fr.pdf" TargetMode="External"/><Relationship Id="rId45" Type="http://schemas.openxmlformats.org/officeDocument/2006/relationships/hyperlink" Target="https://www.cbd.int/doc/notifications/2024/ntf-2024-092-abs-bs-en.pdf" TargetMode="External"/><Relationship Id="rId53" Type="http://schemas.openxmlformats.org/officeDocument/2006/relationships/hyperlink" Target="https://www.cbd.int/decisions/mop/?m=cp-mop-11" TargetMode="External"/><Relationship Id="rId58" Type="http://schemas.openxmlformats.org/officeDocument/2006/relationships/hyperlink" Target="https://www.cbd.int/decisions/mop/?m=cp-mop-11" TargetMode="External"/><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www.cbd.int/doc/decisions/cp-mop-09/cp-mop-09-dec-02-fr.pdf" TargetMode="External"/><Relationship Id="rId14" Type="http://schemas.openxmlformats.org/officeDocument/2006/relationships/hyperlink" Target="https://www.cbd.int/decision/mop/default.shtml?id=8289" TargetMode="External"/><Relationship Id="rId22" Type="http://schemas.openxmlformats.org/officeDocument/2006/relationships/hyperlink" Target="https://www.cbd.int/doc/decisions/cp-mop-10/cp-mop-10-dec-08-fr.pdf" TargetMode="External"/><Relationship Id="rId27" Type="http://schemas.openxmlformats.org/officeDocument/2006/relationships/hyperlink" Target="https://www.cbd.int/doc/decisions/cp-mop-09/cp-mop-09-dec-13-fr.pdf" TargetMode="External"/><Relationship Id="rId30" Type="http://schemas.openxmlformats.org/officeDocument/2006/relationships/hyperlink" Target="https://www.cbd.int/doc/decisions/cp-mop-09/cp-mop-09-dec-13-fr.pdf" TargetMode="External"/><Relationship Id="rId35" Type="http://schemas.openxmlformats.org/officeDocument/2006/relationships/hyperlink" Target="https://www.cbd.int/doc/decisions/cp-mop-10/cp-mop-10-dec-11-fr.pdf"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ocuments/CBD/CP/MOP/11/L13" TargetMode="External"/><Relationship Id="rId56" Type="http://schemas.openxmlformats.org/officeDocument/2006/relationships/hyperlink" Target="https://www.cbd.int/decisions/mop/?m=cp-mop-11" TargetMode="Externa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CP/MOP/11/3" TargetMode="External"/><Relationship Id="rId25" Type="http://schemas.openxmlformats.org/officeDocument/2006/relationships/hyperlink" Target="https://www.cbd.int/doc/decisions/cp-mop-09/cp-mop-09-dec-10-fr.pdf" TargetMode="External"/><Relationship Id="rId33" Type="http://schemas.openxmlformats.org/officeDocument/2006/relationships/hyperlink" Target="https://www.cbd.int/doc/decisions/cp-mop-09/cp-mop-09-dec-13-fr.pdf" TargetMode="External"/><Relationship Id="rId38" Type="http://schemas.openxmlformats.org/officeDocument/2006/relationships/hyperlink" Target="https://www.cbd.int/doc/decisions/cp-mop-09/cp-mop-09-dec-14-fr.pdf" TargetMode="External"/><Relationship Id="rId46" Type="http://schemas.openxmlformats.org/officeDocument/2006/relationships/hyperlink" Target="https://www.cbd.int/decisions/mop/?m=cp-mop-11" TargetMode="External"/><Relationship Id="rId59" Type="http://schemas.openxmlformats.org/officeDocument/2006/relationships/hyperlink" Target="https://www.cbd.int/decisions/mop/?m=cp-mop-11" TargetMode="External"/><Relationship Id="rId67" Type="http://schemas.openxmlformats.org/officeDocument/2006/relationships/theme" Target="theme/theme1.xml"/><Relationship Id="rId20" Type="http://schemas.openxmlformats.org/officeDocument/2006/relationships/hyperlink" Target="https://www.cbd.int/decision/mop/default.shtml?id=8284" TargetMode="External"/><Relationship Id="rId41" Type="http://schemas.openxmlformats.org/officeDocument/2006/relationships/hyperlink" Target="https://www.cbd.int/doc/decisions/cp-mop-10/cp-mop-10-dec-13-fr.pdf" TargetMode="External"/><Relationship Id="rId54" Type="http://schemas.openxmlformats.org/officeDocument/2006/relationships/hyperlink" Target="https://www.cbd.int/decisions/mop/?m=cp-mop-11"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mop/default.shtml?id=12314" TargetMode="External"/><Relationship Id="rId23" Type="http://schemas.openxmlformats.org/officeDocument/2006/relationships/hyperlink" Target="https://www.cbd.int/documents/CBD/SBI/4/11" TargetMode="External"/><Relationship Id="rId28" Type="http://schemas.openxmlformats.org/officeDocument/2006/relationships/hyperlink" Target="https://www.cbd.int/doc/decisions/cop-14/cop-14-dec-19-fr.pdf" TargetMode="External"/><Relationship Id="rId36" Type="http://schemas.openxmlformats.org/officeDocument/2006/relationships/hyperlink" Target="https://www.cbd.int/doc/decisions/cp-mop-10/cp-mop-10-dec-03-fr.pdf" TargetMode="External"/><Relationship Id="rId49" Type="http://schemas.openxmlformats.org/officeDocument/2006/relationships/hyperlink" Target="https://www.cbd.int/decisions/mop/?m=cp-mop-11" TargetMode="External"/><Relationship Id="rId57" Type="http://schemas.openxmlformats.org/officeDocument/2006/relationships/hyperlink" Target="https://www.cbd.int/decisions/mop/?m=cp-mop-11" TargetMode="External"/><Relationship Id="rId10" Type="http://schemas.openxmlformats.org/officeDocument/2006/relationships/endnotes" Target="endnotes.xml"/><Relationship Id="rId31" Type="http://schemas.openxmlformats.org/officeDocument/2006/relationships/hyperlink" Target="https://www.cbd.int/doc/decisions/cp-mop-09/cp-mop-09-dec-13-fr.pdf" TargetMode="External"/><Relationship Id="rId44" Type="http://schemas.openxmlformats.org/officeDocument/2006/relationships/hyperlink" Target="https://www.cbd.int/documents/CBD/CP/MOP/11/INF/7" TargetMode="External"/><Relationship Id="rId52" Type="http://schemas.openxmlformats.org/officeDocument/2006/relationships/hyperlink" Target="https://www.cbd.int/decisions/mop/?m=cp-mop-11" TargetMode="External"/><Relationship Id="rId60" Type="http://schemas.openxmlformats.org/officeDocument/2006/relationships/header" Target="header1.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9" Type="http://schemas.openxmlformats.org/officeDocument/2006/relationships/hyperlink" Target="https://www.cbd.int/doc/decisions/cp-mop-10/cp-mop-10-dec-12-fr.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CP/RA/AHTEG/2024/1/3"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ocuments/CBD/CP/MOP/11/INF/1" TargetMode="External"/><Relationship Id="rId39" Type="http://schemas.openxmlformats.org/officeDocument/2006/relationships/hyperlink" Target="https://www.cbd.int/documents/CBD/CP/MOP/11/INF/5" TargetMode="External"/><Relationship Id="rId21" Type="http://schemas.openxmlformats.org/officeDocument/2006/relationships/hyperlink" Target="https://www.cbd.int/decisions/mop/?m=cp-mop-10" TargetMode="External"/><Relationship Id="rId34" Type="http://schemas.openxmlformats.org/officeDocument/2006/relationships/hyperlink" Target="https://www.cbd.int/documents/CBD/CP/MOP/11/WGII/L1" TargetMode="External"/><Relationship Id="rId42" Type="http://schemas.openxmlformats.org/officeDocument/2006/relationships/hyperlink" Target="https://www.cbd.int/documents/CBD/SBSTTA/26/9" TargetMode="External"/><Relationship Id="rId47" Type="http://schemas.openxmlformats.org/officeDocument/2006/relationships/hyperlink" Target="https://www.cbd.int/documents/CBD/CP/MOP/11/INF/2" TargetMode="External"/><Relationship Id="rId50" Type="http://schemas.openxmlformats.org/officeDocument/2006/relationships/hyperlink" Target="https://www.cbd.int/documents/CBD/CP/MOP/11/5" TargetMode="External"/><Relationship Id="rId55" Type="http://schemas.openxmlformats.org/officeDocument/2006/relationships/hyperlink" Target="https://www.cbd.int/documents/CBD/CP/MOP/11/2" TargetMode="External"/><Relationship Id="rId63" Type="http://schemas.openxmlformats.org/officeDocument/2006/relationships/hyperlink" Target="https://www.cbd.int/documents/CBD/CP/MOP/11/11" TargetMode="External"/><Relationship Id="rId7" Type="http://schemas.openxmlformats.org/officeDocument/2006/relationships/hyperlink" Target="https://www.cbd.int/doc/decisions/cop-14/cop-14-dec-25-fr.pdf"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documents/CBD/CP/MOP/9/10" TargetMode="External"/><Relationship Id="rId29" Type="http://schemas.openxmlformats.org/officeDocument/2006/relationships/hyperlink" Target="https://www.cbd.int/documents/CBD/CP/MOP/11/1" TargetMode="External"/><Relationship Id="rId11" Type="http://schemas.openxmlformats.org/officeDocument/2006/relationships/hyperlink" Target="https://www.cbd.int/documents/CBD/CP/RA/AHTEG/2024/1/3" TargetMode="External"/><Relationship Id="rId24" Type="http://schemas.openxmlformats.org/officeDocument/2006/relationships/hyperlink" Target="https://www.cbd.int/decisions/?id=12324" TargetMode="External"/><Relationship Id="rId32" Type="http://schemas.openxmlformats.org/officeDocument/2006/relationships/hyperlink" Target="https://www.cbd.int/documents/CBD/CP/MOP/11/INF/4" TargetMode="External"/><Relationship Id="rId37" Type="http://schemas.openxmlformats.org/officeDocument/2006/relationships/hyperlink" Target="https://www.cbd.int/documents/CBD/CP/MOP/11/L12/REV1" TargetMode="External"/><Relationship Id="rId40" Type="http://schemas.openxmlformats.org/officeDocument/2006/relationships/hyperlink" Target="https://www.cbd.int/documents/CBD/CP/MOP/11/INF/6/REV1" TargetMode="External"/><Relationship Id="rId45" Type="http://schemas.openxmlformats.org/officeDocument/2006/relationships/hyperlink" Target="https://www.cbd.int/documents/CBD/CP/MOP/11/2" TargetMode="External"/><Relationship Id="rId53" Type="http://schemas.openxmlformats.org/officeDocument/2006/relationships/hyperlink" Target="https://www.cbd.int/documents/CBD/CP/MOP/11/2" TargetMode="External"/><Relationship Id="rId58" Type="http://schemas.openxmlformats.org/officeDocument/2006/relationships/hyperlink" Target="https://www.cbd.int/documents/CBD/CP/MOP/11/2"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uments/CBD/CP/MOP/11/10" TargetMode="External"/><Relationship Id="rId19" Type="http://schemas.openxmlformats.org/officeDocument/2006/relationships/hyperlink" Target="http://www.cbd.int/notifications/2023-133" TargetMode="External"/><Relationship Id="rId14" Type="http://schemas.openxmlformats.org/officeDocument/2006/relationships/hyperlink" Target="https://www.cbd.int/documents/CBD/CP/MOP/11/9"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ocuments/CBD/COP/16/13" TargetMode="External"/><Relationship Id="rId30" Type="http://schemas.openxmlformats.org/officeDocument/2006/relationships/hyperlink" Target="https://www.cbd.int/documents/CBD/CP/MOP/11/1/ADD1" TargetMode="External"/><Relationship Id="rId35" Type="http://schemas.openxmlformats.org/officeDocument/2006/relationships/hyperlink" Target="https://www.cbd.int/meetings/CP-MOP-11-R1" TargetMode="External"/><Relationship Id="rId43" Type="http://schemas.openxmlformats.org/officeDocument/2006/relationships/hyperlink" Target="https://www.cbd.int/documents/CBD/SBI/4/17" TargetMode="External"/><Relationship Id="rId48" Type="http://schemas.openxmlformats.org/officeDocument/2006/relationships/hyperlink" Target="https://www.cbd.int/documents/CBD/COP/16/4/ADD1" TargetMode="External"/><Relationship Id="rId56" Type="http://schemas.openxmlformats.org/officeDocument/2006/relationships/hyperlink" Target="https://www.cbd.int/documents/CBD/CP/MOP/11/7" TargetMode="External"/><Relationship Id="rId64" Type="http://schemas.openxmlformats.org/officeDocument/2006/relationships/hyperlink" Target="https://www.cbd.int/documents/CBD/CP/MOP/11/L1/REV1" TargetMode="External"/><Relationship Id="rId8" Type="http://schemas.openxmlformats.org/officeDocument/2006/relationships/hyperlink" Target="https://www.cbd.int/documents/CBD/SBI/4/11/ADD1" TargetMode="External"/><Relationship Id="rId51" Type="http://schemas.openxmlformats.org/officeDocument/2006/relationships/hyperlink" Target="https://www.cbd.int/documents/CBD/CP/MOP/11/5/ADD1" TargetMode="External"/><Relationship Id="rId3" Type="http://schemas.openxmlformats.org/officeDocument/2006/relationships/hyperlink" Target="https://www.cbd.int/decisions/mop/?m=cp-mop-10" TargetMode="External"/><Relationship Id="rId12" Type="http://schemas.openxmlformats.org/officeDocument/2006/relationships/hyperlink" Target="https://www.cbd.int/documents/CBD/CP/RA/AHTEG/2023/1/4" TargetMode="External"/><Relationship Id="rId17" Type="http://schemas.openxmlformats.org/officeDocument/2006/relationships/hyperlink" Target="https://www.cbd.int/decisions/mop/?m=cp-mop-10" TargetMode="External"/><Relationship Id="rId25" Type="http://schemas.openxmlformats.org/officeDocument/2006/relationships/hyperlink" Target="https://www.cbd.int/decisions/mop/?m=cp-mop-10" TargetMode="External"/><Relationship Id="rId33" Type="http://schemas.openxmlformats.org/officeDocument/2006/relationships/hyperlink" Target="https://www.cbd.int/documents/CBD/CP/MOP/11/WGI/L1" TargetMode="External"/><Relationship Id="rId38" Type="http://schemas.openxmlformats.org/officeDocument/2006/relationships/hyperlink" Target="https://www.cbd.int/documents/CBD/CP/MOP/11/L13" TargetMode="External"/><Relationship Id="rId46" Type="http://schemas.openxmlformats.org/officeDocument/2006/relationships/hyperlink" Target="https://www.cbd.int/documents/CBD/CP/MOP/11/3" TargetMode="External"/><Relationship Id="rId59" Type="http://schemas.openxmlformats.org/officeDocument/2006/relationships/hyperlink" Target="https://www.cbd.int/documents/CBD/CP/MOP/11/9" TargetMode="External"/><Relationship Id="rId20" Type="http://schemas.openxmlformats.org/officeDocument/2006/relationships/hyperlink" Target="https://bch.cbd.int/onlineconferences/portal_art26/Activities2023-2024.shtml" TargetMode="External"/><Relationship Id="rId41" Type="http://schemas.openxmlformats.org/officeDocument/2006/relationships/hyperlink" Target="https://www.cbd.int/documents/CBD/CP/MOP/11/INF/6/REV1" TargetMode="External"/><Relationship Id="rId54" Type="http://schemas.openxmlformats.org/officeDocument/2006/relationships/hyperlink" Target="https://www.cbd.int/documents/CBD/CP/MOP/11/6" TargetMode="External"/><Relationship Id="rId62" Type="http://schemas.openxmlformats.org/officeDocument/2006/relationships/hyperlink" Target="https://www.cbd.int/documents/CBD/CP/MOP/11/2"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cop/?m=cop-16" TargetMode="External"/><Relationship Id="rId15" Type="http://schemas.openxmlformats.org/officeDocument/2006/relationships/hyperlink" Target="https://www.cbd.int/doc/decisions/cop-08/cop-08-dec-10-fr.pdf" TargetMode="External"/><Relationship Id="rId23" Type="http://schemas.openxmlformats.org/officeDocument/2006/relationships/hyperlink" Target="https://www.cbd.int/documents/UNEP/CBD/BS/COP-MOP/5/17" TargetMode="External"/><Relationship Id="rId28" Type="http://schemas.openxmlformats.org/officeDocument/2006/relationships/hyperlink" Target="https://www.cbd.int/documents/CBD/COP/16/13" TargetMode="External"/><Relationship Id="rId36" Type="http://schemas.openxmlformats.org/officeDocument/2006/relationships/hyperlink" Target="https://www.cbd.int/documents/CBD/CP/MOP/11/1/ADD3" TargetMode="External"/><Relationship Id="rId49" Type="http://schemas.openxmlformats.org/officeDocument/2006/relationships/hyperlink" Target="https://www.cbd.int/documents/CBD/CP/MOP/11/4" TargetMode="External"/><Relationship Id="rId57" Type="http://schemas.openxmlformats.org/officeDocument/2006/relationships/hyperlink" Target="https://www.cbd.int/documents/CBD/CP/MOP/11/8/REV1" TargetMode="External"/><Relationship Id="rId10" Type="http://schemas.openxmlformats.org/officeDocument/2006/relationships/hyperlink" Target="https://www.cbd.int/documents/CBD/SYNBIO/AHTEG/2024/1/3" TargetMode="External"/><Relationship Id="rId31" Type="http://schemas.openxmlformats.org/officeDocument/2006/relationships/hyperlink" Target="https://www.cbd.int/documents/CBD/CP/MOP/11/1/ADD2" TargetMode="External"/><Relationship Id="rId44" Type="http://schemas.openxmlformats.org/officeDocument/2006/relationships/hyperlink" Target="https://www.cbd.int/documents/CBD/SBI/5/4" TargetMode="External"/><Relationship Id="rId52" Type="http://schemas.openxmlformats.org/officeDocument/2006/relationships/hyperlink" Target="https://www.cbd.int/documents/CBD/CP/MOP/11/5/ADD2" TargetMode="External"/><Relationship Id="rId60" Type="http://schemas.openxmlformats.org/officeDocument/2006/relationships/hyperlink" Target="https://www.cbd.int/documents/CBD/CP/MOP/11/2"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oc/decisions/cop-14/cop-14-dec-33-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imesNewRomanP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63D9"/>
    <w:rsid w:val="0001715E"/>
    <w:rsid w:val="00020E2E"/>
    <w:rsid w:val="0002343F"/>
    <w:rsid w:val="0003653F"/>
    <w:rsid w:val="00040D0B"/>
    <w:rsid w:val="00084331"/>
    <w:rsid w:val="00090089"/>
    <w:rsid w:val="000B2F24"/>
    <w:rsid w:val="000B434F"/>
    <w:rsid w:val="00112CC6"/>
    <w:rsid w:val="001305D0"/>
    <w:rsid w:val="001A5340"/>
    <w:rsid w:val="001B0D3A"/>
    <w:rsid w:val="001B5E85"/>
    <w:rsid w:val="001C1AE5"/>
    <w:rsid w:val="001D3912"/>
    <w:rsid w:val="001D5F7F"/>
    <w:rsid w:val="001D79EB"/>
    <w:rsid w:val="001E269D"/>
    <w:rsid w:val="002039C1"/>
    <w:rsid w:val="00221DFE"/>
    <w:rsid w:val="002619BD"/>
    <w:rsid w:val="0028646E"/>
    <w:rsid w:val="002B5BB9"/>
    <w:rsid w:val="002C3D9A"/>
    <w:rsid w:val="002C7190"/>
    <w:rsid w:val="002F1BC0"/>
    <w:rsid w:val="002F1C76"/>
    <w:rsid w:val="003002F4"/>
    <w:rsid w:val="003242BD"/>
    <w:rsid w:val="00330ED1"/>
    <w:rsid w:val="00334413"/>
    <w:rsid w:val="00372D3D"/>
    <w:rsid w:val="00375B43"/>
    <w:rsid w:val="0037652D"/>
    <w:rsid w:val="003A39B0"/>
    <w:rsid w:val="003D5E70"/>
    <w:rsid w:val="003D6731"/>
    <w:rsid w:val="003E7DC4"/>
    <w:rsid w:val="00445AE3"/>
    <w:rsid w:val="00445BEA"/>
    <w:rsid w:val="00496E68"/>
    <w:rsid w:val="004E4E80"/>
    <w:rsid w:val="004F7087"/>
    <w:rsid w:val="00503FAB"/>
    <w:rsid w:val="005053BE"/>
    <w:rsid w:val="005357D7"/>
    <w:rsid w:val="00565C0B"/>
    <w:rsid w:val="00582E19"/>
    <w:rsid w:val="005A0CF3"/>
    <w:rsid w:val="005E132D"/>
    <w:rsid w:val="005F1066"/>
    <w:rsid w:val="005F38C4"/>
    <w:rsid w:val="005F6A00"/>
    <w:rsid w:val="00604043"/>
    <w:rsid w:val="00620ABF"/>
    <w:rsid w:val="00637962"/>
    <w:rsid w:val="006443BD"/>
    <w:rsid w:val="00674C41"/>
    <w:rsid w:val="00675ADF"/>
    <w:rsid w:val="0068367C"/>
    <w:rsid w:val="006B5209"/>
    <w:rsid w:val="006D62E0"/>
    <w:rsid w:val="006D78D3"/>
    <w:rsid w:val="007068E8"/>
    <w:rsid w:val="00715F12"/>
    <w:rsid w:val="00720C98"/>
    <w:rsid w:val="00763BDA"/>
    <w:rsid w:val="00780BDB"/>
    <w:rsid w:val="007936B9"/>
    <w:rsid w:val="007960BB"/>
    <w:rsid w:val="007B303A"/>
    <w:rsid w:val="007C4D34"/>
    <w:rsid w:val="007E3C8F"/>
    <w:rsid w:val="007E4C1B"/>
    <w:rsid w:val="00820765"/>
    <w:rsid w:val="00821AFC"/>
    <w:rsid w:val="0084050F"/>
    <w:rsid w:val="00852C29"/>
    <w:rsid w:val="00854B9B"/>
    <w:rsid w:val="00880330"/>
    <w:rsid w:val="008D2345"/>
    <w:rsid w:val="008D68C6"/>
    <w:rsid w:val="008E20A6"/>
    <w:rsid w:val="008E70DC"/>
    <w:rsid w:val="009406B9"/>
    <w:rsid w:val="00986547"/>
    <w:rsid w:val="009960AE"/>
    <w:rsid w:val="009B302D"/>
    <w:rsid w:val="009C269F"/>
    <w:rsid w:val="009D06BB"/>
    <w:rsid w:val="009E71CD"/>
    <w:rsid w:val="00A105AD"/>
    <w:rsid w:val="00A11D7A"/>
    <w:rsid w:val="00A20B2B"/>
    <w:rsid w:val="00A25885"/>
    <w:rsid w:val="00A37C76"/>
    <w:rsid w:val="00A548A1"/>
    <w:rsid w:val="00A6758D"/>
    <w:rsid w:val="00A92513"/>
    <w:rsid w:val="00A93DEB"/>
    <w:rsid w:val="00A94AA9"/>
    <w:rsid w:val="00AA2647"/>
    <w:rsid w:val="00AA67E0"/>
    <w:rsid w:val="00AC0AF4"/>
    <w:rsid w:val="00AE564C"/>
    <w:rsid w:val="00B01052"/>
    <w:rsid w:val="00B0243D"/>
    <w:rsid w:val="00B04B78"/>
    <w:rsid w:val="00B40B22"/>
    <w:rsid w:val="00B458FE"/>
    <w:rsid w:val="00B54646"/>
    <w:rsid w:val="00B6753E"/>
    <w:rsid w:val="00B84D7A"/>
    <w:rsid w:val="00B85BB8"/>
    <w:rsid w:val="00B933B5"/>
    <w:rsid w:val="00BA5015"/>
    <w:rsid w:val="00BB10F5"/>
    <w:rsid w:val="00BC28E5"/>
    <w:rsid w:val="00BC2940"/>
    <w:rsid w:val="00BF0A09"/>
    <w:rsid w:val="00BF2A1F"/>
    <w:rsid w:val="00C06F7F"/>
    <w:rsid w:val="00C43384"/>
    <w:rsid w:val="00C436E8"/>
    <w:rsid w:val="00C50B95"/>
    <w:rsid w:val="00C86C76"/>
    <w:rsid w:val="00CD6A15"/>
    <w:rsid w:val="00CD70A1"/>
    <w:rsid w:val="00CF2117"/>
    <w:rsid w:val="00D01E81"/>
    <w:rsid w:val="00D131AD"/>
    <w:rsid w:val="00D134DF"/>
    <w:rsid w:val="00D154E8"/>
    <w:rsid w:val="00D30C33"/>
    <w:rsid w:val="00D3539E"/>
    <w:rsid w:val="00D3691B"/>
    <w:rsid w:val="00D67939"/>
    <w:rsid w:val="00D74942"/>
    <w:rsid w:val="00D74D66"/>
    <w:rsid w:val="00D91C65"/>
    <w:rsid w:val="00DA3BB5"/>
    <w:rsid w:val="00DA430C"/>
    <w:rsid w:val="00DB16A2"/>
    <w:rsid w:val="00DB5E0F"/>
    <w:rsid w:val="00DC1683"/>
    <w:rsid w:val="00DC60AB"/>
    <w:rsid w:val="00DD7D4E"/>
    <w:rsid w:val="00DF0E72"/>
    <w:rsid w:val="00DF21EE"/>
    <w:rsid w:val="00DF6DCA"/>
    <w:rsid w:val="00E13158"/>
    <w:rsid w:val="00E13C94"/>
    <w:rsid w:val="00E22B7B"/>
    <w:rsid w:val="00E24CAE"/>
    <w:rsid w:val="00E35095"/>
    <w:rsid w:val="00E44A51"/>
    <w:rsid w:val="00E64439"/>
    <w:rsid w:val="00E7180E"/>
    <w:rsid w:val="00EA1CF5"/>
    <w:rsid w:val="00F01432"/>
    <w:rsid w:val="00F05EFA"/>
    <w:rsid w:val="00F40B09"/>
    <w:rsid w:val="00F52C84"/>
    <w:rsid w:val="00F72A69"/>
    <w:rsid w:val="00F95D34"/>
    <w:rsid w:val="00FA571B"/>
    <w:rsid w:val="00FA5CAC"/>
    <w:rsid w:val="00FC468E"/>
    <w:rsid w:val="00FF3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46</Pages>
  <Words>17806</Words>
  <Characters>101497</Characters>
  <Application>Microsoft Office Word</Application>
  <DocSecurity>0</DocSecurity>
  <Lines>845</Lines>
  <Paragraphs>238</Paragraphs>
  <ScaleCrop>false</ScaleCrop>
  <HeadingPairs>
    <vt:vector size="8" baseType="variant">
      <vt:variant>
        <vt:lpstr>Titre</vt:lpstr>
      </vt:variant>
      <vt:variant>
        <vt:i4>1</vt:i4>
      </vt:variant>
      <vt:variant>
        <vt:lpstr>Titres</vt:lpstr>
      </vt:variant>
      <vt:variant>
        <vt:i4>4</vt:i4>
      </vt:variant>
      <vt:variant>
        <vt:lpstr>Title</vt:lpstr>
      </vt:variant>
      <vt:variant>
        <vt:i4>1</vt:i4>
      </vt:variant>
      <vt:variant>
        <vt:lpstr>Headings</vt:lpstr>
      </vt:variant>
      <vt:variant>
        <vt:i4>4</vt:i4>
      </vt:variant>
    </vt:vector>
  </HeadingPairs>
  <TitlesOfParts>
    <vt:vector size="10" baseType="lpstr">
      <vt:lpstr>Rapport de la Conférence des Parties siégeant en tant que réunion des Parties au Protocole de Cartagena sur la prévention des risques biotechnologiques on its eleventh meeting</vt:lpstr>
      <vt:lpstr>I.	Décisions adoptées par la Conférence des Parties siégeant en tant que réunion</vt:lpstr>
      <vt:lpstr>II.	Compte rendu de la réunion</vt:lpstr>
      <vt:lpstr>    Élection du président</vt:lpstr>
      <vt:lpstr>    Adoption de l’ordre du jour</vt:lpstr>
      <vt:lpstr>Draft report of the meeting</vt:lpstr>
      <vt:lpstr>I.	Introduction</vt:lpstr>
      <vt:lpstr>II.	Proceedings</vt:lpstr>
      <vt:lpstr>    Election of the President</vt:lpstr>
      <vt:lpstr>    Adoption of the agenda </vt:lpstr>
    </vt:vector>
  </TitlesOfParts>
  <Company/>
  <LinksUpToDate>false</LinksUpToDate>
  <CharactersWithSpaces>119065</CharactersWithSpaces>
  <SharedDoc>false</SharedDoc>
  <HLinks>
    <vt:vector size="522" baseType="variant">
      <vt:variant>
        <vt:i4>7405681</vt:i4>
      </vt:variant>
      <vt:variant>
        <vt:i4>234</vt:i4>
      </vt:variant>
      <vt:variant>
        <vt:i4>0</vt:i4>
      </vt:variant>
      <vt:variant>
        <vt:i4>5</vt:i4>
      </vt:variant>
      <vt:variant>
        <vt:lpwstr>https://www.cbd.int/decisions/mop/?m=cp-mop-11</vt:lpwstr>
      </vt:variant>
      <vt:variant>
        <vt:lpwstr/>
      </vt:variant>
      <vt:variant>
        <vt:i4>7405681</vt:i4>
      </vt:variant>
      <vt:variant>
        <vt:i4>231</vt:i4>
      </vt:variant>
      <vt:variant>
        <vt:i4>0</vt:i4>
      </vt:variant>
      <vt:variant>
        <vt:i4>5</vt:i4>
      </vt:variant>
      <vt:variant>
        <vt:lpwstr>https://www.cbd.int/decisions/mop/?m=cp-mop-11</vt:lpwstr>
      </vt:variant>
      <vt:variant>
        <vt:lpwstr/>
      </vt:variant>
      <vt:variant>
        <vt:i4>7405681</vt:i4>
      </vt:variant>
      <vt:variant>
        <vt:i4>228</vt:i4>
      </vt:variant>
      <vt:variant>
        <vt:i4>0</vt:i4>
      </vt:variant>
      <vt:variant>
        <vt:i4>5</vt:i4>
      </vt:variant>
      <vt:variant>
        <vt:lpwstr>https://www.cbd.int/decisions/mop/?m=cp-mop-11</vt:lpwstr>
      </vt:variant>
      <vt:variant>
        <vt:lpwstr/>
      </vt:variant>
      <vt:variant>
        <vt:i4>7405681</vt:i4>
      </vt:variant>
      <vt:variant>
        <vt:i4>225</vt:i4>
      </vt:variant>
      <vt:variant>
        <vt:i4>0</vt:i4>
      </vt:variant>
      <vt:variant>
        <vt:i4>5</vt:i4>
      </vt:variant>
      <vt:variant>
        <vt:lpwstr>https://www.cbd.int/decisions/mop/?m=cp-mop-11</vt:lpwstr>
      </vt:variant>
      <vt:variant>
        <vt:lpwstr/>
      </vt:variant>
      <vt:variant>
        <vt:i4>7405681</vt:i4>
      </vt:variant>
      <vt:variant>
        <vt:i4>222</vt:i4>
      </vt:variant>
      <vt:variant>
        <vt:i4>0</vt:i4>
      </vt:variant>
      <vt:variant>
        <vt:i4>5</vt:i4>
      </vt:variant>
      <vt:variant>
        <vt:lpwstr>https://www.cbd.int/decisions/mop/?m=cp-mop-11</vt:lpwstr>
      </vt:variant>
      <vt:variant>
        <vt:lpwstr/>
      </vt:variant>
      <vt:variant>
        <vt:i4>7405681</vt:i4>
      </vt:variant>
      <vt:variant>
        <vt:i4>219</vt:i4>
      </vt:variant>
      <vt:variant>
        <vt:i4>0</vt:i4>
      </vt:variant>
      <vt:variant>
        <vt:i4>5</vt:i4>
      </vt:variant>
      <vt:variant>
        <vt:lpwstr>https://www.cbd.int/decisions/mop/?m=cp-mop-11</vt:lpwstr>
      </vt:variant>
      <vt:variant>
        <vt:lpwstr/>
      </vt:variant>
      <vt:variant>
        <vt:i4>7405681</vt:i4>
      </vt:variant>
      <vt:variant>
        <vt:i4>216</vt:i4>
      </vt:variant>
      <vt:variant>
        <vt:i4>0</vt:i4>
      </vt:variant>
      <vt:variant>
        <vt:i4>5</vt:i4>
      </vt:variant>
      <vt:variant>
        <vt:lpwstr>https://www.cbd.int/decisions/mop/?m=cp-mop-11</vt:lpwstr>
      </vt:variant>
      <vt:variant>
        <vt:lpwstr/>
      </vt:variant>
      <vt:variant>
        <vt:i4>7405681</vt:i4>
      </vt:variant>
      <vt:variant>
        <vt:i4>213</vt:i4>
      </vt:variant>
      <vt:variant>
        <vt:i4>0</vt:i4>
      </vt:variant>
      <vt:variant>
        <vt:i4>5</vt:i4>
      </vt:variant>
      <vt:variant>
        <vt:lpwstr>https://www.cbd.int/decisions/mop/?m=cp-mop-11</vt:lpwstr>
      </vt:variant>
      <vt:variant>
        <vt:lpwstr/>
      </vt:variant>
      <vt:variant>
        <vt:i4>7405681</vt:i4>
      </vt:variant>
      <vt:variant>
        <vt:i4>210</vt:i4>
      </vt:variant>
      <vt:variant>
        <vt:i4>0</vt:i4>
      </vt:variant>
      <vt:variant>
        <vt:i4>5</vt:i4>
      </vt:variant>
      <vt:variant>
        <vt:lpwstr>https://www.cbd.int/decisions/mop/?m=cp-mop-11</vt:lpwstr>
      </vt:variant>
      <vt:variant>
        <vt:lpwstr/>
      </vt:variant>
      <vt:variant>
        <vt:i4>7405681</vt:i4>
      </vt:variant>
      <vt:variant>
        <vt:i4>207</vt:i4>
      </vt:variant>
      <vt:variant>
        <vt:i4>0</vt:i4>
      </vt:variant>
      <vt:variant>
        <vt:i4>5</vt:i4>
      </vt:variant>
      <vt:variant>
        <vt:lpwstr>https://www.cbd.int/decisions/mop/?m=cp-mop-11</vt:lpwstr>
      </vt:variant>
      <vt:variant>
        <vt:lpwstr/>
      </vt:variant>
      <vt:variant>
        <vt:i4>7405681</vt:i4>
      </vt:variant>
      <vt:variant>
        <vt:i4>204</vt:i4>
      </vt:variant>
      <vt:variant>
        <vt:i4>0</vt:i4>
      </vt:variant>
      <vt:variant>
        <vt:i4>5</vt:i4>
      </vt:variant>
      <vt:variant>
        <vt:lpwstr>https://www.cbd.int/decisions/mop/?m=cp-mop-11</vt:lpwstr>
      </vt:variant>
      <vt:variant>
        <vt:lpwstr/>
      </vt:variant>
      <vt:variant>
        <vt:i4>7209083</vt:i4>
      </vt:variant>
      <vt:variant>
        <vt:i4>201</vt:i4>
      </vt:variant>
      <vt:variant>
        <vt:i4>0</vt:i4>
      </vt:variant>
      <vt:variant>
        <vt:i4>5</vt:i4>
      </vt:variant>
      <vt:variant>
        <vt:lpwstr>https://www.cbd.int/documents/CBD/CP/MOP/11/L13</vt:lpwstr>
      </vt:variant>
      <vt:variant>
        <vt:lpwstr/>
      </vt:variant>
      <vt:variant>
        <vt:i4>1376333</vt:i4>
      </vt:variant>
      <vt:variant>
        <vt:i4>198</vt:i4>
      </vt:variant>
      <vt:variant>
        <vt:i4>0</vt:i4>
      </vt:variant>
      <vt:variant>
        <vt:i4>5</vt:i4>
      </vt:variant>
      <vt:variant>
        <vt:lpwstr>https://www.cbd.int/documents/CBD/CP/MOP/11/L12/REV1</vt:lpwstr>
      </vt:variant>
      <vt:variant>
        <vt:lpwstr/>
      </vt:variant>
      <vt:variant>
        <vt:i4>7405681</vt:i4>
      </vt:variant>
      <vt:variant>
        <vt:i4>195</vt:i4>
      </vt:variant>
      <vt:variant>
        <vt:i4>0</vt:i4>
      </vt:variant>
      <vt:variant>
        <vt:i4>5</vt:i4>
      </vt:variant>
      <vt:variant>
        <vt:lpwstr>https://www.cbd.int/decisions/mop/?m=cp-mop-11</vt:lpwstr>
      </vt:variant>
      <vt:variant>
        <vt:lpwstr/>
      </vt:variant>
      <vt:variant>
        <vt:i4>327705</vt:i4>
      </vt:variant>
      <vt:variant>
        <vt:i4>192</vt:i4>
      </vt:variant>
      <vt:variant>
        <vt:i4>0</vt:i4>
      </vt:variant>
      <vt:variant>
        <vt:i4>5</vt:i4>
      </vt:variant>
      <vt:variant>
        <vt:lpwstr>https://www.cbd.int/doc/notifications/2024/ntf-2024-092-abs-bs-en.pdf</vt:lpwstr>
      </vt:variant>
      <vt:variant>
        <vt:lpwstr/>
      </vt:variant>
      <vt:variant>
        <vt:i4>1966104</vt:i4>
      </vt:variant>
      <vt:variant>
        <vt:i4>189</vt:i4>
      </vt:variant>
      <vt:variant>
        <vt:i4>0</vt:i4>
      </vt:variant>
      <vt:variant>
        <vt:i4>5</vt:i4>
      </vt:variant>
      <vt:variant>
        <vt:lpwstr>https://www.cbd.int/documents/CBD/CP/MOP/11/INF/7</vt:lpwstr>
      </vt:variant>
      <vt:variant>
        <vt:lpwstr/>
      </vt:variant>
      <vt:variant>
        <vt:i4>7209057</vt:i4>
      </vt:variant>
      <vt:variant>
        <vt:i4>186</vt:i4>
      </vt:variant>
      <vt:variant>
        <vt:i4>0</vt:i4>
      </vt:variant>
      <vt:variant>
        <vt:i4>5</vt:i4>
      </vt:variant>
      <vt:variant>
        <vt:lpwstr>https://www.cbd.int/decisions/cop/?m=cop-16</vt:lpwstr>
      </vt:variant>
      <vt:variant>
        <vt:lpwstr/>
      </vt:variant>
      <vt:variant>
        <vt:i4>7340081</vt:i4>
      </vt:variant>
      <vt:variant>
        <vt:i4>183</vt:i4>
      </vt:variant>
      <vt:variant>
        <vt:i4>0</vt:i4>
      </vt:variant>
      <vt:variant>
        <vt:i4>5</vt:i4>
      </vt:variant>
      <vt:variant>
        <vt:lpwstr>https://www.cbd.int/doc/decisions/cp-mop-11/cp-mop-11-dec-04-en.pdf</vt:lpwstr>
      </vt:variant>
      <vt:variant>
        <vt:lpwstr/>
      </vt:variant>
      <vt:variant>
        <vt:i4>7798832</vt:i4>
      </vt:variant>
      <vt:variant>
        <vt:i4>180</vt:i4>
      </vt:variant>
      <vt:variant>
        <vt:i4>0</vt:i4>
      </vt:variant>
      <vt:variant>
        <vt:i4>5</vt:i4>
      </vt:variant>
      <vt:variant>
        <vt:lpwstr>https://www.cbd.int/doc/decisions/cp-mop-10/cp-mop-10-dec-13-en.pdf</vt:lpwstr>
      </vt:variant>
      <vt:variant>
        <vt:lpwstr/>
      </vt:variant>
      <vt:variant>
        <vt:i4>7798832</vt:i4>
      </vt:variant>
      <vt:variant>
        <vt:i4>177</vt:i4>
      </vt:variant>
      <vt:variant>
        <vt:i4>0</vt:i4>
      </vt:variant>
      <vt:variant>
        <vt:i4>5</vt:i4>
      </vt:variant>
      <vt:variant>
        <vt:lpwstr>https://www.cbd.int/doc/decisions/cp-mop-10/cp-mop-10-dec-13-en.pdf</vt:lpwstr>
      </vt:variant>
      <vt:variant>
        <vt:lpwstr/>
      </vt:variant>
      <vt:variant>
        <vt:i4>7733296</vt:i4>
      </vt:variant>
      <vt:variant>
        <vt:i4>174</vt:i4>
      </vt:variant>
      <vt:variant>
        <vt:i4>0</vt:i4>
      </vt:variant>
      <vt:variant>
        <vt:i4>5</vt:i4>
      </vt:variant>
      <vt:variant>
        <vt:lpwstr>https://www.cbd.int/doc/decisions/cp-mop-10/cp-mop-10-dec-12-en.pdf</vt:lpwstr>
      </vt:variant>
      <vt:variant>
        <vt:lpwstr/>
      </vt:variant>
      <vt:variant>
        <vt:i4>7340080</vt:i4>
      </vt:variant>
      <vt:variant>
        <vt:i4>171</vt:i4>
      </vt:variant>
      <vt:variant>
        <vt:i4>0</vt:i4>
      </vt:variant>
      <vt:variant>
        <vt:i4>5</vt:i4>
      </vt:variant>
      <vt:variant>
        <vt:lpwstr>https://www.cbd.int/doc/decisions/cp-mop-09/cp-mop-09-dec-14-en.pdf</vt:lpwstr>
      </vt:variant>
      <vt:variant>
        <vt:lpwstr/>
      </vt:variant>
      <vt:variant>
        <vt:i4>7340081</vt:i4>
      </vt:variant>
      <vt:variant>
        <vt:i4>168</vt:i4>
      </vt:variant>
      <vt:variant>
        <vt:i4>0</vt:i4>
      </vt:variant>
      <vt:variant>
        <vt:i4>5</vt:i4>
      </vt:variant>
      <vt:variant>
        <vt:lpwstr>https://www.cbd.int/doc/decisions/cp-mop-10/cp-mop-10-dec-04-en.pdf</vt:lpwstr>
      </vt:variant>
      <vt:variant>
        <vt:lpwstr/>
      </vt:variant>
      <vt:variant>
        <vt:i4>7798833</vt:i4>
      </vt:variant>
      <vt:variant>
        <vt:i4>165</vt:i4>
      </vt:variant>
      <vt:variant>
        <vt:i4>0</vt:i4>
      </vt:variant>
      <vt:variant>
        <vt:i4>5</vt:i4>
      </vt:variant>
      <vt:variant>
        <vt:lpwstr>https://www.cbd.int/doc/decisions/cp-mop-10/cp-mop-10-dec-03-en.pdf</vt:lpwstr>
      </vt:variant>
      <vt:variant>
        <vt:lpwstr/>
      </vt:variant>
      <vt:variant>
        <vt:i4>7667760</vt:i4>
      </vt:variant>
      <vt:variant>
        <vt:i4>162</vt:i4>
      </vt:variant>
      <vt:variant>
        <vt:i4>0</vt:i4>
      </vt:variant>
      <vt:variant>
        <vt:i4>5</vt:i4>
      </vt:variant>
      <vt:variant>
        <vt:lpwstr>https://www.cbd.int/doc/decisions/cp-mop-10/cp-mop-10-dec-11-en.pdf</vt:lpwstr>
      </vt:variant>
      <vt:variant>
        <vt:lpwstr/>
      </vt:variant>
      <vt:variant>
        <vt:i4>7536689</vt:i4>
      </vt:variant>
      <vt:variant>
        <vt:i4>159</vt:i4>
      </vt:variant>
      <vt:variant>
        <vt:i4>0</vt:i4>
      </vt:variant>
      <vt:variant>
        <vt:i4>5</vt:i4>
      </vt:variant>
      <vt:variant>
        <vt:lpwstr>https://www.cbd.int/doc/decisions/cp-mop-10/cp-mop-10-dec-07-en.pdf</vt:lpwstr>
      </vt:variant>
      <vt:variant>
        <vt:lpwstr/>
      </vt:variant>
      <vt:variant>
        <vt:i4>7798832</vt:i4>
      </vt:variant>
      <vt:variant>
        <vt:i4>156</vt:i4>
      </vt:variant>
      <vt:variant>
        <vt:i4>0</vt:i4>
      </vt:variant>
      <vt:variant>
        <vt:i4>5</vt:i4>
      </vt:variant>
      <vt:variant>
        <vt:lpwstr>https://www.cbd.int/doc/decisions/cp-mop-09/cp-mop-09-dec-13-en.pdf</vt:lpwstr>
      </vt:variant>
      <vt:variant>
        <vt:lpwstr/>
      </vt:variant>
      <vt:variant>
        <vt:i4>786505</vt:i4>
      </vt:variant>
      <vt:variant>
        <vt:i4>153</vt:i4>
      </vt:variant>
      <vt:variant>
        <vt:i4>0</vt:i4>
      </vt:variant>
      <vt:variant>
        <vt:i4>5</vt:i4>
      </vt:variant>
      <vt:variant>
        <vt:lpwstr>https://www.cbd.int/doc/decisions/cop-14/cop-14-dec-33-en.pdf</vt:lpwstr>
      </vt:variant>
      <vt:variant>
        <vt:lpwstr/>
      </vt:variant>
      <vt:variant>
        <vt:i4>7798832</vt:i4>
      </vt:variant>
      <vt:variant>
        <vt:i4>150</vt:i4>
      </vt:variant>
      <vt:variant>
        <vt:i4>0</vt:i4>
      </vt:variant>
      <vt:variant>
        <vt:i4>5</vt:i4>
      </vt:variant>
      <vt:variant>
        <vt:lpwstr>https://www.cbd.int/doc/decisions/cp-mop-09/cp-mop-09-dec-13-en.pdf</vt:lpwstr>
      </vt:variant>
      <vt:variant>
        <vt:lpwstr/>
      </vt:variant>
      <vt:variant>
        <vt:i4>7798832</vt:i4>
      </vt:variant>
      <vt:variant>
        <vt:i4>147</vt:i4>
      </vt:variant>
      <vt:variant>
        <vt:i4>0</vt:i4>
      </vt:variant>
      <vt:variant>
        <vt:i4>5</vt:i4>
      </vt:variant>
      <vt:variant>
        <vt:lpwstr>https://www.cbd.int/doc/decisions/cp-mop-09/cp-mop-09-dec-13-en.pdf</vt:lpwstr>
      </vt:variant>
      <vt:variant>
        <vt:lpwstr/>
      </vt:variant>
      <vt:variant>
        <vt:i4>7798832</vt:i4>
      </vt:variant>
      <vt:variant>
        <vt:i4>144</vt:i4>
      </vt:variant>
      <vt:variant>
        <vt:i4>0</vt:i4>
      </vt:variant>
      <vt:variant>
        <vt:i4>5</vt:i4>
      </vt:variant>
      <vt:variant>
        <vt:lpwstr>https://www.cbd.int/doc/decisions/cp-mop-09/cp-mop-09-dec-13-en.pdf</vt:lpwstr>
      </vt:variant>
      <vt:variant>
        <vt:lpwstr/>
      </vt:variant>
      <vt:variant>
        <vt:i4>393291</vt:i4>
      </vt:variant>
      <vt:variant>
        <vt:i4>141</vt:i4>
      </vt:variant>
      <vt:variant>
        <vt:i4>0</vt:i4>
      </vt:variant>
      <vt:variant>
        <vt:i4>5</vt:i4>
      </vt:variant>
      <vt:variant>
        <vt:lpwstr>https://www.cbd.int/doc/decisions/cop-14/cop-14-dec-19-en.pdf</vt:lpwstr>
      </vt:variant>
      <vt:variant>
        <vt:lpwstr/>
      </vt:variant>
      <vt:variant>
        <vt:i4>7798832</vt:i4>
      </vt:variant>
      <vt:variant>
        <vt:i4>138</vt:i4>
      </vt:variant>
      <vt:variant>
        <vt:i4>0</vt:i4>
      </vt:variant>
      <vt:variant>
        <vt:i4>5</vt:i4>
      </vt:variant>
      <vt:variant>
        <vt:lpwstr>https://www.cbd.int/doc/decisions/cp-mop-09/cp-mop-09-dec-13-en.pdf</vt:lpwstr>
      </vt:variant>
      <vt:variant>
        <vt:lpwstr/>
      </vt:variant>
      <vt:variant>
        <vt:i4>7602224</vt:i4>
      </vt:variant>
      <vt:variant>
        <vt:i4>135</vt:i4>
      </vt:variant>
      <vt:variant>
        <vt:i4>0</vt:i4>
      </vt:variant>
      <vt:variant>
        <vt:i4>5</vt:i4>
      </vt:variant>
      <vt:variant>
        <vt:lpwstr>https://www.cbd.int/doc/decisions/cp-mop-10/cp-mop-10-dec-10-en.pdf</vt:lpwstr>
      </vt:variant>
      <vt:variant>
        <vt:lpwstr/>
      </vt:variant>
      <vt:variant>
        <vt:i4>7602224</vt:i4>
      </vt:variant>
      <vt:variant>
        <vt:i4>132</vt:i4>
      </vt:variant>
      <vt:variant>
        <vt:i4>0</vt:i4>
      </vt:variant>
      <vt:variant>
        <vt:i4>5</vt:i4>
      </vt:variant>
      <vt:variant>
        <vt:lpwstr>https://www.cbd.int/doc/decisions/cp-mop-09/cp-mop-09-dec-10-en.pdf</vt:lpwstr>
      </vt:variant>
      <vt:variant>
        <vt:lpwstr/>
      </vt:variant>
      <vt:variant>
        <vt:i4>7077925</vt:i4>
      </vt:variant>
      <vt:variant>
        <vt:i4>129</vt:i4>
      </vt:variant>
      <vt:variant>
        <vt:i4>0</vt:i4>
      </vt:variant>
      <vt:variant>
        <vt:i4>5</vt:i4>
      </vt:variant>
      <vt:variant>
        <vt:lpwstr>https://www.cbd.int/doc/recommendations/sbi-04/sbi-04-rec-12-en.pdf</vt:lpwstr>
      </vt:variant>
      <vt:variant>
        <vt:lpwstr/>
      </vt:variant>
      <vt:variant>
        <vt:i4>8323125</vt:i4>
      </vt:variant>
      <vt:variant>
        <vt:i4>126</vt:i4>
      </vt:variant>
      <vt:variant>
        <vt:i4>0</vt:i4>
      </vt:variant>
      <vt:variant>
        <vt:i4>5</vt:i4>
      </vt:variant>
      <vt:variant>
        <vt:lpwstr>https://www.cbd.int/documents/CBD/SBI/4/11</vt:lpwstr>
      </vt:variant>
      <vt:variant>
        <vt:lpwstr/>
      </vt:variant>
      <vt:variant>
        <vt:i4>8126513</vt:i4>
      </vt:variant>
      <vt:variant>
        <vt:i4>123</vt:i4>
      </vt:variant>
      <vt:variant>
        <vt:i4>0</vt:i4>
      </vt:variant>
      <vt:variant>
        <vt:i4>5</vt:i4>
      </vt:variant>
      <vt:variant>
        <vt:lpwstr>https://www.cbd.int/doc/decisions/cp-mop-10/cp-mop-10-dec-08-en.pdf</vt:lpwstr>
      </vt:variant>
      <vt:variant>
        <vt:lpwstr/>
      </vt:variant>
      <vt:variant>
        <vt:i4>6881334</vt:i4>
      </vt:variant>
      <vt:variant>
        <vt:i4>120</vt:i4>
      </vt:variant>
      <vt:variant>
        <vt:i4>0</vt:i4>
      </vt:variant>
      <vt:variant>
        <vt:i4>5</vt:i4>
      </vt:variant>
      <vt:variant>
        <vt:lpwstr>https://www.cbd.int/decision/mop/default.shtml?id=8284</vt:lpwstr>
      </vt:variant>
      <vt:variant>
        <vt:lpwstr/>
      </vt:variant>
      <vt:variant>
        <vt:i4>6881334</vt:i4>
      </vt:variant>
      <vt:variant>
        <vt:i4>117</vt:i4>
      </vt:variant>
      <vt:variant>
        <vt:i4>0</vt:i4>
      </vt:variant>
      <vt:variant>
        <vt:i4>5</vt:i4>
      </vt:variant>
      <vt:variant>
        <vt:lpwstr>https://www.cbd.int/decision/mop/default.shtml?id=8284</vt:lpwstr>
      </vt:variant>
      <vt:variant>
        <vt:lpwstr/>
      </vt:variant>
      <vt:variant>
        <vt:i4>7733297</vt:i4>
      </vt:variant>
      <vt:variant>
        <vt:i4>114</vt:i4>
      </vt:variant>
      <vt:variant>
        <vt:i4>0</vt:i4>
      </vt:variant>
      <vt:variant>
        <vt:i4>5</vt:i4>
      </vt:variant>
      <vt:variant>
        <vt:lpwstr>https://www.cbd.int/doc/decisions/cp-mop-09/cp-mop-09-dec-02-en.pdf</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6225943</vt:i4>
      </vt:variant>
      <vt:variant>
        <vt:i4>108</vt:i4>
      </vt:variant>
      <vt:variant>
        <vt:i4>0</vt:i4>
      </vt:variant>
      <vt:variant>
        <vt:i4>5</vt:i4>
      </vt:variant>
      <vt:variant>
        <vt:lpwstr>https://www.cbd.int/documents/CBD/CP/MOP/11/3</vt:lpwstr>
      </vt:variant>
      <vt:variant>
        <vt:lpwstr/>
      </vt:variant>
      <vt:variant>
        <vt:i4>7077940</vt:i4>
      </vt:variant>
      <vt:variant>
        <vt:i4>105</vt:i4>
      </vt:variant>
      <vt:variant>
        <vt:i4>0</vt:i4>
      </vt:variant>
      <vt:variant>
        <vt:i4>5</vt:i4>
      </vt:variant>
      <vt:variant>
        <vt:lpwstr>https://www.cbd.int/decision/mop/default.shtml?id=12314</vt:lpwstr>
      </vt:variant>
      <vt:variant>
        <vt:lpwstr/>
      </vt:variant>
      <vt:variant>
        <vt:i4>7077940</vt:i4>
      </vt:variant>
      <vt:variant>
        <vt:i4>102</vt:i4>
      </vt:variant>
      <vt:variant>
        <vt:i4>0</vt:i4>
      </vt:variant>
      <vt:variant>
        <vt:i4>5</vt:i4>
      </vt:variant>
      <vt:variant>
        <vt:lpwstr>https://www.cbd.int/decision/mop/default.shtml?id=12314</vt:lpwstr>
      </vt:variant>
      <vt:variant>
        <vt:lpwstr/>
      </vt:variant>
      <vt:variant>
        <vt:i4>6553654</vt:i4>
      </vt:variant>
      <vt:variant>
        <vt:i4>99</vt:i4>
      </vt:variant>
      <vt:variant>
        <vt:i4>0</vt:i4>
      </vt:variant>
      <vt:variant>
        <vt:i4>5</vt:i4>
      </vt:variant>
      <vt:variant>
        <vt:lpwstr>https://www.cbd.int/decision/mop/default.shtml?id=8289</vt:lpwstr>
      </vt:variant>
      <vt:variant>
        <vt:lpwstr/>
      </vt:variant>
      <vt:variant>
        <vt:i4>1441848</vt:i4>
      </vt:variant>
      <vt:variant>
        <vt:i4>92</vt:i4>
      </vt:variant>
      <vt:variant>
        <vt:i4>0</vt:i4>
      </vt:variant>
      <vt:variant>
        <vt:i4>5</vt:i4>
      </vt:variant>
      <vt:variant>
        <vt:lpwstr/>
      </vt:variant>
      <vt:variant>
        <vt:lpwstr>_Toc194399425</vt:lpwstr>
      </vt:variant>
      <vt:variant>
        <vt:i4>1441848</vt:i4>
      </vt:variant>
      <vt:variant>
        <vt:i4>86</vt:i4>
      </vt:variant>
      <vt:variant>
        <vt:i4>0</vt:i4>
      </vt:variant>
      <vt:variant>
        <vt:i4>5</vt:i4>
      </vt:variant>
      <vt:variant>
        <vt:lpwstr/>
      </vt:variant>
      <vt:variant>
        <vt:lpwstr>_Toc194399424</vt:lpwstr>
      </vt:variant>
      <vt:variant>
        <vt:i4>1441848</vt:i4>
      </vt:variant>
      <vt:variant>
        <vt:i4>80</vt:i4>
      </vt:variant>
      <vt:variant>
        <vt:i4>0</vt:i4>
      </vt:variant>
      <vt:variant>
        <vt:i4>5</vt:i4>
      </vt:variant>
      <vt:variant>
        <vt:lpwstr/>
      </vt:variant>
      <vt:variant>
        <vt:lpwstr>_Toc194399423</vt:lpwstr>
      </vt:variant>
      <vt:variant>
        <vt:i4>1441848</vt:i4>
      </vt:variant>
      <vt:variant>
        <vt:i4>74</vt:i4>
      </vt:variant>
      <vt:variant>
        <vt:i4>0</vt:i4>
      </vt:variant>
      <vt:variant>
        <vt:i4>5</vt:i4>
      </vt:variant>
      <vt:variant>
        <vt:lpwstr/>
      </vt:variant>
      <vt:variant>
        <vt:lpwstr>_Toc194399422</vt:lpwstr>
      </vt:variant>
      <vt:variant>
        <vt:i4>1441848</vt:i4>
      </vt:variant>
      <vt:variant>
        <vt:i4>68</vt:i4>
      </vt:variant>
      <vt:variant>
        <vt:i4>0</vt:i4>
      </vt:variant>
      <vt:variant>
        <vt:i4>5</vt:i4>
      </vt:variant>
      <vt:variant>
        <vt:lpwstr/>
      </vt:variant>
      <vt:variant>
        <vt:lpwstr>_Toc194399421</vt:lpwstr>
      </vt:variant>
      <vt:variant>
        <vt:i4>1441848</vt:i4>
      </vt:variant>
      <vt:variant>
        <vt:i4>62</vt:i4>
      </vt:variant>
      <vt:variant>
        <vt:i4>0</vt:i4>
      </vt:variant>
      <vt:variant>
        <vt:i4>5</vt:i4>
      </vt:variant>
      <vt:variant>
        <vt:lpwstr/>
      </vt:variant>
      <vt:variant>
        <vt:lpwstr>_Toc194399420</vt:lpwstr>
      </vt:variant>
      <vt:variant>
        <vt:i4>1376312</vt:i4>
      </vt:variant>
      <vt:variant>
        <vt:i4>56</vt:i4>
      </vt:variant>
      <vt:variant>
        <vt:i4>0</vt:i4>
      </vt:variant>
      <vt:variant>
        <vt:i4>5</vt:i4>
      </vt:variant>
      <vt:variant>
        <vt:lpwstr/>
      </vt:variant>
      <vt:variant>
        <vt:lpwstr>_Toc194399419</vt:lpwstr>
      </vt:variant>
      <vt:variant>
        <vt:i4>1376312</vt:i4>
      </vt:variant>
      <vt:variant>
        <vt:i4>50</vt:i4>
      </vt:variant>
      <vt:variant>
        <vt:i4>0</vt:i4>
      </vt:variant>
      <vt:variant>
        <vt:i4>5</vt:i4>
      </vt:variant>
      <vt:variant>
        <vt:lpwstr/>
      </vt:variant>
      <vt:variant>
        <vt:lpwstr>_Toc194399418</vt:lpwstr>
      </vt:variant>
      <vt:variant>
        <vt:i4>1376312</vt:i4>
      </vt:variant>
      <vt:variant>
        <vt:i4>44</vt:i4>
      </vt:variant>
      <vt:variant>
        <vt:i4>0</vt:i4>
      </vt:variant>
      <vt:variant>
        <vt:i4>5</vt:i4>
      </vt:variant>
      <vt:variant>
        <vt:lpwstr/>
      </vt:variant>
      <vt:variant>
        <vt:lpwstr>_Toc194399417</vt:lpwstr>
      </vt:variant>
      <vt:variant>
        <vt:i4>1376312</vt:i4>
      </vt:variant>
      <vt:variant>
        <vt:i4>38</vt:i4>
      </vt:variant>
      <vt:variant>
        <vt:i4>0</vt:i4>
      </vt:variant>
      <vt:variant>
        <vt:i4>5</vt:i4>
      </vt:variant>
      <vt:variant>
        <vt:lpwstr/>
      </vt:variant>
      <vt:variant>
        <vt:lpwstr>_Toc194399416</vt:lpwstr>
      </vt:variant>
      <vt:variant>
        <vt:i4>1376312</vt:i4>
      </vt:variant>
      <vt:variant>
        <vt:i4>32</vt:i4>
      </vt:variant>
      <vt:variant>
        <vt:i4>0</vt:i4>
      </vt:variant>
      <vt:variant>
        <vt:i4>5</vt:i4>
      </vt:variant>
      <vt:variant>
        <vt:lpwstr/>
      </vt:variant>
      <vt:variant>
        <vt:lpwstr>_Toc194399415</vt:lpwstr>
      </vt:variant>
      <vt:variant>
        <vt:i4>1376312</vt:i4>
      </vt:variant>
      <vt:variant>
        <vt:i4>26</vt:i4>
      </vt:variant>
      <vt:variant>
        <vt:i4>0</vt:i4>
      </vt:variant>
      <vt:variant>
        <vt:i4>5</vt:i4>
      </vt:variant>
      <vt:variant>
        <vt:lpwstr/>
      </vt:variant>
      <vt:variant>
        <vt:lpwstr>_Toc194399414</vt:lpwstr>
      </vt:variant>
      <vt:variant>
        <vt:i4>1376312</vt:i4>
      </vt:variant>
      <vt:variant>
        <vt:i4>20</vt:i4>
      </vt:variant>
      <vt:variant>
        <vt:i4>0</vt:i4>
      </vt:variant>
      <vt:variant>
        <vt:i4>5</vt:i4>
      </vt:variant>
      <vt:variant>
        <vt:lpwstr/>
      </vt:variant>
      <vt:variant>
        <vt:lpwstr>_Toc194399413</vt:lpwstr>
      </vt:variant>
      <vt:variant>
        <vt:i4>1376312</vt:i4>
      </vt:variant>
      <vt:variant>
        <vt:i4>14</vt:i4>
      </vt:variant>
      <vt:variant>
        <vt:i4>0</vt:i4>
      </vt:variant>
      <vt:variant>
        <vt:i4>5</vt:i4>
      </vt:variant>
      <vt:variant>
        <vt:lpwstr/>
      </vt:variant>
      <vt:variant>
        <vt:lpwstr>_Toc194399412</vt:lpwstr>
      </vt:variant>
      <vt:variant>
        <vt:i4>1376312</vt:i4>
      </vt:variant>
      <vt:variant>
        <vt:i4>8</vt:i4>
      </vt:variant>
      <vt:variant>
        <vt:i4>0</vt:i4>
      </vt:variant>
      <vt:variant>
        <vt:i4>5</vt:i4>
      </vt:variant>
      <vt:variant>
        <vt:lpwstr/>
      </vt:variant>
      <vt:variant>
        <vt:lpwstr>_Toc194399411</vt:lpwstr>
      </vt:variant>
      <vt:variant>
        <vt:i4>1376312</vt:i4>
      </vt:variant>
      <vt:variant>
        <vt:i4>2</vt:i4>
      </vt:variant>
      <vt:variant>
        <vt:i4>0</vt:i4>
      </vt:variant>
      <vt:variant>
        <vt:i4>5</vt:i4>
      </vt:variant>
      <vt:variant>
        <vt:lpwstr/>
      </vt:variant>
      <vt:variant>
        <vt:lpwstr>_Toc194399410</vt:lpwstr>
      </vt:variant>
      <vt:variant>
        <vt:i4>1966104</vt:i4>
      </vt:variant>
      <vt:variant>
        <vt:i4>72</vt:i4>
      </vt:variant>
      <vt:variant>
        <vt:i4>0</vt:i4>
      </vt:variant>
      <vt:variant>
        <vt:i4>5</vt:i4>
      </vt:variant>
      <vt:variant>
        <vt:lpwstr>https://www.cbd.int/documents/CBD/CP/MOP/11/INF/2</vt:lpwstr>
      </vt:variant>
      <vt:variant>
        <vt:lpwstr/>
      </vt:variant>
      <vt:variant>
        <vt:i4>6619178</vt:i4>
      </vt:variant>
      <vt:variant>
        <vt:i4>69</vt:i4>
      </vt:variant>
      <vt:variant>
        <vt:i4>0</vt:i4>
      </vt:variant>
      <vt:variant>
        <vt:i4>5</vt:i4>
      </vt:variant>
      <vt:variant>
        <vt:lpwstr>https://www.cbd.int/documents/CBD/CP/MOP/11/INF/6/REV1</vt:lpwstr>
      </vt:variant>
      <vt:variant>
        <vt:lpwstr/>
      </vt:variant>
      <vt:variant>
        <vt:i4>6619178</vt:i4>
      </vt:variant>
      <vt:variant>
        <vt:i4>66</vt:i4>
      </vt:variant>
      <vt:variant>
        <vt:i4>0</vt:i4>
      </vt:variant>
      <vt:variant>
        <vt:i4>5</vt:i4>
      </vt:variant>
      <vt:variant>
        <vt:lpwstr>https://www.cbd.int/documents/CBD/CP/MOP/11/INF/6/REV1</vt:lpwstr>
      </vt:variant>
      <vt:variant>
        <vt:lpwstr/>
      </vt:variant>
      <vt:variant>
        <vt:i4>1966104</vt:i4>
      </vt:variant>
      <vt:variant>
        <vt:i4>63</vt:i4>
      </vt:variant>
      <vt:variant>
        <vt:i4>0</vt:i4>
      </vt:variant>
      <vt:variant>
        <vt:i4>5</vt:i4>
      </vt:variant>
      <vt:variant>
        <vt:lpwstr>https://www.cbd.int/documents/CBD/CP/MOP/11/INF/5</vt:lpwstr>
      </vt:variant>
      <vt:variant>
        <vt:lpwstr/>
      </vt:variant>
      <vt:variant>
        <vt:i4>7209068</vt:i4>
      </vt:variant>
      <vt:variant>
        <vt:i4>60</vt:i4>
      </vt:variant>
      <vt:variant>
        <vt:i4>0</vt:i4>
      </vt:variant>
      <vt:variant>
        <vt:i4>5</vt:i4>
      </vt:variant>
      <vt:variant>
        <vt:lpwstr>https://www.cbd.int/documents/CBD/COP/16/1/ADD5</vt:lpwstr>
      </vt:variant>
      <vt:variant>
        <vt:lpwstr/>
      </vt:variant>
      <vt:variant>
        <vt:i4>7209068</vt:i4>
      </vt:variant>
      <vt:variant>
        <vt:i4>57</vt:i4>
      </vt:variant>
      <vt:variant>
        <vt:i4>0</vt:i4>
      </vt:variant>
      <vt:variant>
        <vt:i4>5</vt:i4>
      </vt:variant>
      <vt:variant>
        <vt:lpwstr>https://www.cbd.int/documents/CBD/COP/16/1/ADD4</vt:lpwstr>
      </vt:variant>
      <vt:variant>
        <vt:lpwstr/>
      </vt:variant>
      <vt:variant>
        <vt:i4>7209083</vt:i4>
      </vt:variant>
      <vt:variant>
        <vt:i4>54</vt:i4>
      </vt:variant>
      <vt:variant>
        <vt:i4>0</vt:i4>
      </vt:variant>
      <vt:variant>
        <vt:i4>5</vt:i4>
      </vt:variant>
      <vt:variant>
        <vt:lpwstr>https://www.cbd.int/documents/CBD/CP/MOP/11/L13</vt:lpwstr>
      </vt:variant>
      <vt:variant>
        <vt:lpwstr/>
      </vt:variant>
      <vt:variant>
        <vt:i4>1376333</vt:i4>
      </vt:variant>
      <vt:variant>
        <vt:i4>51</vt:i4>
      </vt:variant>
      <vt:variant>
        <vt:i4>0</vt:i4>
      </vt:variant>
      <vt:variant>
        <vt:i4>5</vt:i4>
      </vt:variant>
      <vt:variant>
        <vt:lpwstr>https://www.cbd.int/documents/CBD/CP/MOP/11/L12/REV1</vt:lpwstr>
      </vt:variant>
      <vt:variant>
        <vt:lpwstr/>
      </vt:variant>
      <vt:variant>
        <vt:i4>2555939</vt:i4>
      </vt:variant>
      <vt:variant>
        <vt:i4>48</vt:i4>
      </vt:variant>
      <vt:variant>
        <vt:i4>0</vt:i4>
      </vt:variant>
      <vt:variant>
        <vt:i4>5</vt:i4>
      </vt:variant>
      <vt:variant>
        <vt:lpwstr>https://www.cbd.int/documents/CBD/CP/MOP/11/1/ADD3</vt:lpwstr>
      </vt:variant>
      <vt:variant>
        <vt:lpwstr/>
      </vt:variant>
      <vt:variant>
        <vt:i4>393218</vt:i4>
      </vt:variant>
      <vt:variant>
        <vt:i4>45</vt:i4>
      </vt:variant>
      <vt:variant>
        <vt:i4>0</vt:i4>
      </vt:variant>
      <vt:variant>
        <vt:i4>5</vt:i4>
      </vt:variant>
      <vt:variant>
        <vt:lpwstr>https://www.cbd.int/meetings/CP-MOP-11-R1</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7340145</vt:i4>
      </vt:variant>
      <vt:variant>
        <vt:i4>39</vt:i4>
      </vt:variant>
      <vt:variant>
        <vt:i4>0</vt:i4>
      </vt:variant>
      <vt:variant>
        <vt:i4>5</vt:i4>
      </vt:variant>
      <vt:variant>
        <vt:lpwstr>https://www.cbd.int/decisions/mop/?m=cp-mop-10</vt:lpwstr>
      </vt:variant>
      <vt:variant>
        <vt:lpwstr/>
      </vt:variant>
      <vt:variant>
        <vt:i4>7340145</vt:i4>
      </vt:variant>
      <vt:variant>
        <vt:i4>36</vt:i4>
      </vt:variant>
      <vt:variant>
        <vt:i4>0</vt:i4>
      </vt:variant>
      <vt:variant>
        <vt:i4>5</vt:i4>
      </vt:variant>
      <vt:variant>
        <vt:lpwstr>https://www.cbd.int/decisions/mop/?m=cp-mop-10</vt:lpwstr>
      </vt:variant>
      <vt:variant>
        <vt:lpwstr/>
      </vt:variant>
      <vt:variant>
        <vt:i4>524322</vt:i4>
      </vt:variant>
      <vt:variant>
        <vt:i4>33</vt:i4>
      </vt:variant>
      <vt:variant>
        <vt:i4>0</vt:i4>
      </vt:variant>
      <vt:variant>
        <vt:i4>5</vt:i4>
      </vt:variant>
      <vt:variant>
        <vt:lpwstr>https://bch.cbd.int/onlineconferences/portal_art26/Activities2023-2024.shtml</vt:lpwstr>
      </vt:variant>
      <vt:variant>
        <vt:lpwstr/>
      </vt:variant>
      <vt:variant>
        <vt:i4>5767241</vt:i4>
      </vt:variant>
      <vt:variant>
        <vt:i4>30</vt:i4>
      </vt:variant>
      <vt:variant>
        <vt:i4>0</vt:i4>
      </vt:variant>
      <vt:variant>
        <vt:i4>5</vt:i4>
      </vt:variant>
      <vt:variant>
        <vt:lpwstr>http://www.cbd.int/notifications/2023-133</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4784137</vt:i4>
      </vt:variant>
      <vt:variant>
        <vt:i4>21</vt:i4>
      </vt:variant>
      <vt:variant>
        <vt:i4>0</vt:i4>
      </vt:variant>
      <vt:variant>
        <vt:i4>5</vt:i4>
      </vt:variant>
      <vt:variant>
        <vt:lpwstr>https://www.cbd.int/documents/CBD/CP/MOP/9/10</vt:lpwstr>
      </vt:variant>
      <vt:variant>
        <vt:lpwstr/>
      </vt:variant>
      <vt:variant>
        <vt:i4>786505</vt:i4>
      </vt:variant>
      <vt:variant>
        <vt:i4>18</vt:i4>
      </vt:variant>
      <vt:variant>
        <vt:i4>0</vt:i4>
      </vt:variant>
      <vt:variant>
        <vt:i4>5</vt:i4>
      </vt:variant>
      <vt:variant>
        <vt:lpwstr>https://www.cbd.int/doc/decisions/cop-14/cop-14-dec-33-en.pdf</vt:lpwstr>
      </vt:variant>
      <vt:variant>
        <vt:lpwstr/>
      </vt:variant>
      <vt:variant>
        <vt:i4>7995518</vt:i4>
      </vt:variant>
      <vt:variant>
        <vt:i4>15</vt:i4>
      </vt:variant>
      <vt:variant>
        <vt:i4>0</vt:i4>
      </vt:variant>
      <vt:variant>
        <vt:i4>5</vt:i4>
      </vt:variant>
      <vt:variant>
        <vt:lpwstr>https://www.cbd.int/documents/CBD/SBI/4/11/ADD1</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7340145</vt:i4>
      </vt:variant>
      <vt:variant>
        <vt:i4>9</vt:i4>
      </vt:variant>
      <vt:variant>
        <vt:i4>0</vt:i4>
      </vt:variant>
      <vt:variant>
        <vt:i4>5</vt:i4>
      </vt:variant>
      <vt:variant>
        <vt:lpwstr>https://www.cbd.int/decisions/mop/?m=cp-mop-10</vt:lpwstr>
      </vt:variant>
      <vt:variant>
        <vt:lpwstr/>
      </vt:variant>
      <vt:variant>
        <vt:i4>7340145</vt:i4>
      </vt:variant>
      <vt:variant>
        <vt:i4>6</vt:i4>
      </vt:variant>
      <vt:variant>
        <vt:i4>0</vt:i4>
      </vt:variant>
      <vt:variant>
        <vt:i4>5</vt:i4>
      </vt:variant>
      <vt:variant>
        <vt:lpwstr>https://www.cbd.int/decisions/mop/?m=cp-mop-10</vt:lpwstr>
      </vt:variant>
      <vt:variant>
        <vt:lpwstr/>
      </vt:variant>
      <vt:variant>
        <vt:i4>6750310</vt:i4>
      </vt:variant>
      <vt:variant>
        <vt:i4>3</vt:i4>
      </vt:variant>
      <vt:variant>
        <vt:i4>0</vt:i4>
      </vt:variant>
      <vt:variant>
        <vt:i4>5</vt:i4>
      </vt:variant>
      <vt:variant>
        <vt:lpwstr>https://www.cbd.int/documents/CBD/COP/16/INF/25</vt:lpwstr>
      </vt:variant>
      <vt:variant>
        <vt:lpwstr/>
      </vt:variant>
      <vt:variant>
        <vt:i4>6684781</vt:i4>
      </vt:variant>
      <vt:variant>
        <vt:i4>0</vt:i4>
      </vt:variant>
      <vt:variant>
        <vt:i4>0</vt:i4>
      </vt:variant>
      <vt:variant>
        <vt:i4>5</vt:i4>
      </vt:variant>
      <vt:variant>
        <vt:lpwstr>https://www.cbd.int/documents/CBD/COP/16/8/REV1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Conférence des Parties siégeant en tant que réunion des Parties au Protocole de Cartagena sur la prévention des risques biotechnologiques sur sa onzième réunion</dc:title>
  <dc:subject>CBD/CP/MOP/11/12</dc:subject>
  <dc:creator>Secretariat of the Convention on Biological Diversity</dc:creator>
  <cp:keywords>Conference of the Parties serving as the meeting of the Parties to the Cartagena Protocol on Biosafety</cp:keywords>
  <dc:description/>
  <cp:lastModifiedBy>Laurent Gauthier</cp:lastModifiedBy>
  <cp:revision>4</cp:revision>
  <cp:lastPrinted>2024-08-30T22:52:00Z</cp:lastPrinted>
  <dcterms:created xsi:type="dcterms:W3CDTF">2025-06-02T17:13:00Z</dcterms:created>
  <dcterms:modified xsi:type="dcterms:W3CDTF">2025-06-02T18:12:00Z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