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3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94CA2" w:rsidTr="00494A1A">
        <w:tc>
          <w:tcPr>
            <w:tcW w:w="4788" w:type="dxa"/>
          </w:tcPr>
          <w:p w:rsidR="00294CA2" w:rsidRPr="001E7565" w:rsidRDefault="00294CA2" w:rsidP="00494A1A">
            <w:pPr>
              <w:bidi/>
              <w:spacing w:line="216" w:lineRule="auto"/>
              <w:rPr>
                <w:rFonts w:ascii="Simplified Arabic" w:hAnsi="Simplified Arabic" w:cs="Simplified Arabic"/>
                <w:b/>
                <w:bCs/>
                <w:sz w:val="44"/>
                <w:szCs w:val="44"/>
                <w:rtl/>
                <w:lang w:bidi="ar-EG"/>
              </w:rPr>
            </w:pPr>
            <w:r w:rsidRPr="001E7565">
              <w:rPr>
                <w:rFonts w:ascii="Simplified Arabic" w:hAnsi="Simplified Arabic" w:cs="Simplified Arabic" w:hint="cs"/>
                <w:b/>
                <w:bCs/>
                <w:sz w:val="44"/>
                <w:szCs w:val="44"/>
                <w:rtl/>
                <w:lang w:bidi="ar-EG"/>
              </w:rPr>
              <w:t xml:space="preserve">الاتفاقية المتعلقة </w:t>
            </w:r>
          </w:p>
          <w:p w:rsidR="00294CA2" w:rsidRPr="00294CA2" w:rsidRDefault="00294CA2" w:rsidP="00494A1A">
            <w:pPr>
              <w:bidi/>
              <w:spacing w:line="216" w:lineRule="auto"/>
              <w:rPr>
                <w:rFonts w:ascii="Simplified Arabic" w:hAnsi="Simplified Arabic" w:cs="Simplified Arabic"/>
                <w:b/>
                <w:bCs/>
                <w:sz w:val="40"/>
                <w:szCs w:val="40"/>
                <w:rtl/>
                <w:lang w:bidi="ar-EG"/>
              </w:rPr>
            </w:pPr>
            <w:r w:rsidRPr="001E7565">
              <w:rPr>
                <w:rFonts w:ascii="Simplified Arabic" w:hAnsi="Simplified Arabic" w:cs="Simplified Arabic" w:hint="cs"/>
                <w:b/>
                <w:bCs/>
                <w:sz w:val="44"/>
                <w:szCs w:val="44"/>
                <w:rtl/>
                <w:lang w:bidi="ar-EG"/>
              </w:rPr>
              <w:t>بالتنوع البيولوجي</w:t>
            </w:r>
          </w:p>
        </w:tc>
        <w:tc>
          <w:tcPr>
            <w:tcW w:w="4788" w:type="dxa"/>
          </w:tcPr>
          <w:p w:rsidR="00294CA2" w:rsidRDefault="00294CA2" w:rsidP="00494A1A">
            <w:pPr>
              <w:spacing w:line="216" w:lineRule="auto"/>
              <w:rPr>
                <w:rFonts w:ascii="Times New Roman" w:hAnsi="Times New Roman" w:cs="Times New Roman"/>
                <w:lang w:bidi="ar-EG"/>
              </w:rPr>
            </w:pPr>
            <w:r>
              <w:rPr>
                <w:rFonts w:ascii="Times New Roman" w:hAnsi="Times New Roman" w:cs="Times New Roman"/>
                <w:lang w:bidi="ar-EG"/>
              </w:rPr>
              <w:t>CBD/WG2020/3/CRP.1</w:t>
            </w:r>
          </w:p>
          <w:p w:rsidR="00294CA2" w:rsidRDefault="00294CA2" w:rsidP="00494A1A">
            <w:pPr>
              <w:spacing w:line="216" w:lineRule="auto"/>
              <w:rPr>
                <w:rFonts w:ascii="Times New Roman" w:hAnsi="Times New Roman" w:cs="Times New Roman"/>
                <w:lang w:bidi="ar-EG"/>
              </w:rPr>
            </w:pPr>
            <w:r>
              <w:rPr>
                <w:rFonts w:ascii="Times New Roman" w:hAnsi="Times New Roman" w:cs="Times New Roman"/>
                <w:lang w:bidi="ar-EG"/>
              </w:rPr>
              <w:t>31 August 2021</w:t>
            </w:r>
          </w:p>
          <w:p w:rsidR="00294CA2" w:rsidRDefault="00294CA2" w:rsidP="00494A1A">
            <w:pPr>
              <w:spacing w:line="216" w:lineRule="auto"/>
              <w:rPr>
                <w:rFonts w:ascii="Times New Roman" w:hAnsi="Times New Roman" w:cs="Times New Roman"/>
                <w:lang w:bidi="ar-EG"/>
              </w:rPr>
            </w:pPr>
          </w:p>
          <w:p w:rsidR="00112E66" w:rsidRDefault="00112E66" w:rsidP="00494A1A">
            <w:pPr>
              <w:spacing w:line="216" w:lineRule="auto"/>
              <w:rPr>
                <w:rFonts w:ascii="Times New Roman" w:hAnsi="Times New Roman" w:cs="Times New Roman"/>
                <w:lang w:bidi="ar-EG"/>
              </w:rPr>
            </w:pPr>
          </w:p>
          <w:p w:rsidR="00294CA2" w:rsidRDefault="00294CA2" w:rsidP="00494A1A">
            <w:pPr>
              <w:spacing w:line="216" w:lineRule="auto"/>
              <w:rPr>
                <w:rFonts w:ascii="Times New Roman" w:hAnsi="Times New Roman" w:cs="Times New Roman"/>
                <w:lang w:bidi="ar-EG"/>
              </w:rPr>
            </w:pPr>
            <w:r>
              <w:rPr>
                <w:rFonts w:ascii="Times New Roman" w:hAnsi="Times New Roman" w:cs="Times New Roman"/>
                <w:lang w:bidi="ar-EG"/>
              </w:rPr>
              <w:t>ARABIC</w:t>
            </w:r>
          </w:p>
          <w:p w:rsidR="00294CA2" w:rsidRPr="00294CA2" w:rsidRDefault="00294CA2" w:rsidP="00494A1A">
            <w:pPr>
              <w:spacing w:line="216" w:lineRule="auto"/>
              <w:rPr>
                <w:rFonts w:ascii="Times New Roman" w:hAnsi="Times New Roman" w:cs="Times New Roman"/>
                <w:lang w:bidi="ar-EG"/>
              </w:rPr>
            </w:pPr>
            <w:r>
              <w:rPr>
                <w:rFonts w:ascii="Times New Roman" w:hAnsi="Times New Roman" w:cs="Times New Roman"/>
                <w:lang w:bidi="ar-EG"/>
              </w:rPr>
              <w:t>Original: ENGLISH</w:t>
            </w:r>
          </w:p>
        </w:tc>
      </w:tr>
    </w:tbl>
    <w:p w:rsidR="0000767A" w:rsidRDefault="00A11AFC" w:rsidP="00294CA2">
      <w:pPr>
        <w:bidi/>
        <w:spacing w:after="0" w:line="216" w:lineRule="auto"/>
        <w:rPr>
          <w:rFonts w:ascii="Simplified Arabic" w:hAnsi="Simplified Arabic" w:cs="Simplified Arabic"/>
          <w:sz w:val="24"/>
          <w:szCs w:val="24"/>
          <w:rtl/>
          <w:lang w:bidi="ar-EG"/>
        </w:rPr>
      </w:pPr>
    </w:p>
    <w:p w:rsidR="00294CA2" w:rsidRPr="00294CA2" w:rsidRDefault="00294CA2" w:rsidP="00294CA2">
      <w:pPr>
        <w:bidi/>
        <w:spacing w:after="0" w:line="216" w:lineRule="auto"/>
        <w:rPr>
          <w:rFonts w:ascii="Times New Roman" w:hAnsi="Times New Roman" w:cs="Simplified Arabic"/>
          <w:b/>
          <w:bCs/>
          <w:szCs w:val="24"/>
          <w:rtl/>
        </w:rPr>
      </w:pPr>
      <w:r w:rsidRPr="00294CA2">
        <w:rPr>
          <w:rFonts w:ascii="Times New Roman" w:hAnsi="Times New Roman" w:cs="Simplified Arabic" w:hint="cs"/>
          <w:b/>
          <w:bCs/>
          <w:szCs w:val="24"/>
          <w:rtl/>
        </w:rPr>
        <w:t>الفريق العامل المفتوح العضوية المعني</w:t>
      </w:r>
    </w:p>
    <w:p w:rsidR="00294CA2" w:rsidRPr="00294CA2" w:rsidRDefault="00294CA2" w:rsidP="00294CA2">
      <w:pPr>
        <w:bidi/>
        <w:spacing w:after="0" w:line="216" w:lineRule="auto"/>
        <w:ind w:firstLine="180"/>
        <w:rPr>
          <w:rFonts w:ascii="Times New Roman" w:hAnsi="Times New Roman" w:cs="Simplified Arabic"/>
          <w:szCs w:val="24"/>
          <w:rtl/>
        </w:rPr>
      </w:pPr>
      <w:r w:rsidRPr="00294CA2">
        <w:rPr>
          <w:rFonts w:ascii="Times New Roman" w:hAnsi="Times New Roman" w:cs="Simplified Arabic" w:hint="cs"/>
          <w:b/>
          <w:bCs/>
          <w:szCs w:val="24"/>
          <w:rtl/>
        </w:rPr>
        <w:t>بالإطار العالمي للتنوع البيولوجي لما بعد عام 2020</w:t>
      </w:r>
    </w:p>
    <w:p w:rsidR="00294CA2" w:rsidRPr="00294CA2" w:rsidRDefault="00294CA2" w:rsidP="00294CA2">
      <w:pPr>
        <w:bidi/>
        <w:spacing w:after="0" w:line="216" w:lineRule="auto"/>
        <w:rPr>
          <w:rFonts w:ascii="Times New Roman" w:hAnsi="Times New Roman" w:cs="Simplified Arabic"/>
          <w:szCs w:val="24"/>
          <w:rtl/>
        </w:rPr>
      </w:pPr>
      <w:r w:rsidRPr="00294CA2">
        <w:rPr>
          <w:rFonts w:ascii="Times New Roman" w:hAnsi="Times New Roman" w:cs="Simplified Arabic" w:hint="cs"/>
          <w:szCs w:val="24"/>
          <w:rtl/>
        </w:rPr>
        <w:t>الاجتماع الثالث</w:t>
      </w:r>
    </w:p>
    <w:p w:rsidR="00294CA2" w:rsidRPr="00294CA2" w:rsidRDefault="00294CA2" w:rsidP="00294CA2">
      <w:pPr>
        <w:bidi/>
        <w:spacing w:after="0" w:line="216" w:lineRule="auto"/>
        <w:rPr>
          <w:rFonts w:ascii="Times New Roman" w:hAnsi="Times New Roman" w:cs="Simplified Arabic"/>
          <w:szCs w:val="24"/>
          <w:rtl/>
        </w:rPr>
      </w:pPr>
      <w:r w:rsidRPr="00294CA2">
        <w:rPr>
          <w:rFonts w:ascii="Times New Roman" w:hAnsi="Times New Roman" w:cs="Simplified Arabic" w:hint="cs"/>
          <w:szCs w:val="24"/>
          <w:rtl/>
        </w:rPr>
        <w:t xml:space="preserve">عبر الانترنت، 23 أغسطس/آب </w:t>
      </w:r>
      <w:r w:rsidRPr="00294CA2">
        <w:rPr>
          <w:rFonts w:ascii="Times New Roman" w:hAnsi="Times New Roman" w:cs="Simplified Arabic"/>
          <w:szCs w:val="24"/>
          <w:rtl/>
        </w:rPr>
        <w:t>–</w:t>
      </w:r>
      <w:r w:rsidRPr="00294CA2">
        <w:rPr>
          <w:rFonts w:ascii="Times New Roman" w:hAnsi="Times New Roman" w:cs="Simplified Arabic" w:hint="cs"/>
          <w:szCs w:val="24"/>
          <w:rtl/>
        </w:rPr>
        <w:t xml:space="preserve"> 3 سبتمبر/أيلول 2021</w:t>
      </w:r>
    </w:p>
    <w:p w:rsidR="00294CA2" w:rsidRPr="00294CA2" w:rsidRDefault="00294CA2" w:rsidP="00294CA2">
      <w:pPr>
        <w:bidi/>
        <w:spacing w:after="0" w:line="216" w:lineRule="auto"/>
        <w:rPr>
          <w:rFonts w:ascii="Times New Roman" w:hAnsi="Times New Roman" w:cs="Simplified Arabic"/>
          <w:szCs w:val="24"/>
          <w:vertAlign w:val="superscript"/>
          <w:rtl/>
        </w:rPr>
      </w:pPr>
      <w:r w:rsidRPr="00294CA2">
        <w:rPr>
          <w:rFonts w:ascii="Times New Roman" w:hAnsi="Times New Roman" w:cs="Simplified Arabic" w:hint="cs"/>
          <w:szCs w:val="24"/>
          <w:rtl/>
        </w:rPr>
        <w:t>البند 5 من جدول الأعمال المؤقت</w:t>
      </w:r>
      <w:r w:rsidRPr="00294CA2">
        <w:rPr>
          <w:rStyle w:val="FootnoteReference"/>
          <w:rFonts w:ascii="Times New Roman" w:hAnsi="Times New Roman" w:cs="Simplified Arabic"/>
          <w:snapToGrid w:val="0"/>
          <w:kern w:val="22"/>
          <w:szCs w:val="24"/>
        </w:rPr>
        <w:footnoteReference w:customMarkFollows="1" w:id="1"/>
        <w:t>*</w:t>
      </w:r>
    </w:p>
    <w:p w:rsidR="00294CA2" w:rsidRDefault="00294CA2" w:rsidP="00294CA2">
      <w:pPr>
        <w:bidi/>
        <w:spacing w:after="0" w:line="216" w:lineRule="auto"/>
        <w:rPr>
          <w:rFonts w:ascii="Times New Roman" w:hAnsi="Times New Roman" w:cs="Simplified Arabic"/>
          <w:szCs w:val="24"/>
          <w:rtl/>
        </w:rPr>
      </w:pPr>
    </w:p>
    <w:p w:rsidR="00294CA2" w:rsidRPr="00294CA2" w:rsidRDefault="00294CA2" w:rsidP="00294CA2">
      <w:pPr>
        <w:bidi/>
        <w:spacing w:after="120" w:line="216" w:lineRule="auto"/>
        <w:jc w:val="center"/>
        <w:rPr>
          <w:rFonts w:ascii="Times New Roman" w:hAnsi="Times New Roman" w:cs="Simplified Arabic"/>
          <w:b/>
          <w:bCs/>
          <w:sz w:val="28"/>
          <w:szCs w:val="28"/>
          <w:rtl/>
        </w:rPr>
      </w:pPr>
      <w:r w:rsidRPr="00294CA2">
        <w:rPr>
          <w:rFonts w:ascii="Times New Roman" w:hAnsi="Times New Roman" w:cs="Simplified Arabic" w:hint="cs"/>
          <w:b/>
          <w:bCs/>
          <w:sz w:val="28"/>
          <w:szCs w:val="28"/>
          <w:rtl/>
        </w:rPr>
        <w:t>معلومات التسلسل الرقمي بشأن الموارد الجينية</w:t>
      </w:r>
    </w:p>
    <w:p w:rsidR="00294CA2" w:rsidRPr="00294CA2" w:rsidRDefault="00294CA2" w:rsidP="00294CA2">
      <w:pPr>
        <w:bidi/>
        <w:spacing w:after="120" w:line="216" w:lineRule="auto"/>
        <w:jc w:val="center"/>
        <w:rPr>
          <w:rFonts w:ascii="Times New Roman" w:hAnsi="Times New Roman" w:cs="Simplified Arabic"/>
          <w:i/>
          <w:iCs/>
          <w:szCs w:val="24"/>
          <w:rtl/>
        </w:rPr>
      </w:pPr>
      <w:r w:rsidRPr="00294CA2">
        <w:rPr>
          <w:rFonts w:ascii="Times New Roman" w:hAnsi="Times New Roman" w:cs="Simplified Arabic" w:hint="cs"/>
          <w:i/>
          <w:iCs/>
          <w:szCs w:val="24"/>
          <w:rtl/>
        </w:rPr>
        <w:t>الع</w:t>
      </w:r>
      <w:r w:rsidR="00913DB7">
        <w:rPr>
          <w:rFonts w:ascii="Times New Roman" w:hAnsi="Times New Roman" w:cs="Simplified Arabic" w:hint="cs"/>
          <w:i/>
          <w:iCs/>
          <w:szCs w:val="24"/>
          <w:rtl/>
        </w:rPr>
        <w:t>ناصر المحتملة لمشروع توصية موجها</w:t>
      </w:r>
      <w:r w:rsidRPr="00294CA2">
        <w:rPr>
          <w:rFonts w:ascii="Times New Roman" w:hAnsi="Times New Roman" w:cs="Simplified Arabic" w:hint="cs"/>
          <w:i/>
          <w:iCs/>
          <w:szCs w:val="24"/>
          <w:rtl/>
        </w:rPr>
        <w:t xml:space="preserve"> إلى مؤتمر الأطراف</w:t>
      </w:r>
    </w:p>
    <w:p w:rsidR="00294CA2" w:rsidRPr="0052056E" w:rsidRDefault="00913DB7" w:rsidP="00294CA2">
      <w:pPr>
        <w:bidi/>
        <w:spacing w:after="120" w:line="216" w:lineRule="auto"/>
        <w:rPr>
          <w:rFonts w:ascii="Times New Roman" w:hAnsi="Times New Roman" w:cs="Simplified Arabic"/>
          <w:i/>
          <w:iCs/>
          <w:szCs w:val="24"/>
          <w:rtl/>
        </w:rPr>
      </w:pPr>
      <w:r w:rsidRPr="0052056E">
        <w:rPr>
          <w:rFonts w:ascii="Times New Roman" w:hAnsi="Times New Roman" w:cs="Simplified Arabic" w:hint="cs"/>
          <w:i/>
          <w:iCs/>
          <w:szCs w:val="24"/>
          <w:rtl/>
        </w:rPr>
        <w:t xml:space="preserve">**  </w:t>
      </w:r>
      <w:r w:rsidR="00294CA2" w:rsidRPr="0052056E">
        <w:rPr>
          <w:rFonts w:ascii="Times New Roman" w:hAnsi="Times New Roman" w:cs="Simplified Arabic" w:hint="cs"/>
          <w:i/>
          <w:iCs/>
          <w:szCs w:val="24"/>
          <w:rtl/>
        </w:rPr>
        <w:t>يرجى ملاحظة أن النص الوارد أدناه لم يتم التفاوض حوله أو الاتفاق عليه. وهو يمثل، بدلا من ذلك، تجميع</w:t>
      </w:r>
      <w:r w:rsidR="0052056E" w:rsidRPr="0052056E">
        <w:rPr>
          <w:rFonts w:ascii="Times New Roman" w:hAnsi="Times New Roman" w:cs="Simplified Arabic" w:hint="cs"/>
          <w:i/>
          <w:iCs/>
          <w:szCs w:val="24"/>
          <w:rtl/>
        </w:rPr>
        <w:t>ا</w:t>
      </w:r>
      <w:r w:rsidR="00294CA2" w:rsidRPr="0052056E">
        <w:rPr>
          <w:rFonts w:ascii="Times New Roman" w:hAnsi="Times New Roman" w:cs="Simplified Arabic" w:hint="cs"/>
          <w:i/>
          <w:iCs/>
          <w:szCs w:val="24"/>
          <w:rtl/>
        </w:rPr>
        <w:t xml:space="preserve"> للآراء التي صاغتها الأطراف، والشعوب الأصلية والمجتمعات المحلية والمراقبون</w:t>
      </w:r>
    </w:p>
    <w:p w:rsidR="00294CA2" w:rsidRDefault="00294CA2" w:rsidP="0052056E">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szCs w:val="24"/>
          <w:rtl/>
        </w:rPr>
        <w:t>[[يوصي الفريق العامل المفتوح العضوية المعني بالإطار العالمي للتنوع البيولوجي</w:t>
      </w:r>
      <w:r w:rsidR="00112E66">
        <w:rPr>
          <w:rFonts w:ascii="Times New Roman" w:hAnsi="Times New Roman" w:cs="Simplified Arabic" w:hint="cs"/>
          <w:szCs w:val="24"/>
          <w:rtl/>
        </w:rPr>
        <w:t xml:space="preserve"> </w:t>
      </w:r>
      <w:r w:rsidR="0052056E">
        <w:rPr>
          <w:rFonts w:ascii="Times New Roman" w:hAnsi="Times New Roman" w:cs="Simplified Arabic" w:hint="cs"/>
          <w:szCs w:val="24"/>
          <w:rtl/>
        </w:rPr>
        <w:t xml:space="preserve">لما بعد عام 2020 </w:t>
      </w:r>
      <w:r w:rsidR="00112E66">
        <w:rPr>
          <w:rFonts w:ascii="Times New Roman" w:hAnsi="Times New Roman" w:cs="Simplified Arabic" w:hint="cs"/>
          <w:szCs w:val="24"/>
          <w:rtl/>
        </w:rPr>
        <w:t>بأن يعتمد مؤتمر الأطراف في اجتماعه الخامس عشر مقررا على غرار ما يلي:</w:t>
      </w:r>
    </w:p>
    <w:p w:rsidR="00112E66" w:rsidRPr="006571FB" w:rsidRDefault="00112E66" w:rsidP="00112E66">
      <w:pPr>
        <w:bidi/>
        <w:spacing w:after="120" w:line="216" w:lineRule="auto"/>
        <w:ind w:firstLine="720"/>
        <w:rPr>
          <w:rFonts w:ascii="Times New Roman" w:hAnsi="Times New Roman" w:cs="Simplified Arabic"/>
          <w:szCs w:val="24"/>
          <w:rtl/>
        </w:rPr>
      </w:pPr>
      <w:r w:rsidRPr="006571FB">
        <w:rPr>
          <w:rFonts w:ascii="Times New Roman" w:hAnsi="Times New Roman" w:cs="Simplified Arabic" w:hint="cs"/>
          <w:i/>
          <w:iCs/>
          <w:szCs w:val="24"/>
          <w:rtl/>
        </w:rPr>
        <w:t>إن مؤتمر الأطراف</w:t>
      </w:r>
      <w:r w:rsidRPr="006571FB">
        <w:rPr>
          <w:rFonts w:ascii="Times New Roman" w:hAnsi="Times New Roman" w:cs="Simplified Arabic" w:hint="cs"/>
          <w:szCs w:val="24"/>
          <w:rtl/>
        </w:rPr>
        <w:t>،]</w:t>
      </w:r>
    </w:p>
    <w:p w:rsidR="005C73CC" w:rsidRDefault="006571FB" w:rsidP="007F78BF">
      <w:pPr>
        <w:bidi/>
        <w:spacing w:after="120" w:line="216" w:lineRule="auto"/>
        <w:ind w:firstLine="720"/>
        <w:jc w:val="both"/>
        <w:outlineLvl w:val="2"/>
        <w:rPr>
          <w:rFonts w:ascii="Times New Roman" w:hAnsi="Times New Roman" w:cs="Simplified Arabic"/>
          <w:szCs w:val="24"/>
          <w:rtl/>
        </w:rPr>
      </w:pPr>
      <w:r w:rsidRPr="005C73CC">
        <w:rPr>
          <w:rFonts w:ascii="Times New Roman" w:hAnsi="Times New Roman" w:cs="Simplified Arabic" w:hint="cs"/>
          <w:i/>
          <w:iCs/>
          <w:szCs w:val="24"/>
          <w:rtl/>
        </w:rPr>
        <w:t>إذ يشير إلى</w:t>
      </w:r>
      <w:r w:rsidRPr="006571FB">
        <w:rPr>
          <w:rFonts w:ascii="Times New Roman" w:hAnsi="Times New Roman" w:cs="Simplified Arabic"/>
          <w:szCs w:val="24"/>
          <w:rtl/>
        </w:rPr>
        <w:t xml:space="preserve"> </w:t>
      </w:r>
      <w:r>
        <w:rPr>
          <w:rFonts w:ascii="Times New Roman" w:hAnsi="Times New Roman" w:cs="Simplified Arabic" w:hint="cs"/>
          <w:szCs w:val="24"/>
          <w:rtl/>
        </w:rPr>
        <w:t>[</w:t>
      </w:r>
      <w:r w:rsidRPr="006571FB">
        <w:rPr>
          <w:rFonts w:ascii="Times New Roman" w:hAnsi="Times New Roman" w:cs="Simplified Arabic"/>
          <w:szCs w:val="24"/>
          <w:rtl/>
        </w:rPr>
        <w:t>العناصر ذات الصلة</w:t>
      </w:r>
      <w:r>
        <w:rPr>
          <w:rFonts w:ascii="Times New Roman" w:hAnsi="Times New Roman" w:cs="Simplified Arabic" w:hint="cs"/>
          <w:szCs w:val="24"/>
          <w:rtl/>
        </w:rPr>
        <w:t>]</w:t>
      </w:r>
      <w:r w:rsidRPr="006571FB">
        <w:rPr>
          <w:rFonts w:ascii="Times New Roman" w:hAnsi="Times New Roman" w:cs="Simplified Arabic"/>
          <w:szCs w:val="24"/>
          <w:rtl/>
        </w:rPr>
        <w:t xml:space="preserve"> </w:t>
      </w:r>
      <w:r w:rsidRPr="006571FB">
        <w:rPr>
          <w:rFonts w:ascii="Times New Roman" w:hAnsi="Times New Roman" w:cs="Simplified Arabic" w:hint="cs"/>
          <w:szCs w:val="24"/>
          <w:rtl/>
        </w:rPr>
        <w:t xml:space="preserve">في </w:t>
      </w:r>
      <w:r w:rsidRPr="006571FB">
        <w:rPr>
          <w:rFonts w:ascii="Times New Roman" w:hAnsi="Times New Roman" w:cs="Simplified Arabic"/>
          <w:szCs w:val="24"/>
          <w:rtl/>
        </w:rPr>
        <w:t>المقررين 13/</w:t>
      </w:r>
      <w:r w:rsidRPr="006571FB">
        <w:rPr>
          <w:rFonts w:ascii="Times New Roman" w:hAnsi="Times New Roman" w:cs="Simplified Arabic" w:hint="cs"/>
          <w:szCs w:val="24"/>
          <w:rtl/>
        </w:rPr>
        <w:t>16</w:t>
      </w:r>
      <w:r w:rsidRPr="006571FB">
        <w:rPr>
          <w:rFonts w:ascii="Times New Roman" w:hAnsi="Times New Roman" w:cs="Simplified Arabic"/>
          <w:szCs w:val="24"/>
          <w:rtl/>
        </w:rPr>
        <w:t xml:space="preserve"> و14/</w:t>
      </w:r>
      <w:r w:rsidRPr="006571FB">
        <w:rPr>
          <w:rFonts w:ascii="Times New Roman" w:hAnsi="Times New Roman" w:cs="Simplified Arabic" w:hint="cs"/>
          <w:szCs w:val="24"/>
          <w:rtl/>
        </w:rPr>
        <w:t>20</w:t>
      </w:r>
      <w:r>
        <w:rPr>
          <w:rFonts w:ascii="Times New Roman" w:hAnsi="Times New Roman" w:cs="Simplified Arabic" w:hint="cs"/>
          <w:szCs w:val="24"/>
          <w:rtl/>
        </w:rPr>
        <w:t xml:space="preserve">، </w:t>
      </w:r>
      <w:r w:rsidR="007F78BF">
        <w:rPr>
          <w:rFonts w:ascii="Times New Roman" w:hAnsi="Times New Roman" w:cs="Simplified Arabic" w:hint="cs"/>
          <w:szCs w:val="24"/>
          <w:rtl/>
        </w:rPr>
        <w:t>[إذ ي</w:t>
      </w:r>
      <w:r w:rsidR="005C73CC">
        <w:rPr>
          <w:rFonts w:ascii="Times New Roman" w:hAnsi="Times New Roman" w:cs="Simplified Arabic" w:hint="cs"/>
          <w:szCs w:val="24"/>
          <w:rtl/>
        </w:rPr>
        <w:t>سلم</w:t>
      </w:r>
      <w:r>
        <w:rPr>
          <w:rFonts w:ascii="Times New Roman" w:hAnsi="Times New Roman" w:cs="Simplified Arabic" w:hint="cs"/>
          <w:szCs w:val="24"/>
          <w:rtl/>
        </w:rPr>
        <w:t xml:space="preserve"> بأن معلومات التسلسل الرقمي </w:t>
      </w:r>
      <w:r w:rsidR="007F78BF">
        <w:rPr>
          <w:rFonts w:ascii="Times New Roman" w:hAnsi="Times New Roman" w:cs="Simplified Arabic" w:hint="cs"/>
          <w:szCs w:val="24"/>
          <w:rtl/>
        </w:rPr>
        <w:t>بشأ</w:t>
      </w:r>
      <w:r>
        <w:rPr>
          <w:rFonts w:ascii="Times New Roman" w:hAnsi="Times New Roman" w:cs="Simplified Arabic" w:hint="cs"/>
          <w:szCs w:val="24"/>
          <w:rtl/>
        </w:rPr>
        <w:t xml:space="preserve">ن الموارد الجينية </w:t>
      </w:r>
      <w:r w:rsidR="005C73CC">
        <w:rPr>
          <w:rFonts w:ascii="Times New Roman" w:hAnsi="Times New Roman" w:cs="Simplified Arabic" w:hint="cs"/>
          <w:szCs w:val="24"/>
          <w:rtl/>
        </w:rPr>
        <w:t>الناشئة عن استخدام الموارد الجينية وذات الصلة المباشرة والعالية للمواد 16-1 و17 من الاتفاقية]،</w:t>
      </w:r>
    </w:p>
    <w:p w:rsidR="005C73CC" w:rsidRDefault="005C73CC" w:rsidP="0052056E">
      <w:pPr>
        <w:bidi/>
        <w:spacing w:after="120" w:line="216" w:lineRule="auto"/>
        <w:ind w:firstLine="720"/>
        <w:jc w:val="both"/>
        <w:outlineLvl w:val="2"/>
        <w:rPr>
          <w:rFonts w:ascii="Times New Roman" w:hAnsi="Times New Roman" w:cs="Simplified Arabic"/>
          <w:szCs w:val="24"/>
          <w:rtl/>
        </w:rPr>
      </w:pPr>
      <w:r>
        <w:rPr>
          <w:rFonts w:ascii="Times New Roman" w:hAnsi="Times New Roman" w:cs="Simplified Arabic" w:hint="cs"/>
          <w:szCs w:val="24"/>
          <w:rtl/>
        </w:rPr>
        <w:t>[</w:t>
      </w:r>
      <w:r w:rsidRPr="005C73CC">
        <w:rPr>
          <w:rFonts w:ascii="Times New Roman" w:hAnsi="Times New Roman" w:cs="Simplified Arabic" w:hint="cs"/>
          <w:i/>
          <w:iCs/>
          <w:szCs w:val="24"/>
          <w:rtl/>
        </w:rPr>
        <w:t>وإذ يسلم</w:t>
      </w:r>
      <w:r>
        <w:rPr>
          <w:rFonts w:ascii="Times New Roman" w:hAnsi="Times New Roman" w:cs="Simplified Arabic" w:hint="cs"/>
          <w:szCs w:val="24"/>
          <w:rtl/>
        </w:rPr>
        <w:t xml:space="preserve"> بأن معلومات التسلسل الرقمي عن الموارد الجينية لا تقع ضمن نطاق اتفاقية التنوع البيولوجي لأنها ليست ضمن معنى الموارد الجينية في المادة 2 من الاتفاقية وبالتالي تتطلب نهجا إبتكاريا لحلها،</w:t>
      </w:r>
    </w:p>
    <w:p w:rsidR="006571FB" w:rsidRDefault="005C73CC" w:rsidP="0052056E">
      <w:pPr>
        <w:bidi/>
        <w:spacing w:after="120" w:line="216" w:lineRule="auto"/>
        <w:ind w:firstLine="720"/>
        <w:jc w:val="both"/>
        <w:outlineLvl w:val="2"/>
        <w:rPr>
          <w:rFonts w:ascii="Times New Roman" w:hAnsi="Times New Roman" w:cs="Simplified Arabic"/>
          <w:szCs w:val="24"/>
          <w:rtl/>
        </w:rPr>
      </w:pPr>
      <w:r w:rsidRPr="005C73CC">
        <w:rPr>
          <w:rFonts w:ascii="Times New Roman" w:hAnsi="Times New Roman" w:cs="Simplified Arabic" w:hint="cs"/>
          <w:i/>
          <w:iCs/>
          <w:szCs w:val="24"/>
          <w:rtl/>
        </w:rPr>
        <w:t>وإذ يشير إلى</w:t>
      </w:r>
      <w:r>
        <w:rPr>
          <w:rFonts w:ascii="Times New Roman" w:hAnsi="Times New Roman" w:cs="Simplified Arabic" w:hint="cs"/>
          <w:szCs w:val="24"/>
          <w:rtl/>
        </w:rPr>
        <w:t xml:space="preserve"> أن المصطلح "معلومات التسلسل الرقمي بشأن الموارد الجينية" ليس ملائما وبالتالي يتطلب مصطلحا بديلا ملائما،</w:t>
      </w:r>
    </w:p>
    <w:p w:rsidR="005C73CC" w:rsidRDefault="005C73CC" w:rsidP="0052056E">
      <w:pPr>
        <w:bidi/>
        <w:spacing w:after="120" w:line="216" w:lineRule="auto"/>
        <w:ind w:firstLine="720"/>
        <w:jc w:val="both"/>
        <w:outlineLvl w:val="2"/>
        <w:rPr>
          <w:rFonts w:ascii="Times New Roman" w:hAnsi="Times New Roman" w:cs="Simplified Arabic"/>
          <w:szCs w:val="24"/>
          <w:rtl/>
        </w:rPr>
      </w:pPr>
      <w:r w:rsidRPr="007A7889">
        <w:rPr>
          <w:rFonts w:ascii="Times New Roman" w:hAnsi="Times New Roman" w:cs="Simplified Arabic" w:hint="cs"/>
          <w:i/>
          <w:iCs/>
          <w:szCs w:val="24"/>
          <w:rtl/>
        </w:rPr>
        <w:t>وإذ يشير إلى</w:t>
      </w:r>
      <w:r>
        <w:rPr>
          <w:rFonts w:ascii="Times New Roman" w:hAnsi="Times New Roman" w:cs="Simplified Arabic" w:hint="cs"/>
          <w:szCs w:val="24"/>
          <w:rtl/>
        </w:rPr>
        <w:t xml:space="preserve"> المقرر </w:t>
      </w:r>
      <w:hyperlink r:id="rId8" w:history="1">
        <w:r w:rsidRPr="005C73CC">
          <w:rPr>
            <w:rStyle w:val="Hyperlink"/>
            <w:rFonts w:ascii="Times New Roman" w:hAnsi="Times New Roman" w:cs="Simplified Arabic" w:hint="cs"/>
            <w:szCs w:val="24"/>
            <w:rtl/>
          </w:rPr>
          <w:t>14/20</w:t>
        </w:r>
      </w:hyperlink>
      <w:r>
        <w:rPr>
          <w:rFonts w:ascii="Times New Roman" w:hAnsi="Times New Roman" w:cs="Simplified Arabic" w:hint="cs"/>
          <w:szCs w:val="24"/>
          <w:rtl/>
        </w:rPr>
        <w:t>، الفقرة 6، التي ميّز مؤتمر الأطراف فيها بين استخدام الموارد الجينية وبين استخدام معلومات التسلسل الرقمي بشأن الموارد الجينية،]</w:t>
      </w:r>
    </w:p>
    <w:p w:rsidR="005C73CC" w:rsidRDefault="005C73CC" w:rsidP="007F78BF">
      <w:pPr>
        <w:bidi/>
        <w:spacing w:after="120" w:line="216" w:lineRule="auto"/>
        <w:ind w:firstLine="720"/>
        <w:jc w:val="both"/>
        <w:outlineLvl w:val="2"/>
        <w:rPr>
          <w:rFonts w:ascii="Times New Roman" w:hAnsi="Times New Roman" w:cs="Simplified Arabic"/>
          <w:szCs w:val="24"/>
          <w:rtl/>
          <w:lang w:bidi="ar-EG"/>
        </w:rPr>
      </w:pPr>
      <w:r>
        <w:rPr>
          <w:rFonts w:ascii="Times New Roman" w:hAnsi="Times New Roman" w:cs="Simplified Arabic" w:hint="cs"/>
          <w:szCs w:val="24"/>
          <w:rtl/>
        </w:rPr>
        <w:t>[</w:t>
      </w:r>
      <w:r w:rsidRPr="007A7889">
        <w:rPr>
          <w:rFonts w:ascii="Times New Roman" w:hAnsi="Times New Roman" w:cs="Simplified Arabic" w:hint="cs"/>
          <w:i/>
          <w:iCs/>
          <w:szCs w:val="24"/>
          <w:rtl/>
        </w:rPr>
        <w:t>وإذ عقد العزم</w:t>
      </w:r>
      <w:r>
        <w:rPr>
          <w:rFonts w:ascii="Times New Roman" w:hAnsi="Times New Roman" w:cs="Simplified Arabic" w:hint="cs"/>
          <w:szCs w:val="24"/>
          <w:rtl/>
        </w:rPr>
        <w:t xml:space="preserve"> على تعزيز أحكام </w:t>
      </w:r>
      <w:r w:rsidR="007A7889">
        <w:rPr>
          <w:rFonts w:ascii="Times New Roman" w:hAnsi="Times New Roman" w:cs="Simplified Arabic" w:hint="cs"/>
          <w:szCs w:val="24"/>
          <w:rtl/>
        </w:rPr>
        <w:t xml:space="preserve">ونظم </w:t>
      </w:r>
      <w:r w:rsidR="007A7889">
        <w:rPr>
          <w:rFonts w:ascii="Times New Roman" w:hAnsi="Times New Roman" w:cs="Simplified Arabic" w:hint="cs"/>
          <w:szCs w:val="24"/>
          <w:rtl/>
          <w:lang w:bidi="ar-EG"/>
        </w:rPr>
        <w:t xml:space="preserve">الحصول وتقاسم المنافع من أجل المساهمة </w:t>
      </w:r>
      <w:r w:rsidR="007F78BF">
        <w:rPr>
          <w:rFonts w:ascii="Times New Roman" w:hAnsi="Times New Roman" w:cs="Simplified Arabic" w:hint="cs"/>
          <w:szCs w:val="24"/>
          <w:rtl/>
          <w:lang w:bidi="ar-EG"/>
        </w:rPr>
        <w:t xml:space="preserve">في </w:t>
      </w:r>
      <w:r w:rsidR="007A7889">
        <w:rPr>
          <w:rFonts w:ascii="Times New Roman" w:hAnsi="Times New Roman" w:cs="Simplified Arabic" w:hint="cs"/>
          <w:szCs w:val="24"/>
          <w:rtl/>
          <w:lang w:bidi="ar-EG"/>
        </w:rPr>
        <w:t>[إنشاء] استراتيجية طموحة وتحويلية لحش</w:t>
      </w:r>
      <w:r w:rsidR="007F78BF">
        <w:rPr>
          <w:rFonts w:ascii="Times New Roman" w:hAnsi="Times New Roman" w:cs="Simplified Arabic" w:hint="cs"/>
          <w:szCs w:val="24"/>
          <w:rtl/>
          <w:lang w:bidi="ar-EG"/>
        </w:rPr>
        <w:t>د</w:t>
      </w:r>
      <w:r w:rsidR="007A7889">
        <w:rPr>
          <w:rFonts w:ascii="Times New Roman" w:hAnsi="Times New Roman" w:cs="Simplified Arabic" w:hint="cs"/>
          <w:szCs w:val="24"/>
          <w:rtl/>
          <w:lang w:bidi="ar-EG"/>
        </w:rPr>
        <w:t xml:space="preserve"> الموارد </w:t>
      </w:r>
      <w:r w:rsidR="007F78BF">
        <w:rPr>
          <w:rFonts w:ascii="Times New Roman" w:hAnsi="Times New Roman" w:cs="Simplified Arabic" w:hint="cs"/>
          <w:szCs w:val="24"/>
          <w:rtl/>
          <w:lang w:bidi="ar-EG"/>
        </w:rPr>
        <w:t>من أجل ا</w:t>
      </w:r>
      <w:r w:rsidR="007A7889">
        <w:rPr>
          <w:rFonts w:ascii="Times New Roman" w:hAnsi="Times New Roman" w:cs="Simplified Arabic" w:hint="cs"/>
          <w:szCs w:val="24"/>
          <w:rtl/>
          <w:lang w:bidi="ar-EG"/>
        </w:rPr>
        <w:t>لإطار العالمي للتنوع البيولوجي لما بعد عام 2020،]</w:t>
      </w:r>
    </w:p>
    <w:p w:rsidR="007A7889" w:rsidRDefault="007A7889" w:rsidP="0052056E">
      <w:pPr>
        <w:bidi/>
        <w:spacing w:after="120" w:line="216" w:lineRule="auto"/>
        <w:ind w:firstLine="720"/>
        <w:jc w:val="both"/>
        <w:outlineLvl w:val="2"/>
        <w:rPr>
          <w:rFonts w:ascii="Times New Roman" w:hAnsi="Times New Roman" w:cs="Simplified Arabic"/>
          <w:szCs w:val="24"/>
          <w:rtl/>
          <w:lang w:bidi="ar-EG"/>
        </w:rPr>
      </w:pPr>
      <w:r>
        <w:rPr>
          <w:rFonts w:ascii="Times New Roman" w:hAnsi="Times New Roman" w:cs="Simplified Arabic" w:hint="cs"/>
          <w:szCs w:val="24"/>
          <w:rtl/>
          <w:lang w:bidi="ar-EG"/>
        </w:rPr>
        <w:t>[</w:t>
      </w:r>
      <w:r w:rsidRPr="007A7889">
        <w:rPr>
          <w:rFonts w:ascii="Times New Roman" w:hAnsi="Times New Roman" w:cs="Simplified Arabic" w:hint="cs"/>
          <w:i/>
          <w:iCs/>
          <w:szCs w:val="24"/>
          <w:rtl/>
          <w:lang w:bidi="ar-EG"/>
        </w:rPr>
        <w:t>وإذ عقد العزم أيضا</w:t>
      </w:r>
      <w:r>
        <w:rPr>
          <w:rFonts w:ascii="Times New Roman" w:hAnsi="Times New Roman" w:cs="Simplified Arabic" w:hint="cs"/>
          <w:szCs w:val="24"/>
          <w:rtl/>
          <w:lang w:bidi="ar-EG"/>
        </w:rPr>
        <w:t xml:space="preserve"> على إنشاء نظام عملي لضمان التقاسم العادل والمنصف للمنافع الناشئة عن استخدام معلومات التسلسل الرقمي بشأن الموارد الجينية والمعارف التقليدية المرتبطة بها،]</w:t>
      </w:r>
    </w:p>
    <w:p w:rsidR="00494A1A" w:rsidRDefault="007A7889" w:rsidP="007F78BF">
      <w:pPr>
        <w:pStyle w:val="ListParagraph"/>
        <w:numPr>
          <w:ilvl w:val="0"/>
          <w:numId w:val="5"/>
        </w:numPr>
        <w:ind w:left="0" w:firstLine="720"/>
        <w:outlineLvl w:val="2"/>
      </w:pPr>
      <w:r>
        <w:rPr>
          <w:rFonts w:hint="cs"/>
          <w:rtl/>
        </w:rPr>
        <w:t>[</w:t>
      </w:r>
      <w:r w:rsidR="006571FB" w:rsidRPr="007A7889">
        <w:rPr>
          <w:rFonts w:hint="cs"/>
          <w:i/>
          <w:iCs/>
          <w:rtl/>
        </w:rPr>
        <w:t>ي</w:t>
      </w:r>
      <w:r w:rsidR="006571FB" w:rsidRPr="007A7889">
        <w:rPr>
          <w:i/>
          <w:iCs/>
          <w:rtl/>
        </w:rPr>
        <w:t>رحب</w:t>
      </w:r>
      <w:r>
        <w:rPr>
          <w:rFonts w:hint="cs"/>
          <w:rtl/>
        </w:rPr>
        <w:t>]</w:t>
      </w:r>
      <w:r w:rsidR="006571FB" w:rsidRPr="007A7889">
        <w:rPr>
          <w:rtl/>
        </w:rPr>
        <w:t xml:space="preserve"> </w:t>
      </w:r>
      <w:r>
        <w:rPr>
          <w:rFonts w:hint="cs"/>
          <w:rtl/>
        </w:rPr>
        <w:t>[</w:t>
      </w:r>
      <w:r w:rsidRPr="007A7889">
        <w:rPr>
          <w:rFonts w:hint="cs"/>
          <w:i/>
          <w:iCs/>
          <w:rtl/>
        </w:rPr>
        <w:t>يحيط علما</w:t>
      </w:r>
      <w:r>
        <w:rPr>
          <w:rFonts w:hint="cs"/>
          <w:rtl/>
        </w:rPr>
        <w:t xml:space="preserve">] </w:t>
      </w:r>
      <w:r w:rsidR="006571FB" w:rsidRPr="007A7889">
        <w:rPr>
          <w:rtl/>
        </w:rPr>
        <w:t xml:space="preserve">بنتائج </w:t>
      </w:r>
      <w:r w:rsidR="006571FB" w:rsidRPr="007A7889">
        <w:rPr>
          <w:rFonts w:hint="cs"/>
          <w:rtl/>
        </w:rPr>
        <w:t xml:space="preserve">اجتماع </w:t>
      </w:r>
      <w:r w:rsidR="006571FB" w:rsidRPr="007A7889">
        <w:rPr>
          <w:rtl/>
        </w:rPr>
        <w:t xml:space="preserve">فريق الخبراء التقنيين المخصص </w:t>
      </w:r>
      <w:r w:rsidR="006571FB" w:rsidRPr="007A7889">
        <w:rPr>
          <w:rFonts w:hint="cs"/>
          <w:rtl/>
        </w:rPr>
        <w:t>المعني ب</w:t>
      </w:r>
      <w:r w:rsidR="006571FB" w:rsidRPr="007A7889">
        <w:rPr>
          <w:rtl/>
        </w:rPr>
        <w:t xml:space="preserve">معلومات التسلسل الرقمي بشأن الموارد الجينية على النحو الوارد في المرفق الأول </w:t>
      </w:r>
      <w:r>
        <w:rPr>
          <w:rFonts w:hint="cs"/>
          <w:rtl/>
        </w:rPr>
        <w:t>بمذكرة الأمينة التنفيذية،</w:t>
      </w:r>
      <w:r>
        <w:rPr>
          <w:rStyle w:val="FootnoteReference"/>
          <w:rtl/>
        </w:rPr>
        <w:footnoteReference w:id="2"/>
      </w:r>
      <w:r w:rsidR="00494A1A">
        <w:rPr>
          <w:rFonts w:hint="cs"/>
          <w:rtl/>
        </w:rPr>
        <w:t xml:space="preserve"> [مع </w:t>
      </w:r>
      <w:r w:rsidR="007F78BF" w:rsidRPr="007F78BF">
        <w:rPr>
          <w:rFonts w:hint="cs"/>
          <w:i/>
          <w:iCs/>
          <w:rtl/>
        </w:rPr>
        <w:t xml:space="preserve">الإدراك </w:t>
      </w:r>
      <w:r w:rsidR="007F78BF">
        <w:rPr>
          <w:rFonts w:hint="cs"/>
          <w:rtl/>
        </w:rPr>
        <w:t>ب</w:t>
      </w:r>
      <w:r w:rsidR="00494A1A">
        <w:rPr>
          <w:rFonts w:hint="cs"/>
          <w:rtl/>
        </w:rPr>
        <w:t>الحاجة إلى مواصلة العمل بشأن هذه الجوانب التي [يمكن أن] تربط معلومات التسلسل الرقمي بشأن الموارد الجينية بالمعارف التقليدية المرتبطة بها]؛</w:t>
      </w:r>
    </w:p>
    <w:p w:rsidR="00494A1A" w:rsidRDefault="00494A1A" w:rsidP="0052056E">
      <w:pPr>
        <w:pStyle w:val="ListParagraph"/>
        <w:numPr>
          <w:ilvl w:val="0"/>
          <w:numId w:val="5"/>
        </w:numPr>
        <w:ind w:left="0" w:firstLine="720"/>
        <w:contextualSpacing w:val="0"/>
        <w:outlineLvl w:val="2"/>
      </w:pPr>
      <w:r>
        <w:rPr>
          <w:rFonts w:hint="cs"/>
          <w:rtl/>
        </w:rPr>
        <w:lastRenderedPageBreak/>
        <w:t>[</w:t>
      </w:r>
      <w:r w:rsidRPr="00494A1A">
        <w:rPr>
          <w:rFonts w:hint="cs"/>
          <w:i/>
          <w:iCs/>
          <w:rtl/>
        </w:rPr>
        <w:t>يحيط علما</w:t>
      </w:r>
      <w:r>
        <w:rPr>
          <w:rFonts w:hint="cs"/>
          <w:rtl/>
        </w:rPr>
        <w:t xml:space="preserve"> بالمعلومات الموجزة في المرفقين الثاني والثالث بمذكرة الأمينة التنفيذية،</w:t>
      </w:r>
      <w:r>
        <w:rPr>
          <w:rFonts w:hint="cs"/>
          <w:vertAlign w:val="superscript"/>
          <w:rtl/>
        </w:rPr>
        <w:t>1</w:t>
      </w:r>
      <w:r>
        <w:rPr>
          <w:rFonts w:hint="cs"/>
          <w:rtl/>
        </w:rPr>
        <w:t xml:space="preserve"> الناشئة عن الأنشطة غير الرسمية المتعلقة بمعلومات التسلسل الرقمي بشأن الموارد الجينية المنفذة بناء على طلب الرئيسين المشاركين للفريق العامل، بما في ذلك:</w:t>
      </w:r>
    </w:p>
    <w:p w:rsidR="00494A1A" w:rsidRPr="00494A1A" w:rsidRDefault="00494A1A" w:rsidP="0052056E">
      <w:pPr>
        <w:tabs>
          <w:tab w:val="left" w:pos="1440"/>
        </w:tabs>
        <w:bidi/>
        <w:spacing w:after="120" w:line="216" w:lineRule="auto"/>
        <w:ind w:left="720"/>
        <w:jc w:val="both"/>
        <w:outlineLvl w:val="2"/>
        <w:rPr>
          <w:rFonts w:ascii="Times New Roman" w:hAnsi="Times New Roman" w:cs="Simplified Arabic"/>
          <w:szCs w:val="24"/>
          <w:rtl/>
        </w:rPr>
      </w:pPr>
      <w:r>
        <w:rPr>
          <w:rFonts w:ascii="Times New Roman" w:hAnsi="Times New Roman" w:cs="Simplified Arabic" w:hint="cs"/>
          <w:szCs w:val="24"/>
          <w:rtl/>
        </w:rPr>
        <w:t>(أ)</w:t>
      </w:r>
      <w:r>
        <w:rPr>
          <w:rFonts w:ascii="Times New Roman" w:hAnsi="Times New Roman" w:cs="Simplified Arabic" w:hint="cs"/>
          <w:szCs w:val="24"/>
          <w:rtl/>
        </w:rPr>
        <w:tab/>
      </w:r>
      <w:r w:rsidRPr="00494A1A">
        <w:rPr>
          <w:rFonts w:ascii="Times New Roman" w:hAnsi="Times New Roman" w:cs="Simplified Arabic" w:hint="cs"/>
          <w:szCs w:val="24"/>
          <w:rtl/>
        </w:rPr>
        <w:t>وضع قائمة ب</w:t>
      </w:r>
      <w:r w:rsidRPr="00494A1A">
        <w:rPr>
          <w:rFonts w:ascii="Times New Roman" w:hAnsi="Times New Roman" w:cs="Simplified Arabic"/>
          <w:szCs w:val="24"/>
          <w:rtl/>
        </w:rPr>
        <w:t>خيارات السياس</w:t>
      </w:r>
      <w:r w:rsidRPr="00494A1A">
        <w:rPr>
          <w:rFonts w:ascii="Times New Roman" w:hAnsi="Times New Roman" w:cs="Simplified Arabic" w:hint="cs"/>
          <w:szCs w:val="24"/>
          <w:rtl/>
        </w:rPr>
        <w:t>ة</w:t>
      </w:r>
      <w:r w:rsidRPr="00494A1A">
        <w:rPr>
          <w:rFonts w:ascii="Times New Roman" w:hAnsi="Times New Roman" w:cs="Simplified Arabic"/>
          <w:szCs w:val="24"/>
          <w:rtl/>
        </w:rPr>
        <w:t xml:space="preserve"> المحتملة؛</w:t>
      </w:r>
    </w:p>
    <w:p w:rsidR="00494A1A" w:rsidRPr="00494A1A" w:rsidRDefault="00494A1A" w:rsidP="0052056E">
      <w:pPr>
        <w:tabs>
          <w:tab w:val="left" w:pos="1440"/>
        </w:tabs>
        <w:bidi/>
        <w:spacing w:after="120" w:line="216" w:lineRule="auto"/>
        <w:ind w:left="720"/>
        <w:jc w:val="both"/>
        <w:outlineLvl w:val="2"/>
        <w:rPr>
          <w:rFonts w:ascii="Times New Roman" w:hAnsi="Times New Roman" w:cs="Simplified Arabic"/>
          <w:szCs w:val="24"/>
        </w:rPr>
      </w:pPr>
      <w:r>
        <w:rPr>
          <w:rFonts w:ascii="Times New Roman" w:hAnsi="Times New Roman" w:cs="Simplified Arabic" w:hint="cs"/>
          <w:szCs w:val="24"/>
          <w:rtl/>
        </w:rPr>
        <w:t>(ب)</w:t>
      </w:r>
      <w:r>
        <w:rPr>
          <w:rFonts w:ascii="Times New Roman" w:hAnsi="Times New Roman" w:cs="Simplified Arabic" w:hint="cs"/>
          <w:szCs w:val="24"/>
          <w:rtl/>
        </w:rPr>
        <w:tab/>
      </w:r>
      <w:r w:rsidRPr="00494A1A">
        <w:rPr>
          <w:rFonts w:ascii="Times New Roman" w:hAnsi="Times New Roman" w:cs="Simplified Arabic" w:hint="cs"/>
          <w:szCs w:val="24"/>
          <w:rtl/>
        </w:rPr>
        <w:t xml:space="preserve">وضع </w:t>
      </w:r>
      <w:r w:rsidRPr="00494A1A">
        <w:rPr>
          <w:rFonts w:ascii="Times New Roman" w:hAnsi="Times New Roman" w:cs="Simplified Arabic"/>
          <w:szCs w:val="24"/>
          <w:rtl/>
        </w:rPr>
        <w:t xml:space="preserve">قائمة </w:t>
      </w:r>
      <w:r w:rsidRPr="00494A1A">
        <w:rPr>
          <w:rFonts w:ascii="Times New Roman" w:hAnsi="Times New Roman" w:cs="Simplified Arabic" w:hint="cs"/>
          <w:szCs w:val="24"/>
          <w:rtl/>
        </w:rPr>
        <w:t>ب</w:t>
      </w:r>
      <w:r w:rsidRPr="00494A1A">
        <w:rPr>
          <w:rFonts w:ascii="Times New Roman" w:hAnsi="Times New Roman" w:cs="Simplified Arabic"/>
          <w:szCs w:val="24"/>
          <w:rtl/>
        </w:rPr>
        <w:t>المعايير المحتملة لتقييم خيارات السياس</w:t>
      </w:r>
      <w:r w:rsidRPr="00494A1A">
        <w:rPr>
          <w:rFonts w:ascii="Times New Roman" w:hAnsi="Times New Roman" w:cs="Simplified Arabic" w:hint="cs"/>
          <w:szCs w:val="24"/>
          <w:rtl/>
        </w:rPr>
        <w:t>ة</w:t>
      </w:r>
      <w:r w:rsidRPr="00494A1A">
        <w:rPr>
          <w:rFonts w:ascii="Times New Roman" w:hAnsi="Times New Roman" w:cs="Simplified Arabic"/>
          <w:szCs w:val="24"/>
          <w:rtl/>
        </w:rPr>
        <w:t>؛</w:t>
      </w:r>
    </w:p>
    <w:p w:rsidR="00494A1A" w:rsidRPr="00494A1A" w:rsidRDefault="00494A1A" w:rsidP="0052056E">
      <w:pPr>
        <w:tabs>
          <w:tab w:val="left" w:pos="1440"/>
        </w:tabs>
        <w:bidi/>
        <w:spacing w:after="120" w:line="216" w:lineRule="auto"/>
        <w:ind w:left="720"/>
        <w:jc w:val="both"/>
        <w:outlineLvl w:val="2"/>
        <w:rPr>
          <w:rFonts w:ascii="Times New Roman" w:hAnsi="Times New Roman" w:cs="Simplified Arabic"/>
          <w:szCs w:val="24"/>
        </w:rPr>
      </w:pPr>
      <w:r>
        <w:rPr>
          <w:rFonts w:ascii="Times New Roman" w:hAnsi="Times New Roman" w:cs="Simplified Arabic" w:hint="cs"/>
          <w:szCs w:val="24"/>
          <w:rtl/>
        </w:rPr>
        <w:t>(ج)</w:t>
      </w:r>
      <w:r>
        <w:rPr>
          <w:rFonts w:ascii="Times New Roman" w:hAnsi="Times New Roman" w:cs="Simplified Arabic" w:hint="cs"/>
          <w:szCs w:val="24"/>
          <w:rtl/>
        </w:rPr>
        <w:tab/>
      </w:r>
      <w:r w:rsidRPr="00494A1A">
        <w:rPr>
          <w:rFonts w:ascii="Times New Roman" w:hAnsi="Times New Roman" w:cs="Simplified Arabic"/>
          <w:szCs w:val="24"/>
          <w:rtl/>
        </w:rPr>
        <w:t xml:space="preserve">مجموعة الآراء التي تم </w:t>
      </w:r>
      <w:r w:rsidRPr="00494A1A">
        <w:rPr>
          <w:rFonts w:ascii="Times New Roman" w:hAnsi="Times New Roman" w:cs="Simplified Arabic" w:hint="cs"/>
          <w:szCs w:val="24"/>
          <w:rtl/>
        </w:rPr>
        <w:t>إبداؤها</w:t>
      </w:r>
      <w:r w:rsidRPr="00494A1A">
        <w:rPr>
          <w:rFonts w:ascii="Times New Roman" w:hAnsi="Times New Roman" w:cs="Simplified Arabic"/>
          <w:szCs w:val="24"/>
          <w:rtl/>
        </w:rPr>
        <w:t xml:space="preserve"> خلال المشاورة غير الرسمية عبر الإنترنت</w:t>
      </w:r>
      <w:r w:rsidR="00DB2988">
        <w:rPr>
          <w:rFonts w:ascii="Times New Roman" w:hAnsi="Times New Roman" w:cs="Simplified Arabic" w:hint="cs"/>
          <w:szCs w:val="24"/>
          <w:rtl/>
        </w:rPr>
        <w:t>]؛</w:t>
      </w:r>
    </w:p>
    <w:p w:rsidR="00494A1A" w:rsidRPr="00494A1A" w:rsidRDefault="00494A1A" w:rsidP="0052056E">
      <w:pPr>
        <w:pStyle w:val="ListParagraph"/>
        <w:contextualSpacing w:val="0"/>
        <w:outlineLvl w:val="2"/>
      </w:pPr>
      <w:r>
        <w:rPr>
          <w:rFonts w:hint="cs"/>
          <w:rtl/>
        </w:rPr>
        <w:t>(د)</w:t>
      </w:r>
      <w:r>
        <w:rPr>
          <w:rFonts w:hint="cs"/>
          <w:rtl/>
        </w:rPr>
        <w:tab/>
      </w:r>
      <w:r w:rsidR="00DB2988">
        <w:rPr>
          <w:rFonts w:hint="cs"/>
          <w:rtl/>
        </w:rPr>
        <w:t>[نطاق المصطلحات وخيارات لوصف معلومات التسلسل الرقمي بشأن الموارد الجينية.]</w:t>
      </w:r>
    </w:p>
    <w:p w:rsidR="00F46A9B" w:rsidRDefault="00DB2988" w:rsidP="00EB2E5E">
      <w:pPr>
        <w:pStyle w:val="ListParagraph"/>
        <w:numPr>
          <w:ilvl w:val="0"/>
          <w:numId w:val="5"/>
        </w:numPr>
        <w:ind w:left="0" w:firstLine="720"/>
        <w:contextualSpacing w:val="0"/>
        <w:outlineLvl w:val="2"/>
      </w:pPr>
      <w:r>
        <w:rPr>
          <w:rFonts w:hint="cs"/>
          <w:rtl/>
        </w:rPr>
        <w:t>[</w:t>
      </w:r>
      <w:r w:rsidRPr="00DB2988">
        <w:rPr>
          <w:rFonts w:hint="cs"/>
          <w:i/>
          <w:iCs/>
          <w:rtl/>
        </w:rPr>
        <w:t>يسلم</w:t>
      </w:r>
      <w:r>
        <w:rPr>
          <w:rFonts w:hint="cs"/>
          <w:rtl/>
        </w:rPr>
        <w:t xml:space="preserve"> بالعلاقة المتأصلة بين الموارد الجينية ومعلومات التسلسل الرقمي بشأن الموارد الجينية [فضلا عن نطاق الأدوات المعلوماتية البيولوجية في تصميم وإنشاء معلومات جديدة للتسلسل الرقمي بشأن عناصر الموارد الجينية التي تم إنشاؤها إصطناعيا]]</w:t>
      </w:r>
      <w:r w:rsidR="00497CFE">
        <w:rPr>
          <w:rFonts w:hint="cs"/>
          <w:rtl/>
        </w:rPr>
        <w:t xml:space="preserve"> </w:t>
      </w:r>
      <w:r>
        <w:rPr>
          <w:rFonts w:hint="cs"/>
          <w:rtl/>
        </w:rPr>
        <w:t>[</w:t>
      </w:r>
      <w:r w:rsidRPr="00DB2988">
        <w:rPr>
          <w:rFonts w:hint="cs"/>
          <w:i/>
          <w:iCs/>
          <w:rtl/>
        </w:rPr>
        <w:t>يسلم</w:t>
      </w:r>
      <w:r>
        <w:rPr>
          <w:rFonts w:hint="cs"/>
          <w:rtl/>
        </w:rPr>
        <w:t xml:space="preserve"> بأن معلومات التسلسل الرقمي بشأن الموارد الجينية هي جزء متأصل من الموارد الجينية.][</w:t>
      </w:r>
      <w:r w:rsidRPr="00DB2988">
        <w:rPr>
          <w:rFonts w:hint="cs"/>
          <w:i/>
          <w:iCs/>
          <w:rtl/>
        </w:rPr>
        <w:t>يسلم</w:t>
      </w:r>
      <w:r>
        <w:rPr>
          <w:rFonts w:hint="cs"/>
          <w:rtl/>
        </w:rPr>
        <w:t xml:space="preserve"> بأن معلومات التسلسل الرقمي بشأن الموارد الجينية ليست موارد جينية حسب تعريفها في اتفاقية التنوع البيولوجي وفي بروتوكول ناغويا][</w:t>
      </w:r>
      <w:r w:rsidRPr="00497CFE">
        <w:rPr>
          <w:rFonts w:hint="cs"/>
          <w:i/>
          <w:iCs/>
          <w:rtl/>
        </w:rPr>
        <w:t>يسلم</w:t>
      </w:r>
      <w:r>
        <w:rPr>
          <w:rFonts w:hint="cs"/>
          <w:rtl/>
        </w:rPr>
        <w:t xml:space="preserve"> بأن معلومات التسلسل الرقمي بشأن الموارد الجينية [تشك</w:t>
      </w:r>
      <w:r w:rsidR="00F46A9B">
        <w:rPr>
          <w:rFonts w:hint="cs"/>
          <w:rtl/>
        </w:rPr>
        <w:t>ل</w:t>
      </w:r>
      <w:r>
        <w:rPr>
          <w:rFonts w:hint="cs"/>
          <w:rtl/>
        </w:rPr>
        <w:t xml:space="preserve"> جزءا من الموارد الجينية و] تتطلب</w:t>
      </w:r>
      <w:r w:rsidR="00F46A9B">
        <w:rPr>
          <w:rFonts w:hint="cs"/>
          <w:rtl/>
        </w:rPr>
        <w:t xml:space="preserve"> الحصول إلى موارد جينية مادية [مبدئيا]]؛</w:t>
      </w:r>
    </w:p>
    <w:p w:rsidR="006571FB" w:rsidRDefault="00F46A9B" w:rsidP="00EB2E5E">
      <w:pPr>
        <w:pStyle w:val="ListParagraph"/>
        <w:numPr>
          <w:ilvl w:val="0"/>
          <w:numId w:val="5"/>
        </w:numPr>
        <w:ind w:left="0" w:firstLine="720"/>
        <w:contextualSpacing w:val="0"/>
        <w:outlineLvl w:val="2"/>
      </w:pPr>
      <w:r>
        <w:rPr>
          <w:rFonts w:hint="cs"/>
          <w:rtl/>
        </w:rPr>
        <w:t>[</w:t>
      </w:r>
      <w:r w:rsidRPr="00F46A9B">
        <w:rPr>
          <w:rFonts w:hint="cs"/>
          <w:i/>
          <w:iCs/>
          <w:rtl/>
        </w:rPr>
        <w:t>يسلم</w:t>
      </w:r>
      <w:r>
        <w:rPr>
          <w:rFonts w:hint="cs"/>
          <w:rtl/>
        </w:rPr>
        <w:t xml:space="preserve"> بأن الحصول على معلومات التسلسل الرقمي بشأن الموارد الجينية واستخدام هذه المعلومات مفيد للبحوث المتعلقة بالحفظ والاستخدام المستدام للتنوع البيولوجي، والأمن الغذائي، والصحة والقطاعات المهمة الأخرى، بما في ذلك التطبيقات التجارية </w:t>
      </w:r>
      <w:r w:rsidR="00EB2E5E">
        <w:rPr>
          <w:rFonts w:hint="cs"/>
          <w:rtl/>
        </w:rPr>
        <w:t>التي ينتج عنها</w:t>
      </w:r>
      <w:r>
        <w:rPr>
          <w:rFonts w:hint="cs"/>
          <w:rtl/>
        </w:rPr>
        <w:t xml:space="preserve"> </w:t>
      </w:r>
      <w:r w:rsidR="00EB2E5E">
        <w:rPr>
          <w:rFonts w:hint="cs"/>
          <w:rtl/>
        </w:rPr>
        <w:t xml:space="preserve">منتجات </w:t>
      </w:r>
      <w:r>
        <w:rPr>
          <w:rFonts w:hint="cs"/>
          <w:rtl/>
        </w:rPr>
        <w:t>تجارية؛][</w:t>
      </w:r>
      <w:r w:rsidRPr="00497CFE">
        <w:rPr>
          <w:rFonts w:hint="cs"/>
          <w:i/>
          <w:iCs/>
          <w:rtl/>
        </w:rPr>
        <w:t>يسلم</w:t>
      </w:r>
      <w:r>
        <w:rPr>
          <w:rFonts w:hint="cs"/>
          <w:rtl/>
        </w:rPr>
        <w:t xml:space="preserve"> بأن توليد معلومات التسلسل الرقمي بشأن الموارد الجينية، والحصول عليها وتحليلها واستخدامها يمكن أن يكون له أثر إيجابي على الحفظ والاستخدام المستدام للتنوع البيولوجي، وصحة الإنسان والحيوان والنبات والأمن الغذائي</w:t>
      </w:r>
      <w:r w:rsidR="00EB2E5E">
        <w:rPr>
          <w:rFonts w:hint="cs"/>
          <w:rtl/>
        </w:rPr>
        <w:t>؛</w:t>
      </w:r>
      <w:r>
        <w:rPr>
          <w:rFonts w:hint="cs"/>
          <w:rtl/>
        </w:rPr>
        <w:t>]</w:t>
      </w:r>
    </w:p>
    <w:p w:rsidR="00F46A9B" w:rsidRPr="007A7889" w:rsidRDefault="00F46A9B" w:rsidP="00E45549">
      <w:pPr>
        <w:pStyle w:val="ListParagraph"/>
        <w:numPr>
          <w:ilvl w:val="0"/>
          <w:numId w:val="5"/>
        </w:numPr>
        <w:ind w:left="0" w:firstLine="720"/>
        <w:contextualSpacing w:val="0"/>
        <w:outlineLvl w:val="2"/>
      </w:pPr>
      <w:r w:rsidRPr="00497CFE">
        <w:rPr>
          <w:rFonts w:hint="cs"/>
          <w:i/>
          <w:iCs/>
          <w:rtl/>
        </w:rPr>
        <w:t>يسلم</w:t>
      </w:r>
      <w:r>
        <w:rPr>
          <w:rFonts w:hint="cs"/>
          <w:rtl/>
        </w:rPr>
        <w:t xml:space="preserve"> بأن أي نهج إلى معلومات التسلس</w:t>
      </w:r>
      <w:r w:rsidR="00EB2E5E">
        <w:rPr>
          <w:rFonts w:hint="cs"/>
          <w:rtl/>
        </w:rPr>
        <w:t>ل</w:t>
      </w:r>
      <w:r>
        <w:rPr>
          <w:rFonts w:hint="cs"/>
          <w:rtl/>
        </w:rPr>
        <w:t xml:space="preserve"> الرقمي بشأن الموارد الجينية [التي اتفقت الأطراف على آلية لها] [يجب أن </w:t>
      </w:r>
      <w:r w:rsidR="00EB2E5E">
        <w:rPr>
          <w:rFonts w:hint="cs"/>
          <w:rtl/>
        </w:rPr>
        <w:t>ي</w:t>
      </w:r>
      <w:r>
        <w:rPr>
          <w:rFonts w:hint="cs"/>
          <w:rtl/>
        </w:rPr>
        <w:t>ستند إلى طرائق الحصول تبعا للقواعد، والحدود وفي سياق النُهج القائمة على الحقوق، وخاصة ح</w:t>
      </w:r>
      <w:r w:rsidR="00EB2E5E">
        <w:rPr>
          <w:rFonts w:hint="cs"/>
          <w:rtl/>
        </w:rPr>
        <w:t>ق</w:t>
      </w:r>
      <w:r>
        <w:rPr>
          <w:rFonts w:hint="cs"/>
          <w:rtl/>
        </w:rPr>
        <w:t>و</w:t>
      </w:r>
      <w:r w:rsidR="00497CFE">
        <w:rPr>
          <w:rFonts w:hint="cs"/>
          <w:rtl/>
        </w:rPr>
        <w:t>ق</w:t>
      </w:r>
      <w:r>
        <w:rPr>
          <w:rFonts w:hint="cs"/>
          <w:rtl/>
        </w:rPr>
        <w:t xml:space="preserve"> أمنا الأرض وحقوق الشعوب الأصلية والمجتمعات المحلية][ينبغي</w:t>
      </w:r>
      <w:r w:rsidR="00EB2E5E">
        <w:rPr>
          <w:rFonts w:hint="cs"/>
          <w:rtl/>
        </w:rPr>
        <w:t xml:space="preserve"> أن</w:t>
      </w:r>
      <w:r>
        <w:rPr>
          <w:rFonts w:hint="cs"/>
          <w:rtl/>
        </w:rPr>
        <w:t xml:space="preserve"> [تيسر الحصول على معلومات التسلسل الرقمي بشأن الموارد الجينية وتدعم البحث العلمي والإبتكار المستند إلى معلومات التسلسل الرقمي بشأن الموارد الجينية][تدعم الحصول المفتوح على معلومات التسلسل </w:t>
      </w:r>
      <w:r w:rsidR="00497CFE">
        <w:rPr>
          <w:rFonts w:hint="cs"/>
          <w:rtl/>
        </w:rPr>
        <w:t>الرقمي بشأن الموارد الجينية وتي</w:t>
      </w:r>
      <w:r>
        <w:rPr>
          <w:rFonts w:hint="cs"/>
          <w:rtl/>
        </w:rPr>
        <w:t xml:space="preserve">سر البحث العلمي والإبتكار؛] لا [تمنع][تقيد] الحصول [الحر والمفتوح] على معلومات التسلسل الرقمي أو </w:t>
      </w:r>
      <w:r w:rsidR="00E45549">
        <w:rPr>
          <w:rFonts w:hint="cs"/>
          <w:rtl/>
        </w:rPr>
        <w:t>ت</w:t>
      </w:r>
      <w:r w:rsidR="00D7531E">
        <w:rPr>
          <w:rFonts w:hint="cs"/>
          <w:rtl/>
        </w:rPr>
        <w:t>عوق</w:t>
      </w:r>
      <w:r>
        <w:rPr>
          <w:rFonts w:hint="cs"/>
          <w:rtl/>
        </w:rPr>
        <w:t xml:space="preserve"> </w:t>
      </w:r>
      <w:r w:rsidR="00D7531E">
        <w:rPr>
          <w:rFonts w:hint="cs"/>
          <w:rtl/>
        </w:rPr>
        <w:t xml:space="preserve">[بشكل كبير] </w:t>
      </w:r>
      <w:r>
        <w:rPr>
          <w:rFonts w:hint="cs"/>
          <w:rtl/>
        </w:rPr>
        <w:t>البحث العلمي</w:t>
      </w:r>
      <w:r w:rsidR="00D7531E">
        <w:rPr>
          <w:rFonts w:hint="cs"/>
          <w:rtl/>
        </w:rPr>
        <w:t xml:space="preserve"> والابتكار</w:t>
      </w:r>
      <w:r w:rsidR="00E45549">
        <w:rPr>
          <w:rFonts w:hint="cs"/>
          <w:rtl/>
        </w:rPr>
        <w:t>]</w:t>
      </w:r>
      <w:r>
        <w:rPr>
          <w:rFonts w:hint="cs"/>
          <w:rtl/>
        </w:rPr>
        <w:t>؛</w:t>
      </w:r>
    </w:p>
    <w:p w:rsidR="00DB2988" w:rsidRDefault="00161A50" w:rsidP="00E45549">
      <w:pPr>
        <w:pStyle w:val="ListParagraph"/>
        <w:ind w:left="0" w:firstLine="720"/>
        <w:contextualSpacing w:val="0"/>
        <w:rPr>
          <w:rtl/>
        </w:rPr>
      </w:pPr>
      <w:r w:rsidRPr="00E45549">
        <w:rPr>
          <w:rFonts w:hint="cs"/>
          <w:i/>
          <w:iCs/>
          <w:rtl/>
        </w:rPr>
        <w:t>5 البديل</w:t>
      </w:r>
      <w:r>
        <w:rPr>
          <w:rFonts w:hint="cs"/>
          <w:rtl/>
        </w:rPr>
        <w:tab/>
        <w:t xml:space="preserve"> [</w:t>
      </w:r>
      <w:r w:rsidRPr="00497CFE">
        <w:rPr>
          <w:rFonts w:hint="cs"/>
          <w:i/>
          <w:iCs/>
          <w:rtl/>
        </w:rPr>
        <w:t xml:space="preserve">يسلم </w:t>
      </w:r>
      <w:r>
        <w:rPr>
          <w:rFonts w:hint="cs"/>
          <w:rtl/>
        </w:rPr>
        <w:t>بالحاجة إلى معيار عالمي أو نهج للسياسة [ينظم الحصول على معلومات التسلسل الرقمي بشأن الموارد الجينية][يشجع الحصول المفتوح [وليس بالضرورة الحر] على معلومات التسلسل الرقمي بشأن الموارد الجينية] ويعزز البحث والا</w:t>
      </w:r>
      <w:r w:rsidR="00E45549">
        <w:rPr>
          <w:rFonts w:hint="cs"/>
          <w:rtl/>
        </w:rPr>
        <w:t>ب</w:t>
      </w:r>
      <w:r>
        <w:rPr>
          <w:rFonts w:hint="cs"/>
          <w:rtl/>
        </w:rPr>
        <w:t>تكار ال</w:t>
      </w:r>
      <w:r w:rsidR="00E45549">
        <w:rPr>
          <w:rFonts w:hint="cs"/>
          <w:rtl/>
        </w:rPr>
        <w:t>مهم</w:t>
      </w:r>
      <w:r>
        <w:rPr>
          <w:rFonts w:hint="cs"/>
          <w:rtl/>
        </w:rPr>
        <w:t xml:space="preserve"> المتعلق بمعلومات </w:t>
      </w:r>
      <w:r w:rsidR="00E45549">
        <w:rPr>
          <w:rFonts w:hint="cs"/>
          <w:rtl/>
        </w:rPr>
        <w:t>ال</w:t>
      </w:r>
      <w:r>
        <w:rPr>
          <w:rFonts w:hint="cs"/>
          <w:rtl/>
        </w:rPr>
        <w:t>تسلسل الرقمي بشأن الموارد الجينية] [مع مراعاة الحدود المعقولة، والتدابير التحو</w:t>
      </w:r>
      <w:r w:rsidR="00E45549">
        <w:rPr>
          <w:rFonts w:hint="cs"/>
          <w:rtl/>
        </w:rPr>
        <w:t>ط</w:t>
      </w:r>
      <w:r>
        <w:rPr>
          <w:rFonts w:hint="cs"/>
          <w:rtl/>
        </w:rPr>
        <w:t>ية والضمانات]؛</w:t>
      </w:r>
    </w:p>
    <w:p w:rsidR="00161A50" w:rsidRDefault="00161A50" w:rsidP="0052056E">
      <w:pPr>
        <w:pStyle w:val="ListParagraph"/>
        <w:ind w:left="0" w:firstLine="720"/>
        <w:contextualSpacing w:val="0"/>
        <w:rPr>
          <w:rtl/>
        </w:rPr>
      </w:pPr>
      <w:r w:rsidRPr="00497CFE">
        <w:rPr>
          <w:rFonts w:hint="cs"/>
          <w:i/>
          <w:iCs/>
          <w:rtl/>
        </w:rPr>
        <w:t>5 البديل 2</w:t>
      </w:r>
      <w:r>
        <w:rPr>
          <w:rFonts w:hint="cs"/>
          <w:rtl/>
        </w:rPr>
        <w:t xml:space="preserve">  </w:t>
      </w:r>
      <w:r w:rsidRPr="00497CFE">
        <w:rPr>
          <w:rFonts w:hint="cs"/>
          <w:i/>
          <w:iCs/>
          <w:rtl/>
        </w:rPr>
        <w:t>يسلم</w:t>
      </w:r>
      <w:r>
        <w:rPr>
          <w:rFonts w:hint="cs"/>
          <w:rtl/>
        </w:rPr>
        <w:t xml:space="preserve"> بأن أي نهج لمعالجة معلومات التسلسل ا</w:t>
      </w:r>
      <w:r w:rsidR="00006C52">
        <w:rPr>
          <w:rFonts w:hint="cs"/>
          <w:rtl/>
        </w:rPr>
        <w:t>ل</w:t>
      </w:r>
      <w:r>
        <w:rPr>
          <w:rFonts w:hint="cs"/>
          <w:rtl/>
        </w:rPr>
        <w:t>رقمي بشأن الموارد الجينية ينبغي ألا يمنع الحصول على معلومات التسلسل الرقمي؛]</w:t>
      </w:r>
    </w:p>
    <w:p w:rsidR="00161A50" w:rsidRDefault="00161A50" w:rsidP="0052056E">
      <w:pPr>
        <w:pStyle w:val="ListParagraph"/>
        <w:ind w:left="0" w:firstLine="720"/>
        <w:contextualSpacing w:val="0"/>
      </w:pPr>
      <w:r w:rsidRPr="00497CFE">
        <w:rPr>
          <w:rFonts w:hint="cs"/>
          <w:i/>
          <w:iCs/>
          <w:rtl/>
        </w:rPr>
        <w:t>5 البديل 3</w:t>
      </w:r>
      <w:r>
        <w:rPr>
          <w:rFonts w:hint="cs"/>
          <w:rtl/>
        </w:rPr>
        <w:t xml:space="preserve">  [</w:t>
      </w:r>
      <w:r w:rsidRPr="00497CFE">
        <w:rPr>
          <w:rFonts w:hint="cs"/>
          <w:i/>
          <w:iCs/>
          <w:rtl/>
        </w:rPr>
        <w:t>يسلم</w:t>
      </w:r>
      <w:r>
        <w:rPr>
          <w:rFonts w:hint="cs"/>
          <w:rtl/>
        </w:rPr>
        <w:t xml:space="preserve"> بأن أي نهج لمعالجة معلومات التسلسل الرقمي بشأن الموارد الجينية ينبغي أن يدعم الحصول المفتوح إلى البيانات</w:t>
      </w:r>
      <w:r w:rsidR="00E45549">
        <w:rPr>
          <w:rFonts w:hint="cs"/>
          <w:rtl/>
        </w:rPr>
        <w:t>،</w:t>
      </w:r>
      <w:r>
        <w:rPr>
          <w:rFonts w:hint="cs"/>
          <w:rtl/>
        </w:rPr>
        <w:t xml:space="preserve"> ويعزز نموذج العل</w:t>
      </w:r>
      <w:r w:rsidR="00E45549">
        <w:rPr>
          <w:rFonts w:hint="cs"/>
          <w:rtl/>
        </w:rPr>
        <w:t>م المفتوح</w:t>
      </w:r>
      <w:r w:rsidR="00497CFE">
        <w:rPr>
          <w:rFonts w:hint="cs"/>
          <w:rtl/>
        </w:rPr>
        <w:t xml:space="preserve"> وينبغي ألا يؤثر سلب</w:t>
      </w:r>
      <w:r>
        <w:rPr>
          <w:rFonts w:hint="cs"/>
          <w:rtl/>
        </w:rPr>
        <w:t>ا على البحث العلمي والا</w:t>
      </w:r>
      <w:r w:rsidR="00497CFE">
        <w:rPr>
          <w:rFonts w:hint="cs"/>
          <w:rtl/>
        </w:rPr>
        <w:t>ب</w:t>
      </w:r>
      <w:r>
        <w:rPr>
          <w:rFonts w:hint="cs"/>
          <w:rtl/>
        </w:rPr>
        <w:t>تكار؛]</w:t>
      </w:r>
    </w:p>
    <w:p w:rsidR="00161A50" w:rsidRDefault="00161A50" w:rsidP="0052056E">
      <w:pPr>
        <w:pStyle w:val="ListParagraph"/>
        <w:ind w:left="0" w:firstLine="720"/>
        <w:contextualSpacing w:val="0"/>
        <w:rPr>
          <w:rtl/>
        </w:rPr>
      </w:pPr>
      <w:r w:rsidRPr="00497CFE">
        <w:rPr>
          <w:rFonts w:hint="cs"/>
          <w:i/>
          <w:iCs/>
          <w:rtl/>
        </w:rPr>
        <w:lastRenderedPageBreak/>
        <w:t>5 البديل 4</w:t>
      </w:r>
      <w:r>
        <w:rPr>
          <w:rFonts w:hint="cs"/>
          <w:rtl/>
        </w:rPr>
        <w:t xml:space="preserve">  [</w:t>
      </w:r>
      <w:r w:rsidRPr="00497CFE">
        <w:rPr>
          <w:rFonts w:hint="cs"/>
          <w:i/>
          <w:iCs/>
          <w:rtl/>
        </w:rPr>
        <w:t>يسلم</w:t>
      </w:r>
      <w:r>
        <w:rPr>
          <w:rFonts w:hint="cs"/>
          <w:rtl/>
        </w:rPr>
        <w:t xml:space="preserve"> بأن أي نهج لمعالجة معلومات التسلسل الرقمي بشأن الموارد الجينية </w:t>
      </w:r>
      <w:r w:rsidR="00E45549">
        <w:rPr>
          <w:rFonts w:hint="cs"/>
          <w:rtl/>
        </w:rPr>
        <w:t>[</w:t>
      </w:r>
      <w:r>
        <w:rPr>
          <w:rFonts w:hint="cs"/>
          <w:rtl/>
        </w:rPr>
        <w:t>[يجوز][يجب] أن يشمل أحكاما وشروط</w:t>
      </w:r>
      <w:r w:rsidR="00497CFE">
        <w:rPr>
          <w:rFonts w:hint="cs"/>
          <w:rtl/>
        </w:rPr>
        <w:t>ا</w:t>
      </w:r>
      <w:r>
        <w:rPr>
          <w:rFonts w:hint="cs"/>
          <w:rtl/>
        </w:rPr>
        <w:t xml:space="preserve"> لتقاسم المنافع على قواعد البيانات المفتوحة للحصول وغيرها من قواعد البيانات التي تحتفظ بمعلومات التسلسل الرقمي؛]</w:t>
      </w:r>
    </w:p>
    <w:p w:rsidR="00161A50" w:rsidRDefault="00161A50" w:rsidP="00E45549">
      <w:pPr>
        <w:pStyle w:val="ListParagraph"/>
        <w:ind w:left="0" w:firstLine="720"/>
        <w:contextualSpacing w:val="0"/>
        <w:rPr>
          <w:rtl/>
        </w:rPr>
      </w:pPr>
      <w:r w:rsidRPr="00497CFE">
        <w:rPr>
          <w:rFonts w:hint="cs"/>
          <w:i/>
          <w:iCs/>
          <w:rtl/>
        </w:rPr>
        <w:t>5 البديل 5</w:t>
      </w:r>
      <w:r w:rsidR="00497CFE">
        <w:rPr>
          <w:rFonts w:hint="cs"/>
          <w:rtl/>
        </w:rPr>
        <w:t xml:space="preserve">  </w:t>
      </w:r>
      <w:r w:rsidR="00497CFE" w:rsidRPr="00497CFE">
        <w:rPr>
          <w:rFonts w:hint="cs"/>
          <w:i/>
          <w:iCs/>
          <w:rtl/>
        </w:rPr>
        <w:t>يسلم</w:t>
      </w:r>
      <w:r w:rsidR="00497CFE">
        <w:rPr>
          <w:rFonts w:hint="cs"/>
          <w:rtl/>
        </w:rPr>
        <w:t xml:space="preserve"> بأن أي نهج لمعالجة معلومات التسلسل الرقمي بشأن الموارد الجينية ينبغي [أن ينص على </w:t>
      </w:r>
      <w:r w:rsidR="00E45549">
        <w:rPr>
          <w:rFonts w:hint="cs"/>
          <w:rtl/>
        </w:rPr>
        <w:t>ال</w:t>
      </w:r>
      <w:r w:rsidR="00497CFE">
        <w:rPr>
          <w:rFonts w:hint="cs"/>
          <w:rtl/>
        </w:rPr>
        <w:t xml:space="preserve">حالة </w:t>
      </w:r>
      <w:r w:rsidR="00E45549">
        <w:rPr>
          <w:rFonts w:hint="cs"/>
          <w:rtl/>
        </w:rPr>
        <w:t>ال</w:t>
      </w:r>
      <w:r w:rsidR="00497CFE">
        <w:rPr>
          <w:rFonts w:hint="cs"/>
          <w:rtl/>
        </w:rPr>
        <w:t xml:space="preserve">خاصة لمسببات </w:t>
      </w:r>
      <w:r w:rsidR="00E45549">
        <w:rPr>
          <w:rFonts w:hint="cs"/>
          <w:rtl/>
        </w:rPr>
        <w:t>الأمراض ذات الاحتمال الوبائي</w:t>
      </w:r>
      <w:r w:rsidR="00497CFE">
        <w:rPr>
          <w:rFonts w:hint="cs"/>
          <w:rtl/>
        </w:rPr>
        <w:t>؛]</w:t>
      </w:r>
    </w:p>
    <w:p w:rsidR="00497CFE" w:rsidRDefault="00497CFE" w:rsidP="0052056E">
      <w:pPr>
        <w:pStyle w:val="ListParagraph"/>
        <w:ind w:left="0" w:firstLine="720"/>
        <w:contextualSpacing w:val="0"/>
        <w:rPr>
          <w:rtl/>
        </w:rPr>
      </w:pPr>
      <w:r>
        <w:rPr>
          <w:rFonts w:hint="cs"/>
          <w:rtl/>
        </w:rPr>
        <w:t>5 مكررا</w:t>
      </w:r>
      <w:r>
        <w:rPr>
          <w:rFonts w:hint="cs"/>
          <w:rtl/>
        </w:rPr>
        <w:tab/>
        <w:t>[</w:t>
      </w:r>
      <w:r w:rsidRPr="00497CFE">
        <w:rPr>
          <w:rFonts w:hint="cs"/>
          <w:i/>
          <w:iCs/>
          <w:rtl/>
        </w:rPr>
        <w:t>يسلم</w:t>
      </w:r>
      <w:r>
        <w:rPr>
          <w:rFonts w:hint="cs"/>
          <w:rtl/>
        </w:rPr>
        <w:t xml:space="preserve"> بأن الحصول المفتوح على معلومات التسلسل الرقمي بشأن الموارد الجينية في قواعد البيانات العامة يشكل منفعة لجميع أصحاب المصلحة؛]</w:t>
      </w:r>
    </w:p>
    <w:p w:rsidR="00497CFE" w:rsidRDefault="00497CFE" w:rsidP="00567A82">
      <w:pPr>
        <w:pStyle w:val="ListParagraph"/>
        <w:ind w:left="0" w:firstLine="720"/>
        <w:contextualSpacing w:val="0"/>
        <w:rPr>
          <w:rtl/>
        </w:rPr>
      </w:pPr>
      <w:r>
        <w:rPr>
          <w:rFonts w:hint="cs"/>
          <w:rtl/>
        </w:rPr>
        <w:t>5 ثالثا</w:t>
      </w:r>
      <w:r>
        <w:rPr>
          <w:rFonts w:hint="cs"/>
          <w:rtl/>
        </w:rPr>
        <w:tab/>
        <w:t>[</w:t>
      </w:r>
      <w:r w:rsidRPr="00497CFE">
        <w:rPr>
          <w:rFonts w:hint="cs"/>
          <w:i/>
          <w:iCs/>
          <w:rtl/>
        </w:rPr>
        <w:t>يسلم</w:t>
      </w:r>
      <w:r>
        <w:rPr>
          <w:rFonts w:hint="cs"/>
          <w:rtl/>
        </w:rPr>
        <w:t xml:space="preserve"> بأن أي نهج </w:t>
      </w:r>
      <w:r w:rsidR="00567A82">
        <w:rPr>
          <w:rFonts w:hint="cs"/>
          <w:rtl/>
        </w:rPr>
        <w:t>لمواصلة</w:t>
      </w:r>
      <w:r>
        <w:rPr>
          <w:rFonts w:hint="cs"/>
          <w:rtl/>
        </w:rPr>
        <w:t xml:space="preserve"> معالجة معلومات التسلسل الرقمي بشأن الموارد الجينية يحتاج من حيث المبدأ أن يوضع ضمن الإطار القانوني لاتفاقية التنوع البيولوجي.</w:t>
      </w:r>
      <w:r w:rsidR="00B801C6">
        <w:rPr>
          <w:rFonts w:hint="cs"/>
          <w:rtl/>
        </w:rPr>
        <w:t xml:space="preserve"> والنُهج التي تتجاوز الإطار القانوني للاتفاقية ستتطلب أولا تكليفا لمراجعتها؛]</w:t>
      </w:r>
    </w:p>
    <w:p w:rsidR="00B801C6" w:rsidRDefault="00B801C6" w:rsidP="00567A82">
      <w:pPr>
        <w:pStyle w:val="ListParagraph"/>
        <w:ind w:left="0" w:firstLine="720"/>
        <w:contextualSpacing w:val="0"/>
        <w:rPr>
          <w:rtl/>
        </w:rPr>
      </w:pPr>
      <w:r>
        <w:rPr>
          <w:rFonts w:hint="cs"/>
          <w:rtl/>
        </w:rPr>
        <w:t>5 رابعا</w:t>
      </w:r>
      <w:r>
        <w:rPr>
          <w:rFonts w:hint="cs"/>
          <w:rtl/>
        </w:rPr>
        <w:tab/>
        <w:t>[</w:t>
      </w:r>
      <w:r w:rsidRPr="00B801C6">
        <w:rPr>
          <w:rFonts w:hint="cs"/>
          <w:i/>
          <w:iCs/>
          <w:rtl/>
        </w:rPr>
        <w:t>يسلم</w:t>
      </w:r>
      <w:r>
        <w:rPr>
          <w:rFonts w:hint="cs"/>
          <w:rtl/>
        </w:rPr>
        <w:t xml:space="preserve"> بأن القدرات ال</w:t>
      </w:r>
      <w:r w:rsidR="00567A82">
        <w:rPr>
          <w:rFonts w:hint="cs"/>
          <w:rtl/>
        </w:rPr>
        <w:t>تق</w:t>
      </w:r>
      <w:r>
        <w:rPr>
          <w:rFonts w:hint="cs"/>
          <w:rtl/>
        </w:rPr>
        <w:t>نية على توليد معلومات التسلسل الرقمي بشأن الموارد الجينية والحصول عليها واستخدامها ما زالت متدنية في معظم البلدان النامية ولذلك لا تتوافر "منافع الحصول المفتوح" للجميع على نحو عادل أو منصف؛]</w:t>
      </w:r>
    </w:p>
    <w:p w:rsidR="00B801C6" w:rsidRDefault="00B801C6" w:rsidP="0052056E">
      <w:pPr>
        <w:pStyle w:val="ListParagraph"/>
        <w:numPr>
          <w:ilvl w:val="0"/>
          <w:numId w:val="5"/>
        </w:numPr>
        <w:ind w:left="0" w:firstLine="720"/>
        <w:contextualSpacing w:val="0"/>
      </w:pPr>
      <w:r>
        <w:rPr>
          <w:rFonts w:hint="cs"/>
          <w:rtl/>
        </w:rPr>
        <w:t>[</w:t>
      </w:r>
      <w:r w:rsidRPr="00B801C6">
        <w:rPr>
          <w:rFonts w:hint="cs"/>
          <w:i/>
          <w:iCs/>
          <w:rtl/>
        </w:rPr>
        <w:t>يسلم</w:t>
      </w:r>
      <w:r>
        <w:rPr>
          <w:rFonts w:hint="cs"/>
          <w:rtl/>
        </w:rPr>
        <w:t xml:space="preserve"> بأن الحصول المفتوح لا يعني بالضرورة الحصول الحر وغير المقيد و</w:t>
      </w:r>
      <w:r w:rsidR="00567A82">
        <w:rPr>
          <w:rFonts w:hint="cs"/>
          <w:rtl/>
        </w:rPr>
        <w:t xml:space="preserve">أن </w:t>
      </w:r>
      <w:r>
        <w:rPr>
          <w:rFonts w:hint="cs"/>
          <w:rtl/>
        </w:rPr>
        <w:t>هناك حاجة إلى اليقين القانوني للتقاسم العادل والمنصف للمنافع الناشئة عن استخدام معلومات التسلسل الرقمي بشأن الموارد الجينية؛]</w:t>
      </w:r>
    </w:p>
    <w:p w:rsidR="00B801C6" w:rsidRDefault="00121550" w:rsidP="0052056E">
      <w:pPr>
        <w:pStyle w:val="ListParagraph"/>
        <w:numPr>
          <w:ilvl w:val="0"/>
          <w:numId w:val="5"/>
        </w:numPr>
        <w:ind w:left="0" w:firstLine="720"/>
        <w:contextualSpacing w:val="0"/>
      </w:pPr>
      <w:r w:rsidRPr="00121550">
        <w:rPr>
          <w:rFonts w:hint="cs"/>
          <w:i/>
          <w:iCs/>
          <w:rtl/>
        </w:rPr>
        <w:t>يسلم</w:t>
      </w:r>
      <w:r>
        <w:rPr>
          <w:rFonts w:hint="cs"/>
          <w:rtl/>
        </w:rPr>
        <w:t xml:space="preserve"> بأن المنافع الناشئة عن استخدام معلومات التسلسل الرقمي بشأن الموارد الجينية ينبغي تقاسمها على نحو عادل ومنصف [مع مراعاة طرائق الحصول المستندة إلى القواعد، والحدود والنُهج المستندة إلى الحقوق، وخاصة حقوق أمنا الأرض وحقوق الشعوب الأصلية والمجتمعات المحلية] [مع البلدان التي تقدم الموارد الجينية </w:t>
      </w:r>
      <w:r w:rsidR="00567A82">
        <w:rPr>
          <w:rFonts w:hint="cs"/>
          <w:rtl/>
        </w:rPr>
        <w:t xml:space="preserve">[مبدئيا] </w:t>
      </w:r>
      <w:r>
        <w:rPr>
          <w:rFonts w:hint="cs"/>
          <w:rtl/>
        </w:rPr>
        <w:t xml:space="preserve">[في الأصل] التي تم الحصول على التسلسل الرقمي منها، </w:t>
      </w:r>
      <w:r w:rsidRPr="00121550">
        <w:rPr>
          <w:rFonts w:hint="cs"/>
          <w:i/>
          <w:iCs/>
          <w:rtl/>
        </w:rPr>
        <w:t>ويسلم</w:t>
      </w:r>
      <w:r>
        <w:rPr>
          <w:rFonts w:hint="cs"/>
          <w:rtl/>
        </w:rPr>
        <w:t xml:space="preserve"> بأن الموافقة الحرة والمسبقة عن علم للشعوب الأصلية والمجتمعات المحلية مهمة للحصول على معلومات التسلسل الرقمي بشأن الموارد الجينية [التي يكون لها الحق ال</w:t>
      </w:r>
      <w:r w:rsidR="00B511E4">
        <w:rPr>
          <w:rFonts w:hint="cs"/>
          <w:rtl/>
        </w:rPr>
        <w:t>منشأ لمنح الحصول على معلومات التسلسل الرقمي بشأن الموارد الجينية] بشروط متساوية] [ومن الأساسي وسم الموارد الجينية مع معلومات بلد المنشأ للمورد المستخدم للحصول على معلومات التسلسل الرقمي بشأن الموارد الجينية، ويمكن تحقيق ذلك من خلال التعاون مع منصات قاعدة البيانات مع مؤسسات البحث وملاك معلومات التسلسل الرقمي بشأن الموارد الجينية من بنوك البيا</w:t>
      </w:r>
      <w:r w:rsidR="00567A82">
        <w:rPr>
          <w:rFonts w:hint="cs"/>
          <w:rtl/>
        </w:rPr>
        <w:t>ن</w:t>
      </w:r>
      <w:r w:rsidR="00B511E4">
        <w:rPr>
          <w:rFonts w:hint="cs"/>
          <w:rtl/>
        </w:rPr>
        <w:t xml:space="preserve">ات المتنوعة، وهو مهم لتحقيق </w:t>
      </w:r>
      <w:r w:rsidR="00567A82">
        <w:rPr>
          <w:rFonts w:hint="cs"/>
          <w:rtl/>
        </w:rPr>
        <w:t xml:space="preserve">إمكانية </w:t>
      </w:r>
      <w:r w:rsidR="00B511E4">
        <w:rPr>
          <w:rFonts w:hint="cs"/>
          <w:rtl/>
        </w:rPr>
        <w:t>التعقب وضمان أن هذه</w:t>
      </w:r>
      <w:r w:rsidR="00567A82">
        <w:rPr>
          <w:rFonts w:hint="cs"/>
          <w:rtl/>
        </w:rPr>
        <w:t xml:space="preserve"> </w:t>
      </w:r>
      <w:r w:rsidR="00B511E4">
        <w:rPr>
          <w:rFonts w:hint="cs"/>
          <w:rtl/>
        </w:rPr>
        <w:t>المعلومات يتم تقديمها وأنها علنية أو متوافرة، عند ملاك معلومات التسلسل الرقمي بشأن الموارد الجينية في القطاع الخاص][وفقا للظروف الوطنية]؛</w:t>
      </w:r>
    </w:p>
    <w:p w:rsidR="00B511E4" w:rsidRDefault="00B511E4" w:rsidP="00CE330C">
      <w:pPr>
        <w:pStyle w:val="ListParagraph"/>
        <w:numPr>
          <w:ilvl w:val="0"/>
          <w:numId w:val="5"/>
        </w:numPr>
        <w:ind w:left="0" w:firstLine="720"/>
        <w:contextualSpacing w:val="0"/>
      </w:pPr>
      <w:r>
        <w:rPr>
          <w:rFonts w:hint="cs"/>
          <w:i/>
          <w:iCs/>
          <w:rtl/>
        </w:rPr>
        <w:t xml:space="preserve">[يسلم </w:t>
      </w:r>
      <w:r w:rsidRPr="00B511E4">
        <w:rPr>
          <w:rFonts w:hint="cs"/>
          <w:rtl/>
        </w:rPr>
        <w:t>بأن تقاسم المنافع الناش</w:t>
      </w:r>
      <w:r>
        <w:rPr>
          <w:rFonts w:hint="cs"/>
          <w:rtl/>
        </w:rPr>
        <w:t>ئة عن استخدام معلومات التسلسل الرقمي بشأن الموارد الجينية من خلال آلية عال</w:t>
      </w:r>
      <w:r w:rsidR="00CE330C">
        <w:rPr>
          <w:rFonts w:hint="cs"/>
          <w:rtl/>
        </w:rPr>
        <w:t>مية متعددة الأطراف [واضحة]</w:t>
      </w:r>
      <w:r>
        <w:rPr>
          <w:rFonts w:hint="cs"/>
          <w:rtl/>
        </w:rPr>
        <w:t xml:space="preserve"> يمكن أن يقدم مساهمة كبيرة في حشد الموارد ويسهم بذلك في الحفظ والاستخدام المستدام؛] [</w:t>
      </w:r>
      <w:r w:rsidRPr="00CE330C">
        <w:rPr>
          <w:rFonts w:hint="cs"/>
          <w:i/>
          <w:iCs/>
          <w:rtl/>
        </w:rPr>
        <w:t>يسلم</w:t>
      </w:r>
      <w:r>
        <w:rPr>
          <w:rFonts w:hint="cs"/>
          <w:rtl/>
        </w:rPr>
        <w:t xml:space="preserve"> بأن الآلية العالمية المتعددة الأطراف لتقاسم المنافع، التكميلية للآلية الثنائية، يمكن أن تقدم مساهمة كبيرة لتقاسم المنافع من استخدام معلومات التسلسل الرقمي بشأن الموارد الجينية [من خلال آلية عالمية متعددة الأطراف للتقاسم]، وحشد الموارد وبذلك تسهم في الحفظ والا</w:t>
      </w:r>
      <w:r w:rsidR="00CE330C">
        <w:rPr>
          <w:rFonts w:hint="cs"/>
          <w:rtl/>
        </w:rPr>
        <w:t>س</w:t>
      </w:r>
      <w:r>
        <w:rPr>
          <w:rFonts w:hint="cs"/>
          <w:rtl/>
        </w:rPr>
        <w:t>تخدام المستدام، مع تقاسم المنافع مباشرة مع مقدمي الموارد الجينية التي نشأت عنها معلومات التسلسل الرقمي بشأن الموارد الجينية، بما في ذلك الشعوب الأصلية والمجتمعات المحلية؛]</w:t>
      </w:r>
    </w:p>
    <w:p w:rsidR="00B511E4" w:rsidRDefault="00DA3158" w:rsidP="00CE330C">
      <w:pPr>
        <w:pStyle w:val="ListParagraph"/>
        <w:numPr>
          <w:ilvl w:val="0"/>
          <w:numId w:val="5"/>
        </w:numPr>
        <w:ind w:left="0" w:firstLine="720"/>
        <w:contextualSpacing w:val="0"/>
      </w:pPr>
      <w:r>
        <w:rPr>
          <w:rFonts w:hint="cs"/>
          <w:i/>
          <w:iCs/>
          <w:rtl/>
        </w:rPr>
        <w:t xml:space="preserve">[يقرر </w:t>
      </w:r>
      <w:r>
        <w:rPr>
          <w:rFonts w:hint="cs"/>
          <w:rtl/>
        </w:rPr>
        <w:t xml:space="preserve">إجراء مزيد من الاستعراض لفعالية وكفاءة الطريقة الحالية، بما في ذلك كيفية استخدام معلومات التسلسل الرقمي بشأن الموارد الجينية في الوقت الحاضر، ويواصل </w:t>
      </w:r>
      <w:r w:rsidRPr="00CE330C">
        <w:rPr>
          <w:rFonts w:hint="cs"/>
          <w:i/>
          <w:iCs/>
          <w:rtl/>
        </w:rPr>
        <w:t>النظر</w:t>
      </w:r>
      <w:r>
        <w:rPr>
          <w:rFonts w:hint="cs"/>
          <w:rtl/>
        </w:rPr>
        <w:t xml:space="preserve"> في مفهوم ونطاق معلومات التسلسل الرقمي بشأن الموارد الجينية [أن تتبع معلومات التسلسل الرقمي بشأن الموارد الجينية] ومن هم المستفيد</w:t>
      </w:r>
      <w:r w:rsidR="00CE330C">
        <w:rPr>
          <w:rFonts w:hint="cs"/>
          <w:rtl/>
        </w:rPr>
        <w:t>و</w:t>
      </w:r>
      <w:r>
        <w:rPr>
          <w:rFonts w:hint="cs"/>
          <w:rtl/>
        </w:rPr>
        <w:t>ن الرئيسي</w:t>
      </w:r>
      <w:r w:rsidR="00CE330C">
        <w:rPr>
          <w:rFonts w:hint="cs"/>
          <w:rtl/>
        </w:rPr>
        <w:t>و</w:t>
      </w:r>
      <w:r>
        <w:rPr>
          <w:rFonts w:hint="cs"/>
          <w:rtl/>
        </w:rPr>
        <w:t>ن من استخدامها؛] [بما في ذلك العلاقات بالمشتقات، والموارد البيولوجية والمعارف التقليدية؛]</w:t>
      </w:r>
    </w:p>
    <w:p w:rsidR="00DA3158" w:rsidRDefault="00DA3158" w:rsidP="0052056E">
      <w:pPr>
        <w:pStyle w:val="ListParagraph"/>
        <w:numPr>
          <w:ilvl w:val="0"/>
          <w:numId w:val="5"/>
        </w:numPr>
        <w:ind w:left="0" w:firstLine="720"/>
        <w:contextualSpacing w:val="0"/>
      </w:pPr>
      <w:r>
        <w:rPr>
          <w:rFonts w:hint="cs"/>
          <w:i/>
          <w:iCs/>
          <w:rtl/>
        </w:rPr>
        <w:lastRenderedPageBreak/>
        <w:t>يعتبر</w:t>
      </w:r>
      <w:r>
        <w:rPr>
          <w:rFonts w:hint="cs"/>
          <w:rtl/>
        </w:rPr>
        <w:t xml:space="preserve"> أن [هناك [طرائق][ن</w:t>
      </w:r>
      <w:r w:rsidR="00CE330C">
        <w:rPr>
          <w:rFonts w:hint="cs"/>
          <w:rtl/>
        </w:rPr>
        <w:t>ُ</w:t>
      </w:r>
      <w:r>
        <w:rPr>
          <w:rFonts w:hint="cs"/>
          <w:rtl/>
        </w:rPr>
        <w:t>هج] عدديدة ممكنة [للحصول و] تقاسم المنافع [وأنه من الضروري الاستمرار في تحليل آثار كل منها]؛</w:t>
      </w:r>
    </w:p>
    <w:p w:rsidR="00DA3158" w:rsidRDefault="00DA3158" w:rsidP="0052056E">
      <w:pPr>
        <w:pStyle w:val="ListParagraph"/>
        <w:numPr>
          <w:ilvl w:val="0"/>
          <w:numId w:val="5"/>
        </w:numPr>
        <w:ind w:left="0" w:firstLine="720"/>
        <w:contextualSpacing w:val="0"/>
      </w:pPr>
      <w:r>
        <w:rPr>
          <w:rFonts w:hint="cs"/>
          <w:i/>
          <w:iCs/>
          <w:rtl/>
        </w:rPr>
        <w:t>[يعتبر أيضا</w:t>
      </w:r>
      <w:r>
        <w:rPr>
          <w:rFonts w:hint="cs"/>
          <w:rtl/>
        </w:rPr>
        <w:t xml:space="preserve"> أن جميع الطرائق المحتملة ينبغي أن:</w:t>
      </w:r>
    </w:p>
    <w:p w:rsidR="00DA3158" w:rsidRDefault="00DA3158" w:rsidP="00CE330C">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(أ)</w:t>
      </w:r>
      <w:r>
        <w:rPr>
          <w:rFonts w:ascii="Simplified Arabic" w:hAnsi="Simplified Arabic" w:cs="Simplified Arabic" w:hint="cs"/>
          <w:sz w:val="24"/>
          <w:szCs w:val="24"/>
          <w:rtl/>
        </w:rPr>
        <w:tab/>
      </w:r>
      <w:r w:rsidRPr="00DA3158">
        <w:rPr>
          <w:rFonts w:ascii="Simplified Arabic" w:hAnsi="Simplified Arabic" w:cs="Simplified Arabic"/>
          <w:sz w:val="24"/>
          <w:szCs w:val="24"/>
          <w:rtl/>
        </w:rPr>
        <w:t xml:space="preserve">تصون </w:t>
      </w:r>
      <w:r>
        <w:rPr>
          <w:rFonts w:ascii="Simplified Arabic" w:hAnsi="Simplified Arabic" w:cs="Simplified Arabic"/>
          <w:sz w:val="24"/>
          <w:szCs w:val="24"/>
          <w:rtl/>
        </w:rPr>
        <w:t>الحصول المفتوح</w:t>
      </w:r>
      <w:r>
        <w:rPr>
          <w:rFonts w:ascii="Simplified Arabic" w:hAnsi="Simplified Arabic" w:cs="Simplified Arabic" w:hint="cs"/>
          <w:sz w:val="24"/>
          <w:szCs w:val="24"/>
          <w:rtl/>
        </w:rPr>
        <w:t xml:space="preserve"> </w:t>
      </w:r>
      <w:r w:rsidR="00CE330C">
        <w:rPr>
          <w:rFonts w:ascii="Simplified Arabic" w:hAnsi="Simplified Arabic" w:cs="Simplified Arabic" w:hint="cs"/>
          <w:sz w:val="24"/>
          <w:szCs w:val="24"/>
          <w:rtl/>
        </w:rPr>
        <w:t>ع</w:t>
      </w:r>
      <w:r w:rsidRPr="00DA3158">
        <w:rPr>
          <w:rFonts w:ascii="Simplified Arabic" w:hAnsi="Simplified Arabic" w:cs="Simplified Arabic"/>
          <w:sz w:val="24"/>
          <w:szCs w:val="24"/>
          <w:rtl/>
        </w:rPr>
        <w:t>لى مع</w:t>
      </w:r>
      <w:r>
        <w:rPr>
          <w:rFonts w:ascii="Simplified Arabic" w:hAnsi="Simplified Arabic" w:cs="Simplified Arabic" w:hint="cs"/>
          <w:sz w:val="24"/>
          <w:szCs w:val="24"/>
          <w:rtl/>
        </w:rPr>
        <w:t>لومات التسلسل الرقمي بشأن الموارد الجينية من قواعد البيانات؛</w:t>
      </w:r>
    </w:p>
    <w:p w:rsidR="00DA3158" w:rsidRDefault="00DA3158" w:rsidP="00CE330C">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(ب)</w:t>
      </w:r>
      <w:r>
        <w:rPr>
          <w:rFonts w:ascii="Simplified Arabic" w:hAnsi="Simplified Arabic" w:cs="Simplified Arabic" w:hint="cs"/>
          <w:sz w:val="24"/>
          <w:szCs w:val="24"/>
          <w:rtl/>
        </w:rPr>
        <w:tab/>
        <w:t>تكون عملية، وسهلة التنفيذ، وفعالة ومجدية من حيث التكلفة، أي ينبغي أن تولد منافع أك</w:t>
      </w:r>
      <w:r w:rsidR="00CE330C">
        <w:rPr>
          <w:rFonts w:ascii="Simplified Arabic" w:hAnsi="Simplified Arabic" w:cs="Simplified Arabic" w:hint="cs"/>
          <w:sz w:val="24"/>
          <w:szCs w:val="24"/>
          <w:rtl/>
        </w:rPr>
        <w:t>ب</w:t>
      </w:r>
      <w:r>
        <w:rPr>
          <w:rFonts w:ascii="Simplified Arabic" w:hAnsi="Simplified Arabic" w:cs="Simplified Arabic" w:hint="cs"/>
          <w:sz w:val="24"/>
          <w:szCs w:val="24"/>
          <w:rtl/>
        </w:rPr>
        <w:t>ر من التكاليف؛</w:t>
      </w:r>
    </w:p>
    <w:p w:rsidR="00DA3158" w:rsidRDefault="00DA3158" w:rsidP="0052056E">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(ج)</w:t>
      </w:r>
      <w:r>
        <w:rPr>
          <w:rFonts w:ascii="Simplified Arabic" w:hAnsi="Simplified Arabic" w:cs="Simplified Arabic" w:hint="cs"/>
          <w:sz w:val="24"/>
          <w:szCs w:val="24"/>
          <w:rtl/>
        </w:rPr>
        <w:tab/>
        <w:t>تضمن أن المنافع المولدة ستسهم في الحفظ والاستخدام المستدام للتنوع البيولوجي دعما لأهداف التنمية المستدامة؛</w:t>
      </w:r>
    </w:p>
    <w:p w:rsidR="00DA3158" w:rsidRDefault="00DA3158" w:rsidP="0052056E">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(د)</w:t>
      </w:r>
      <w:r w:rsidR="00515B9C">
        <w:rPr>
          <w:rFonts w:ascii="Simplified Arabic" w:hAnsi="Simplified Arabic" w:cs="Simplified Arabic" w:hint="cs"/>
          <w:sz w:val="24"/>
          <w:szCs w:val="24"/>
          <w:rtl/>
        </w:rPr>
        <w:tab/>
      </w:r>
      <w:r>
        <w:rPr>
          <w:rFonts w:ascii="Simplified Arabic" w:hAnsi="Simplified Arabic" w:cs="Simplified Arabic" w:hint="cs"/>
          <w:sz w:val="24"/>
          <w:szCs w:val="24"/>
          <w:rtl/>
        </w:rPr>
        <w:t>تضمن اليقين القانوني؛</w:t>
      </w:r>
    </w:p>
    <w:p w:rsidR="00DA3158" w:rsidRDefault="00DA3158" w:rsidP="0052056E">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w:t>
      </w:r>
      <w:r>
        <w:rPr>
          <w:rFonts w:ascii="Simplified Arabic" w:hAnsi="Simplified Arabic" w:cs="Simplified Arabic"/>
          <w:sz w:val="24"/>
          <w:szCs w:val="24"/>
          <w:rtl/>
        </w:rPr>
        <w:t>ھ</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00515B9C">
        <w:rPr>
          <w:rFonts w:ascii="Simplified Arabic" w:hAnsi="Simplified Arabic" w:cs="Simplified Arabic" w:hint="cs"/>
          <w:sz w:val="24"/>
          <w:szCs w:val="24"/>
          <w:rtl/>
        </w:rPr>
        <w:t>تكون قادرة على السماح بمعالجة التطورات التكنولوجية</w:t>
      </w:r>
      <w:r w:rsidR="00CE330C">
        <w:rPr>
          <w:rFonts w:ascii="Simplified Arabic" w:hAnsi="Simplified Arabic" w:cs="Simplified Arabic" w:hint="cs"/>
          <w:sz w:val="24"/>
          <w:szCs w:val="24"/>
          <w:rtl/>
        </w:rPr>
        <w:t xml:space="preserve"> في المستقبل</w:t>
      </w:r>
      <w:r w:rsidR="00515B9C">
        <w:rPr>
          <w:rFonts w:ascii="Simplified Arabic" w:hAnsi="Simplified Arabic" w:cs="Simplified Arabic" w:hint="cs"/>
          <w:sz w:val="24"/>
          <w:szCs w:val="24"/>
          <w:rtl/>
        </w:rPr>
        <w:t>؛</w:t>
      </w:r>
    </w:p>
    <w:p w:rsidR="00515B9C" w:rsidRDefault="00515B9C" w:rsidP="0052056E">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(و)</w:t>
      </w:r>
      <w:r>
        <w:rPr>
          <w:rFonts w:ascii="Simplified Arabic" w:hAnsi="Simplified Arabic" w:cs="Simplified Arabic" w:hint="cs"/>
          <w:sz w:val="24"/>
          <w:szCs w:val="24"/>
          <w:rtl/>
        </w:rPr>
        <w:tab/>
        <w:t>يمكن تكييفها مع متطلبات الصكوك الأخرى للحصول وتقاسم المنافع، بما في ذلك الصكوك المستقبلية المحتملة؛]</w:t>
      </w:r>
    </w:p>
    <w:p w:rsidR="00515B9C" w:rsidRDefault="00E03266" w:rsidP="00CE330C">
      <w:pPr>
        <w:bidi/>
        <w:spacing w:after="120" w:line="216" w:lineRule="auto"/>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(ز)</w:t>
      </w:r>
      <w:r>
        <w:rPr>
          <w:rFonts w:ascii="Simplified Arabic" w:hAnsi="Simplified Arabic" w:cs="Simplified Arabic" w:hint="cs"/>
          <w:sz w:val="24"/>
          <w:szCs w:val="24"/>
          <w:rtl/>
        </w:rPr>
        <w:tab/>
        <w:t>[تحترم حقوق أمنا الأرض وحقوق الشعوب الأصلية والمجتمعات المحلية؛]</w:t>
      </w:r>
    </w:p>
    <w:p w:rsidR="00E03266" w:rsidRPr="00DA3158" w:rsidRDefault="00E03266" w:rsidP="00CE330C">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rPr>
        <w:t>(ح)</w:t>
      </w:r>
      <w:r>
        <w:rPr>
          <w:rFonts w:ascii="Simplified Arabic" w:hAnsi="Simplified Arabic" w:cs="Simplified Arabic" w:hint="cs"/>
          <w:sz w:val="24"/>
          <w:szCs w:val="24"/>
          <w:rtl/>
        </w:rPr>
        <w:tab/>
        <w:t>[تضمن</w:t>
      </w:r>
      <w:r>
        <w:rPr>
          <w:rFonts w:ascii="Simplified Arabic" w:hAnsi="Simplified Arabic" w:cs="Simplified Arabic" w:hint="cs"/>
          <w:sz w:val="24"/>
          <w:szCs w:val="24"/>
          <w:rtl/>
          <w:lang w:bidi="ar-EG"/>
        </w:rPr>
        <w:t xml:space="preserve"> عدم زيادة الفجوة الاجتماعية الاقتصادية والرقمية بين البلدان المتقدمة والبلدان النامية؛]</w:t>
      </w:r>
    </w:p>
    <w:p w:rsidR="00E03266" w:rsidRDefault="00E03266" w:rsidP="00CE330C">
      <w:pPr>
        <w:pStyle w:val="ListParagraph"/>
        <w:ind w:left="0" w:firstLine="720"/>
        <w:contextualSpacing w:val="0"/>
        <w:rPr>
          <w:rtl/>
        </w:rPr>
      </w:pPr>
      <w:r>
        <w:rPr>
          <w:rFonts w:hint="cs"/>
          <w:rtl/>
        </w:rPr>
        <w:t xml:space="preserve">11 </w:t>
      </w:r>
      <w:r w:rsidRPr="00CE330C">
        <w:rPr>
          <w:rFonts w:hint="cs"/>
          <w:i/>
          <w:iCs/>
          <w:rtl/>
        </w:rPr>
        <w:t>بديلة</w:t>
      </w:r>
      <w:r>
        <w:rPr>
          <w:rFonts w:hint="cs"/>
          <w:rtl/>
        </w:rPr>
        <w:tab/>
        <w:t xml:space="preserve">  [</w:t>
      </w:r>
      <w:r w:rsidRPr="00CE330C">
        <w:rPr>
          <w:rFonts w:hint="cs"/>
          <w:i/>
          <w:iCs/>
          <w:rtl/>
        </w:rPr>
        <w:t>يعتبر كذلك</w:t>
      </w:r>
      <w:r>
        <w:rPr>
          <w:rFonts w:hint="cs"/>
          <w:rtl/>
        </w:rPr>
        <w:t xml:space="preserve"> أن أي نهج ل</w:t>
      </w:r>
      <w:r w:rsidR="00CE330C">
        <w:rPr>
          <w:rFonts w:hint="cs"/>
          <w:rtl/>
        </w:rPr>
        <w:t xml:space="preserve">مواصلة </w:t>
      </w:r>
      <w:r>
        <w:rPr>
          <w:rFonts w:hint="cs"/>
          <w:rtl/>
        </w:rPr>
        <w:t xml:space="preserve">معالجة معلومات </w:t>
      </w:r>
      <w:r w:rsidR="00CE330C">
        <w:rPr>
          <w:rFonts w:hint="cs"/>
          <w:rtl/>
        </w:rPr>
        <w:t>ال</w:t>
      </w:r>
      <w:r>
        <w:rPr>
          <w:rFonts w:hint="cs"/>
          <w:rtl/>
        </w:rPr>
        <w:t xml:space="preserve">تسلسل الرقمي بشأن الموارد الجينية يحتاج إلى </w:t>
      </w:r>
      <w:r w:rsidR="00CE330C">
        <w:rPr>
          <w:rFonts w:hint="cs"/>
          <w:rtl/>
        </w:rPr>
        <w:t>أن يأخذ في الحسبان</w:t>
      </w:r>
      <w:r>
        <w:rPr>
          <w:rFonts w:hint="cs"/>
          <w:rtl/>
        </w:rPr>
        <w:t xml:space="preserve"> المعايير التالية بصفة خاصة:</w:t>
      </w:r>
    </w:p>
    <w:p w:rsidR="00E03266" w:rsidRDefault="00E03266" w:rsidP="0052056E">
      <w:pPr>
        <w:pStyle w:val="ListParagraph"/>
        <w:ind w:left="0" w:firstLine="720"/>
        <w:contextualSpacing w:val="0"/>
        <w:rPr>
          <w:rtl/>
        </w:rPr>
      </w:pPr>
      <w:r>
        <w:rPr>
          <w:rFonts w:hint="cs"/>
          <w:rtl/>
        </w:rPr>
        <w:t>(أ)</w:t>
      </w:r>
      <w:r>
        <w:rPr>
          <w:rFonts w:hint="cs"/>
          <w:rtl/>
        </w:rPr>
        <w:tab/>
        <w:t>الحصول المفتوح على معلومات التسلسل الرقمي بشأن الموارد الجينية في قواعد البيانات العامة؛</w:t>
      </w:r>
    </w:p>
    <w:p w:rsidR="00E03266" w:rsidRDefault="00E03266" w:rsidP="0052056E">
      <w:pPr>
        <w:pStyle w:val="ListParagraph"/>
        <w:ind w:left="0" w:firstLine="720"/>
        <w:contextualSpacing w:val="0"/>
        <w:rPr>
          <w:rtl/>
        </w:rPr>
      </w:pPr>
      <w:r>
        <w:rPr>
          <w:rFonts w:hint="cs"/>
          <w:rtl/>
        </w:rPr>
        <w:t>(ب)</w:t>
      </w:r>
      <w:r>
        <w:rPr>
          <w:rFonts w:hint="cs"/>
          <w:rtl/>
        </w:rPr>
        <w:tab/>
        <w:t>الوضوح القانوني؛</w:t>
      </w:r>
    </w:p>
    <w:p w:rsidR="00E03266" w:rsidRDefault="00E03266" w:rsidP="0052056E">
      <w:pPr>
        <w:pStyle w:val="ListParagraph"/>
        <w:ind w:left="0" w:firstLine="720"/>
        <w:contextualSpacing w:val="0"/>
        <w:rPr>
          <w:rtl/>
        </w:rPr>
      </w:pPr>
      <w:r>
        <w:rPr>
          <w:rFonts w:hint="cs"/>
          <w:rtl/>
        </w:rPr>
        <w:t>(ج)</w:t>
      </w:r>
      <w:r>
        <w:rPr>
          <w:rFonts w:hint="cs"/>
          <w:rtl/>
        </w:rPr>
        <w:tab/>
        <w:t>الإمكانية العملية؛</w:t>
      </w:r>
    </w:p>
    <w:p w:rsidR="00E03266" w:rsidRDefault="00E03266" w:rsidP="0052056E">
      <w:pPr>
        <w:pStyle w:val="ListParagraph"/>
        <w:ind w:left="0" w:firstLine="720"/>
        <w:contextualSpacing w:val="0"/>
        <w:rPr>
          <w:rtl/>
        </w:rPr>
      </w:pPr>
      <w:r>
        <w:rPr>
          <w:rFonts w:hint="cs"/>
          <w:rtl/>
        </w:rPr>
        <w:t>(د)</w:t>
      </w:r>
      <w:r>
        <w:rPr>
          <w:rFonts w:hint="cs"/>
          <w:rtl/>
        </w:rPr>
        <w:tab/>
        <w:t>نهج متعدد الأطراف؛</w:t>
      </w:r>
    </w:p>
    <w:p w:rsidR="00E03266" w:rsidRDefault="00E03266" w:rsidP="0052056E">
      <w:pPr>
        <w:pStyle w:val="ListParagraph"/>
        <w:ind w:left="0" w:firstLine="720"/>
        <w:contextualSpacing w:val="0"/>
        <w:rPr>
          <w:rtl/>
        </w:rPr>
      </w:pPr>
      <w:r>
        <w:rPr>
          <w:rFonts w:hint="cs"/>
          <w:rtl/>
        </w:rPr>
        <w:t>(</w:t>
      </w:r>
      <w:r>
        <w:rPr>
          <w:rFonts w:ascii="Simplified Arabic" w:hAnsi="Simplified Arabic"/>
          <w:rtl/>
        </w:rPr>
        <w:t>ھ</w:t>
      </w:r>
      <w:r>
        <w:rPr>
          <w:rFonts w:hint="cs"/>
          <w:rtl/>
        </w:rPr>
        <w:t>)</w:t>
      </w:r>
      <w:r>
        <w:rPr>
          <w:rFonts w:hint="cs"/>
          <w:rtl/>
        </w:rPr>
        <w:tab/>
        <w:t>نسبة مواتية للتكلفة والمنافع؛</w:t>
      </w:r>
    </w:p>
    <w:p w:rsidR="00E03266" w:rsidRDefault="00E03266" w:rsidP="0052056E">
      <w:pPr>
        <w:pStyle w:val="ListParagraph"/>
        <w:ind w:left="0" w:firstLine="720"/>
        <w:contextualSpacing w:val="0"/>
        <w:rPr>
          <w:rtl/>
        </w:rPr>
      </w:pPr>
      <w:r>
        <w:rPr>
          <w:rFonts w:hint="cs"/>
          <w:rtl/>
        </w:rPr>
        <w:t>(و)</w:t>
      </w:r>
      <w:r>
        <w:rPr>
          <w:rFonts w:hint="cs"/>
          <w:rtl/>
        </w:rPr>
        <w:tab/>
        <w:t>دعم الابتكارات المستندة إلى معلومات ال</w:t>
      </w:r>
      <w:r w:rsidR="008B65C9">
        <w:rPr>
          <w:rFonts w:hint="cs"/>
          <w:rtl/>
        </w:rPr>
        <w:t>ت</w:t>
      </w:r>
      <w:r>
        <w:rPr>
          <w:rFonts w:hint="cs"/>
          <w:rtl/>
        </w:rPr>
        <w:t>سلسل الرقمي بشأن الموارد الجينية؛</w:t>
      </w:r>
    </w:p>
    <w:p w:rsidR="00E03266" w:rsidRPr="00E03266" w:rsidRDefault="00E03266" w:rsidP="0052056E">
      <w:pPr>
        <w:pStyle w:val="ListParagraph"/>
        <w:ind w:left="0" w:firstLine="720"/>
        <w:contextualSpacing w:val="0"/>
      </w:pPr>
      <w:r>
        <w:rPr>
          <w:rFonts w:hint="cs"/>
          <w:rtl/>
        </w:rPr>
        <w:t>(ز)</w:t>
      </w:r>
      <w:r>
        <w:rPr>
          <w:rFonts w:hint="cs"/>
          <w:rtl/>
        </w:rPr>
        <w:tab/>
        <w:t>المساهمة في الاستخدام المستدام وحفظ التنوع البيولوجي]؛</w:t>
      </w:r>
    </w:p>
    <w:p w:rsidR="008756EB" w:rsidRDefault="008756EB" w:rsidP="0052056E">
      <w:pPr>
        <w:pStyle w:val="ListParagraph"/>
        <w:numPr>
          <w:ilvl w:val="0"/>
          <w:numId w:val="5"/>
        </w:numPr>
        <w:ind w:left="0" w:firstLine="720"/>
        <w:contextualSpacing w:val="0"/>
      </w:pPr>
      <w:r>
        <w:rPr>
          <w:rFonts w:hint="cs"/>
          <w:rtl/>
        </w:rPr>
        <w:t>[</w:t>
      </w:r>
      <w:r w:rsidRPr="008756EB">
        <w:rPr>
          <w:rFonts w:hint="cs"/>
          <w:i/>
          <w:iCs/>
          <w:rtl/>
        </w:rPr>
        <w:t>يسلم</w:t>
      </w:r>
      <w:r>
        <w:rPr>
          <w:rFonts w:hint="cs"/>
          <w:rtl/>
        </w:rPr>
        <w:t xml:space="preserve"> بأن الشعوب الأصلية والمجتمعات المحلية ينبغي أن تكون المستفيدة الأساسية من تقاسم المنافع المالية لمعلومات التسلسل الرقمي بشأن الموارد الجينية نظرا لدورها المحوري في الحفظ والاستخدام المستدام للتنوع البيولوجي؛]</w:t>
      </w:r>
    </w:p>
    <w:p w:rsidR="008756EB" w:rsidRDefault="008756EB" w:rsidP="008B65C9">
      <w:pPr>
        <w:pStyle w:val="ListParagraph"/>
        <w:numPr>
          <w:ilvl w:val="0"/>
          <w:numId w:val="5"/>
        </w:numPr>
        <w:ind w:left="0" w:firstLine="720"/>
        <w:contextualSpacing w:val="0"/>
      </w:pPr>
      <w:r w:rsidRPr="008756EB">
        <w:rPr>
          <w:rFonts w:hint="cs"/>
          <w:i/>
          <w:iCs/>
          <w:rtl/>
        </w:rPr>
        <w:t>يقر</w:t>
      </w:r>
      <w:r>
        <w:rPr>
          <w:rFonts w:hint="cs"/>
          <w:rtl/>
        </w:rPr>
        <w:t xml:space="preserve"> بأن بناء القدرات [ودعم التكنولوجيا] مهم [يحتاج الأمر </w:t>
      </w:r>
      <w:r w:rsidR="008B65C9">
        <w:rPr>
          <w:rFonts w:hint="cs"/>
          <w:rtl/>
        </w:rPr>
        <w:t>إلى مزيد</w:t>
      </w:r>
      <w:r>
        <w:rPr>
          <w:rFonts w:hint="cs"/>
          <w:rtl/>
        </w:rPr>
        <w:t xml:space="preserve"> من القدرات </w:t>
      </w:r>
      <w:r w:rsidR="008B65C9">
        <w:rPr>
          <w:rFonts w:hint="cs"/>
          <w:rtl/>
        </w:rPr>
        <w:t>ل</w:t>
      </w:r>
      <w:r>
        <w:rPr>
          <w:rFonts w:hint="cs"/>
          <w:rtl/>
        </w:rPr>
        <w:t xml:space="preserve">لحصول على معلومات التسلسل الرقمي بشأن الموارد المالية واستخدامها وتوليدها وتحليلها في كثير من البلدان] </w:t>
      </w:r>
      <w:r w:rsidR="008B65C9">
        <w:rPr>
          <w:rFonts w:hint="cs"/>
          <w:rtl/>
        </w:rPr>
        <w:t xml:space="preserve">[ضرورية لمعالجة معلومات التسلسل الرقمي بشأن الموارد الجينية[ </w:t>
      </w:r>
      <w:r>
        <w:rPr>
          <w:rFonts w:hint="cs"/>
          <w:rtl/>
        </w:rPr>
        <w:t>[</w:t>
      </w:r>
      <w:r w:rsidR="008B65C9">
        <w:rPr>
          <w:rFonts w:hint="cs"/>
          <w:rtl/>
        </w:rPr>
        <w:t>و</w:t>
      </w:r>
      <w:r>
        <w:rPr>
          <w:rFonts w:hint="cs"/>
          <w:rtl/>
        </w:rPr>
        <w:t>يجب تحقيق الاحتياجات التي تم تعريفها][</w:t>
      </w:r>
      <w:r w:rsidRPr="008B65C9">
        <w:rPr>
          <w:rFonts w:hint="cs"/>
          <w:i/>
          <w:iCs/>
          <w:rtl/>
        </w:rPr>
        <w:t>ويسلم</w:t>
      </w:r>
      <w:r>
        <w:rPr>
          <w:rFonts w:hint="cs"/>
          <w:rtl/>
        </w:rPr>
        <w:t xml:space="preserve"> بأهمية المعارف التقليدية </w:t>
      </w:r>
      <w:r w:rsidR="008B65C9">
        <w:rPr>
          <w:rFonts w:hint="cs"/>
          <w:rtl/>
        </w:rPr>
        <w:t xml:space="preserve">ذات الصلة </w:t>
      </w:r>
      <w:r>
        <w:rPr>
          <w:rFonts w:hint="cs"/>
          <w:rtl/>
        </w:rPr>
        <w:t>المرتبطة باستخدام الموارد الجينية ومعلومات التسلسل الرقمي بشأن الموارد الجينية، فضلا عن أهمية الشعوب الأصلية والمجتمعات المحلية في حفظ وصيانة وتوليد هذه الموارد]</w:t>
      </w:r>
      <w:r w:rsidR="008B65C9">
        <w:rPr>
          <w:rFonts w:hint="cs"/>
          <w:rtl/>
        </w:rPr>
        <w:t xml:space="preserve"> </w:t>
      </w:r>
      <w:r>
        <w:rPr>
          <w:rFonts w:hint="cs"/>
          <w:rtl/>
        </w:rPr>
        <w:t xml:space="preserve">[، بما في ذلك بناء القدرات المناسبة </w:t>
      </w:r>
      <w:r w:rsidR="008B65C9">
        <w:rPr>
          <w:rFonts w:hint="cs"/>
          <w:rtl/>
        </w:rPr>
        <w:t>من الوجهة ال</w:t>
      </w:r>
      <w:r>
        <w:rPr>
          <w:rFonts w:hint="cs"/>
          <w:rtl/>
        </w:rPr>
        <w:t>ثقافي</w:t>
      </w:r>
      <w:r w:rsidR="008B65C9">
        <w:rPr>
          <w:rFonts w:hint="cs"/>
          <w:rtl/>
        </w:rPr>
        <w:t>ة</w:t>
      </w:r>
      <w:r>
        <w:rPr>
          <w:rFonts w:hint="cs"/>
          <w:rtl/>
        </w:rPr>
        <w:t xml:space="preserve"> للشعوب الأصلية والمجتمعات المحلية، والنساء</w:t>
      </w:r>
      <w:r w:rsidR="008B65C9">
        <w:rPr>
          <w:rFonts w:hint="cs"/>
          <w:rtl/>
        </w:rPr>
        <w:t>،</w:t>
      </w:r>
      <w:r>
        <w:rPr>
          <w:rFonts w:hint="cs"/>
          <w:rtl/>
        </w:rPr>
        <w:t xml:space="preserve"> والشباب وجميع أصحاب المصلحة]. [وبالإضافة إلى ذلك، يعتبر من الضروري تعزيز وتيسير تنفيذ بناء القدرات، بما في ذلك من خلال نقل التكنولوجيا في تعاون متبادل. ويمكن أن يكون ذلك في شكل التعاون في إجراء </w:t>
      </w:r>
      <w:r>
        <w:rPr>
          <w:rFonts w:hint="cs"/>
          <w:rtl/>
        </w:rPr>
        <w:lastRenderedPageBreak/>
        <w:t>البحوث بما في ذلك مزيد من البحوث و/أو التطوير والابتكار المتعلق بمعلومات التسلسل الرقمي بشأن الموارد الجينية،</w:t>
      </w:r>
      <w:r w:rsidR="008B65C9">
        <w:rPr>
          <w:rFonts w:hint="cs"/>
          <w:rtl/>
        </w:rPr>
        <w:t xml:space="preserve"> والتدريب، ومنصة المعارف، والتع</w:t>
      </w:r>
      <w:r>
        <w:rPr>
          <w:rFonts w:hint="cs"/>
          <w:rtl/>
        </w:rPr>
        <w:t>اون في تطوير التكنول</w:t>
      </w:r>
      <w:r w:rsidR="008B65C9">
        <w:rPr>
          <w:rFonts w:hint="cs"/>
          <w:rtl/>
        </w:rPr>
        <w:t>و</w:t>
      </w:r>
      <w:r>
        <w:rPr>
          <w:rFonts w:hint="cs"/>
          <w:rtl/>
        </w:rPr>
        <w:t xml:space="preserve">جيا وخلافه؛] </w:t>
      </w:r>
    </w:p>
    <w:p w:rsidR="008756EB" w:rsidRDefault="00D7531E" w:rsidP="0052056E">
      <w:pPr>
        <w:pStyle w:val="ListParagraph"/>
        <w:tabs>
          <w:tab w:val="left" w:pos="1890"/>
        </w:tabs>
        <w:ind w:left="0" w:firstLine="720"/>
        <w:contextualSpacing w:val="0"/>
        <w:rPr>
          <w:rtl/>
        </w:rPr>
      </w:pPr>
      <w:r w:rsidRPr="00D7531E">
        <w:rPr>
          <w:rFonts w:hint="cs"/>
          <w:i/>
          <w:iCs/>
          <w:rtl/>
        </w:rPr>
        <w:t xml:space="preserve">13 </w:t>
      </w:r>
      <w:r w:rsidR="00CC54BB">
        <w:rPr>
          <w:rFonts w:hint="cs"/>
          <w:i/>
          <w:iCs/>
          <w:rtl/>
        </w:rPr>
        <w:t>ال</w:t>
      </w:r>
      <w:r w:rsidRPr="00D7531E">
        <w:rPr>
          <w:rFonts w:hint="cs"/>
          <w:i/>
          <w:iCs/>
          <w:rtl/>
        </w:rPr>
        <w:t>بديلة</w:t>
      </w:r>
      <w:r>
        <w:rPr>
          <w:rFonts w:hint="cs"/>
          <w:rtl/>
        </w:rPr>
        <w:tab/>
      </w:r>
      <w:r w:rsidRPr="00D7531E">
        <w:rPr>
          <w:rFonts w:hint="cs"/>
          <w:i/>
          <w:iCs/>
          <w:rtl/>
        </w:rPr>
        <w:t>يقر</w:t>
      </w:r>
      <w:r>
        <w:rPr>
          <w:rFonts w:hint="cs"/>
          <w:rtl/>
        </w:rPr>
        <w:t xml:space="preserve"> بأن [توفير الموارد المالية، ونقل</w:t>
      </w:r>
      <w:r w:rsidR="008B65C9">
        <w:rPr>
          <w:rFonts w:hint="cs"/>
          <w:rtl/>
        </w:rPr>
        <w:t xml:space="preserve"> </w:t>
      </w:r>
      <w:r>
        <w:rPr>
          <w:rFonts w:hint="cs"/>
          <w:rtl/>
        </w:rPr>
        <w:t>التكنولوجيا وبناء القدرات هي مهمة وضرورية لمعالجة معلومات التسلسل الرقمي بشأن الموارد الجينية؛]</w:t>
      </w:r>
    </w:p>
    <w:p w:rsidR="00D7531E" w:rsidRPr="00D7531E" w:rsidRDefault="00D7531E" w:rsidP="0052056E">
      <w:pPr>
        <w:pStyle w:val="ListParagraph"/>
        <w:tabs>
          <w:tab w:val="left" w:pos="1890"/>
        </w:tabs>
        <w:ind w:left="0" w:firstLine="720"/>
        <w:contextualSpacing w:val="0"/>
      </w:pPr>
      <w:r w:rsidRPr="00D7531E">
        <w:rPr>
          <w:rFonts w:hint="cs"/>
          <w:i/>
          <w:iCs/>
          <w:rtl/>
        </w:rPr>
        <w:t xml:space="preserve">13 </w:t>
      </w:r>
      <w:r w:rsidR="00CC54BB">
        <w:rPr>
          <w:rFonts w:hint="cs"/>
          <w:i/>
          <w:iCs/>
          <w:rtl/>
        </w:rPr>
        <w:t>ال</w:t>
      </w:r>
      <w:r w:rsidRPr="00D7531E">
        <w:rPr>
          <w:rFonts w:hint="cs"/>
          <w:i/>
          <w:iCs/>
          <w:rtl/>
        </w:rPr>
        <w:t>بديلة 2</w:t>
      </w:r>
      <w:r w:rsidRPr="00D7531E">
        <w:rPr>
          <w:rFonts w:hint="cs"/>
          <w:i/>
          <w:iCs/>
          <w:rtl/>
        </w:rPr>
        <w:tab/>
      </w:r>
      <w:r>
        <w:rPr>
          <w:rFonts w:hint="cs"/>
          <w:i/>
          <w:iCs/>
          <w:rtl/>
        </w:rPr>
        <w:t xml:space="preserve">يقر </w:t>
      </w:r>
      <w:r w:rsidR="008B65C9">
        <w:rPr>
          <w:rFonts w:hint="cs"/>
          <w:i/>
          <w:iCs/>
          <w:rtl/>
        </w:rPr>
        <w:t>ب</w:t>
      </w:r>
      <w:r>
        <w:rPr>
          <w:rFonts w:hint="cs"/>
          <w:i/>
          <w:iCs/>
          <w:rtl/>
        </w:rPr>
        <w:t xml:space="preserve">أن </w:t>
      </w:r>
      <w:r w:rsidRPr="00D7531E">
        <w:rPr>
          <w:rFonts w:hint="cs"/>
          <w:rtl/>
        </w:rPr>
        <w:t>[التعاون التقني والعلمي و] بناء القدرات مهما وضروري</w:t>
      </w:r>
      <w:r>
        <w:rPr>
          <w:rFonts w:hint="cs"/>
          <w:rtl/>
        </w:rPr>
        <w:t xml:space="preserve"> لمعالجة معلومات التسلسل الرقمي بشأن الموارد الجينية [ويسلم بأهمية المعارف التقليدية ذات الصلة المتعلقة باستخدام الموارد الجينية ومعلومات التسلسل الرقمي بشأن الموارد الجينية، فضلا عن أهمية الشعوب الأصلية والمجتمعات المحلية في</w:t>
      </w:r>
      <w:r w:rsidR="00E34487">
        <w:rPr>
          <w:rFonts w:hint="cs"/>
          <w:rtl/>
        </w:rPr>
        <w:t xml:space="preserve"> حفظ وصيانة وتوليد هذه الموارد]؛</w:t>
      </w:r>
    </w:p>
    <w:p w:rsidR="00D7531E" w:rsidRDefault="00D7531E" w:rsidP="0052056E">
      <w:pPr>
        <w:pStyle w:val="ListParagraph"/>
        <w:ind w:left="0" w:firstLine="720"/>
        <w:contextualSpacing w:val="0"/>
        <w:rPr>
          <w:rtl/>
        </w:rPr>
      </w:pPr>
      <w:r>
        <w:rPr>
          <w:rFonts w:hint="cs"/>
          <w:rtl/>
        </w:rPr>
        <w:t>16-</w:t>
      </w:r>
      <w:r>
        <w:rPr>
          <w:rFonts w:hint="cs"/>
          <w:rtl/>
        </w:rPr>
        <w:tab/>
        <w:t>[</w:t>
      </w:r>
      <w:r w:rsidRPr="00CC54BB">
        <w:rPr>
          <w:rFonts w:hint="cs"/>
          <w:i/>
          <w:iCs/>
          <w:rtl/>
        </w:rPr>
        <w:t>يقرر</w:t>
      </w:r>
      <w:r>
        <w:rPr>
          <w:rFonts w:hint="cs"/>
          <w:rtl/>
        </w:rPr>
        <w:t xml:space="preserve">، في ممارسة حقوقهم السيادية على الموارد الجينية، </w:t>
      </w:r>
      <w:r w:rsidR="00E34487">
        <w:rPr>
          <w:rFonts w:hint="cs"/>
          <w:rtl/>
        </w:rPr>
        <w:t>إنشاء آلية متعددة الأطراف لتقاس</w:t>
      </w:r>
      <w:r>
        <w:rPr>
          <w:rFonts w:hint="cs"/>
          <w:rtl/>
        </w:rPr>
        <w:t>م المنافع، لتعمل على النحو التالي:</w:t>
      </w:r>
    </w:p>
    <w:p w:rsidR="00DA3158" w:rsidRDefault="00CC54BB" w:rsidP="00E34487">
      <w:pPr>
        <w:pStyle w:val="ListParagraph"/>
        <w:ind w:left="0" w:firstLine="720"/>
        <w:contextualSpacing w:val="0"/>
        <w:rPr>
          <w:rtl/>
        </w:rPr>
      </w:pPr>
      <w:r>
        <w:rPr>
          <w:rFonts w:hint="cs"/>
          <w:rtl/>
        </w:rPr>
        <w:t>(أ)</w:t>
      </w:r>
      <w:r>
        <w:rPr>
          <w:rFonts w:hint="cs"/>
          <w:rtl/>
        </w:rPr>
        <w:tab/>
        <w:t>يتخذ كل طرف من البلد</w:t>
      </w:r>
      <w:r w:rsidR="00E34487">
        <w:rPr>
          <w:rFonts w:hint="cs"/>
          <w:rtl/>
        </w:rPr>
        <w:t>ا</w:t>
      </w:r>
      <w:r>
        <w:rPr>
          <w:rFonts w:hint="cs"/>
          <w:rtl/>
        </w:rPr>
        <w:t xml:space="preserve">ن المتقدمة، وفقا للمادتين 20 و15-7 من الاتفاقية، تدابير تشريعية أو إدارية أو سياساتية، حسب الاقتضاء، لضمان أن 1 في المائة [على الأقل]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آلية متعددة الأطراف لتقاسم المنافع لدعم الحفظ والاستخدام المستدام للتنوع البيولوجي، ما لم تكن هذه المنافع يتم تقاسمها على خلاف ذلك بشروط موافق عليها بصورة </w:t>
      </w:r>
      <w:r w:rsidR="00E34487">
        <w:rPr>
          <w:rFonts w:hint="cs"/>
          <w:rtl/>
        </w:rPr>
        <w:t>متبادل</w:t>
      </w:r>
      <w:r>
        <w:rPr>
          <w:rFonts w:hint="cs"/>
          <w:rtl/>
        </w:rPr>
        <w:t>ة منشأة بموجب نظام ثنائي؛</w:t>
      </w:r>
    </w:p>
    <w:p w:rsidR="00CC54BB" w:rsidRDefault="00CC54BB" w:rsidP="00E34487">
      <w:pPr>
        <w:pStyle w:val="ListParagraph"/>
        <w:ind w:left="0" w:firstLine="720"/>
        <w:contextualSpacing w:val="0"/>
        <w:rPr>
          <w:rtl/>
        </w:rPr>
      </w:pPr>
      <w:r>
        <w:rPr>
          <w:rFonts w:hint="cs"/>
          <w:rtl/>
        </w:rPr>
        <w:t>(ب)</w:t>
      </w:r>
      <w:r>
        <w:rPr>
          <w:rFonts w:hint="cs"/>
          <w:rtl/>
        </w:rPr>
        <w:tab/>
      </w:r>
      <w:r w:rsidR="00E34487">
        <w:rPr>
          <w:rFonts w:hint="cs"/>
          <w:rtl/>
        </w:rPr>
        <w:t xml:space="preserve">توضع </w:t>
      </w:r>
      <w:r>
        <w:rPr>
          <w:rFonts w:hint="cs"/>
          <w:rtl/>
        </w:rPr>
        <w:t>جميع المنافع النقدية المتقاسمة بموجب آلية متعددة الأطراف لتقا</w:t>
      </w:r>
      <w:r w:rsidR="00E34487">
        <w:rPr>
          <w:rFonts w:hint="cs"/>
          <w:rtl/>
        </w:rPr>
        <w:t>س</w:t>
      </w:r>
      <w:r>
        <w:rPr>
          <w:rFonts w:hint="cs"/>
          <w:rtl/>
        </w:rPr>
        <w:t>م المنافع في صندوق عالمي للتنوع البيولوجي يشغله مرفق البيئة العالمية، بصفته الآلية المالية للاتفاقية، وأن يكون هذا الصندوق العالمي مفتوح</w:t>
      </w:r>
      <w:r w:rsidR="00E34487">
        <w:rPr>
          <w:rFonts w:hint="cs"/>
          <w:rtl/>
        </w:rPr>
        <w:t>ا</w:t>
      </w:r>
      <w:r>
        <w:rPr>
          <w:rFonts w:hint="cs"/>
          <w:rtl/>
        </w:rPr>
        <w:t xml:space="preserve"> أيضا للمساهمات الطوعية من جميع المصادر؛</w:t>
      </w:r>
    </w:p>
    <w:p w:rsidR="00CC54BB" w:rsidRDefault="00CC54BB" w:rsidP="00E34487">
      <w:pPr>
        <w:pStyle w:val="ListParagraph"/>
        <w:ind w:left="0" w:firstLine="720"/>
        <w:contextualSpacing w:val="0"/>
        <w:rPr>
          <w:rtl/>
        </w:rPr>
      </w:pPr>
      <w:r>
        <w:rPr>
          <w:rFonts w:hint="cs"/>
          <w:rtl/>
        </w:rPr>
        <w:t>(ج)</w:t>
      </w:r>
      <w:r>
        <w:rPr>
          <w:rFonts w:hint="cs"/>
          <w:rtl/>
        </w:rPr>
        <w:tab/>
        <w:t xml:space="preserve">ينبغي استخدام الصندوق العالمي للتنوع البيولوجي بطريقة مفتوحة وتنافسية وقائمة على المشروع، لدعم الأنشطة </w:t>
      </w:r>
      <w:r w:rsidR="00E34487">
        <w:rPr>
          <w:rFonts w:hint="cs"/>
          <w:rtl/>
        </w:rPr>
        <w:t>على أرض الواقع</w:t>
      </w:r>
      <w:r>
        <w:rPr>
          <w:rFonts w:hint="cs"/>
          <w:rtl/>
        </w:rPr>
        <w:t xml:space="preserve"> الرامية إلى حفظ التنوع البيولوجي والاستخدام المستدام لمكوناته، بما يتماشى مع نه</w:t>
      </w:r>
      <w:r w:rsidR="00E34487">
        <w:rPr>
          <w:rFonts w:hint="cs"/>
          <w:rtl/>
        </w:rPr>
        <w:t>ج</w:t>
      </w:r>
      <w:r>
        <w:rPr>
          <w:rFonts w:hint="cs"/>
          <w:rtl/>
        </w:rPr>
        <w:t xml:space="preserve"> النظام الإيكولوجي، التي تنفذها الشعوب الأصلية والمجتمعات المحلية وآخرون، </w:t>
      </w:r>
      <w:r w:rsidR="00E34487">
        <w:rPr>
          <w:rFonts w:hint="cs"/>
          <w:rtl/>
        </w:rPr>
        <w:t>سعي</w:t>
      </w:r>
      <w:r>
        <w:rPr>
          <w:rFonts w:hint="cs"/>
          <w:rtl/>
        </w:rPr>
        <w:t>ا لأولويات</w:t>
      </w:r>
      <w:r w:rsidR="00E34487">
        <w:rPr>
          <w:rFonts w:hint="cs"/>
          <w:rtl/>
        </w:rPr>
        <w:t xml:space="preserve"> الإنفاق</w:t>
      </w:r>
      <w:r>
        <w:rPr>
          <w:rFonts w:hint="cs"/>
          <w:rtl/>
        </w:rPr>
        <w:t xml:space="preserve"> التي </w:t>
      </w:r>
      <w:r w:rsidR="003353EB">
        <w:rPr>
          <w:rFonts w:hint="cs"/>
          <w:rtl/>
        </w:rPr>
        <w:t>ي</w:t>
      </w:r>
      <w:r>
        <w:rPr>
          <w:rFonts w:hint="cs"/>
          <w:rtl/>
        </w:rPr>
        <w:t xml:space="preserve">حددها </w:t>
      </w:r>
      <w:r w:rsidR="003353EB">
        <w:rPr>
          <w:rFonts w:hint="cs"/>
          <w:rtl/>
        </w:rPr>
        <w:t xml:space="preserve">من وقت لآخر </w:t>
      </w:r>
      <w:r>
        <w:rPr>
          <w:rFonts w:hint="cs"/>
          <w:rtl/>
        </w:rPr>
        <w:t>المنبر الحكومي الدولي للعلوم والسياسات في مجال التنوع البيولوجي وخدمات النظم الإيكولوجية من خلال التقييمات العلمية؛]</w:t>
      </w:r>
    </w:p>
    <w:p w:rsidR="00CC54BB" w:rsidRPr="00E03266" w:rsidRDefault="00CC54BB" w:rsidP="003353EB">
      <w:pPr>
        <w:pStyle w:val="ListParagraph"/>
        <w:ind w:left="0" w:firstLine="720"/>
        <w:contextualSpacing w:val="0"/>
      </w:pPr>
      <w:r>
        <w:rPr>
          <w:rFonts w:hint="cs"/>
          <w:rtl/>
        </w:rPr>
        <w:t>17-</w:t>
      </w:r>
      <w:r>
        <w:rPr>
          <w:rFonts w:hint="cs"/>
          <w:rtl/>
        </w:rPr>
        <w:tab/>
        <w:t>[</w:t>
      </w:r>
      <w:r w:rsidRPr="00812CDD">
        <w:rPr>
          <w:rFonts w:hint="cs"/>
          <w:i/>
          <w:iCs/>
          <w:rtl/>
        </w:rPr>
        <w:t>يطلب إلى</w:t>
      </w:r>
      <w:r>
        <w:rPr>
          <w:rFonts w:hint="cs"/>
          <w:rtl/>
        </w:rPr>
        <w:t xml:space="preserve"> الأمينة التنفيذية أن تعد، بالتشاور مع جميع الأطراف ومرفق البيئة العالمية، خيارات لتدابير وطنية تشر</w:t>
      </w:r>
      <w:r w:rsidR="003353EB">
        <w:rPr>
          <w:rFonts w:hint="cs"/>
          <w:rtl/>
        </w:rPr>
        <w:t>ي</w:t>
      </w:r>
      <w:r>
        <w:rPr>
          <w:rFonts w:hint="cs"/>
          <w:rtl/>
        </w:rPr>
        <w:t>عية وإدارية أو سياساتية لتنفيذ النظام ال</w:t>
      </w:r>
      <w:r w:rsidR="003353EB">
        <w:rPr>
          <w:rFonts w:hint="cs"/>
          <w:rtl/>
        </w:rPr>
        <w:t xml:space="preserve">متعدد الأطراف لتقاسم المنافع ورفع تقرير عن ذلك إلى </w:t>
      </w:r>
      <w:r>
        <w:rPr>
          <w:rFonts w:hint="cs"/>
          <w:rtl/>
        </w:rPr>
        <w:t>مؤتمر الأطراف في اجتماعه السادس عشر.]]</w:t>
      </w:r>
    </w:p>
    <w:p w:rsidR="00112E66" w:rsidRDefault="00812CDD" w:rsidP="00812CDD">
      <w:pPr>
        <w:bidi/>
        <w:spacing w:after="120" w:line="216" w:lineRule="auto"/>
        <w:jc w:val="center"/>
        <w:rPr>
          <w:rFonts w:ascii="Times New Roman" w:hAnsi="Times New Roman" w:cs="Simplified Arabic"/>
          <w:szCs w:val="24"/>
          <w:rtl/>
          <w:lang w:bidi="ar-EG"/>
        </w:rPr>
      </w:pPr>
      <w:r>
        <w:rPr>
          <w:rFonts w:ascii="Times New Roman" w:hAnsi="Times New Roman" w:cs="Simplified Arabic" w:hint="cs"/>
          <w:szCs w:val="24"/>
          <w:rtl/>
          <w:lang w:bidi="ar-EG"/>
        </w:rPr>
        <w:t>____________</w:t>
      </w:r>
    </w:p>
    <w:p w:rsidR="00812CDD" w:rsidRPr="006571FB" w:rsidRDefault="00812CDD" w:rsidP="00812CDD">
      <w:pPr>
        <w:bidi/>
        <w:spacing w:after="120" w:line="216" w:lineRule="auto"/>
        <w:rPr>
          <w:rFonts w:ascii="Times New Roman" w:hAnsi="Times New Roman" w:cs="Simplified Arabic"/>
          <w:szCs w:val="24"/>
          <w:rtl/>
          <w:lang w:bidi="ar-EG"/>
        </w:rPr>
      </w:pPr>
    </w:p>
    <w:sectPr w:rsidR="00812CDD" w:rsidRPr="006571FB" w:rsidSect="00494A1A">
      <w:headerReference w:type="even" r:id="rId9"/>
      <w:headerReference w:type="default" r:id="rId10"/>
      <w:headerReference w:type="first" r:id="rId11"/>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FC" w:rsidRDefault="00A11AFC" w:rsidP="00294CA2">
      <w:pPr>
        <w:spacing w:after="0" w:line="240" w:lineRule="auto"/>
      </w:pPr>
      <w:r>
        <w:separator/>
      </w:r>
    </w:p>
  </w:endnote>
  <w:endnote w:type="continuationSeparator" w:id="0">
    <w:p w:rsidR="00A11AFC" w:rsidRDefault="00A11AFC" w:rsidP="0029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FC" w:rsidRDefault="00A11AFC" w:rsidP="00294CA2">
      <w:pPr>
        <w:bidi/>
        <w:spacing w:after="0" w:line="240" w:lineRule="auto"/>
      </w:pPr>
      <w:r>
        <w:separator/>
      </w:r>
    </w:p>
  </w:footnote>
  <w:footnote w:type="continuationSeparator" w:id="0">
    <w:p w:rsidR="00A11AFC" w:rsidRDefault="00A11AFC" w:rsidP="00294CA2">
      <w:pPr>
        <w:spacing w:after="0" w:line="240" w:lineRule="auto"/>
      </w:pPr>
      <w:r>
        <w:continuationSeparator/>
      </w:r>
    </w:p>
  </w:footnote>
  <w:footnote w:id="1">
    <w:p w:rsidR="00294CA2" w:rsidRPr="00D17A30" w:rsidRDefault="00294CA2" w:rsidP="00294CA2">
      <w:pPr>
        <w:pStyle w:val="FootnoteText"/>
        <w:spacing w:line="216" w:lineRule="auto"/>
        <w:rPr>
          <w:rtl/>
        </w:rPr>
      </w:pPr>
      <w:r w:rsidRPr="007B101D">
        <w:rPr>
          <w:rFonts w:cs="Times New Roman"/>
          <w:vertAlign w:val="superscript"/>
          <w:rtl/>
        </w:rPr>
        <w:t>*</w:t>
      </w:r>
      <w:r>
        <w:rPr>
          <w:rFonts w:hint="cs"/>
          <w:rtl/>
        </w:rPr>
        <w:t xml:space="preserve"> </w:t>
      </w:r>
      <w:r w:rsidRPr="007B101D">
        <w:rPr>
          <w:sz w:val="18"/>
          <w:szCs w:val="18"/>
        </w:rPr>
        <w:t>CBD/WG2020/3/1</w:t>
      </w:r>
    </w:p>
  </w:footnote>
  <w:footnote w:id="2">
    <w:p w:rsidR="007A7889" w:rsidRDefault="007A7889">
      <w:pPr>
        <w:pStyle w:val="FootnoteText"/>
        <w:rPr>
          <w:rtl/>
        </w:rPr>
      </w:pPr>
      <w:r>
        <w:rPr>
          <w:rStyle w:val="FootnoteReference"/>
        </w:rPr>
        <w:footnoteRef/>
      </w:r>
      <w:r>
        <w:rPr>
          <w:rtl/>
        </w:rPr>
        <w:t xml:space="preserve"> </w:t>
      </w:r>
      <w:r w:rsidR="00494A1A" w:rsidRPr="00494A1A">
        <w:rPr>
          <w:rFonts w:cs="Times New Roman"/>
          <w:kern w:val="18"/>
          <w:sz w:val="18"/>
          <w:szCs w:val="18"/>
        </w:rPr>
        <w:t>CBD/WG2020/3/4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A" w:rsidRDefault="00494A1A" w:rsidP="00494A1A">
    <w:pPr>
      <w:spacing w:after="0" w:line="216" w:lineRule="auto"/>
      <w:jc w:val="right"/>
      <w:rPr>
        <w:rFonts w:ascii="Times New Roman" w:hAnsi="Times New Roman" w:cs="Times New Roman"/>
        <w:lang w:bidi="ar-EG"/>
      </w:rPr>
    </w:pPr>
    <w:r>
      <w:rPr>
        <w:rFonts w:ascii="Times New Roman" w:hAnsi="Times New Roman" w:cs="Times New Roman"/>
        <w:lang w:bidi="ar-EG"/>
      </w:rPr>
      <w:t>CBD/WG2020/3/CRP.1</w:t>
    </w:r>
  </w:p>
  <w:p w:rsidR="00497CFE" w:rsidRPr="00497CFE" w:rsidRDefault="00497CFE" w:rsidP="00497CFE">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CB476A"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CB476A" w:rsidRPr="00497CFE">
      <w:rPr>
        <w:rFonts w:ascii="Times New Roman" w:hAnsi="Times New Roman" w:cs="Times New Roman"/>
        <w:noProof/>
      </w:rPr>
      <w:fldChar w:fldCharType="separate"/>
    </w:r>
    <w:r w:rsidR="001E7565">
      <w:rPr>
        <w:rFonts w:ascii="Times New Roman" w:hAnsi="Times New Roman" w:cs="Times New Roman"/>
        <w:noProof/>
      </w:rPr>
      <w:t>2</w:t>
    </w:r>
    <w:r w:rsidR="00CB476A" w:rsidRPr="00497CFE">
      <w:rPr>
        <w:rFonts w:ascii="Times New Roman" w:hAnsi="Times New Roman" w:cs="Times New Roman"/>
        <w:noProof/>
      </w:rPr>
      <w:fldChar w:fldCharType="end"/>
    </w:r>
  </w:p>
  <w:p w:rsidR="00494A1A" w:rsidRDefault="00494A1A" w:rsidP="00494A1A">
    <w:pPr>
      <w:pStyle w:val="Header"/>
      <w:spacing w:line="216"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A" w:rsidRDefault="00494A1A" w:rsidP="00494A1A">
    <w:pPr>
      <w:spacing w:after="0" w:line="216" w:lineRule="auto"/>
      <w:rPr>
        <w:rFonts w:ascii="Times New Roman" w:hAnsi="Times New Roman" w:cs="Times New Roman"/>
        <w:lang w:bidi="ar-EG"/>
      </w:rPr>
    </w:pPr>
    <w:r>
      <w:rPr>
        <w:rFonts w:ascii="Times New Roman" w:hAnsi="Times New Roman" w:cs="Times New Roman"/>
        <w:lang w:bidi="ar-EG"/>
      </w:rPr>
      <w:t>CBD/WG2020/3/CRP.1</w:t>
    </w:r>
  </w:p>
  <w:p w:rsidR="00161A50" w:rsidRPr="00161A50" w:rsidRDefault="00161A50" w:rsidP="00161A50">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161A50">
      <w:rPr>
        <w:rFonts w:ascii="Times New Roman" w:hAnsi="Times New Roman" w:cs="Times New Roman"/>
        <w:noProof/>
      </w:rPr>
      <w:t xml:space="preserve">Page </w:t>
    </w:r>
    <w:r w:rsidR="00CB476A" w:rsidRPr="00161A50">
      <w:rPr>
        <w:rFonts w:ascii="Times New Roman" w:hAnsi="Times New Roman" w:cs="Times New Roman"/>
        <w:noProof/>
      </w:rPr>
      <w:fldChar w:fldCharType="begin"/>
    </w:r>
    <w:r w:rsidRPr="00161A50">
      <w:rPr>
        <w:rFonts w:ascii="Times New Roman" w:hAnsi="Times New Roman" w:cs="Times New Roman"/>
        <w:noProof/>
      </w:rPr>
      <w:instrText xml:space="preserve"> PAGE   \* MERGEFORMAT </w:instrText>
    </w:r>
    <w:r w:rsidR="00CB476A" w:rsidRPr="00161A50">
      <w:rPr>
        <w:rFonts w:ascii="Times New Roman" w:hAnsi="Times New Roman" w:cs="Times New Roman"/>
        <w:noProof/>
      </w:rPr>
      <w:fldChar w:fldCharType="separate"/>
    </w:r>
    <w:r w:rsidR="001E7565">
      <w:rPr>
        <w:rFonts w:ascii="Times New Roman" w:hAnsi="Times New Roman" w:cs="Times New Roman"/>
        <w:noProof/>
      </w:rPr>
      <w:t>3</w:t>
    </w:r>
    <w:r w:rsidR="00CB476A" w:rsidRPr="00161A50">
      <w:rPr>
        <w:rFonts w:ascii="Times New Roman" w:hAnsi="Times New Roman" w:cs="Times New Roman"/>
        <w:noProof/>
      </w:rPr>
      <w:fldChar w:fldCharType="end"/>
    </w:r>
  </w:p>
  <w:p w:rsidR="00494A1A" w:rsidRPr="00161A50" w:rsidRDefault="00494A1A" w:rsidP="00494A1A">
    <w:pPr>
      <w:pStyle w:val="Header"/>
      <w:spacing w:line="216" w:lineRule="auto"/>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A" w:rsidRDefault="00494A1A" w:rsidP="00494A1A">
    <w:pPr>
      <w:pStyle w:val="Header"/>
      <w:spacing w:line="21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294CA2"/>
    <w:rsid w:val="00006C52"/>
    <w:rsid w:val="00103AC8"/>
    <w:rsid w:val="00112E66"/>
    <w:rsid w:val="00121550"/>
    <w:rsid w:val="00161A50"/>
    <w:rsid w:val="00177202"/>
    <w:rsid w:val="001E7565"/>
    <w:rsid w:val="001F78F6"/>
    <w:rsid w:val="00271C1E"/>
    <w:rsid w:val="00294CA2"/>
    <w:rsid w:val="003353EB"/>
    <w:rsid w:val="00494A1A"/>
    <w:rsid w:val="00497CFE"/>
    <w:rsid w:val="00515B9C"/>
    <w:rsid w:val="0052056E"/>
    <w:rsid w:val="00567A82"/>
    <w:rsid w:val="00590EA5"/>
    <w:rsid w:val="005C73CC"/>
    <w:rsid w:val="006571FB"/>
    <w:rsid w:val="007371CE"/>
    <w:rsid w:val="007A7889"/>
    <w:rsid w:val="007F78BF"/>
    <w:rsid w:val="00812CDD"/>
    <w:rsid w:val="008756EB"/>
    <w:rsid w:val="008B2E0E"/>
    <w:rsid w:val="008B65C9"/>
    <w:rsid w:val="00913DB7"/>
    <w:rsid w:val="00A11AFC"/>
    <w:rsid w:val="00AB1D2D"/>
    <w:rsid w:val="00B511E4"/>
    <w:rsid w:val="00B801C6"/>
    <w:rsid w:val="00CB476A"/>
    <w:rsid w:val="00CC54BB"/>
    <w:rsid w:val="00CE330C"/>
    <w:rsid w:val="00D7531E"/>
    <w:rsid w:val="00D86D37"/>
    <w:rsid w:val="00DA3158"/>
    <w:rsid w:val="00DB2988"/>
    <w:rsid w:val="00E03266"/>
    <w:rsid w:val="00E34487"/>
    <w:rsid w:val="00E45549"/>
    <w:rsid w:val="00EB2E5E"/>
    <w:rsid w:val="00F46A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rsid w:val="00294CA2"/>
    <w:rPr>
      <w:vertAlign w:val="superscript"/>
    </w:rPr>
  </w:style>
  <w:style w:type="paragraph" w:styleId="ListParagraph">
    <w:name w:val="List Paragraph"/>
    <w:basedOn w:val="Normal"/>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semiHidden/>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4/cop-14-dec-20-a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703E0-DC34-419C-9F1E-DC905783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1927</Words>
  <Characters>10911</Characters>
  <Application>Microsoft Office Word</Application>
  <DocSecurity>0</DocSecurity>
  <Lines>149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ShawkiMostafa/MahaLabib</dc:creator>
  <cp:lastModifiedBy>ShawkiMostafa/MahaLabib</cp:lastModifiedBy>
  <cp:revision>6</cp:revision>
  <dcterms:created xsi:type="dcterms:W3CDTF">2021-09-01T18:46:00Z</dcterms:created>
  <dcterms:modified xsi:type="dcterms:W3CDTF">2021-09-02T06:14:00Z</dcterms:modified>
</cp:coreProperties>
</file>